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176AAA" w14:textId="18B2F20D" w:rsidR="000C2FBB" w:rsidRPr="008405F9" w:rsidRDefault="000C2FBB" w:rsidP="000C2FBB">
      <w:pPr>
        <w:rPr>
          <w:rFonts w:cstheme="minorHAnsi"/>
          <w:b/>
          <w:bCs/>
          <w:u w:val="single"/>
        </w:rPr>
      </w:pPr>
      <w:r w:rsidRPr="008405F9">
        <w:rPr>
          <w:rFonts w:cstheme="minorHAnsi"/>
          <w:b/>
          <w:bCs/>
          <w:u w:val="single"/>
        </w:rPr>
        <w:t>Assignment – Understanding the Management of Employee Relations</w:t>
      </w:r>
    </w:p>
    <w:p w14:paraId="0CE6CC06" w14:textId="0D9C22DF" w:rsidR="006C4D23" w:rsidRPr="008405F9" w:rsidRDefault="009546F5" w:rsidP="009546F5">
      <w:pPr>
        <w:rPr>
          <w:rFonts w:cstheme="minorHAnsi"/>
          <w:b/>
          <w:bCs/>
        </w:rPr>
      </w:pPr>
      <w:r w:rsidRPr="008405F9">
        <w:rPr>
          <w:rFonts w:cstheme="minorHAnsi"/>
          <w:b/>
          <w:bCs/>
        </w:rPr>
        <w:t>1.</w:t>
      </w:r>
      <w:r w:rsidR="000C2FBB" w:rsidRPr="008405F9">
        <w:rPr>
          <w:rFonts w:cstheme="minorHAnsi"/>
          <w:b/>
          <w:bCs/>
        </w:rPr>
        <w:t xml:space="preserve">Explain the concept of employment relations and what is meant by the term ‘the indeterminate nature of employment relations.’  Define and compare unitarist and pluralist approaches to employment relations. </w:t>
      </w:r>
    </w:p>
    <w:p w14:paraId="4FE4D70A" w14:textId="4A399AEC" w:rsidR="000C2FBB" w:rsidRDefault="000C2FBB" w:rsidP="00A302B6">
      <w:pPr>
        <w:pStyle w:val="NoSpacing"/>
      </w:pPr>
      <w:r w:rsidRPr="008405F9">
        <w:t xml:space="preserve">Employee relations is a broad subject and includes many different topics and factors to consider. </w:t>
      </w:r>
      <w:r w:rsidR="008E2139" w:rsidRPr="008405F9">
        <w:t>In the last century, employee relations ha</w:t>
      </w:r>
      <w:r w:rsidR="002161C8">
        <w:t>ve</w:t>
      </w:r>
      <w:r w:rsidR="008E2139" w:rsidRPr="008405F9">
        <w:t xml:space="preserve"> replaced industrial relations as the widely used term for describing the relationship between an employer and employees. As workplaces and the landscape of modern working practices changes, employee relations </w:t>
      </w:r>
      <w:r w:rsidR="002161C8" w:rsidRPr="008405F9">
        <w:t>focus</w:t>
      </w:r>
      <w:r w:rsidR="008E2139" w:rsidRPr="008405F9">
        <w:t xml:space="preserve"> more on helping management to form trusted relationships with employees and focuses on both individual and collective relationships within the workplace to support a more positive workplace for both the employee and employer. (CIPD, 2020) </w:t>
      </w:r>
    </w:p>
    <w:p w14:paraId="1EF93ACF" w14:textId="77777777" w:rsidR="00A302B6" w:rsidRPr="008405F9" w:rsidRDefault="00A302B6" w:rsidP="00A302B6">
      <w:pPr>
        <w:pStyle w:val="NoSpacing"/>
      </w:pPr>
    </w:p>
    <w:p w14:paraId="6E4DB2A0" w14:textId="5A51E054" w:rsidR="00AD2C7A" w:rsidRDefault="008E2139" w:rsidP="00A302B6">
      <w:pPr>
        <w:pStyle w:val="NoSpacing"/>
        <w:rPr>
          <w:shd w:val="clear" w:color="auto" w:fill="FFFFFF"/>
        </w:rPr>
      </w:pPr>
      <w:r w:rsidRPr="008405F9">
        <w:t xml:space="preserve">Good employee relations make for not only a more positive environment for employees, which </w:t>
      </w:r>
      <w:r w:rsidR="007D006D" w:rsidRPr="008405F9">
        <w:t xml:space="preserve">not only </w:t>
      </w:r>
      <w:r w:rsidRPr="008405F9">
        <w:t>encourages engagement and commitment, but can</w:t>
      </w:r>
      <w:r w:rsidR="007D006D" w:rsidRPr="008405F9">
        <w:t xml:space="preserve"> also</w:t>
      </w:r>
      <w:r w:rsidRPr="008405F9">
        <w:t xml:space="preserve"> lead to improved business performance overall. It can be said that the link between </w:t>
      </w:r>
      <w:r w:rsidR="007D006D" w:rsidRPr="008405F9">
        <w:t>productivity</w:t>
      </w:r>
      <w:r w:rsidRPr="008405F9">
        <w:t xml:space="preserve"> and employee relations </w:t>
      </w:r>
      <w:r w:rsidR="007D006D" w:rsidRPr="008405F9">
        <w:t xml:space="preserve">is undoubted, with many studies </w:t>
      </w:r>
      <w:r w:rsidR="00F21AD8" w:rsidRPr="008405F9">
        <w:t>identifying</w:t>
      </w:r>
      <w:r w:rsidR="007D006D" w:rsidRPr="008405F9">
        <w:t xml:space="preserve"> that by enhancing employee relations, and </w:t>
      </w:r>
      <w:r w:rsidR="002161C8" w:rsidRPr="008405F9">
        <w:t>employee</w:t>
      </w:r>
      <w:r w:rsidR="007D006D" w:rsidRPr="008405F9">
        <w:t xml:space="preserve"> wellbeing, both employee and organisational performance can be improved</w:t>
      </w:r>
      <w:r w:rsidR="00AD2C7A" w:rsidRPr="008405F9">
        <w:t xml:space="preserve"> </w:t>
      </w:r>
      <w:r w:rsidR="007D006D" w:rsidRPr="008405F9">
        <w:t>(Robertson &amp; Cooper, 2011)</w:t>
      </w:r>
      <w:r w:rsidR="00AD2C7A" w:rsidRPr="008405F9">
        <w:t>.</w:t>
      </w:r>
      <w:r w:rsidR="00157170" w:rsidRPr="008405F9">
        <w:t xml:space="preserve"> </w:t>
      </w:r>
      <w:r w:rsidR="00507A13" w:rsidRPr="008405F9">
        <w:t xml:space="preserve">Many theorists </w:t>
      </w:r>
      <w:r w:rsidR="00157170" w:rsidRPr="008405F9">
        <w:t>also</w:t>
      </w:r>
      <w:r w:rsidR="00507A13" w:rsidRPr="008405F9">
        <w:t xml:space="preserve"> believe that trusted relationships between employees and employer </w:t>
      </w:r>
      <w:r w:rsidR="00AD2C7A" w:rsidRPr="008405F9">
        <w:t>are the basis of employee engagement, for example Macey et al (2009) wrote that “</w:t>
      </w:r>
      <w:r w:rsidR="00AD2C7A" w:rsidRPr="008405F9">
        <w:rPr>
          <w:shd w:val="clear" w:color="auto" w:fill="FFFFFF"/>
        </w:rPr>
        <w:t>put simply, without trust</w:t>
      </w:r>
      <w:r w:rsidR="00DC278B" w:rsidRPr="008405F9">
        <w:rPr>
          <w:shd w:val="clear" w:color="auto" w:fill="FFFFFF"/>
        </w:rPr>
        <w:t>,</w:t>
      </w:r>
      <w:r w:rsidR="00AD2C7A" w:rsidRPr="008405F9">
        <w:rPr>
          <w:shd w:val="clear" w:color="auto" w:fill="FFFFFF"/>
        </w:rPr>
        <w:t xml:space="preserve"> engagement cannot exist</w:t>
      </w:r>
      <w:r w:rsidR="00157170" w:rsidRPr="008405F9">
        <w:rPr>
          <w:shd w:val="clear" w:color="auto" w:fill="FFFFFF"/>
        </w:rPr>
        <w:t>.</w:t>
      </w:r>
      <w:r w:rsidR="00AD2C7A" w:rsidRPr="008405F9">
        <w:rPr>
          <w:shd w:val="clear" w:color="auto" w:fill="FFFFFF"/>
        </w:rPr>
        <w:t>”</w:t>
      </w:r>
    </w:p>
    <w:p w14:paraId="1217DB26" w14:textId="77777777" w:rsidR="00A302B6" w:rsidRPr="008405F9" w:rsidRDefault="00A302B6" w:rsidP="00A302B6">
      <w:pPr>
        <w:pStyle w:val="NoSpacing"/>
      </w:pPr>
    </w:p>
    <w:p w14:paraId="75F32B20" w14:textId="2C8389D4" w:rsidR="00A302B6" w:rsidRDefault="00157170" w:rsidP="006C2919">
      <w:pPr>
        <w:pStyle w:val="NoSpacing"/>
        <w:rPr>
          <w:shd w:val="clear" w:color="auto" w:fill="FFFFFF"/>
        </w:rPr>
      </w:pPr>
      <w:r w:rsidRPr="008405F9">
        <w:rPr>
          <w:shd w:val="clear" w:color="auto" w:fill="FFFFFF"/>
        </w:rPr>
        <w:t>The indeterminacy of employment relations is where the labour (employment) contract</w:t>
      </w:r>
      <w:r w:rsidR="00DC278B" w:rsidRPr="008405F9">
        <w:rPr>
          <w:shd w:val="clear" w:color="auto" w:fill="FFFFFF"/>
        </w:rPr>
        <w:t xml:space="preserve"> involves the exchange of money not for actual goods or services, but for the “capacity to provide something” </w:t>
      </w:r>
      <w:r w:rsidRPr="008405F9">
        <w:rPr>
          <w:shd w:val="clear" w:color="auto" w:fill="FFFFFF"/>
        </w:rPr>
        <w:t xml:space="preserve">(Colling &amp; Terry 2010). In the labour </w:t>
      </w:r>
      <w:r w:rsidR="00DC278B" w:rsidRPr="008405F9">
        <w:rPr>
          <w:shd w:val="clear" w:color="auto" w:fill="FFFFFF"/>
        </w:rPr>
        <w:t xml:space="preserve">(employment) </w:t>
      </w:r>
      <w:r w:rsidRPr="008405F9">
        <w:rPr>
          <w:shd w:val="clear" w:color="auto" w:fill="FFFFFF"/>
        </w:rPr>
        <w:t xml:space="preserve">contract, the worker </w:t>
      </w:r>
      <w:r w:rsidR="00DC278B" w:rsidRPr="008405F9">
        <w:rPr>
          <w:shd w:val="clear" w:color="auto" w:fill="FFFFFF"/>
        </w:rPr>
        <w:t xml:space="preserve">agrees or sells their </w:t>
      </w:r>
      <w:r w:rsidRPr="008405F9">
        <w:rPr>
          <w:shd w:val="clear" w:color="auto" w:fill="FFFFFF"/>
        </w:rPr>
        <w:t xml:space="preserve">ability to work, which </w:t>
      </w:r>
      <w:r w:rsidR="00DC278B" w:rsidRPr="008405F9">
        <w:rPr>
          <w:shd w:val="clear" w:color="auto" w:fill="FFFFFF"/>
        </w:rPr>
        <w:t>they carry out by working a certain number of hours for their employer in exchange for pay</w:t>
      </w:r>
      <w:r w:rsidRPr="008405F9">
        <w:rPr>
          <w:shd w:val="clear" w:color="auto" w:fill="FFFFFF"/>
        </w:rPr>
        <w:t xml:space="preserve">. </w:t>
      </w:r>
      <w:r w:rsidR="00DC278B" w:rsidRPr="008405F9">
        <w:rPr>
          <w:shd w:val="clear" w:color="auto" w:fill="FFFFFF"/>
        </w:rPr>
        <w:t xml:space="preserve">From this, expectations have been formed by employers of their employees, such as performance and the expectation that their employees carry out work efficiently. </w:t>
      </w:r>
    </w:p>
    <w:p w14:paraId="4D4B5CF6" w14:textId="77777777" w:rsidR="006C2919" w:rsidRPr="006C2919" w:rsidRDefault="006C2919" w:rsidP="006C2919">
      <w:pPr>
        <w:pStyle w:val="NoSpacing"/>
        <w:rPr>
          <w:shd w:val="clear" w:color="auto" w:fill="FFFFFF"/>
        </w:rPr>
      </w:pPr>
    </w:p>
    <w:p w14:paraId="56A29E94" w14:textId="4059E0C9" w:rsidR="00364116" w:rsidRDefault="00364116" w:rsidP="00A302B6">
      <w:pPr>
        <w:pStyle w:val="NoSpacing"/>
        <w:rPr>
          <w:shd w:val="clear" w:color="auto" w:fill="FFFFFF"/>
        </w:rPr>
      </w:pPr>
      <w:r w:rsidRPr="008405F9">
        <w:rPr>
          <w:shd w:val="clear" w:color="auto" w:fill="FFFFFF"/>
        </w:rPr>
        <w:t xml:space="preserve">Pluralist and Unitarist approaches are linked to how an organisation manages employee relations. Pluralists are associated with the school of thought that employers and employees have “multiple different interests”; for example, employees will look to improve working conditions such as hours or look for increased pay, whereas the employer will want a lot of control over what their employees are doing, will look to have low labour costs and a high degree of flexibility from the workforce (Taylor &amp; Woodhams, 2016). This will cause conflict between the employer and employees, as they are split on their interests. </w:t>
      </w:r>
    </w:p>
    <w:p w14:paraId="53114500" w14:textId="77777777" w:rsidR="00A302B6" w:rsidRPr="008405F9" w:rsidRDefault="00A302B6" w:rsidP="00A302B6">
      <w:pPr>
        <w:pStyle w:val="NoSpacing"/>
        <w:rPr>
          <w:shd w:val="clear" w:color="auto" w:fill="FFFFFF"/>
        </w:rPr>
      </w:pPr>
    </w:p>
    <w:p w14:paraId="7AF30112" w14:textId="2644D22A" w:rsidR="00E6578D" w:rsidRDefault="00E6578D" w:rsidP="00A302B6">
      <w:pPr>
        <w:pStyle w:val="NoSpacing"/>
        <w:rPr>
          <w:shd w:val="clear" w:color="auto" w:fill="FFFFFF"/>
        </w:rPr>
      </w:pPr>
      <w:r w:rsidRPr="008405F9">
        <w:rPr>
          <w:shd w:val="clear" w:color="auto" w:fill="FFFFFF"/>
        </w:rPr>
        <w:t xml:space="preserve">However, more positively, Cradden (2011) points out that companies who are more pluralist in their approach value negotiation and coming to agreements that benefit both employees and the employer. In comparison, pluralism can cause an employer to gain too much control over employees which can cause an imbalance of power. This can lead to distrust between employees and management, which in turn can impact employee performance within the organisation (Adigun, 2014). Pluralist organisations usually see a Trade Union having a limited relationship with management due to management having the ultimate control over decision making, however this is seen as normal by pluralists. HRM, in this situation, is seen as two individual parties constantly negotiating and trying to come to agreements on various issues whilst maintaining their own interests. </w:t>
      </w:r>
    </w:p>
    <w:p w14:paraId="393F6D86" w14:textId="77777777" w:rsidR="00A302B6" w:rsidRPr="008405F9" w:rsidRDefault="00A302B6" w:rsidP="00A302B6">
      <w:pPr>
        <w:pStyle w:val="NoSpacing"/>
        <w:rPr>
          <w:shd w:val="clear" w:color="auto" w:fill="FFFFFF"/>
        </w:rPr>
      </w:pPr>
    </w:p>
    <w:p w14:paraId="2A2718BF" w14:textId="7B8E5AD4" w:rsidR="00E6578D" w:rsidRDefault="00837400" w:rsidP="00A302B6">
      <w:pPr>
        <w:pStyle w:val="NoSpacing"/>
        <w:rPr>
          <w:shd w:val="clear" w:color="auto" w:fill="FFFFFF"/>
        </w:rPr>
      </w:pPr>
      <w:r w:rsidRPr="008405F9">
        <w:rPr>
          <w:shd w:val="clear" w:color="auto" w:fill="FFFFFF"/>
        </w:rPr>
        <w:t>Unitarist approaches are the opposite of pluralist. Unitarists see employees and employers having the same interests and ultimately the same long</w:t>
      </w:r>
      <w:r w:rsidR="002161C8">
        <w:rPr>
          <w:shd w:val="clear" w:color="auto" w:fill="FFFFFF"/>
        </w:rPr>
        <w:t>-</w:t>
      </w:r>
      <w:r w:rsidRPr="008405F9">
        <w:rPr>
          <w:shd w:val="clear" w:color="auto" w:fill="FFFFFF"/>
        </w:rPr>
        <w:t xml:space="preserve">term goals, for example, both parties have a shared </w:t>
      </w:r>
      <w:r w:rsidRPr="008405F9">
        <w:rPr>
          <w:shd w:val="clear" w:color="auto" w:fill="FFFFFF"/>
        </w:rPr>
        <w:lastRenderedPageBreak/>
        <w:t>interest in the organisation being successful and look to reduce or solve conflict between management and employees (Taylor &amp; Woodhams, 2016). This approach usually relies on having good practices in place to ensure relations between the employer and employee are positive, such as having structured policies and procedures in place to maintain good relations between the two parties. Wood and Elliot (1997) argued that this approach, although harmonious in concept, can lead to a limitation on conflict which is</w:t>
      </w:r>
      <w:r w:rsidR="005C05E1" w:rsidRPr="008405F9">
        <w:rPr>
          <w:shd w:val="clear" w:color="auto" w:fill="FFFFFF"/>
        </w:rPr>
        <w:t xml:space="preserve"> no</w:t>
      </w:r>
      <w:r w:rsidRPr="008405F9">
        <w:rPr>
          <w:shd w:val="clear" w:color="auto" w:fill="FFFFFF"/>
        </w:rPr>
        <w:t xml:space="preserve">t realistic in a working environment. It can also be said that organisations require a certain level of conflict in order to understand employee relations fully, and limiting this can result in a misunderstanding between employer and employees, which may break down communication or result in communication barriers where employees may feel they </w:t>
      </w:r>
      <w:r w:rsidR="00BF46B6" w:rsidRPr="008405F9">
        <w:rPr>
          <w:shd w:val="clear" w:color="auto" w:fill="FFFFFF"/>
        </w:rPr>
        <w:t>cannot</w:t>
      </w:r>
      <w:r w:rsidRPr="008405F9">
        <w:rPr>
          <w:shd w:val="clear" w:color="auto" w:fill="FFFFFF"/>
        </w:rPr>
        <w:t xml:space="preserve"> raise issues. </w:t>
      </w:r>
    </w:p>
    <w:p w14:paraId="1F3F6670" w14:textId="77777777" w:rsidR="00A302B6" w:rsidRPr="008405F9" w:rsidRDefault="00A302B6" w:rsidP="00A302B6">
      <w:pPr>
        <w:pStyle w:val="NoSpacing"/>
        <w:rPr>
          <w:shd w:val="clear" w:color="auto" w:fill="FFFFFF"/>
        </w:rPr>
      </w:pPr>
    </w:p>
    <w:p w14:paraId="5D9162FC" w14:textId="039BB5C3" w:rsidR="002E3A51" w:rsidRPr="008405F9" w:rsidRDefault="009546F5" w:rsidP="009546F5">
      <w:pPr>
        <w:spacing w:after="0" w:line="240" w:lineRule="auto"/>
        <w:rPr>
          <w:rFonts w:cstheme="minorHAnsi"/>
          <w:b/>
          <w:bCs/>
        </w:rPr>
      </w:pPr>
      <w:r w:rsidRPr="008405F9">
        <w:rPr>
          <w:rFonts w:cstheme="minorHAnsi"/>
          <w:b/>
          <w:bCs/>
        </w:rPr>
        <w:t>2.</w:t>
      </w:r>
      <w:r w:rsidR="000C2FBB" w:rsidRPr="008405F9">
        <w:rPr>
          <w:rFonts w:cstheme="minorHAnsi"/>
          <w:b/>
          <w:bCs/>
        </w:rPr>
        <w:t xml:space="preserve">Explain the roles and typical approaches taken by the key parties in employment relations: trade unions, management, </w:t>
      </w:r>
      <w:r w:rsidRPr="008405F9">
        <w:rPr>
          <w:rFonts w:cstheme="minorHAnsi"/>
          <w:b/>
          <w:bCs/>
        </w:rPr>
        <w:t>government,</w:t>
      </w:r>
      <w:r w:rsidR="000C2FBB" w:rsidRPr="008405F9">
        <w:rPr>
          <w:rFonts w:cstheme="minorHAnsi"/>
          <w:b/>
          <w:bCs/>
        </w:rPr>
        <w:t xml:space="preserve"> and its employment relations agencies (such as ACAS). </w:t>
      </w:r>
    </w:p>
    <w:p w14:paraId="0B5661BE" w14:textId="49109DE4" w:rsidR="00AD2C7A" w:rsidRPr="008405F9" w:rsidRDefault="00AD2C7A" w:rsidP="00AD2C7A">
      <w:pPr>
        <w:spacing w:after="0" w:line="240" w:lineRule="auto"/>
        <w:rPr>
          <w:rFonts w:cstheme="minorHAnsi"/>
          <w:b/>
          <w:bCs/>
        </w:rPr>
      </w:pPr>
    </w:p>
    <w:p w14:paraId="1ACF1359" w14:textId="77777777" w:rsidR="007F4745" w:rsidRPr="008405F9" w:rsidRDefault="00AD2C7A" w:rsidP="00A302B6">
      <w:pPr>
        <w:pStyle w:val="NoSpacing"/>
      </w:pPr>
      <w:r w:rsidRPr="008405F9">
        <w:t xml:space="preserve">There are many parties linked to the process of employment relations, all at various degrees of involvement and management. Some may be involved in the internal relations, such as management, some parties may be a link between employees and employers for example Trade Unions and external bodies such as ACAS support employee relations from an independent perspective. </w:t>
      </w:r>
    </w:p>
    <w:p w14:paraId="6F87D959" w14:textId="77777777" w:rsidR="007F4745" w:rsidRPr="008405F9" w:rsidRDefault="007F4745" w:rsidP="00AD2C7A">
      <w:pPr>
        <w:spacing w:after="0" w:line="240" w:lineRule="auto"/>
        <w:rPr>
          <w:rFonts w:cstheme="minorHAnsi"/>
        </w:rPr>
      </w:pPr>
    </w:p>
    <w:p w14:paraId="1D86049A" w14:textId="3F4294E7" w:rsidR="00AD2C7A" w:rsidRPr="008405F9" w:rsidRDefault="00BD5ECF" w:rsidP="00A302B6">
      <w:pPr>
        <w:pStyle w:val="NoSpacing"/>
      </w:pPr>
      <w:r w:rsidRPr="008405F9">
        <w:t>Management within an organisation take a key role in employment relations, but there are many approaches that management can take in order to manage relations with employees. For example, managers may take a coaching style of approach where they move away from controlling practices and will give employees more autonomy on decisions and encourage employee voice. This can also support managers to develop “</w:t>
      </w:r>
      <w:r w:rsidRPr="008405F9">
        <w:rPr>
          <w:color w:val="282828"/>
          <w:spacing w:val="-3"/>
          <w:shd w:val="clear" w:color="auto" w:fill="FFFFFF"/>
        </w:rPr>
        <w:t>creativity and learning out of the people with whom they work.” (</w:t>
      </w:r>
      <w:r w:rsidR="00A927B0">
        <w:rPr>
          <w:color w:val="282828"/>
          <w:spacing w:val="-3"/>
          <w:shd w:val="clear" w:color="auto" w:fill="FFFFFF"/>
        </w:rPr>
        <w:t>Scoular and Ibarra</w:t>
      </w:r>
      <w:r w:rsidRPr="008405F9">
        <w:rPr>
          <w:color w:val="282828"/>
          <w:spacing w:val="-3"/>
          <w:shd w:val="clear" w:color="auto" w:fill="FFFFFF"/>
        </w:rPr>
        <w:t>, 2019)</w:t>
      </w:r>
      <w:r w:rsidR="00AD2C7A" w:rsidRPr="008405F9">
        <w:t xml:space="preserve">  </w:t>
      </w:r>
    </w:p>
    <w:p w14:paraId="5FDA365D" w14:textId="77777777" w:rsidR="008A20C8" w:rsidRPr="008405F9" w:rsidRDefault="008A20C8" w:rsidP="00AD2C7A">
      <w:pPr>
        <w:spacing w:after="0" w:line="240" w:lineRule="auto"/>
        <w:rPr>
          <w:rFonts w:cstheme="minorHAnsi"/>
        </w:rPr>
      </w:pPr>
    </w:p>
    <w:p w14:paraId="56D7D1BC" w14:textId="0FCE2982" w:rsidR="00D73F40" w:rsidRPr="008405F9" w:rsidRDefault="00D73F40" w:rsidP="00AD2C7A">
      <w:pPr>
        <w:spacing w:after="0" w:line="240" w:lineRule="auto"/>
        <w:rPr>
          <w:rFonts w:cstheme="minorHAnsi"/>
        </w:rPr>
      </w:pPr>
      <w:r w:rsidRPr="008405F9">
        <w:rPr>
          <w:rFonts w:cstheme="minorHAnsi"/>
        </w:rPr>
        <w:t xml:space="preserve">Trade Unions historically have </w:t>
      </w:r>
      <w:r w:rsidR="008A20C8" w:rsidRPr="008405F9">
        <w:rPr>
          <w:rFonts w:cstheme="minorHAnsi"/>
        </w:rPr>
        <w:t>been seen as</w:t>
      </w:r>
      <w:r w:rsidRPr="008405F9">
        <w:rPr>
          <w:rFonts w:cstheme="minorHAnsi"/>
        </w:rPr>
        <w:t xml:space="preserve"> having bias towards the needs of employees rather than the wider organisation, whereas in modern workplaces, trade unions have a more collective relationship with both employees (members) and management. Developing this relationship is key in order to make constructive decisions around pay and conditions for workers, to avoid conflict or industrial action as much as possible. Negotiations will take place between an organisation and a trade union to safeguard the interests of employees and a trade union will act as a representative for employees in </w:t>
      </w:r>
      <w:r w:rsidR="0011624D" w:rsidRPr="008405F9">
        <w:rPr>
          <w:rFonts w:cstheme="minorHAnsi"/>
        </w:rPr>
        <w:t>several</w:t>
      </w:r>
      <w:r w:rsidRPr="008405F9">
        <w:rPr>
          <w:rFonts w:cstheme="minorHAnsi"/>
        </w:rPr>
        <w:t xml:space="preserve"> situations including negotiations around pay, disputes and also in disciplinary situations. </w:t>
      </w:r>
    </w:p>
    <w:p w14:paraId="731B1D24" w14:textId="17CEB090" w:rsidR="0011624D" w:rsidRPr="008405F9" w:rsidRDefault="0011624D" w:rsidP="00AD2C7A">
      <w:pPr>
        <w:spacing w:after="0" w:line="240" w:lineRule="auto"/>
        <w:rPr>
          <w:rFonts w:cstheme="minorHAnsi"/>
        </w:rPr>
      </w:pPr>
    </w:p>
    <w:p w14:paraId="6F583623" w14:textId="5C75D3A8" w:rsidR="0011624D" w:rsidRDefault="0011624D" w:rsidP="00AD2C7A">
      <w:pPr>
        <w:spacing w:after="0" w:line="240" w:lineRule="auto"/>
        <w:rPr>
          <w:rFonts w:cstheme="minorHAnsi"/>
        </w:rPr>
      </w:pPr>
      <w:r w:rsidRPr="008405F9">
        <w:rPr>
          <w:rFonts w:cstheme="minorHAnsi"/>
        </w:rPr>
        <w:t xml:space="preserve">Externally to an organisation, there are also a number of other parties that support with employment relations. ACAS (The Advisory Conciliation and Arbitration Service) is a public government body </w:t>
      </w:r>
      <w:r w:rsidR="00D069EA" w:rsidRPr="008405F9">
        <w:rPr>
          <w:rFonts w:cstheme="minorHAnsi"/>
        </w:rPr>
        <w:t xml:space="preserve">which “improves and organisations and working life through the promotion and facilitation of strong industrial relations practices.” (ACAS, 2020) In summary, ACAS supports as an independent body for employees and organisations to receive free and impartial guidance on all aspects of employee relations. ACAS also operates early conciliation, should a dispute lead to an employee taking tribunal action. </w:t>
      </w:r>
      <w:r w:rsidR="007F4745" w:rsidRPr="008405F9">
        <w:rPr>
          <w:rFonts w:cstheme="minorHAnsi"/>
        </w:rPr>
        <w:t xml:space="preserve">This can help support an employee and their employer to resolve disputes, before a tribunal process is undertaken. </w:t>
      </w:r>
    </w:p>
    <w:p w14:paraId="06C62F04" w14:textId="3E962F5C" w:rsidR="000C2FBB" w:rsidRPr="008405F9" w:rsidRDefault="000C2FBB" w:rsidP="002E3A51">
      <w:pPr>
        <w:spacing w:after="0" w:line="240" w:lineRule="auto"/>
        <w:rPr>
          <w:rFonts w:cstheme="minorHAnsi"/>
          <w:b/>
          <w:bCs/>
        </w:rPr>
      </w:pPr>
    </w:p>
    <w:p w14:paraId="636B0404" w14:textId="77777777" w:rsidR="0062667C" w:rsidRPr="008405F9" w:rsidRDefault="009546F5" w:rsidP="009546F5">
      <w:pPr>
        <w:spacing w:after="0" w:line="240" w:lineRule="auto"/>
        <w:rPr>
          <w:rFonts w:cstheme="minorHAnsi"/>
          <w:b/>
          <w:bCs/>
        </w:rPr>
      </w:pPr>
      <w:r w:rsidRPr="008405F9">
        <w:rPr>
          <w:rFonts w:cstheme="minorHAnsi"/>
          <w:b/>
          <w:bCs/>
        </w:rPr>
        <w:t>3.</w:t>
      </w:r>
      <w:r w:rsidR="000C2FBB" w:rsidRPr="008405F9">
        <w:rPr>
          <w:rFonts w:cstheme="minorHAnsi"/>
          <w:b/>
          <w:bCs/>
        </w:rPr>
        <w:t>Explain different models of employee representation, clarifying terms such as employee involvement; participation; partnership; information and consultation. (3.1)</w:t>
      </w:r>
    </w:p>
    <w:p w14:paraId="7F458907" w14:textId="77777777" w:rsidR="0062667C" w:rsidRPr="008405F9" w:rsidRDefault="0062667C" w:rsidP="009546F5">
      <w:pPr>
        <w:spacing w:after="0" w:line="240" w:lineRule="auto"/>
        <w:rPr>
          <w:rFonts w:cstheme="minorHAnsi"/>
          <w:b/>
          <w:bCs/>
        </w:rPr>
      </w:pPr>
    </w:p>
    <w:p w14:paraId="12F9E213" w14:textId="620B959C" w:rsidR="00F17DFE" w:rsidRDefault="0062667C" w:rsidP="00A302B6">
      <w:pPr>
        <w:pStyle w:val="NoSpacing"/>
      </w:pPr>
      <w:r w:rsidRPr="008405F9">
        <w:t>Employee representation can come in many different forms</w:t>
      </w:r>
      <w:r w:rsidR="00F17DFE" w:rsidRPr="008405F9">
        <w:t xml:space="preserve">, and many models have been developed to explain the concept. Employee voice is a concept that has come about in the past two decades, which is where individual employees have had more of a say rather than decisions being collective. A </w:t>
      </w:r>
      <w:r w:rsidR="00F17DFE" w:rsidRPr="008405F9">
        <w:lastRenderedPageBreak/>
        <w:t>CIPD podcast describes employees feeling as though</w:t>
      </w:r>
      <w:r w:rsidR="005B04B6" w:rsidRPr="008405F9">
        <w:t>, in recent times,</w:t>
      </w:r>
      <w:r w:rsidR="00F17DFE" w:rsidRPr="008405F9">
        <w:t xml:space="preserve"> they have more opportunities to voice concerns about </w:t>
      </w:r>
      <w:r w:rsidR="005B04B6" w:rsidRPr="008405F9">
        <w:t>their workplace and employer,</w:t>
      </w:r>
      <w:r w:rsidR="00F17DFE" w:rsidRPr="008405F9">
        <w:t xml:space="preserve"> and </w:t>
      </w:r>
      <w:r w:rsidR="005B04B6" w:rsidRPr="008405F9">
        <w:t>also their</w:t>
      </w:r>
      <w:r w:rsidR="00F17DFE" w:rsidRPr="008405F9">
        <w:t xml:space="preserve"> happiness</w:t>
      </w:r>
      <w:r w:rsidR="005B04B6" w:rsidRPr="008405F9">
        <w:t xml:space="preserve"> at work</w:t>
      </w:r>
      <w:r w:rsidR="00F17DFE" w:rsidRPr="008405F9">
        <w:t>. However, it was also pointed out that there may be doubts about the effectiveness of the mechanism and whether what employees say is listened to, and ultimately responded to. (CIPD, 201</w:t>
      </w:r>
      <w:r w:rsidR="005B04B6" w:rsidRPr="008405F9">
        <w:t>6</w:t>
      </w:r>
      <w:r w:rsidR="00F17DFE" w:rsidRPr="008405F9">
        <w:t xml:space="preserve">) </w:t>
      </w:r>
    </w:p>
    <w:p w14:paraId="7177628D" w14:textId="77777777" w:rsidR="00A302B6" w:rsidRPr="008405F9" w:rsidRDefault="00A302B6" w:rsidP="00A302B6">
      <w:pPr>
        <w:pStyle w:val="NoSpacing"/>
      </w:pPr>
    </w:p>
    <w:p w14:paraId="614CAE61" w14:textId="0249ADCD" w:rsidR="00A302B6" w:rsidRDefault="001D7FAD" w:rsidP="00A302B6">
      <w:pPr>
        <w:pStyle w:val="NoSpacing"/>
      </w:pPr>
      <w:r w:rsidRPr="008405F9">
        <w:t xml:space="preserve">Employee representation can be explained through various models, all of which describe different ways </w:t>
      </w:r>
      <w:r w:rsidR="0054551A" w:rsidRPr="008405F9">
        <w:t xml:space="preserve">of how employees can be represented within an organisation. Employee involvement, or employee voice, is where employees communicate and voice their views about things that impact them at work to their employer. This can be encouraging for both employees and employers, as employee voice often adds to innovation and improvements in an organisation (for instance, productivity) and employees feel more valued, have better opportunities and are more likely to be productive. (CIPD, 2020) This adds to employee engagement and can lead to a better organisational culture. </w:t>
      </w:r>
    </w:p>
    <w:p w14:paraId="5F9D3895" w14:textId="77777777" w:rsidR="00A302B6" w:rsidRPr="008405F9" w:rsidRDefault="00A302B6" w:rsidP="00A302B6">
      <w:pPr>
        <w:pStyle w:val="NoSpacing"/>
      </w:pPr>
    </w:p>
    <w:p w14:paraId="7F128CBF" w14:textId="4610EB6C" w:rsidR="0054551A" w:rsidRDefault="002161C8" w:rsidP="00A302B6">
      <w:pPr>
        <w:pStyle w:val="NoSpacing"/>
        <w:rPr>
          <w:shd w:val="clear" w:color="auto" w:fill="FFFFFF"/>
        </w:rPr>
      </w:pPr>
      <w:r w:rsidRPr="008405F9">
        <w:t>Similarly</w:t>
      </w:r>
      <w:r w:rsidR="0054551A" w:rsidRPr="008405F9">
        <w:t xml:space="preserve"> to employee involvement</w:t>
      </w:r>
      <w:r>
        <w:t xml:space="preserve"> </w:t>
      </w:r>
      <w:r w:rsidR="0054551A" w:rsidRPr="008405F9">
        <w:t xml:space="preserve">or employee voice, </w:t>
      </w:r>
      <w:r w:rsidR="004C0384" w:rsidRPr="008405F9">
        <w:rPr>
          <w:shd w:val="clear" w:color="auto" w:fill="FFFFFF"/>
        </w:rPr>
        <w:t>e</w:t>
      </w:r>
      <w:r w:rsidR="0054551A" w:rsidRPr="008405F9">
        <w:rPr>
          <w:shd w:val="clear" w:color="auto" w:fill="FFFFFF"/>
        </w:rPr>
        <w:t>mployee participation encourages employee involvement to influence decisions within a business, and also, take part in decision making on matters which affect them if appropriate. Porter</w:t>
      </w:r>
      <w:r w:rsidR="004C0384" w:rsidRPr="008405F9">
        <w:rPr>
          <w:shd w:val="clear" w:color="auto" w:fill="FFFFFF"/>
        </w:rPr>
        <w:t xml:space="preserve"> and Steer</w:t>
      </w:r>
      <w:r w:rsidR="0054551A" w:rsidRPr="008405F9">
        <w:rPr>
          <w:shd w:val="clear" w:color="auto" w:fill="FFFFFF"/>
        </w:rPr>
        <w:t xml:space="preserve"> (1987) wrote that employees who participate in work related decisions or activities can increase the amount of information employees have about their working practices, which in turn leads to employees wanting more autonomy and </w:t>
      </w:r>
      <w:r w:rsidR="004C0384" w:rsidRPr="008405F9">
        <w:rPr>
          <w:shd w:val="clear" w:color="auto" w:fill="FFFFFF"/>
        </w:rPr>
        <w:t>ownership in their roles.</w:t>
      </w:r>
      <w:r w:rsidR="0054551A" w:rsidRPr="008405F9">
        <w:rPr>
          <w:shd w:val="clear" w:color="auto" w:fill="FFFFFF"/>
        </w:rPr>
        <w:t> </w:t>
      </w:r>
      <w:r w:rsidR="004C0384" w:rsidRPr="008405F9">
        <w:rPr>
          <w:shd w:val="clear" w:color="auto" w:fill="FFFFFF"/>
        </w:rPr>
        <w:t xml:space="preserve">This will not only aid productivity and the overall success of the business, but also allow employees to have visibility on what is happening or is due to happen within their organisation, leading to better trust and positive relations between management and the workforce. </w:t>
      </w:r>
      <w:r w:rsidR="00A302B6">
        <w:rPr>
          <w:shd w:val="clear" w:color="auto" w:fill="FFFFFF"/>
        </w:rPr>
        <w:t xml:space="preserve"> Ramsay (1</w:t>
      </w:r>
      <w:r w:rsidR="006C2919">
        <w:rPr>
          <w:shd w:val="clear" w:color="auto" w:fill="FFFFFF"/>
        </w:rPr>
        <w:t>977</w:t>
      </w:r>
      <w:r w:rsidR="00A302B6">
        <w:rPr>
          <w:shd w:val="clear" w:color="auto" w:fill="FFFFFF"/>
        </w:rPr>
        <w:t>) divides employee involvement and participation into four types:</w:t>
      </w:r>
    </w:p>
    <w:p w14:paraId="2121EDB6" w14:textId="77777777" w:rsidR="00A302B6" w:rsidRDefault="00A302B6" w:rsidP="00A302B6">
      <w:pPr>
        <w:pStyle w:val="NoSpacing"/>
        <w:rPr>
          <w:shd w:val="clear" w:color="auto" w:fill="FFFFFF"/>
        </w:rPr>
      </w:pPr>
    </w:p>
    <w:p w14:paraId="6C44A39B" w14:textId="11BC38D4" w:rsidR="00A302B6" w:rsidRDefault="00A302B6" w:rsidP="00A302B6">
      <w:pPr>
        <w:pStyle w:val="NoSpacing"/>
        <w:numPr>
          <w:ilvl w:val="0"/>
          <w:numId w:val="18"/>
        </w:numPr>
        <w:rPr>
          <w:rFonts w:cstheme="minorHAnsi"/>
        </w:rPr>
      </w:pPr>
      <w:r>
        <w:rPr>
          <w:rFonts w:cstheme="minorHAnsi"/>
        </w:rPr>
        <w:t>Communications systems – downward and upward communications</w:t>
      </w:r>
    </w:p>
    <w:p w14:paraId="60DDB8B9" w14:textId="578C4AA8" w:rsidR="00A302B6" w:rsidRDefault="00A302B6" w:rsidP="00A302B6">
      <w:pPr>
        <w:pStyle w:val="NoSpacing"/>
        <w:numPr>
          <w:ilvl w:val="0"/>
          <w:numId w:val="18"/>
        </w:numPr>
        <w:rPr>
          <w:rFonts w:cstheme="minorHAnsi"/>
        </w:rPr>
      </w:pPr>
      <w:r>
        <w:rPr>
          <w:rFonts w:cstheme="minorHAnsi"/>
        </w:rPr>
        <w:t>Task and work group involvement – teamworking, or initiatives that encourage participation as a group</w:t>
      </w:r>
    </w:p>
    <w:p w14:paraId="598D76D2" w14:textId="556BA88D" w:rsidR="00A302B6" w:rsidRDefault="00A302B6" w:rsidP="00A302B6">
      <w:pPr>
        <w:pStyle w:val="NoSpacing"/>
        <w:numPr>
          <w:ilvl w:val="0"/>
          <w:numId w:val="18"/>
        </w:numPr>
        <w:rPr>
          <w:rFonts w:cstheme="minorHAnsi"/>
        </w:rPr>
      </w:pPr>
      <w:r>
        <w:rPr>
          <w:rFonts w:cstheme="minorHAnsi"/>
        </w:rPr>
        <w:t>Financial participation – profit sharing, for example</w:t>
      </w:r>
    </w:p>
    <w:p w14:paraId="65B4B34F" w14:textId="3EADBCF1" w:rsidR="00A302B6" w:rsidRDefault="00A302B6" w:rsidP="00A302B6">
      <w:pPr>
        <w:pStyle w:val="NoSpacing"/>
        <w:numPr>
          <w:ilvl w:val="0"/>
          <w:numId w:val="18"/>
        </w:numPr>
        <w:rPr>
          <w:rFonts w:cstheme="minorHAnsi"/>
        </w:rPr>
      </w:pPr>
      <w:r>
        <w:rPr>
          <w:rFonts w:cstheme="minorHAnsi"/>
        </w:rPr>
        <w:t xml:space="preserve">Representative participation </w:t>
      </w:r>
    </w:p>
    <w:p w14:paraId="2A363F32" w14:textId="77777777" w:rsidR="00A302B6" w:rsidRPr="008405F9" w:rsidRDefault="00A302B6" w:rsidP="00A302B6">
      <w:pPr>
        <w:pStyle w:val="NoSpacing"/>
        <w:ind w:left="720"/>
        <w:rPr>
          <w:rFonts w:cstheme="minorHAnsi"/>
        </w:rPr>
      </w:pPr>
    </w:p>
    <w:p w14:paraId="0CA4A381" w14:textId="75078C9D" w:rsidR="008E4CD8" w:rsidRPr="008405F9" w:rsidRDefault="004C0384" w:rsidP="004C0384">
      <w:pPr>
        <w:pStyle w:val="NoSpacing"/>
        <w:rPr>
          <w:rFonts w:cstheme="minorHAnsi"/>
        </w:rPr>
      </w:pPr>
      <w:r w:rsidRPr="008405F9">
        <w:rPr>
          <w:rFonts w:cstheme="minorHAnsi"/>
        </w:rPr>
        <w:t xml:space="preserve">Partnerships within an organisation </w:t>
      </w:r>
      <w:r w:rsidR="006C2919">
        <w:rPr>
          <w:rFonts w:cstheme="minorHAnsi"/>
        </w:rPr>
        <w:t>does not</w:t>
      </w:r>
      <w:r w:rsidRPr="008405F9">
        <w:rPr>
          <w:rFonts w:cstheme="minorHAnsi"/>
        </w:rPr>
        <w:t xml:space="preserve"> only include internal parties. Employers, employees and external bodies such as unions should all aim to work together proactively to form strong and trusted relationships, in order to focus on improving working conditions for employees and ensure organisations are successful. This can support employees and the external climate in relation to economic growth and development. The TUC has completed many studies and reports into how positive partnerships can improve the workplace, and even advised that partnerships can reduce health and safety incidents at work, work related stress and other work-related ailments by over 60% (TUC, 2001) as employees are more likely to feel less pressure within an organisation that is supportive and encourages positive relationships between the workforce and management. </w:t>
      </w:r>
    </w:p>
    <w:p w14:paraId="2E03112F" w14:textId="7AD56082" w:rsidR="002E3A51" w:rsidRPr="008405F9" w:rsidRDefault="008E4CD8" w:rsidP="008405F9">
      <w:pPr>
        <w:shd w:val="clear" w:color="auto" w:fill="FFFFFF"/>
        <w:spacing w:before="100" w:beforeAutospacing="1" w:after="100" w:afterAutospacing="1" w:line="240" w:lineRule="auto"/>
        <w:rPr>
          <w:rFonts w:eastAsia="Times New Roman" w:cstheme="minorHAnsi"/>
          <w:color w:val="000000"/>
          <w:lang w:eastAsia="en-GB"/>
        </w:rPr>
      </w:pPr>
      <w:r w:rsidRPr="008405F9">
        <w:rPr>
          <w:rFonts w:eastAsia="Times New Roman" w:cstheme="minorHAnsi"/>
          <w:color w:val="000000"/>
          <w:lang w:eastAsia="en-GB"/>
        </w:rPr>
        <w:t xml:space="preserve">Employee consultation is where </w:t>
      </w:r>
      <w:r w:rsidRPr="008E4CD8">
        <w:rPr>
          <w:rFonts w:eastAsia="Times New Roman" w:cstheme="minorHAnsi"/>
          <w:color w:val="000000"/>
          <w:lang w:eastAsia="en-GB"/>
        </w:rPr>
        <w:t>manage</w:t>
      </w:r>
      <w:r w:rsidRPr="008405F9">
        <w:rPr>
          <w:rFonts w:eastAsia="Times New Roman" w:cstheme="minorHAnsi"/>
          <w:color w:val="000000"/>
          <w:lang w:eastAsia="en-GB"/>
        </w:rPr>
        <w:t>ment within an organisation will</w:t>
      </w:r>
      <w:r w:rsidRPr="008E4CD8">
        <w:rPr>
          <w:rFonts w:eastAsia="Times New Roman" w:cstheme="minorHAnsi"/>
          <w:color w:val="000000"/>
          <w:lang w:eastAsia="en-GB"/>
        </w:rPr>
        <w:t xml:space="preserve"> actively seek and tak</w:t>
      </w:r>
      <w:r w:rsidRPr="008405F9">
        <w:rPr>
          <w:rFonts w:eastAsia="Times New Roman" w:cstheme="minorHAnsi"/>
          <w:color w:val="000000"/>
          <w:lang w:eastAsia="en-GB"/>
        </w:rPr>
        <w:t>e</w:t>
      </w:r>
      <w:r w:rsidRPr="008E4CD8">
        <w:rPr>
          <w:rFonts w:eastAsia="Times New Roman" w:cstheme="minorHAnsi"/>
          <w:color w:val="000000"/>
          <w:lang w:eastAsia="en-GB"/>
        </w:rPr>
        <w:t xml:space="preserve"> account of </w:t>
      </w:r>
      <w:r w:rsidRPr="008405F9">
        <w:rPr>
          <w:rFonts w:eastAsia="Times New Roman" w:cstheme="minorHAnsi"/>
          <w:color w:val="000000"/>
          <w:lang w:eastAsia="en-GB"/>
        </w:rPr>
        <w:t>employee views</w:t>
      </w:r>
      <w:r w:rsidRPr="008E4CD8">
        <w:rPr>
          <w:rFonts w:eastAsia="Times New Roman" w:cstheme="minorHAnsi"/>
          <w:color w:val="000000"/>
          <w:lang w:eastAsia="en-GB"/>
        </w:rPr>
        <w:t xml:space="preserve"> before making </w:t>
      </w:r>
      <w:r w:rsidRPr="008405F9">
        <w:rPr>
          <w:rFonts w:eastAsia="Times New Roman" w:cstheme="minorHAnsi"/>
          <w:color w:val="000000"/>
          <w:lang w:eastAsia="en-GB"/>
        </w:rPr>
        <w:t>d</w:t>
      </w:r>
      <w:r w:rsidRPr="008E4CD8">
        <w:rPr>
          <w:rFonts w:eastAsia="Times New Roman" w:cstheme="minorHAnsi"/>
          <w:color w:val="000000"/>
          <w:lang w:eastAsia="en-GB"/>
        </w:rPr>
        <w:t>ecision</w:t>
      </w:r>
      <w:r w:rsidR="00CD1BA0" w:rsidRPr="008405F9">
        <w:rPr>
          <w:rFonts w:eastAsia="Times New Roman" w:cstheme="minorHAnsi"/>
          <w:color w:val="000000"/>
          <w:lang w:eastAsia="en-GB"/>
        </w:rPr>
        <w:t>s</w:t>
      </w:r>
      <w:r w:rsidRPr="008E4CD8">
        <w:rPr>
          <w:rFonts w:eastAsia="Times New Roman" w:cstheme="minorHAnsi"/>
          <w:color w:val="000000"/>
          <w:lang w:eastAsia="en-GB"/>
        </w:rPr>
        <w:t>.</w:t>
      </w:r>
      <w:r w:rsidR="00CD1BA0" w:rsidRPr="008405F9">
        <w:rPr>
          <w:rFonts w:eastAsia="Times New Roman" w:cstheme="minorHAnsi"/>
          <w:color w:val="000000"/>
          <w:lang w:eastAsia="en-GB"/>
        </w:rPr>
        <w:t xml:space="preserve"> ACAS advises that organisations should include a communication and consultation policy within their policies and procedures, as this clearly advises employees about the organisations attitude towards communication, culture and responsibilities. Managers are responsible for two</w:t>
      </w:r>
      <w:r w:rsidR="008405F9" w:rsidRPr="008405F9">
        <w:rPr>
          <w:rFonts w:eastAsia="Times New Roman" w:cstheme="minorHAnsi"/>
          <w:color w:val="000000"/>
          <w:lang w:eastAsia="en-GB"/>
        </w:rPr>
        <w:t>-</w:t>
      </w:r>
      <w:r w:rsidR="00CD1BA0" w:rsidRPr="008405F9">
        <w:rPr>
          <w:rFonts w:eastAsia="Times New Roman" w:cstheme="minorHAnsi"/>
          <w:color w:val="000000"/>
          <w:lang w:eastAsia="en-GB"/>
        </w:rPr>
        <w:t>way communication both to the workforce and to the management team</w:t>
      </w:r>
      <w:r w:rsidR="008405F9" w:rsidRPr="008405F9">
        <w:rPr>
          <w:rFonts w:eastAsia="Times New Roman" w:cstheme="minorHAnsi"/>
          <w:color w:val="000000"/>
          <w:lang w:eastAsia="en-GB"/>
        </w:rPr>
        <w:t>, and also actively encouraging employees to share views</w:t>
      </w:r>
      <w:r w:rsidR="00CD1BA0" w:rsidRPr="008405F9">
        <w:rPr>
          <w:rFonts w:eastAsia="Times New Roman" w:cstheme="minorHAnsi"/>
          <w:color w:val="000000"/>
          <w:lang w:eastAsia="en-GB"/>
        </w:rPr>
        <w:t>.</w:t>
      </w:r>
      <w:r w:rsidR="008405F9" w:rsidRPr="008405F9">
        <w:rPr>
          <w:rFonts w:eastAsia="Times New Roman" w:cstheme="minorHAnsi"/>
          <w:color w:val="000000"/>
          <w:lang w:eastAsia="en-GB"/>
        </w:rPr>
        <w:t xml:space="preserve"> (ACAS, 2019) </w:t>
      </w:r>
    </w:p>
    <w:p w14:paraId="603B5E76" w14:textId="72229FA3" w:rsidR="005C05E1" w:rsidRPr="008405F9" w:rsidRDefault="009546F5" w:rsidP="009546F5">
      <w:pPr>
        <w:spacing w:after="0" w:line="240" w:lineRule="auto"/>
        <w:rPr>
          <w:rFonts w:cstheme="minorHAnsi"/>
        </w:rPr>
      </w:pPr>
      <w:r w:rsidRPr="008405F9">
        <w:rPr>
          <w:rFonts w:cstheme="minorHAnsi"/>
          <w:b/>
          <w:bCs/>
        </w:rPr>
        <w:t>4.</w:t>
      </w:r>
      <w:r w:rsidR="000C2FBB" w:rsidRPr="008405F9">
        <w:rPr>
          <w:rFonts w:cstheme="minorHAnsi"/>
          <w:b/>
          <w:bCs/>
        </w:rPr>
        <w:t xml:space="preserve">Explain different types of individual and collective conflict behaviour and some of the evolving approaches that can be used to manage these. Your response should include and distinguish between: </w:t>
      </w:r>
    </w:p>
    <w:p w14:paraId="3C446894" w14:textId="779668B2" w:rsidR="000C2FBB" w:rsidRPr="008405F9" w:rsidRDefault="000C2FBB" w:rsidP="005C05E1">
      <w:pPr>
        <w:pStyle w:val="ListParagraph"/>
        <w:numPr>
          <w:ilvl w:val="0"/>
          <w:numId w:val="15"/>
        </w:numPr>
        <w:spacing w:after="0" w:line="240" w:lineRule="auto"/>
        <w:rPr>
          <w:rFonts w:cstheme="minorHAnsi"/>
        </w:rPr>
      </w:pPr>
      <w:r w:rsidRPr="008405F9">
        <w:rPr>
          <w:rFonts w:cstheme="minorHAnsi"/>
        </w:rPr>
        <w:t>conflict and misbehaviour</w:t>
      </w:r>
    </w:p>
    <w:p w14:paraId="276CBF0C" w14:textId="77777777" w:rsidR="000C2FBB" w:rsidRPr="008405F9" w:rsidRDefault="000C2FBB" w:rsidP="005C05E1">
      <w:pPr>
        <w:pStyle w:val="ListParagraph"/>
        <w:numPr>
          <w:ilvl w:val="0"/>
          <w:numId w:val="15"/>
        </w:numPr>
        <w:spacing w:after="0" w:line="240" w:lineRule="auto"/>
        <w:rPr>
          <w:rFonts w:cstheme="minorHAnsi"/>
        </w:rPr>
      </w:pPr>
      <w:r w:rsidRPr="008405F9">
        <w:rPr>
          <w:rFonts w:cstheme="minorHAnsi"/>
        </w:rPr>
        <w:lastRenderedPageBreak/>
        <w:t>official and unofficial industrial action</w:t>
      </w:r>
    </w:p>
    <w:p w14:paraId="1EDFF178" w14:textId="38DA9B59" w:rsidR="002E3A51" w:rsidRPr="008405F9" w:rsidRDefault="000C2FBB" w:rsidP="005C05E1">
      <w:pPr>
        <w:pStyle w:val="ListParagraph"/>
        <w:numPr>
          <w:ilvl w:val="0"/>
          <w:numId w:val="15"/>
        </w:numPr>
        <w:spacing w:after="0" w:line="240" w:lineRule="auto"/>
        <w:rPr>
          <w:rFonts w:cstheme="minorHAnsi"/>
        </w:rPr>
      </w:pPr>
      <w:r w:rsidRPr="008405F9">
        <w:rPr>
          <w:rFonts w:cstheme="minorHAnsi"/>
        </w:rPr>
        <w:t xml:space="preserve">third party conciliation, </w:t>
      </w:r>
      <w:r w:rsidR="009546F5" w:rsidRPr="008405F9">
        <w:rPr>
          <w:rFonts w:cstheme="minorHAnsi"/>
        </w:rPr>
        <w:t>mediation,</w:t>
      </w:r>
      <w:r w:rsidRPr="008405F9">
        <w:rPr>
          <w:rFonts w:cstheme="minorHAnsi"/>
        </w:rPr>
        <w:t xml:space="preserve"> and arbitration</w:t>
      </w:r>
    </w:p>
    <w:p w14:paraId="6219A091" w14:textId="61117FC4" w:rsidR="002E3A51" w:rsidRPr="008405F9" w:rsidRDefault="002E3A51" w:rsidP="002E3A51">
      <w:pPr>
        <w:spacing w:after="0" w:line="240" w:lineRule="auto"/>
        <w:rPr>
          <w:rFonts w:cstheme="minorHAnsi"/>
        </w:rPr>
      </w:pPr>
    </w:p>
    <w:p w14:paraId="4859E4A1" w14:textId="4B185E3B" w:rsidR="00CB5DB8" w:rsidRPr="008405F9" w:rsidRDefault="00AA024B" w:rsidP="00CB5DB8">
      <w:pPr>
        <w:spacing w:after="0" w:line="240" w:lineRule="auto"/>
        <w:rPr>
          <w:rFonts w:cstheme="minorHAnsi"/>
        </w:rPr>
      </w:pPr>
      <w:r w:rsidRPr="008405F9">
        <w:rPr>
          <w:rFonts w:cstheme="minorHAnsi"/>
        </w:rPr>
        <w:t xml:space="preserve">Conflict </w:t>
      </w:r>
      <w:r w:rsidR="00A74846" w:rsidRPr="008405F9">
        <w:rPr>
          <w:rFonts w:cstheme="minorHAnsi"/>
        </w:rPr>
        <w:t xml:space="preserve">is a common occurrence in workplaces, </w:t>
      </w:r>
      <w:r w:rsidR="00CB5DB8" w:rsidRPr="008405F9">
        <w:rPr>
          <w:rFonts w:cstheme="minorHAnsi"/>
        </w:rPr>
        <w:t xml:space="preserve">and </w:t>
      </w:r>
      <w:r w:rsidRPr="008405F9">
        <w:rPr>
          <w:rFonts w:cstheme="minorHAnsi"/>
        </w:rPr>
        <w:t>Mullins (2005) stated that “conflict is a behaviour intended to obstruct the achievement of some other person's goals which is based on the incompatibility of goals and arises from opposing behaviours.”</w:t>
      </w:r>
      <w:r w:rsidR="00CB5DB8" w:rsidRPr="008405F9">
        <w:rPr>
          <w:rFonts w:cstheme="minorHAnsi"/>
        </w:rPr>
        <w:t xml:space="preserve"> It can be argued that some conflict at work is healthy, for example to encourage competition to reach goals. However, certain types of conflict can also be detrimental to individuals such as bullying for instance. </w:t>
      </w:r>
    </w:p>
    <w:p w14:paraId="00E3D7A7" w14:textId="3FD4C975" w:rsidR="00835CE0" w:rsidRPr="008405F9" w:rsidRDefault="00835CE0" w:rsidP="00CB5DB8">
      <w:pPr>
        <w:spacing w:after="0" w:line="240" w:lineRule="auto"/>
        <w:rPr>
          <w:rFonts w:cstheme="minorHAnsi"/>
        </w:rPr>
      </w:pPr>
    </w:p>
    <w:p w14:paraId="6141524A" w14:textId="20965743" w:rsidR="00835CE0" w:rsidRPr="008405F9" w:rsidRDefault="00A320EB" w:rsidP="00CB5DB8">
      <w:pPr>
        <w:spacing w:after="0" w:line="240" w:lineRule="auto"/>
        <w:rPr>
          <w:rFonts w:cstheme="minorHAnsi"/>
          <w:shd w:val="clear" w:color="auto" w:fill="FFFFFF"/>
        </w:rPr>
      </w:pPr>
      <w:r w:rsidRPr="008405F9">
        <w:rPr>
          <w:rFonts w:cstheme="minorHAnsi"/>
          <w:shd w:val="clear" w:color="auto" w:fill="FFFFFF"/>
        </w:rPr>
        <w:t>When referring to individual conflict and how it can be managed, the focus should be on changing the behaviour of individuals involved within the conflict (</w:t>
      </w:r>
      <w:r w:rsidR="00835CE0" w:rsidRPr="008405F9">
        <w:rPr>
          <w:rFonts w:cstheme="minorHAnsi"/>
          <w:shd w:val="clear" w:color="auto" w:fill="FFFFFF"/>
        </w:rPr>
        <w:t>George and Jones</w:t>
      </w:r>
      <w:r w:rsidRPr="008405F9">
        <w:rPr>
          <w:rFonts w:cstheme="minorHAnsi"/>
          <w:shd w:val="clear" w:color="auto" w:fill="FFFFFF"/>
        </w:rPr>
        <w:t xml:space="preserve">, </w:t>
      </w:r>
      <w:r w:rsidR="00835CE0" w:rsidRPr="008405F9">
        <w:rPr>
          <w:rFonts w:cstheme="minorHAnsi"/>
          <w:shd w:val="clear" w:color="auto" w:fill="FFFFFF"/>
        </w:rPr>
        <w:t>2005)</w:t>
      </w:r>
      <w:r w:rsidRPr="008405F9">
        <w:rPr>
          <w:rFonts w:cstheme="minorHAnsi"/>
          <w:shd w:val="clear" w:color="auto" w:fill="FFFFFF"/>
        </w:rPr>
        <w:t>. The most common (formal) tools to manage behaviour within an organisation are</w:t>
      </w:r>
      <w:r w:rsidR="00835CE0" w:rsidRPr="008405F9">
        <w:rPr>
          <w:rFonts w:cstheme="minorHAnsi"/>
          <w:shd w:val="clear" w:color="auto" w:fill="FFFFFF"/>
        </w:rPr>
        <w:t xml:space="preserve"> </w:t>
      </w:r>
      <w:r w:rsidRPr="008405F9">
        <w:rPr>
          <w:rFonts w:cstheme="minorHAnsi"/>
          <w:shd w:val="clear" w:color="auto" w:fill="FFFFFF"/>
        </w:rPr>
        <w:t>d</w:t>
      </w:r>
      <w:r w:rsidR="00835CE0" w:rsidRPr="008405F9">
        <w:rPr>
          <w:rFonts w:cstheme="minorHAnsi"/>
          <w:shd w:val="clear" w:color="auto" w:fill="FFFFFF"/>
        </w:rPr>
        <w:t>isciplinary and grievance</w:t>
      </w:r>
      <w:r w:rsidRPr="008405F9">
        <w:rPr>
          <w:rFonts w:cstheme="minorHAnsi"/>
          <w:shd w:val="clear" w:color="auto" w:fill="FFFFFF"/>
        </w:rPr>
        <w:t xml:space="preserve"> processes</w:t>
      </w:r>
      <w:r w:rsidR="00835CE0" w:rsidRPr="008405F9">
        <w:rPr>
          <w:rFonts w:cstheme="minorHAnsi"/>
          <w:shd w:val="clear" w:color="auto" w:fill="FFFFFF"/>
        </w:rPr>
        <w:t>.</w:t>
      </w:r>
      <w:r w:rsidRPr="008405F9">
        <w:rPr>
          <w:rFonts w:cstheme="minorHAnsi"/>
          <w:shd w:val="clear" w:color="auto" w:fill="FFFFFF"/>
        </w:rPr>
        <w:t xml:space="preserve"> Less formal processes may also involve mediation between two parties, or even involvement from an external body such as ACAS to mediate the situation independently or offer training on managing conflict within an organisation. This can help to support with finding conflict resolution. </w:t>
      </w:r>
    </w:p>
    <w:p w14:paraId="7EA98604" w14:textId="48873FCA" w:rsidR="00835CE0" w:rsidRPr="008405F9" w:rsidRDefault="00835CE0" w:rsidP="00CB5DB8">
      <w:pPr>
        <w:spacing w:after="0" w:line="240" w:lineRule="auto"/>
        <w:rPr>
          <w:rFonts w:cstheme="minorHAnsi"/>
          <w:shd w:val="clear" w:color="auto" w:fill="FFFFFF"/>
        </w:rPr>
      </w:pPr>
    </w:p>
    <w:p w14:paraId="07A6F770" w14:textId="262A2B6F" w:rsidR="00835CE0" w:rsidRPr="008405F9" w:rsidRDefault="00835CE0" w:rsidP="00CB5DB8">
      <w:pPr>
        <w:spacing w:after="0" w:line="240" w:lineRule="auto"/>
        <w:rPr>
          <w:rFonts w:cstheme="minorHAnsi"/>
        </w:rPr>
      </w:pPr>
      <w:r w:rsidRPr="008405F9">
        <w:rPr>
          <w:rFonts w:cstheme="minorHAnsi"/>
          <w:shd w:val="clear" w:color="auto" w:fill="FFFFFF"/>
        </w:rPr>
        <w:t>Collective conflict</w:t>
      </w:r>
      <w:r w:rsidR="00A320EB" w:rsidRPr="008405F9">
        <w:rPr>
          <w:rFonts w:cstheme="minorHAnsi"/>
          <w:shd w:val="clear" w:color="auto" w:fill="FFFFFF"/>
        </w:rPr>
        <w:t xml:space="preserve"> behaviours involve, in opposition to individual conflict behaviours, </w:t>
      </w:r>
      <w:r w:rsidRPr="008405F9">
        <w:rPr>
          <w:rFonts w:cstheme="minorHAnsi"/>
          <w:shd w:val="clear" w:color="auto" w:fill="FFFFFF"/>
        </w:rPr>
        <w:t>changing the behaviours of groups within an organi</w:t>
      </w:r>
      <w:r w:rsidR="00A320EB" w:rsidRPr="008405F9">
        <w:rPr>
          <w:rFonts w:cstheme="minorHAnsi"/>
          <w:shd w:val="clear" w:color="auto" w:fill="FFFFFF"/>
        </w:rPr>
        <w:t>s</w:t>
      </w:r>
      <w:r w:rsidRPr="008405F9">
        <w:rPr>
          <w:rFonts w:cstheme="minorHAnsi"/>
          <w:shd w:val="clear" w:color="auto" w:fill="FFFFFF"/>
        </w:rPr>
        <w:t>ation.</w:t>
      </w:r>
      <w:r w:rsidR="00A320EB" w:rsidRPr="008405F9">
        <w:rPr>
          <w:rFonts w:cstheme="minorHAnsi"/>
          <w:shd w:val="clear" w:color="auto" w:fill="FFFFFF"/>
        </w:rPr>
        <w:t xml:space="preserve"> This could mean changing behaviours of a team, or a certain department which an organisation may wish to do for instance, to support a certain change within the organisation. Bargaining and negotiation can be used to support these changes, and commonly, external intervention is required for this. This is usually a recognised Trade Union and can be supported by the Acas Code of Practice, for additional guidance. </w:t>
      </w:r>
    </w:p>
    <w:p w14:paraId="1F3B4111" w14:textId="759A73E9" w:rsidR="003C7C05" w:rsidRPr="008405F9" w:rsidRDefault="00A320EB" w:rsidP="003C7C05">
      <w:pPr>
        <w:pStyle w:val="NormalWeb"/>
        <w:rPr>
          <w:rFonts w:asciiTheme="minorHAnsi" w:hAnsiTheme="minorHAnsi" w:cstheme="minorHAnsi"/>
          <w:color w:val="000000"/>
          <w:sz w:val="22"/>
          <w:szCs w:val="22"/>
        </w:rPr>
      </w:pPr>
      <w:r w:rsidRPr="008405F9">
        <w:rPr>
          <w:rFonts w:asciiTheme="minorHAnsi" w:hAnsiTheme="minorHAnsi" w:cstheme="minorHAnsi"/>
          <w:sz w:val="22"/>
          <w:szCs w:val="22"/>
        </w:rPr>
        <w:t>Within the law, there is the right to organise industrial action, such as strikes</w:t>
      </w:r>
      <w:r w:rsidR="003C7C05" w:rsidRPr="008405F9">
        <w:rPr>
          <w:rFonts w:asciiTheme="minorHAnsi" w:hAnsiTheme="minorHAnsi" w:cstheme="minorHAnsi"/>
          <w:sz w:val="22"/>
          <w:szCs w:val="22"/>
        </w:rPr>
        <w:t xml:space="preserve">, provided certain conditions are met. As industrial action is a breach of employees’ contract of employment, a Trade Union calling for industrial action </w:t>
      </w:r>
      <w:r w:rsidR="006C2919" w:rsidRPr="008405F9">
        <w:rPr>
          <w:rFonts w:asciiTheme="minorHAnsi" w:hAnsiTheme="minorHAnsi" w:cstheme="minorHAnsi"/>
          <w:sz w:val="22"/>
          <w:szCs w:val="22"/>
        </w:rPr>
        <w:t>encourages</w:t>
      </w:r>
      <w:r w:rsidR="003C7C05" w:rsidRPr="008405F9">
        <w:rPr>
          <w:rFonts w:asciiTheme="minorHAnsi" w:hAnsiTheme="minorHAnsi" w:cstheme="minorHAnsi"/>
          <w:sz w:val="22"/>
          <w:szCs w:val="22"/>
        </w:rPr>
        <w:t xml:space="preserve"> employees’ to be in breach of this</w:t>
      </w:r>
      <w:r w:rsidR="006C2919">
        <w:rPr>
          <w:rFonts w:asciiTheme="minorHAnsi" w:hAnsiTheme="minorHAnsi" w:cstheme="minorHAnsi"/>
          <w:sz w:val="22"/>
          <w:szCs w:val="22"/>
        </w:rPr>
        <w:t>.</w:t>
      </w:r>
      <w:r w:rsidR="003C7C05" w:rsidRPr="008405F9">
        <w:rPr>
          <w:rFonts w:asciiTheme="minorHAnsi" w:hAnsiTheme="minorHAnsi" w:cstheme="minorHAnsi"/>
          <w:sz w:val="22"/>
          <w:szCs w:val="22"/>
        </w:rPr>
        <w:t xml:space="preserve"> (Daniels, 2019) For industrial action to be official, and lawful, Trade Unions must </w:t>
      </w:r>
      <w:r w:rsidR="003C7C05" w:rsidRPr="008405F9">
        <w:rPr>
          <w:rFonts w:asciiTheme="minorHAnsi" w:hAnsiTheme="minorHAnsi" w:cstheme="minorHAnsi"/>
          <w:color w:val="000000"/>
          <w:sz w:val="22"/>
          <w:szCs w:val="22"/>
        </w:rPr>
        <w:t>ensure the below points are met:</w:t>
      </w:r>
    </w:p>
    <w:p w14:paraId="3F3BDA1B" w14:textId="02582FB7" w:rsidR="003C7C05" w:rsidRPr="008405F9" w:rsidRDefault="003C7C05" w:rsidP="003C7C05">
      <w:pPr>
        <w:pStyle w:val="ListParagraph"/>
        <w:numPr>
          <w:ilvl w:val="0"/>
          <w:numId w:val="11"/>
        </w:numPr>
        <w:spacing w:before="100" w:beforeAutospacing="1" w:after="100" w:afterAutospacing="1" w:line="240" w:lineRule="auto"/>
        <w:rPr>
          <w:rFonts w:eastAsia="Times New Roman" w:cstheme="minorHAnsi"/>
          <w:color w:val="000000"/>
          <w:lang w:eastAsia="en-GB"/>
        </w:rPr>
      </w:pPr>
      <w:r w:rsidRPr="008405F9">
        <w:rPr>
          <w:rFonts w:eastAsia="Times New Roman" w:cstheme="minorHAnsi"/>
          <w:color w:val="000000"/>
          <w:lang w:eastAsia="en-GB"/>
        </w:rPr>
        <w:t>the dispute relates to a trade dispute between workers and their employer;</w:t>
      </w:r>
    </w:p>
    <w:p w14:paraId="762B08BC" w14:textId="0C2B3E0D" w:rsidR="003C7C05" w:rsidRPr="008405F9" w:rsidRDefault="003C7C05" w:rsidP="003C7C05">
      <w:pPr>
        <w:pStyle w:val="ListParagraph"/>
        <w:numPr>
          <w:ilvl w:val="0"/>
          <w:numId w:val="11"/>
        </w:numPr>
        <w:spacing w:before="100" w:beforeAutospacing="1" w:after="100" w:afterAutospacing="1" w:line="240" w:lineRule="auto"/>
        <w:rPr>
          <w:rFonts w:eastAsia="Times New Roman" w:cstheme="minorHAnsi"/>
          <w:color w:val="000000"/>
          <w:lang w:eastAsia="en-GB"/>
        </w:rPr>
      </w:pPr>
      <w:r w:rsidRPr="008405F9">
        <w:rPr>
          <w:rFonts w:eastAsia="Times New Roman" w:cstheme="minorHAnsi"/>
          <w:color w:val="000000"/>
          <w:lang w:eastAsia="en-GB"/>
        </w:rPr>
        <w:t>a secret postal ballot has been held and the majority of members voting have supported the action;</w:t>
      </w:r>
    </w:p>
    <w:p w14:paraId="7211225C" w14:textId="77777777" w:rsidR="004556EF" w:rsidRPr="008405F9" w:rsidRDefault="003C7C05" w:rsidP="003C7C05">
      <w:pPr>
        <w:pStyle w:val="ListParagraph"/>
        <w:numPr>
          <w:ilvl w:val="0"/>
          <w:numId w:val="11"/>
        </w:numPr>
        <w:spacing w:before="100" w:beforeAutospacing="1" w:after="100" w:afterAutospacing="1" w:line="240" w:lineRule="auto"/>
        <w:rPr>
          <w:rFonts w:eastAsia="Times New Roman" w:cstheme="minorHAnsi"/>
          <w:color w:val="000000"/>
          <w:lang w:eastAsia="en-GB"/>
        </w:rPr>
      </w:pPr>
      <w:r w:rsidRPr="008405F9">
        <w:rPr>
          <w:rFonts w:eastAsia="Times New Roman" w:cstheme="minorHAnsi"/>
          <w:color w:val="000000"/>
          <w:lang w:eastAsia="en-GB"/>
        </w:rPr>
        <w:t xml:space="preserve">detailed notice about the action has been given to the employer before it commences. </w:t>
      </w:r>
    </w:p>
    <w:p w14:paraId="6BFB06B6" w14:textId="56F437E5" w:rsidR="003C7C05" w:rsidRPr="008405F9" w:rsidRDefault="003C7C05" w:rsidP="004556EF">
      <w:pPr>
        <w:pStyle w:val="ListParagraph"/>
        <w:spacing w:before="100" w:beforeAutospacing="1" w:after="100" w:afterAutospacing="1" w:line="240" w:lineRule="auto"/>
        <w:rPr>
          <w:rFonts w:eastAsia="Times New Roman" w:cstheme="minorHAnsi"/>
          <w:color w:val="000000"/>
          <w:lang w:eastAsia="en-GB"/>
        </w:rPr>
      </w:pPr>
      <w:r w:rsidRPr="008405F9">
        <w:rPr>
          <w:rFonts w:eastAsia="Times New Roman" w:cstheme="minorHAnsi"/>
          <w:color w:val="000000"/>
          <w:lang w:eastAsia="en-GB"/>
        </w:rPr>
        <w:t>(</w:t>
      </w:r>
      <w:r w:rsidR="004556EF" w:rsidRPr="008405F9">
        <w:rPr>
          <w:rFonts w:eastAsia="Times New Roman" w:cstheme="minorHAnsi"/>
          <w:color w:val="000000"/>
          <w:lang w:eastAsia="en-GB"/>
        </w:rPr>
        <w:t>TUC</w:t>
      </w:r>
      <w:r w:rsidRPr="008405F9">
        <w:rPr>
          <w:rFonts w:eastAsia="Times New Roman" w:cstheme="minorHAnsi"/>
          <w:color w:val="000000"/>
          <w:lang w:eastAsia="en-GB"/>
        </w:rPr>
        <w:t xml:space="preserve">, 2020) </w:t>
      </w:r>
    </w:p>
    <w:p w14:paraId="1CA9106C" w14:textId="1319D49A" w:rsidR="003C7C05" w:rsidRPr="008405F9" w:rsidRDefault="003C7C05" w:rsidP="004556EF">
      <w:pPr>
        <w:spacing w:before="100" w:beforeAutospacing="1" w:after="100" w:afterAutospacing="1" w:line="240" w:lineRule="auto"/>
        <w:rPr>
          <w:rFonts w:eastAsia="Times New Roman" w:cstheme="minorHAnsi"/>
          <w:color w:val="000000"/>
          <w:lang w:eastAsia="en-GB"/>
        </w:rPr>
      </w:pPr>
      <w:r w:rsidRPr="008405F9">
        <w:rPr>
          <w:rFonts w:eastAsia="Times New Roman" w:cstheme="minorHAnsi"/>
          <w:color w:val="000000"/>
          <w:lang w:eastAsia="en-GB"/>
        </w:rPr>
        <w:t xml:space="preserve">Industrial action is </w:t>
      </w:r>
      <w:r w:rsidR="0076269D" w:rsidRPr="008405F9">
        <w:rPr>
          <w:rFonts w:eastAsia="Times New Roman" w:cstheme="minorHAnsi"/>
          <w:color w:val="000000"/>
          <w:lang w:eastAsia="en-GB"/>
        </w:rPr>
        <w:t xml:space="preserve">deemed </w:t>
      </w:r>
      <w:r w:rsidRPr="008405F9">
        <w:rPr>
          <w:rFonts w:eastAsia="Times New Roman" w:cstheme="minorHAnsi"/>
          <w:color w:val="000000"/>
          <w:lang w:eastAsia="en-GB"/>
        </w:rPr>
        <w:t>official if it is formally supported by a trade union and members are taking part in the action. Employees are unlikely to be paid by their employer when taking industrial action as it is a breach of contract. Members ca</w:t>
      </w:r>
      <w:r w:rsidR="004556EF" w:rsidRPr="008405F9">
        <w:rPr>
          <w:rFonts w:eastAsia="Times New Roman" w:cstheme="minorHAnsi"/>
          <w:color w:val="000000"/>
          <w:lang w:eastAsia="en-GB"/>
        </w:rPr>
        <w:t>n also not</w:t>
      </w:r>
      <w:r w:rsidRPr="008405F9">
        <w:rPr>
          <w:rFonts w:eastAsia="Times New Roman" w:cstheme="minorHAnsi"/>
          <w:color w:val="000000"/>
          <w:lang w:eastAsia="en-GB"/>
        </w:rPr>
        <w:t xml:space="preserve"> be dismissed for taking action </w:t>
      </w:r>
      <w:r w:rsidR="004556EF" w:rsidRPr="008405F9">
        <w:rPr>
          <w:rFonts w:eastAsia="Times New Roman" w:cstheme="minorHAnsi"/>
          <w:color w:val="000000"/>
          <w:lang w:eastAsia="en-GB"/>
        </w:rPr>
        <w:t xml:space="preserve">provided their Trade Union has followed the correct process to take industrial action. </w:t>
      </w:r>
    </w:p>
    <w:p w14:paraId="712F0B35" w14:textId="289235C0" w:rsidR="003C7C05" w:rsidRPr="008405F9" w:rsidRDefault="004556EF" w:rsidP="003C7C05">
      <w:pPr>
        <w:spacing w:before="100" w:beforeAutospacing="1" w:after="100" w:afterAutospacing="1" w:line="240" w:lineRule="auto"/>
        <w:rPr>
          <w:rFonts w:eastAsia="Times New Roman" w:cstheme="minorHAnsi"/>
          <w:color w:val="000000"/>
          <w:lang w:eastAsia="en-GB"/>
        </w:rPr>
      </w:pPr>
      <w:r w:rsidRPr="008405F9">
        <w:rPr>
          <w:rFonts w:eastAsia="Times New Roman" w:cstheme="minorHAnsi"/>
          <w:color w:val="000000"/>
          <w:lang w:eastAsia="en-GB"/>
        </w:rPr>
        <w:t xml:space="preserve">In comparison, unofficial industrial action carries a lot of complexities. Employees can be dismissed should they take part in unofficial action, which are sometimes referred to as ‘wildcat strikes’ as they are not lawfully organised. Action defined as unofficial is where action has taken place without a ballot or the ballot was </w:t>
      </w:r>
      <w:r w:rsidRPr="00B13D02">
        <w:rPr>
          <w:rFonts w:eastAsia="Times New Roman" w:cstheme="minorHAnsi"/>
          <w:color w:val="000000"/>
          <w:lang w:eastAsia="en-GB"/>
        </w:rPr>
        <w:t>void. (Daniels, 2019) A</w:t>
      </w:r>
      <w:r w:rsidRPr="008405F9">
        <w:rPr>
          <w:rFonts w:eastAsia="Times New Roman" w:cstheme="minorHAnsi"/>
          <w:color w:val="000000"/>
          <w:lang w:eastAsia="en-GB"/>
        </w:rPr>
        <w:t xml:space="preserve"> recent well publicised example of unofficial </w:t>
      </w:r>
      <w:r w:rsidRPr="008405F9">
        <w:rPr>
          <w:rFonts w:eastAsia="Times New Roman" w:cstheme="minorHAnsi"/>
          <w:lang w:eastAsia="en-GB"/>
        </w:rPr>
        <w:t xml:space="preserve">industrial action was the 2019 British Airways pilots strike, which was deemed unlawful as </w:t>
      </w:r>
      <w:r w:rsidRPr="008405F9">
        <w:rPr>
          <w:rFonts w:cstheme="minorHAnsi"/>
          <w:shd w:val="clear" w:color="auto" w:fill="FFFFFF"/>
        </w:rPr>
        <w:t>the trade union had balloted many people who should not have been balloted, and even though the additional balloting would have made no difference to the outcome of the ballot as there was still a massive majority in favour of strike action, it was still ruled to be illegal as the process was flawed. (Telegraph, 2019)</w:t>
      </w:r>
    </w:p>
    <w:p w14:paraId="010EBAA3" w14:textId="25076159" w:rsidR="005C05E1" w:rsidRDefault="005C05E1" w:rsidP="002E3A51">
      <w:pPr>
        <w:spacing w:after="0" w:line="240" w:lineRule="auto"/>
        <w:rPr>
          <w:rFonts w:cstheme="minorHAnsi"/>
        </w:rPr>
      </w:pPr>
      <w:r w:rsidRPr="008405F9">
        <w:rPr>
          <w:rFonts w:cstheme="minorHAnsi"/>
        </w:rPr>
        <w:lastRenderedPageBreak/>
        <w:t>It is good practice to try and resolve conflict before industrial action is taken, and commonly organisations will choose to negotiate with employees when conflict arises to try and come to a common agreement on how to settle the issue. Other forms of conflict resolution include:</w:t>
      </w:r>
    </w:p>
    <w:p w14:paraId="272E4F6D" w14:textId="77777777" w:rsidR="006C2919" w:rsidRPr="008405F9" w:rsidRDefault="006C2919" w:rsidP="002E3A51">
      <w:pPr>
        <w:spacing w:after="0" w:line="240" w:lineRule="auto"/>
        <w:rPr>
          <w:rFonts w:cstheme="minorHAnsi"/>
        </w:rPr>
      </w:pPr>
    </w:p>
    <w:p w14:paraId="30679009" w14:textId="1D690E8A" w:rsidR="005C05E1" w:rsidRPr="008405F9" w:rsidRDefault="005C05E1" w:rsidP="005C05E1">
      <w:pPr>
        <w:pStyle w:val="ListParagraph"/>
        <w:numPr>
          <w:ilvl w:val="0"/>
          <w:numId w:val="12"/>
        </w:numPr>
        <w:spacing w:after="0" w:line="240" w:lineRule="auto"/>
        <w:rPr>
          <w:rFonts w:cstheme="minorHAnsi"/>
        </w:rPr>
      </w:pPr>
      <w:r w:rsidRPr="008405F9">
        <w:rPr>
          <w:rFonts w:cstheme="minorHAnsi"/>
        </w:rPr>
        <w:t xml:space="preserve">Mediation </w:t>
      </w:r>
      <w:r w:rsidR="003D3356" w:rsidRPr="008405F9">
        <w:rPr>
          <w:rFonts w:cstheme="minorHAnsi"/>
        </w:rPr>
        <w:t xml:space="preserve">– where an independent party discusses the issue between the employer and employee, or between employees, to try to find a resolution. It is voluntary and parties can choose not to take part if they do not wish to do so. </w:t>
      </w:r>
    </w:p>
    <w:p w14:paraId="625F823F" w14:textId="1F2E26EF" w:rsidR="003D3356" w:rsidRPr="008405F9" w:rsidRDefault="003D3356" w:rsidP="003D3356">
      <w:pPr>
        <w:pStyle w:val="ListParagraph"/>
        <w:numPr>
          <w:ilvl w:val="0"/>
          <w:numId w:val="12"/>
        </w:numPr>
        <w:spacing w:after="0" w:line="240" w:lineRule="auto"/>
        <w:rPr>
          <w:rFonts w:cstheme="minorHAnsi"/>
        </w:rPr>
      </w:pPr>
      <w:r w:rsidRPr="008405F9">
        <w:rPr>
          <w:rFonts w:cstheme="minorHAnsi"/>
        </w:rPr>
        <w:t xml:space="preserve">Third Party Conciliation – in similarity to mediation, conciliation is used to come to an agreement between two parties, however differs as the individual involved is going to make a claim at employment tribunal or has already made a claim. Again, this process is voluntary, and this process is usually implemented through Acas as it is a free service. It is also known as ‘early conciliation’. </w:t>
      </w:r>
    </w:p>
    <w:p w14:paraId="635280CE" w14:textId="1EEEF587" w:rsidR="005C05E1" w:rsidRPr="008405F9" w:rsidRDefault="005C05E1" w:rsidP="005C05E1">
      <w:pPr>
        <w:pStyle w:val="ListParagraph"/>
        <w:numPr>
          <w:ilvl w:val="0"/>
          <w:numId w:val="12"/>
        </w:numPr>
        <w:spacing w:after="0" w:line="240" w:lineRule="auto"/>
        <w:rPr>
          <w:rFonts w:cstheme="minorHAnsi"/>
        </w:rPr>
      </w:pPr>
      <w:r w:rsidRPr="008405F9">
        <w:rPr>
          <w:rFonts w:cstheme="minorHAnsi"/>
        </w:rPr>
        <w:t>Arbitration</w:t>
      </w:r>
      <w:r w:rsidR="003D3356" w:rsidRPr="008405F9">
        <w:rPr>
          <w:rFonts w:cstheme="minorHAnsi"/>
        </w:rPr>
        <w:t xml:space="preserve"> – this is when a third party makes a final decision on a case</w:t>
      </w:r>
      <w:r w:rsidR="000A48DA" w:rsidRPr="008405F9">
        <w:rPr>
          <w:rFonts w:cstheme="minorHAnsi"/>
        </w:rPr>
        <w:t xml:space="preserve"> </w:t>
      </w:r>
      <w:r w:rsidR="003D3356" w:rsidRPr="008405F9">
        <w:rPr>
          <w:rFonts w:cstheme="minorHAnsi"/>
        </w:rPr>
        <w:t xml:space="preserve">once everything has been considered. If an individual does not agree with the outcome, they can take the case to employment tribunal. </w:t>
      </w:r>
      <w:r w:rsidR="00110761" w:rsidRPr="008405F9">
        <w:rPr>
          <w:rFonts w:cstheme="minorHAnsi"/>
        </w:rPr>
        <w:t xml:space="preserve">(Gov.uk, 2020) </w:t>
      </w:r>
    </w:p>
    <w:p w14:paraId="74A7BD93" w14:textId="77777777" w:rsidR="005C05E1" w:rsidRPr="008405F9" w:rsidRDefault="005C05E1" w:rsidP="002E3A51">
      <w:pPr>
        <w:spacing w:after="0" w:line="240" w:lineRule="auto"/>
        <w:rPr>
          <w:rFonts w:cstheme="minorHAnsi"/>
        </w:rPr>
      </w:pPr>
    </w:p>
    <w:p w14:paraId="30B6711E" w14:textId="17715433" w:rsidR="000C2FBB" w:rsidRPr="008405F9" w:rsidRDefault="000A48DA" w:rsidP="00A302B6">
      <w:pPr>
        <w:pStyle w:val="NoSpacing"/>
      </w:pPr>
      <w:r w:rsidRPr="008405F9">
        <w:t xml:space="preserve">Employers should have an appreciation of how to manage conflict and try in all circumstances to reduce conflict, and ensure conflict is managed appropriately firstly with informal intervention, and if necessary, take more formal steps should this be required. </w:t>
      </w:r>
    </w:p>
    <w:p w14:paraId="0EEE854A" w14:textId="77777777" w:rsidR="005C05E1" w:rsidRPr="008405F9" w:rsidRDefault="005C05E1" w:rsidP="00E6578D">
      <w:pPr>
        <w:rPr>
          <w:rFonts w:cstheme="minorHAnsi"/>
        </w:rPr>
      </w:pPr>
    </w:p>
    <w:p w14:paraId="04704529" w14:textId="77777777" w:rsidR="009546F5" w:rsidRPr="008405F9" w:rsidRDefault="009546F5" w:rsidP="00E6578D">
      <w:pPr>
        <w:rPr>
          <w:rFonts w:cstheme="minorHAnsi"/>
        </w:rPr>
      </w:pPr>
    </w:p>
    <w:p w14:paraId="213F1679" w14:textId="77777777" w:rsidR="00BF46B6" w:rsidRPr="008405F9" w:rsidRDefault="00BF46B6" w:rsidP="00E6578D">
      <w:pPr>
        <w:rPr>
          <w:rFonts w:cstheme="minorHAnsi"/>
        </w:rPr>
      </w:pPr>
    </w:p>
    <w:p w14:paraId="23727B71" w14:textId="77777777" w:rsidR="00BF46B6" w:rsidRPr="008405F9" w:rsidRDefault="00BF46B6" w:rsidP="00E6578D">
      <w:pPr>
        <w:rPr>
          <w:rFonts w:cstheme="minorHAnsi"/>
        </w:rPr>
      </w:pPr>
    </w:p>
    <w:p w14:paraId="7E1A863D" w14:textId="77777777" w:rsidR="00BF46B6" w:rsidRPr="008405F9" w:rsidRDefault="00BF46B6" w:rsidP="00E6578D">
      <w:pPr>
        <w:rPr>
          <w:rFonts w:cstheme="minorHAnsi"/>
        </w:rPr>
      </w:pPr>
    </w:p>
    <w:p w14:paraId="4E97FC03" w14:textId="77777777" w:rsidR="00BF46B6" w:rsidRPr="008405F9" w:rsidRDefault="00BF46B6" w:rsidP="00E6578D">
      <w:pPr>
        <w:rPr>
          <w:rFonts w:cstheme="minorHAnsi"/>
        </w:rPr>
      </w:pPr>
    </w:p>
    <w:p w14:paraId="584901A3" w14:textId="77777777" w:rsidR="00BF46B6" w:rsidRPr="008405F9" w:rsidRDefault="00BF46B6" w:rsidP="00E6578D">
      <w:pPr>
        <w:rPr>
          <w:rFonts w:cstheme="minorHAnsi"/>
        </w:rPr>
      </w:pPr>
    </w:p>
    <w:p w14:paraId="79CD353E" w14:textId="77777777" w:rsidR="00BF46B6" w:rsidRPr="008405F9" w:rsidRDefault="00BF46B6" w:rsidP="00E6578D">
      <w:pPr>
        <w:rPr>
          <w:rFonts w:cstheme="minorHAnsi"/>
        </w:rPr>
      </w:pPr>
    </w:p>
    <w:p w14:paraId="6BA5F11C" w14:textId="77777777" w:rsidR="00BF46B6" w:rsidRPr="008405F9" w:rsidRDefault="00BF46B6" w:rsidP="00E6578D">
      <w:pPr>
        <w:rPr>
          <w:rFonts w:cstheme="minorHAnsi"/>
        </w:rPr>
      </w:pPr>
    </w:p>
    <w:p w14:paraId="5248D6DD" w14:textId="77777777" w:rsidR="00BF46B6" w:rsidRPr="008405F9" w:rsidRDefault="00BF46B6" w:rsidP="00E6578D">
      <w:pPr>
        <w:rPr>
          <w:rFonts w:cstheme="minorHAnsi"/>
        </w:rPr>
      </w:pPr>
    </w:p>
    <w:p w14:paraId="5A244B63" w14:textId="77777777" w:rsidR="00BF46B6" w:rsidRPr="008405F9" w:rsidRDefault="00BF46B6" w:rsidP="00E6578D">
      <w:pPr>
        <w:rPr>
          <w:rFonts w:cstheme="minorHAnsi"/>
        </w:rPr>
      </w:pPr>
    </w:p>
    <w:p w14:paraId="1B87532B" w14:textId="77777777" w:rsidR="00BF46B6" w:rsidRPr="008405F9" w:rsidRDefault="00BF46B6" w:rsidP="00E6578D">
      <w:pPr>
        <w:rPr>
          <w:rFonts w:cstheme="minorHAnsi"/>
        </w:rPr>
      </w:pPr>
    </w:p>
    <w:p w14:paraId="3B6790B6" w14:textId="056EC70C" w:rsidR="00482FAC" w:rsidRDefault="00482FAC" w:rsidP="00E6578D">
      <w:pPr>
        <w:rPr>
          <w:rFonts w:cstheme="minorHAnsi"/>
        </w:rPr>
      </w:pPr>
    </w:p>
    <w:p w14:paraId="05D6D3AE" w14:textId="1D837628" w:rsidR="00482FAC" w:rsidRDefault="00482FAC" w:rsidP="00E6578D">
      <w:pPr>
        <w:rPr>
          <w:rFonts w:cstheme="minorHAnsi"/>
        </w:rPr>
      </w:pPr>
    </w:p>
    <w:p w14:paraId="57589BFF" w14:textId="7D6559B4" w:rsidR="00482FAC" w:rsidRDefault="00482FAC" w:rsidP="00E6578D">
      <w:pPr>
        <w:rPr>
          <w:rFonts w:cstheme="minorHAnsi"/>
        </w:rPr>
      </w:pPr>
    </w:p>
    <w:p w14:paraId="342F46F4" w14:textId="14C1BC29" w:rsidR="00482FAC" w:rsidRDefault="00482FAC" w:rsidP="00E6578D">
      <w:pPr>
        <w:rPr>
          <w:rFonts w:cstheme="minorHAnsi"/>
        </w:rPr>
      </w:pPr>
    </w:p>
    <w:p w14:paraId="6766E83E" w14:textId="71E878DF" w:rsidR="00482FAC" w:rsidRDefault="00482FAC" w:rsidP="00E6578D">
      <w:pPr>
        <w:rPr>
          <w:rFonts w:cstheme="minorHAnsi"/>
        </w:rPr>
      </w:pPr>
    </w:p>
    <w:p w14:paraId="0A603CEE" w14:textId="4A92B160" w:rsidR="00482FAC" w:rsidRPr="00482FAC" w:rsidRDefault="00482FAC" w:rsidP="00482FAC">
      <w:pPr>
        <w:pStyle w:val="Bibliography"/>
        <w:rPr>
          <w:b/>
          <w:bCs/>
          <w:noProof/>
          <w:u w:val="single"/>
        </w:rPr>
      </w:pPr>
      <w:r w:rsidRPr="00482FAC">
        <w:rPr>
          <w:b/>
          <w:bCs/>
          <w:noProof/>
          <w:u w:val="single"/>
        </w:rPr>
        <w:lastRenderedPageBreak/>
        <w:t xml:space="preserve">References </w:t>
      </w:r>
    </w:p>
    <w:p w14:paraId="77A45EB5" w14:textId="1DC785AF" w:rsidR="00482FAC" w:rsidRPr="00482FAC" w:rsidRDefault="00482FAC" w:rsidP="00482FAC">
      <w:pPr>
        <w:pStyle w:val="Bibliography"/>
        <w:rPr>
          <w:noProof/>
        </w:rPr>
      </w:pPr>
      <w:r w:rsidRPr="00482FAC">
        <w:rPr>
          <w:noProof/>
        </w:rPr>
        <w:t xml:space="preserve">ACAS, 2018. </w:t>
      </w:r>
      <w:r w:rsidRPr="00482FAC">
        <w:rPr>
          <w:i/>
          <w:iCs/>
          <w:noProof/>
        </w:rPr>
        <w:t xml:space="preserve">Employee Communications and Consultation. </w:t>
      </w:r>
      <w:r w:rsidRPr="00482FAC">
        <w:rPr>
          <w:noProof/>
        </w:rPr>
        <w:t xml:space="preserve">[Online] </w:t>
      </w:r>
      <w:r w:rsidRPr="00482FAC">
        <w:rPr>
          <w:noProof/>
        </w:rPr>
        <w:br/>
        <w:t xml:space="preserve">Available at: </w:t>
      </w:r>
      <w:r w:rsidRPr="00482FAC">
        <w:rPr>
          <w:noProof/>
          <w:u w:val="single"/>
        </w:rPr>
        <w:t>https://archive.acas.org.uk/index.aspx?articleid=663#:~:text=Consultation%20involves%20managers%20actively%20seeking,the%20responsibilities%20of%20those%20involved.</w:t>
      </w:r>
      <w:r w:rsidRPr="00482FAC">
        <w:rPr>
          <w:noProof/>
        </w:rPr>
        <w:br/>
        <w:t>[Accessed 2 August 2020].</w:t>
      </w:r>
    </w:p>
    <w:p w14:paraId="77D23339" w14:textId="77777777" w:rsidR="00482FAC" w:rsidRPr="00482FAC" w:rsidRDefault="00482FAC" w:rsidP="00482FAC">
      <w:pPr>
        <w:rPr>
          <w:rFonts w:cstheme="minorHAnsi"/>
          <w:shd w:val="clear" w:color="auto" w:fill="FFFFFF"/>
        </w:rPr>
      </w:pPr>
      <w:r w:rsidRPr="00482FAC">
        <w:rPr>
          <w:rFonts w:cstheme="minorHAnsi"/>
          <w:shd w:val="clear" w:color="auto" w:fill="FFFFFF"/>
        </w:rPr>
        <w:t xml:space="preserve">Adigun, A. (2014). Determinants of Industrial Relations in Organisation: A Proactive Approach. </w:t>
      </w:r>
      <w:r w:rsidRPr="00482FAC">
        <w:rPr>
          <w:rStyle w:val="Emphasis"/>
          <w:rFonts w:cstheme="minorHAnsi"/>
          <w:bdr w:val="none" w:sz="0" w:space="0" w:color="auto" w:frame="1"/>
        </w:rPr>
        <w:t>Journal of Economics and Sustainable Development</w:t>
      </w:r>
      <w:r w:rsidRPr="00482FAC">
        <w:rPr>
          <w:rFonts w:cstheme="minorHAnsi"/>
          <w:shd w:val="clear" w:color="auto" w:fill="FFFFFF"/>
        </w:rPr>
        <w:t>, 5(9), p.1-3.</w:t>
      </w:r>
    </w:p>
    <w:p w14:paraId="5603FA15" w14:textId="77777777" w:rsidR="00482FAC" w:rsidRPr="00482FAC" w:rsidRDefault="00482FAC" w:rsidP="00482FAC">
      <w:pPr>
        <w:pStyle w:val="Bibliography"/>
        <w:rPr>
          <w:noProof/>
        </w:rPr>
      </w:pPr>
      <w:r w:rsidRPr="00482FAC">
        <w:rPr>
          <w:noProof/>
        </w:rPr>
        <w:t xml:space="preserve">CIPD, 2012. </w:t>
      </w:r>
      <w:r w:rsidRPr="00482FAC">
        <w:rPr>
          <w:i/>
          <w:iCs/>
          <w:noProof/>
        </w:rPr>
        <w:t xml:space="preserve">Podcast 6 - Employee Engagement. </w:t>
      </w:r>
      <w:r w:rsidRPr="00482FAC">
        <w:rPr>
          <w:noProof/>
        </w:rPr>
        <w:t xml:space="preserve">[Online] </w:t>
      </w:r>
      <w:r w:rsidRPr="00482FAC">
        <w:rPr>
          <w:noProof/>
        </w:rPr>
        <w:br/>
        <w:t xml:space="preserve">Available at: </w:t>
      </w:r>
      <w:r w:rsidRPr="00482FAC">
        <w:rPr>
          <w:noProof/>
          <w:u w:val="single"/>
        </w:rPr>
        <w:t xml:space="preserve">https://soundcloud.com/cipd/podcast-6-employee-engagement </w:t>
      </w:r>
      <w:r w:rsidRPr="00482FAC">
        <w:rPr>
          <w:noProof/>
        </w:rPr>
        <w:br/>
        <w:t>[Accessed 20 July 2020].</w:t>
      </w:r>
    </w:p>
    <w:p w14:paraId="719DD284" w14:textId="77777777" w:rsidR="00482FAC" w:rsidRPr="00482FAC" w:rsidRDefault="00482FAC" w:rsidP="00482FAC">
      <w:pPr>
        <w:pStyle w:val="Bibliography"/>
        <w:rPr>
          <w:noProof/>
        </w:rPr>
      </w:pPr>
      <w:r w:rsidRPr="00482FAC">
        <w:rPr>
          <w:noProof/>
        </w:rPr>
        <w:t xml:space="preserve">CIPD, 2012. </w:t>
      </w:r>
      <w:r w:rsidRPr="00482FAC">
        <w:rPr>
          <w:i/>
          <w:iCs/>
          <w:noProof/>
        </w:rPr>
        <w:t xml:space="preserve">Survey Report, </w:t>
      </w:r>
      <w:r w:rsidRPr="00482FAC">
        <w:rPr>
          <w:noProof/>
        </w:rPr>
        <w:t>London: CIPD.</w:t>
      </w:r>
    </w:p>
    <w:p w14:paraId="4EA1F874" w14:textId="77777777" w:rsidR="00482FAC" w:rsidRPr="00482FAC" w:rsidRDefault="00482FAC" w:rsidP="00482FAC">
      <w:pPr>
        <w:pStyle w:val="Bibliography"/>
        <w:rPr>
          <w:noProof/>
        </w:rPr>
      </w:pPr>
      <w:r w:rsidRPr="00482FAC">
        <w:rPr>
          <w:noProof/>
        </w:rPr>
        <w:t xml:space="preserve">CIPD, 2020. </w:t>
      </w:r>
      <w:r w:rsidRPr="00482FAC">
        <w:rPr>
          <w:i/>
          <w:iCs/>
          <w:noProof/>
        </w:rPr>
        <w:t xml:space="preserve">Employee Voice Factsheet. </w:t>
      </w:r>
      <w:r w:rsidRPr="00482FAC">
        <w:rPr>
          <w:noProof/>
        </w:rPr>
        <w:t xml:space="preserve">[Online] </w:t>
      </w:r>
      <w:r w:rsidRPr="00482FAC">
        <w:rPr>
          <w:noProof/>
        </w:rPr>
        <w:br/>
        <w:t xml:space="preserve">Available at: </w:t>
      </w:r>
      <w:r w:rsidRPr="00482FAC">
        <w:rPr>
          <w:noProof/>
          <w:u w:val="single"/>
        </w:rPr>
        <w:t>https://www.cipd.co.uk/knowledge/fundamentals/relations/communication/voice-factsheet</w:t>
      </w:r>
      <w:r w:rsidRPr="00482FAC">
        <w:rPr>
          <w:noProof/>
        </w:rPr>
        <w:br/>
        <w:t>[Accessed 1 August 2020].</w:t>
      </w:r>
    </w:p>
    <w:p w14:paraId="36C56690" w14:textId="77777777" w:rsidR="00482FAC" w:rsidRPr="00482FAC" w:rsidRDefault="00482FAC" w:rsidP="00482FAC">
      <w:pPr>
        <w:pStyle w:val="Bibliography"/>
        <w:rPr>
          <w:noProof/>
        </w:rPr>
      </w:pPr>
      <w:r w:rsidRPr="00482FAC">
        <w:rPr>
          <w:noProof/>
        </w:rPr>
        <w:t xml:space="preserve">Colling, T. &amp; Terry, M., 2010. In: </w:t>
      </w:r>
      <w:r w:rsidRPr="00482FAC">
        <w:rPr>
          <w:i/>
          <w:iCs/>
          <w:noProof/>
        </w:rPr>
        <w:t xml:space="preserve">Industrial Relations - Theory and Practice . </w:t>
      </w:r>
      <w:r w:rsidRPr="00482FAC">
        <w:rPr>
          <w:noProof/>
        </w:rPr>
        <w:t>London: Wiley-Blackwell, p. 7.</w:t>
      </w:r>
    </w:p>
    <w:p w14:paraId="4DFC75C8" w14:textId="0DC05C32" w:rsidR="00482FAC" w:rsidRDefault="00482FAC" w:rsidP="00482FAC">
      <w:pPr>
        <w:rPr>
          <w:rFonts w:cstheme="minorHAnsi"/>
          <w:shd w:val="clear" w:color="auto" w:fill="FFFFFF"/>
        </w:rPr>
      </w:pPr>
      <w:r w:rsidRPr="00482FAC">
        <w:rPr>
          <w:rFonts w:cstheme="minorHAnsi"/>
          <w:shd w:val="clear" w:color="auto" w:fill="FFFFFF"/>
        </w:rPr>
        <w:t xml:space="preserve">Cradden, C. (2011). Unitarism, Pluralism, Radicalism… and the rest?. </w:t>
      </w:r>
      <w:r w:rsidRPr="00482FAC">
        <w:rPr>
          <w:rStyle w:val="Emphasis"/>
          <w:rFonts w:cstheme="minorHAnsi"/>
          <w:bdr w:val="none" w:sz="0" w:space="0" w:color="auto" w:frame="1"/>
        </w:rPr>
        <w:t>University of Geneva</w:t>
      </w:r>
      <w:r w:rsidRPr="00482FAC">
        <w:rPr>
          <w:rFonts w:cstheme="minorHAnsi"/>
          <w:shd w:val="clear" w:color="auto" w:fill="FFFFFF"/>
        </w:rPr>
        <w:t>, 36(8), pp.1-22.</w:t>
      </w:r>
    </w:p>
    <w:p w14:paraId="279DB46B" w14:textId="3B471CA6" w:rsidR="00B13D02" w:rsidRPr="00482FAC" w:rsidRDefault="00B13D02" w:rsidP="00482FAC">
      <w:pPr>
        <w:rPr>
          <w:rFonts w:cstheme="minorHAnsi"/>
          <w:shd w:val="clear" w:color="auto" w:fill="FFFFFF"/>
        </w:rPr>
      </w:pPr>
      <w:r w:rsidRPr="00B47B0E">
        <w:rPr>
          <w:rFonts w:cstheme="minorHAnsi"/>
          <w:shd w:val="clear" w:color="auto" w:fill="FFFFFF"/>
        </w:rPr>
        <w:t>Daniels, 2019</w:t>
      </w:r>
      <w:r w:rsidR="00B47B0E">
        <w:rPr>
          <w:rFonts w:cstheme="minorHAnsi"/>
          <w:shd w:val="clear" w:color="auto" w:fill="FFFFFF"/>
        </w:rPr>
        <w:t>. Employment Law</w:t>
      </w:r>
      <w:bookmarkStart w:id="0" w:name="_GoBack"/>
      <w:bookmarkEnd w:id="0"/>
      <w:r w:rsidRPr="00B47B0E">
        <w:rPr>
          <w:rFonts w:cstheme="minorHAnsi"/>
          <w:shd w:val="clear" w:color="auto" w:fill="FFFFFF"/>
        </w:rPr>
        <w:t xml:space="preserve"> page 214-219</w:t>
      </w:r>
      <w:r>
        <w:rPr>
          <w:rFonts w:cstheme="minorHAnsi"/>
          <w:shd w:val="clear" w:color="auto" w:fill="FFFFFF"/>
        </w:rPr>
        <w:t xml:space="preserve"> </w:t>
      </w:r>
    </w:p>
    <w:p w14:paraId="693F60D5" w14:textId="77777777" w:rsidR="00482FAC" w:rsidRPr="00482FAC" w:rsidRDefault="00482FAC" w:rsidP="00482FAC">
      <w:pPr>
        <w:rPr>
          <w:rFonts w:cstheme="minorHAnsi"/>
          <w:shd w:val="clear" w:color="auto" w:fill="FFFFFF"/>
        </w:rPr>
      </w:pPr>
      <w:r w:rsidRPr="00482FAC">
        <w:rPr>
          <w:rFonts w:cstheme="minorHAnsi"/>
          <w:shd w:val="clear" w:color="auto" w:fill="FFFFFF"/>
        </w:rPr>
        <w:t xml:space="preserve">George, J.M. &amp; Jones, G.R., (2005). </w:t>
      </w:r>
      <w:r w:rsidRPr="00482FAC">
        <w:rPr>
          <w:rStyle w:val="Emphasis"/>
          <w:rFonts w:cstheme="minorHAnsi"/>
        </w:rPr>
        <w:t>Understanding and Managing Organizational Behavior.</w:t>
      </w:r>
      <w:r w:rsidRPr="00482FAC">
        <w:rPr>
          <w:rFonts w:cstheme="minorHAnsi"/>
          <w:shd w:val="clear" w:color="auto" w:fill="FFFFFF"/>
        </w:rPr>
        <w:t xml:space="preserve"> 4</w:t>
      </w:r>
      <w:r w:rsidRPr="00482FAC">
        <w:rPr>
          <w:rFonts w:cstheme="minorHAnsi"/>
          <w:vertAlign w:val="superscript"/>
        </w:rPr>
        <w:t>th</w:t>
      </w:r>
      <w:r w:rsidRPr="00482FAC">
        <w:rPr>
          <w:rFonts w:cstheme="minorHAnsi"/>
          <w:shd w:val="clear" w:color="auto" w:fill="FFFFFF"/>
        </w:rPr>
        <w:t xml:space="preserve"> ed. New Jersey: Pearson Education/Prentice Hall.</w:t>
      </w:r>
    </w:p>
    <w:p w14:paraId="3F72A9CA" w14:textId="77777777" w:rsidR="00482FAC" w:rsidRPr="00482FAC" w:rsidRDefault="00482FAC" w:rsidP="00482FAC">
      <w:pPr>
        <w:pStyle w:val="Bibliography"/>
        <w:rPr>
          <w:noProof/>
        </w:rPr>
      </w:pPr>
      <w:r w:rsidRPr="00482FAC">
        <w:rPr>
          <w:noProof/>
        </w:rPr>
        <w:t xml:space="preserve">Gov.uk, 2020. </w:t>
      </w:r>
      <w:r w:rsidRPr="00482FAC">
        <w:rPr>
          <w:i/>
          <w:iCs/>
          <w:noProof/>
        </w:rPr>
        <w:t xml:space="preserve">Mediation, Concilliation and Arbitration. </w:t>
      </w:r>
      <w:r w:rsidRPr="00482FAC">
        <w:rPr>
          <w:noProof/>
        </w:rPr>
        <w:t xml:space="preserve">[Online] </w:t>
      </w:r>
      <w:r w:rsidRPr="00482FAC">
        <w:rPr>
          <w:noProof/>
        </w:rPr>
        <w:br/>
        <w:t xml:space="preserve">Available at: </w:t>
      </w:r>
      <w:r w:rsidRPr="00482FAC">
        <w:rPr>
          <w:noProof/>
          <w:u w:val="single"/>
        </w:rPr>
        <w:t>https://www.gov.uk/solve-workplace-dispute/mediation-conciliation-and-arbitration</w:t>
      </w:r>
      <w:r w:rsidRPr="00482FAC">
        <w:rPr>
          <w:noProof/>
        </w:rPr>
        <w:br/>
        <w:t>[Accessed 1 August 2020].</w:t>
      </w:r>
    </w:p>
    <w:p w14:paraId="2CE87F21" w14:textId="77777777" w:rsidR="00482FAC" w:rsidRPr="00482FAC" w:rsidRDefault="00482FAC" w:rsidP="00482FAC">
      <w:pPr>
        <w:rPr>
          <w:rFonts w:cstheme="minorHAnsi"/>
        </w:rPr>
      </w:pPr>
      <w:r w:rsidRPr="00482FAC">
        <w:rPr>
          <w:rFonts w:cstheme="minorHAnsi"/>
        </w:rPr>
        <w:t xml:space="preserve">Ramsay, H (1977) Cycles of Control: worker participation on sociological and historical perspectives. </w:t>
      </w:r>
      <w:r w:rsidRPr="00482FAC">
        <w:rPr>
          <w:rFonts w:cstheme="minorHAnsi"/>
          <w:i/>
          <w:iCs/>
        </w:rPr>
        <w:t>Sociology.</w:t>
      </w:r>
      <w:r w:rsidRPr="00482FAC">
        <w:rPr>
          <w:rFonts w:cstheme="minorHAnsi"/>
        </w:rPr>
        <w:t xml:space="preserve"> Vol 11, no.3. pp481 -586. </w:t>
      </w:r>
    </w:p>
    <w:p w14:paraId="6E61D92C" w14:textId="77777777" w:rsidR="00482FAC" w:rsidRPr="00482FAC" w:rsidRDefault="00482FAC" w:rsidP="00482FAC">
      <w:pPr>
        <w:pStyle w:val="Bibliography"/>
        <w:rPr>
          <w:noProof/>
        </w:rPr>
      </w:pPr>
      <w:r w:rsidRPr="00482FAC">
        <w:rPr>
          <w:noProof/>
        </w:rPr>
        <w:t xml:space="preserve">Scoular, A. &amp; Ibarra, H., 2019. </w:t>
      </w:r>
      <w:r w:rsidRPr="00482FAC">
        <w:rPr>
          <w:i/>
          <w:iCs/>
          <w:noProof/>
        </w:rPr>
        <w:t xml:space="preserve">The Leader as A Coach. </w:t>
      </w:r>
      <w:r w:rsidRPr="00482FAC">
        <w:rPr>
          <w:noProof/>
        </w:rPr>
        <w:t xml:space="preserve">[Online] </w:t>
      </w:r>
      <w:r w:rsidRPr="00482FAC">
        <w:rPr>
          <w:noProof/>
        </w:rPr>
        <w:br/>
        <w:t xml:space="preserve">Available at: </w:t>
      </w:r>
      <w:r w:rsidRPr="00482FAC">
        <w:rPr>
          <w:noProof/>
          <w:u w:val="single"/>
        </w:rPr>
        <w:t>https://hbr.org/2019/11/the-leader-as-coach</w:t>
      </w:r>
      <w:r w:rsidRPr="00482FAC">
        <w:rPr>
          <w:noProof/>
        </w:rPr>
        <w:br/>
        <w:t>[Accessed 19 July 2020].</w:t>
      </w:r>
    </w:p>
    <w:p w14:paraId="3AD55210" w14:textId="77777777" w:rsidR="00482FAC" w:rsidRPr="00482FAC" w:rsidRDefault="00482FAC" w:rsidP="00482FAC">
      <w:pPr>
        <w:pStyle w:val="Bibliography"/>
        <w:rPr>
          <w:noProof/>
        </w:rPr>
      </w:pPr>
      <w:r w:rsidRPr="00482FAC">
        <w:rPr>
          <w:noProof/>
        </w:rPr>
        <w:t xml:space="preserve">Taylor, S. &amp; Woodhams, C., 2016. Studying HRM. In: </w:t>
      </w:r>
      <w:r w:rsidRPr="00482FAC">
        <w:rPr>
          <w:i/>
          <w:iCs/>
          <w:noProof/>
        </w:rPr>
        <w:t xml:space="preserve">Studying Human Resource Management. </w:t>
      </w:r>
      <w:r w:rsidRPr="00482FAC">
        <w:rPr>
          <w:noProof/>
        </w:rPr>
        <w:t>London: CIPD, p. 15.</w:t>
      </w:r>
    </w:p>
    <w:p w14:paraId="24BA0B01" w14:textId="77777777" w:rsidR="00482FAC" w:rsidRPr="00482FAC" w:rsidRDefault="00482FAC" w:rsidP="00482FAC">
      <w:pPr>
        <w:pStyle w:val="Bibliography"/>
        <w:rPr>
          <w:noProof/>
        </w:rPr>
      </w:pPr>
      <w:r w:rsidRPr="00482FAC">
        <w:rPr>
          <w:noProof/>
        </w:rPr>
        <w:t xml:space="preserve">The Telegraph, 2012. </w:t>
      </w:r>
      <w:r w:rsidRPr="00482FAC">
        <w:rPr>
          <w:i/>
          <w:iCs/>
          <w:noProof/>
        </w:rPr>
        <w:t xml:space="preserve">When Is Industrial Action Unlawful. </w:t>
      </w:r>
      <w:r w:rsidRPr="00482FAC">
        <w:rPr>
          <w:noProof/>
        </w:rPr>
        <w:t xml:space="preserve">[Online] </w:t>
      </w:r>
      <w:r w:rsidRPr="00482FAC">
        <w:rPr>
          <w:noProof/>
        </w:rPr>
        <w:br/>
        <w:t xml:space="preserve">Available at: </w:t>
      </w:r>
      <w:r w:rsidRPr="00482FAC">
        <w:rPr>
          <w:noProof/>
          <w:u w:val="single"/>
        </w:rPr>
        <w:t>https://jobs.telegraph.co.uk/article/-when-is-industrial-action-unlawful-/</w:t>
      </w:r>
      <w:r w:rsidRPr="00482FAC">
        <w:rPr>
          <w:noProof/>
        </w:rPr>
        <w:br/>
        <w:t>[Accessed 15 July 2020].</w:t>
      </w:r>
    </w:p>
    <w:p w14:paraId="1044DB04" w14:textId="77777777" w:rsidR="00482FAC" w:rsidRPr="00482FAC" w:rsidRDefault="00482FAC" w:rsidP="00482FAC">
      <w:pPr>
        <w:pStyle w:val="Bibliography"/>
        <w:rPr>
          <w:noProof/>
        </w:rPr>
      </w:pPr>
      <w:r w:rsidRPr="00482FAC">
        <w:rPr>
          <w:noProof/>
        </w:rPr>
        <w:lastRenderedPageBreak/>
        <w:t xml:space="preserve">TUC, 2001. </w:t>
      </w:r>
      <w:r w:rsidRPr="00482FAC">
        <w:rPr>
          <w:i/>
          <w:iCs/>
          <w:noProof/>
        </w:rPr>
        <w:t xml:space="preserve">Partnership Approach to Reduce Stress. </w:t>
      </w:r>
      <w:r w:rsidRPr="00482FAC">
        <w:rPr>
          <w:noProof/>
        </w:rPr>
        <w:t xml:space="preserve">[Online] </w:t>
      </w:r>
      <w:r w:rsidRPr="00482FAC">
        <w:rPr>
          <w:noProof/>
        </w:rPr>
        <w:br/>
        <w:t xml:space="preserve">Available at: </w:t>
      </w:r>
      <w:r w:rsidRPr="00482FAC">
        <w:rPr>
          <w:noProof/>
          <w:u w:val="single"/>
        </w:rPr>
        <w:t>https://www.tuc.org.uk/research-analysis/reports/partnership-approach-reduce-stress</w:t>
      </w:r>
      <w:r w:rsidRPr="00482FAC">
        <w:rPr>
          <w:noProof/>
        </w:rPr>
        <w:br/>
        <w:t>[Accessed 1 August 2020].</w:t>
      </w:r>
    </w:p>
    <w:p w14:paraId="3C92DE07" w14:textId="77777777" w:rsidR="00482FAC" w:rsidRPr="00482FAC" w:rsidRDefault="00482FAC" w:rsidP="00482FAC">
      <w:pPr>
        <w:pStyle w:val="Bibliography"/>
        <w:rPr>
          <w:noProof/>
        </w:rPr>
      </w:pPr>
      <w:r w:rsidRPr="00482FAC">
        <w:rPr>
          <w:noProof/>
        </w:rPr>
        <w:t xml:space="preserve">TUC, 2020. </w:t>
      </w:r>
      <w:r w:rsidRPr="00482FAC">
        <w:rPr>
          <w:i/>
          <w:iCs/>
          <w:noProof/>
        </w:rPr>
        <w:t xml:space="preserve">Workplace Guidance - Industrial Action. </w:t>
      </w:r>
      <w:r w:rsidRPr="00482FAC">
        <w:rPr>
          <w:noProof/>
        </w:rPr>
        <w:t xml:space="preserve">[Online] </w:t>
      </w:r>
      <w:r w:rsidRPr="00482FAC">
        <w:rPr>
          <w:noProof/>
        </w:rPr>
        <w:br/>
        <w:t xml:space="preserve">Available at: </w:t>
      </w:r>
      <w:r w:rsidRPr="00482FAC">
        <w:rPr>
          <w:noProof/>
          <w:u w:val="single"/>
        </w:rPr>
        <w:t>https://www.tuc.org.uk/workplace-guidance/industrial-action</w:t>
      </w:r>
      <w:r w:rsidRPr="00482FAC">
        <w:rPr>
          <w:noProof/>
        </w:rPr>
        <w:br/>
        <w:t>[Accessed 15 July 2020].</w:t>
      </w:r>
    </w:p>
    <w:p w14:paraId="695C8782" w14:textId="77777777" w:rsidR="00482FAC" w:rsidRPr="00482FAC" w:rsidRDefault="00482FAC" w:rsidP="00482FAC">
      <w:pPr>
        <w:rPr>
          <w:rFonts w:cstheme="minorHAnsi"/>
          <w:shd w:val="clear" w:color="auto" w:fill="FFFFFF"/>
        </w:rPr>
      </w:pPr>
      <w:r w:rsidRPr="00482FAC">
        <w:rPr>
          <w:rFonts w:cstheme="minorHAnsi"/>
          <w:shd w:val="clear" w:color="auto" w:fill="FFFFFF"/>
        </w:rPr>
        <w:t xml:space="preserve">Wood, S. and Elliott, R. (1997). A Critical Evaluation of Fox’s Radicalisation of Industrial Relations Theory. </w:t>
      </w:r>
      <w:r w:rsidRPr="00482FAC">
        <w:rPr>
          <w:rStyle w:val="Emphasis"/>
          <w:rFonts w:cstheme="minorHAnsi"/>
          <w:bdr w:val="none" w:sz="0" w:space="0" w:color="auto" w:frame="1"/>
        </w:rPr>
        <w:t>Sociology</w:t>
      </w:r>
      <w:r w:rsidRPr="00482FAC">
        <w:rPr>
          <w:rFonts w:cstheme="minorHAnsi"/>
          <w:shd w:val="clear" w:color="auto" w:fill="FFFFFF"/>
        </w:rPr>
        <w:t>, 11(1), pp.105-125.</w:t>
      </w:r>
    </w:p>
    <w:p w14:paraId="7E7207DB" w14:textId="77777777" w:rsidR="00482FAC" w:rsidRDefault="00482FAC" w:rsidP="00E6578D">
      <w:pPr>
        <w:rPr>
          <w:rFonts w:cstheme="minorHAnsi"/>
        </w:rPr>
      </w:pPr>
    </w:p>
    <w:sectPr w:rsidR="00482FAC">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A334EA" w14:textId="77777777" w:rsidR="00482FAC" w:rsidRDefault="00482FAC" w:rsidP="00482FAC">
      <w:pPr>
        <w:spacing w:after="0" w:line="240" w:lineRule="auto"/>
      </w:pPr>
      <w:r>
        <w:separator/>
      </w:r>
    </w:p>
  </w:endnote>
  <w:endnote w:type="continuationSeparator" w:id="0">
    <w:p w14:paraId="329F16B9" w14:textId="77777777" w:rsidR="00482FAC" w:rsidRDefault="00482FAC" w:rsidP="00482F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8EE4A8" w14:textId="77777777" w:rsidR="00482FAC" w:rsidRDefault="00482FAC" w:rsidP="00482FAC">
      <w:pPr>
        <w:spacing w:after="0" w:line="240" w:lineRule="auto"/>
      </w:pPr>
      <w:r>
        <w:separator/>
      </w:r>
    </w:p>
  </w:footnote>
  <w:footnote w:type="continuationSeparator" w:id="0">
    <w:p w14:paraId="0773525E" w14:textId="77777777" w:rsidR="00482FAC" w:rsidRDefault="00482FAC" w:rsidP="00482F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46AA93" w14:textId="3E35866B" w:rsidR="00482FAC" w:rsidRDefault="00482FAC">
    <w:pPr>
      <w:pStyle w:val="Header"/>
    </w:pPr>
    <w:r>
      <w:t xml:space="preserve">Understanding the Management of Employee Relations </w:t>
    </w:r>
    <w:r>
      <w:tab/>
      <w:t>Student Number 1707444</w:t>
    </w:r>
  </w:p>
  <w:p w14:paraId="14F8BB62" w14:textId="77777777" w:rsidR="00482FAC" w:rsidRDefault="00482F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114D66"/>
    <w:multiLevelType w:val="hybridMultilevel"/>
    <w:tmpl w:val="ED5EE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452259"/>
    <w:multiLevelType w:val="hybridMultilevel"/>
    <w:tmpl w:val="EFDEC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346D36"/>
    <w:multiLevelType w:val="multilevel"/>
    <w:tmpl w:val="FF0AACC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 w15:restartNumberingAfterBreak="0">
    <w:nsid w:val="23D42F69"/>
    <w:multiLevelType w:val="hybridMultilevel"/>
    <w:tmpl w:val="F4EA5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A5618B"/>
    <w:multiLevelType w:val="hybridMultilevel"/>
    <w:tmpl w:val="8EB8A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B5EF4"/>
    <w:multiLevelType w:val="hybridMultilevel"/>
    <w:tmpl w:val="204A1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8C080A"/>
    <w:multiLevelType w:val="hybridMultilevel"/>
    <w:tmpl w:val="DDEAE726"/>
    <w:lvl w:ilvl="0" w:tplc="784C7728">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7455C70"/>
    <w:multiLevelType w:val="hybridMultilevel"/>
    <w:tmpl w:val="089E059C"/>
    <w:lvl w:ilvl="0" w:tplc="0E9485D0">
      <w:start w:val="1"/>
      <w:numFmt w:val="decimal"/>
      <w:lvlText w:val="%1."/>
      <w:lvlJc w:val="left"/>
      <w:pPr>
        <w:ind w:left="720" w:hanging="360"/>
      </w:pPr>
      <w:rPr>
        <w:rFonts w:cs="Arial" w:hint="default"/>
        <w:sz w:val="2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480CE1"/>
    <w:multiLevelType w:val="hybridMultilevel"/>
    <w:tmpl w:val="829AC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302CAF"/>
    <w:multiLevelType w:val="hybridMultilevel"/>
    <w:tmpl w:val="52641D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514103EB"/>
    <w:multiLevelType w:val="hybridMultilevel"/>
    <w:tmpl w:val="08A60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037D36"/>
    <w:multiLevelType w:val="hybridMultilevel"/>
    <w:tmpl w:val="F766B4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00B5209"/>
    <w:multiLevelType w:val="hybridMultilevel"/>
    <w:tmpl w:val="0F8E1BB2"/>
    <w:lvl w:ilvl="0" w:tplc="08090011">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08E6F90"/>
    <w:multiLevelType w:val="hybridMultilevel"/>
    <w:tmpl w:val="6ACA3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1C3258"/>
    <w:multiLevelType w:val="hybridMultilevel"/>
    <w:tmpl w:val="54E8A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AB752D"/>
    <w:multiLevelType w:val="hybridMultilevel"/>
    <w:tmpl w:val="9C609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C35854"/>
    <w:multiLevelType w:val="hybridMultilevel"/>
    <w:tmpl w:val="A6C8C15A"/>
    <w:lvl w:ilvl="0" w:tplc="08090001">
      <w:start w:val="1"/>
      <w:numFmt w:val="bullet"/>
      <w:lvlText w:val=""/>
      <w:lvlJc w:val="left"/>
      <w:pPr>
        <w:ind w:left="1800" w:hanging="360"/>
      </w:pPr>
      <w:rPr>
        <w:rFonts w:ascii="Symbol" w:hAnsi="Symbol" w:hint="default"/>
      </w:r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7" w15:restartNumberingAfterBreak="0">
    <w:nsid w:val="7E8C1A5B"/>
    <w:multiLevelType w:val="hybridMultilevel"/>
    <w:tmpl w:val="B76C5D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9"/>
  </w:num>
  <w:num w:numId="3">
    <w:abstractNumId w:val="16"/>
  </w:num>
  <w:num w:numId="4">
    <w:abstractNumId w:val="6"/>
  </w:num>
  <w:num w:numId="5">
    <w:abstractNumId w:val="2"/>
  </w:num>
  <w:num w:numId="6">
    <w:abstractNumId w:val="0"/>
  </w:num>
  <w:num w:numId="7">
    <w:abstractNumId w:val="8"/>
  </w:num>
  <w:num w:numId="8">
    <w:abstractNumId w:val="14"/>
  </w:num>
  <w:num w:numId="9">
    <w:abstractNumId w:val="13"/>
  </w:num>
  <w:num w:numId="10">
    <w:abstractNumId w:val="10"/>
  </w:num>
  <w:num w:numId="11">
    <w:abstractNumId w:val="3"/>
  </w:num>
  <w:num w:numId="12">
    <w:abstractNumId w:val="4"/>
  </w:num>
  <w:num w:numId="13">
    <w:abstractNumId w:val="12"/>
  </w:num>
  <w:num w:numId="14">
    <w:abstractNumId w:val="17"/>
  </w:num>
  <w:num w:numId="15">
    <w:abstractNumId w:val="11"/>
  </w:num>
  <w:num w:numId="16">
    <w:abstractNumId w:val="1"/>
  </w:num>
  <w:num w:numId="17">
    <w:abstractNumId w:val="5"/>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FBB"/>
    <w:rsid w:val="000A48DA"/>
    <w:rsid w:val="000C2FBB"/>
    <w:rsid w:val="000E36D7"/>
    <w:rsid w:val="00110761"/>
    <w:rsid w:val="0011624D"/>
    <w:rsid w:val="00157170"/>
    <w:rsid w:val="001810F9"/>
    <w:rsid w:val="001D7FAD"/>
    <w:rsid w:val="002161C8"/>
    <w:rsid w:val="002E3A51"/>
    <w:rsid w:val="00343F17"/>
    <w:rsid w:val="00354EE2"/>
    <w:rsid w:val="00364116"/>
    <w:rsid w:val="003C7C05"/>
    <w:rsid w:val="003D3356"/>
    <w:rsid w:val="004556EF"/>
    <w:rsid w:val="00482FAC"/>
    <w:rsid w:val="004C0384"/>
    <w:rsid w:val="00507A13"/>
    <w:rsid w:val="0054551A"/>
    <w:rsid w:val="005B04B6"/>
    <w:rsid w:val="005C05E1"/>
    <w:rsid w:val="0061250A"/>
    <w:rsid w:val="0062667C"/>
    <w:rsid w:val="006C2919"/>
    <w:rsid w:val="006C4D23"/>
    <w:rsid w:val="0076269D"/>
    <w:rsid w:val="007C4CDD"/>
    <w:rsid w:val="007D006D"/>
    <w:rsid w:val="007F4745"/>
    <w:rsid w:val="00805C30"/>
    <w:rsid w:val="00835CE0"/>
    <w:rsid w:val="00837400"/>
    <w:rsid w:val="008405F9"/>
    <w:rsid w:val="008A20C8"/>
    <w:rsid w:val="008E2139"/>
    <w:rsid w:val="008E4CD8"/>
    <w:rsid w:val="009546F5"/>
    <w:rsid w:val="00A302B6"/>
    <w:rsid w:val="00A320EB"/>
    <w:rsid w:val="00A74846"/>
    <w:rsid w:val="00A927B0"/>
    <w:rsid w:val="00AA024B"/>
    <w:rsid w:val="00AD2C7A"/>
    <w:rsid w:val="00B13D02"/>
    <w:rsid w:val="00B47B0E"/>
    <w:rsid w:val="00BA08E4"/>
    <w:rsid w:val="00BB04E8"/>
    <w:rsid w:val="00BC783B"/>
    <w:rsid w:val="00BD5ECF"/>
    <w:rsid w:val="00BF46B6"/>
    <w:rsid w:val="00CB5DB8"/>
    <w:rsid w:val="00CD1BA0"/>
    <w:rsid w:val="00CE7218"/>
    <w:rsid w:val="00D069EA"/>
    <w:rsid w:val="00D73F40"/>
    <w:rsid w:val="00DC278B"/>
    <w:rsid w:val="00DC2FAA"/>
    <w:rsid w:val="00E341E9"/>
    <w:rsid w:val="00E6578D"/>
    <w:rsid w:val="00F17DFE"/>
    <w:rsid w:val="00F21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18F05"/>
  <w15:chartTrackingRefBased/>
  <w15:docId w15:val="{3218DFC1-DB3F-44CE-BC75-E22597A90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F46B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2FBB"/>
    <w:pPr>
      <w:ind w:left="720"/>
      <w:contextualSpacing/>
    </w:pPr>
  </w:style>
  <w:style w:type="character" w:styleId="Emphasis">
    <w:name w:val="Emphasis"/>
    <w:basedOn w:val="DefaultParagraphFont"/>
    <w:uiPriority w:val="20"/>
    <w:qFormat/>
    <w:rsid w:val="00E6578D"/>
    <w:rPr>
      <w:i/>
      <w:iCs/>
    </w:rPr>
  </w:style>
  <w:style w:type="paragraph" w:styleId="NormalWeb">
    <w:name w:val="Normal (Web)"/>
    <w:basedOn w:val="Normal"/>
    <w:uiPriority w:val="99"/>
    <w:unhideWhenUsed/>
    <w:rsid w:val="003C7C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556EF"/>
    <w:rPr>
      <w:color w:val="0000FF" w:themeColor="hyperlink"/>
      <w:u w:val="single"/>
    </w:rPr>
  </w:style>
  <w:style w:type="character" w:styleId="UnresolvedMention">
    <w:name w:val="Unresolved Mention"/>
    <w:basedOn w:val="DefaultParagraphFont"/>
    <w:uiPriority w:val="99"/>
    <w:semiHidden/>
    <w:unhideWhenUsed/>
    <w:rsid w:val="004556EF"/>
    <w:rPr>
      <w:color w:val="605E5C"/>
      <w:shd w:val="clear" w:color="auto" w:fill="E1DFDD"/>
    </w:rPr>
  </w:style>
  <w:style w:type="character" w:customStyle="1" w:styleId="Heading1Char">
    <w:name w:val="Heading 1 Char"/>
    <w:basedOn w:val="DefaultParagraphFont"/>
    <w:link w:val="Heading1"/>
    <w:uiPriority w:val="9"/>
    <w:rsid w:val="00BF46B6"/>
    <w:rPr>
      <w:rFonts w:ascii="Times New Roman" w:eastAsia="Times New Roman" w:hAnsi="Times New Roman" w:cs="Times New Roman"/>
      <w:b/>
      <w:bCs/>
      <w:kern w:val="36"/>
      <w:sz w:val="48"/>
      <w:szCs w:val="48"/>
      <w:lang w:eastAsia="en-GB"/>
    </w:rPr>
  </w:style>
  <w:style w:type="paragraph" w:customStyle="1" w:styleId="author">
    <w:name w:val="author"/>
    <w:basedOn w:val="Normal"/>
    <w:rsid w:val="00BF46B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4C0384"/>
    <w:pPr>
      <w:spacing w:after="0" w:line="240" w:lineRule="auto"/>
    </w:pPr>
  </w:style>
  <w:style w:type="paragraph" w:styleId="Bibliography">
    <w:name w:val="Bibliography"/>
    <w:basedOn w:val="Normal"/>
    <w:next w:val="Normal"/>
    <w:uiPriority w:val="37"/>
    <w:unhideWhenUsed/>
    <w:rsid w:val="00482FAC"/>
  </w:style>
  <w:style w:type="paragraph" w:styleId="Header">
    <w:name w:val="header"/>
    <w:basedOn w:val="Normal"/>
    <w:link w:val="HeaderChar"/>
    <w:uiPriority w:val="99"/>
    <w:unhideWhenUsed/>
    <w:rsid w:val="00482F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2FAC"/>
  </w:style>
  <w:style w:type="paragraph" w:styleId="Footer">
    <w:name w:val="footer"/>
    <w:basedOn w:val="Normal"/>
    <w:link w:val="FooterChar"/>
    <w:uiPriority w:val="99"/>
    <w:unhideWhenUsed/>
    <w:rsid w:val="00482F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F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756473">
      <w:bodyDiv w:val="1"/>
      <w:marLeft w:val="0"/>
      <w:marRight w:val="0"/>
      <w:marTop w:val="0"/>
      <w:marBottom w:val="0"/>
      <w:divBdr>
        <w:top w:val="none" w:sz="0" w:space="0" w:color="auto"/>
        <w:left w:val="none" w:sz="0" w:space="0" w:color="auto"/>
        <w:bottom w:val="none" w:sz="0" w:space="0" w:color="auto"/>
        <w:right w:val="none" w:sz="0" w:space="0" w:color="auto"/>
      </w:divBdr>
    </w:div>
    <w:div w:id="336808860">
      <w:bodyDiv w:val="1"/>
      <w:marLeft w:val="0"/>
      <w:marRight w:val="0"/>
      <w:marTop w:val="0"/>
      <w:marBottom w:val="0"/>
      <w:divBdr>
        <w:top w:val="none" w:sz="0" w:space="0" w:color="auto"/>
        <w:left w:val="none" w:sz="0" w:space="0" w:color="auto"/>
        <w:bottom w:val="none" w:sz="0" w:space="0" w:color="auto"/>
        <w:right w:val="none" w:sz="0" w:space="0" w:color="auto"/>
      </w:divBdr>
    </w:div>
    <w:div w:id="467013175">
      <w:bodyDiv w:val="1"/>
      <w:marLeft w:val="0"/>
      <w:marRight w:val="0"/>
      <w:marTop w:val="0"/>
      <w:marBottom w:val="0"/>
      <w:divBdr>
        <w:top w:val="none" w:sz="0" w:space="0" w:color="auto"/>
        <w:left w:val="none" w:sz="0" w:space="0" w:color="auto"/>
        <w:bottom w:val="none" w:sz="0" w:space="0" w:color="auto"/>
        <w:right w:val="none" w:sz="0" w:space="0" w:color="auto"/>
      </w:divBdr>
    </w:div>
    <w:div w:id="468745973">
      <w:bodyDiv w:val="1"/>
      <w:marLeft w:val="0"/>
      <w:marRight w:val="0"/>
      <w:marTop w:val="0"/>
      <w:marBottom w:val="0"/>
      <w:divBdr>
        <w:top w:val="none" w:sz="0" w:space="0" w:color="auto"/>
        <w:left w:val="none" w:sz="0" w:space="0" w:color="auto"/>
        <w:bottom w:val="none" w:sz="0" w:space="0" w:color="auto"/>
        <w:right w:val="none" w:sz="0" w:space="0" w:color="auto"/>
      </w:divBdr>
    </w:div>
    <w:div w:id="752707757">
      <w:bodyDiv w:val="1"/>
      <w:marLeft w:val="0"/>
      <w:marRight w:val="0"/>
      <w:marTop w:val="0"/>
      <w:marBottom w:val="0"/>
      <w:divBdr>
        <w:top w:val="none" w:sz="0" w:space="0" w:color="auto"/>
        <w:left w:val="none" w:sz="0" w:space="0" w:color="auto"/>
        <w:bottom w:val="none" w:sz="0" w:space="0" w:color="auto"/>
        <w:right w:val="none" w:sz="0" w:space="0" w:color="auto"/>
      </w:divBdr>
    </w:div>
    <w:div w:id="869420802">
      <w:bodyDiv w:val="1"/>
      <w:marLeft w:val="0"/>
      <w:marRight w:val="0"/>
      <w:marTop w:val="0"/>
      <w:marBottom w:val="0"/>
      <w:divBdr>
        <w:top w:val="none" w:sz="0" w:space="0" w:color="auto"/>
        <w:left w:val="none" w:sz="0" w:space="0" w:color="auto"/>
        <w:bottom w:val="none" w:sz="0" w:space="0" w:color="auto"/>
        <w:right w:val="none" w:sz="0" w:space="0" w:color="auto"/>
      </w:divBdr>
    </w:div>
    <w:div w:id="989136417">
      <w:bodyDiv w:val="1"/>
      <w:marLeft w:val="0"/>
      <w:marRight w:val="0"/>
      <w:marTop w:val="0"/>
      <w:marBottom w:val="0"/>
      <w:divBdr>
        <w:top w:val="none" w:sz="0" w:space="0" w:color="auto"/>
        <w:left w:val="none" w:sz="0" w:space="0" w:color="auto"/>
        <w:bottom w:val="none" w:sz="0" w:space="0" w:color="auto"/>
        <w:right w:val="none" w:sz="0" w:space="0" w:color="auto"/>
      </w:divBdr>
      <w:divsChild>
        <w:div w:id="1780297743">
          <w:marLeft w:val="0"/>
          <w:marRight w:val="0"/>
          <w:marTop w:val="0"/>
          <w:marBottom w:val="270"/>
          <w:divBdr>
            <w:top w:val="none" w:sz="0" w:space="0" w:color="auto"/>
            <w:left w:val="none" w:sz="0" w:space="0" w:color="auto"/>
            <w:bottom w:val="none" w:sz="0" w:space="0" w:color="auto"/>
            <w:right w:val="none" w:sz="0" w:space="0" w:color="auto"/>
          </w:divBdr>
        </w:div>
      </w:divsChild>
    </w:div>
    <w:div w:id="1089041956">
      <w:bodyDiv w:val="1"/>
      <w:marLeft w:val="0"/>
      <w:marRight w:val="0"/>
      <w:marTop w:val="0"/>
      <w:marBottom w:val="0"/>
      <w:divBdr>
        <w:top w:val="none" w:sz="0" w:space="0" w:color="auto"/>
        <w:left w:val="none" w:sz="0" w:space="0" w:color="auto"/>
        <w:bottom w:val="none" w:sz="0" w:space="0" w:color="auto"/>
        <w:right w:val="none" w:sz="0" w:space="0" w:color="auto"/>
      </w:divBdr>
    </w:div>
    <w:div w:id="1208418812">
      <w:bodyDiv w:val="1"/>
      <w:marLeft w:val="0"/>
      <w:marRight w:val="0"/>
      <w:marTop w:val="0"/>
      <w:marBottom w:val="0"/>
      <w:divBdr>
        <w:top w:val="none" w:sz="0" w:space="0" w:color="auto"/>
        <w:left w:val="none" w:sz="0" w:space="0" w:color="auto"/>
        <w:bottom w:val="none" w:sz="0" w:space="0" w:color="auto"/>
        <w:right w:val="none" w:sz="0" w:space="0" w:color="auto"/>
      </w:divBdr>
    </w:div>
    <w:div w:id="1257708047">
      <w:bodyDiv w:val="1"/>
      <w:marLeft w:val="0"/>
      <w:marRight w:val="0"/>
      <w:marTop w:val="0"/>
      <w:marBottom w:val="0"/>
      <w:divBdr>
        <w:top w:val="none" w:sz="0" w:space="0" w:color="auto"/>
        <w:left w:val="none" w:sz="0" w:space="0" w:color="auto"/>
        <w:bottom w:val="none" w:sz="0" w:space="0" w:color="auto"/>
        <w:right w:val="none" w:sz="0" w:space="0" w:color="auto"/>
      </w:divBdr>
    </w:div>
    <w:div w:id="1292133015">
      <w:bodyDiv w:val="1"/>
      <w:marLeft w:val="0"/>
      <w:marRight w:val="0"/>
      <w:marTop w:val="0"/>
      <w:marBottom w:val="0"/>
      <w:divBdr>
        <w:top w:val="none" w:sz="0" w:space="0" w:color="auto"/>
        <w:left w:val="none" w:sz="0" w:space="0" w:color="auto"/>
        <w:bottom w:val="none" w:sz="0" w:space="0" w:color="auto"/>
        <w:right w:val="none" w:sz="0" w:space="0" w:color="auto"/>
      </w:divBdr>
    </w:div>
    <w:div w:id="1573276059">
      <w:bodyDiv w:val="1"/>
      <w:marLeft w:val="0"/>
      <w:marRight w:val="0"/>
      <w:marTop w:val="0"/>
      <w:marBottom w:val="0"/>
      <w:divBdr>
        <w:top w:val="none" w:sz="0" w:space="0" w:color="auto"/>
        <w:left w:val="none" w:sz="0" w:space="0" w:color="auto"/>
        <w:bottom w:val="none" w:sz="0" w:space="0" w:color="auto"/>
        <w:right w:val="none" w:sz="0" w:space="0" w:color="auto"/>
      </w:divBdr>
    </w:div>
    <w:div w:id="1690645668">
      <w:bodyDiv w:val="1"/>
      <w:marLeft w:val="0"/>
      <w:marRight w:val="0"/>
      <w:marTop w:val="0"/>
      <w:marBottom w:val="0"/>
      <w:divBdr>
        <w:top w:val="none" w:sz="0" w:space="0" w:color="auto"/>
        <w:left w:val="none" w:sz="0" w:space="0" w:color="auto"/>
        <w:bottom w:val="none" w:sz="0" w:space="0" w:color="auto"/>
        <w:right w:val="none" w:sz="0" w:space="0" w:color="auto"/>
      </w:divBdr>
    </w:div>
    <w:div w:id="1783918080">
      <w:bodyDiv w:val="1"/>
      <w:marLeft w:val="0"/>
      <w:marRight w:val="0"/>
      <w:marTop w:val="0"/>
      <w:marBottom w:val="0"/>
      <w:divBdr>
        <w:top w:val="none" w:sz="0" w:space="0" w:color="auto"/>
        <w:left w:val="none" w:sz="0" w:space="0" w:color="auto"/>
        <w:bottom w:val="none" w:sz="0" w:space="0" w:color="auto"/>
        <w:right w:val="none" w:sz="0" w:space="0" w:color="auto"/>
      </w:divBdr>
    </w:div>
    <w:div w:id="1881428748">
      <w:bodyDiv w:val="1"/>
      <w:marLeft w:val="0"/>
      <w:marRight w:val="0"/>
      <w:marTop w:val="0"/>
      <w:marBottom w:val="0"/>
      <w:divBdr>
        <w:top w:val="none" w:sz="0" w:space="0" w:color="auto"/>
        <w:left w:val="none" w:sz="0" w:space="0" w:color="auto"/>
        <w:bottom w:val="none" w:sz="0" w:space="0" w:color="auto"/>
        <w:right w:val="none" w:sz="0" w:space="0" w:color="auto"/>
      </w:divBdr>
    </w:div>
    <w:div w:id="214060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Tay161</b:Tag>
    <b:SourceType>BookSection</b:SourceType>
    <b:Guid>{EE4528A8-0273-485A-B167-20BCD115B686}</b:Guid>
    <b:Title>Studying HRM</b:Title>
    <b:Year>2016</b:Year>
    <b:City>London</b:City>
    <b:Publisher>CIPD</b:Publisher>
    <b:Author>
      <b:Author>
        <b:NameList>
          <b:Person>
            <b:Last>Taylor</b:Last>
            <b:First>S.</b:First>
          </b:Person>
          <b:Person>
            <b:Last>Woodhams</b:Last>
            <b:First>C</b:First>
          </b:Person>
        </b:NameList>
      </b:Author>
    </b:Author>
    <b:BookTitle>Studying Human Resource Management</b:BookTitle>
    <b:Pages>15</b:Pages>
    <b:RefOrder>1</b:RefOrder>
  </b:Source>
  <b:Source>
    <b:Tag>TUC20</b:Tag>
    <b:SourceType>InternetSite</b:SourceType>
    <b:Guid>{9905503C-9464-4231-BE1C-F4F79491D349}</b:Guid>
    <b:Title>Workplace Guidance - Industrial Action </b:Title>
    <b:Year>2020</b:Year>
    <b:Author>
      <b:Author>
        <b:NameList>
          <b:Person>
            <b:Last>TUC</b:Last>
          </b:Person>
        </b:NameList>
      </b:Author>
    </b:Author>
    <b:YearAccessed>2020</b:YearAccessed>
    <b:MonthAccessed>July </b:MonthAccessed>
    <b:DayAccessed>15</b:DayAccessed>
    <b:URL>https://www.tuc.org.uk/workplace-guidance/industrial-action</b:URL>
    <b:RefOrder>2</b:RefOrder>
  </b:Source>
  <b:Source>
    <b:Tag>The12</b:Tag>
    <b:SourceType>InternetSite</b:SourceType>
    <b:Guid>{29979AB5-A113-46B2-B666-15001039FC7C}</b:Guid>
    <b:Author>
      <b:Author>
        <b:Corporate>The Telegraph</b:Corporate>
      </b:Author>
    </b:Author>
    <b:Title>When Is Industrial Action Unlawful </b:Title>
    <b:Year>2012</b:Year>
    <b:YearAccessed>2020</b:YearAccessed>
    <b:MonthAccessed>July </b:MonthAccessed>
    <b:DayAccessed>15 </b:DayAccessed>
    <b:URL>https://jobs.telegraph.co.uk/article/-when-is-industrial-action-unlawful-/</b:URL>
    <b:RefOrder>3</b:RefOrder>
  </b:Source>
  <b:Source>
    <b:Tag>Gov20</b:Tag>
    <b:SourceType>InternetSite</b:SourceType>
    <b:Guid>{F1159A42-54D5-46D6-BCA5-F2883948DDFF}</b:Guid>
    <b:Author>
      <b:Author>
        <b:Corporate>Gov.uk</b:Corporate>
      </b:Author>
    </b:Author>
    <b:Title>Mediation, Concilliation and Arbitration </b:Title>
    <b:Year>2020</b:Year>
    <b:YearAccessed>2020</b:YearAccessed>
    <b:MonthAccessed>August </b:MonthAccessed>
    <b:DayAccessed>1</b:DayAccessed>
    <b:URL>https://www.gov.uk/solve-workplace-dispute/mediation-conciliation-and-arbitration</b:URL>
    <b:RefOrder>4</b:RefOrder>
  </b:Source>
  <b:Source>
    <b:Tag>CIP12</b:Tag>
    <b:SourceType>DocumentFromInternetSite</b:SourceType>
    <b:Guid>{C941FCC3-FC60-49B7-865B-CE4AB0C6B18D}</b:Guid>
    <b:Title>Podcast 6 - Employee Engagement </b:Title>
    <b:Year>2012</b:Year>
    <b:YearAccessed>2020</b:YearAccessed>
    <b:MonthAccessed>July </b:MonthAccessed>
    <b:DayAccessed>20</b:DayAccessed>
    <b:URL>https://soundcloud.com/cipd/podcast-6-employee-engagement </b:URL>
    <b:Author>
      <b:Composer>
        <b:NameList>
          <b:Person>
            <b:Last>CIPD</b:Last>
          </b:Person>
        </b:NameList>
      </b:Composer>
      <b:Author>
        <b:Corporate>CIPD</b:Corporate>
      </b:Author>
    </b:Author>
    <b:RefOrder>5</b:RefOrder>
  </b:Source>
  <b:Source>
    <b:Tag>CIP121</b:Tag>
    <b:SourceType>Report</b:SourceType>
    <b:Guid>{0922A10D-E34E-485C-8F0A-AF8B7D5DE786}</b:Guid>
    <b:Title>Survey Report</b:Title>
    <b:Year>2012</b:Year>
    <b:Author>
      <b:Author>
        <b:Corporate>CIPD</b:Corporate>
      </b:Author>
    </b:Author>
    <b:Publisher>CIPD</b:Publisher>
    <b:City>London</b:City>
    <b:RefOrder>6</b:RefOrder>
  </b:Source>
  <b:Source>
    <b:Tag>TUC01</b:Tag>
    <b:SourceType>InternetSite</b:SourceType>
    <b:Guid>{FDC8C8DC-AE4B-49DE-BB99-F617CE2F0C76}</b:Guid>
    <b:Title>Partnership Approach to Reduce Stress</b:Title>
    <b:Year>2001</b:Year>
    <b:Author>
      <b:Author>
        <b:Corporate>TUC</b:Corporate>
      </b:Author>
    </b:Author>
    <b:YearAccessed>2020</b:YearAccessed>
    <b:MonthAccessed>August </b:MonthAccessed>
    <b:DayAccessed>1</b:DayAccessed>
    <b:URL>https://www.tuc.org.uk/research-analysis/reports/partnership-approach-reduce-stress</b:URL>
    <b:RefOrder>7</b:RefOrder>
  </b:Source>
  <b:Source>
    <b:Tag>Sco19</b:Tag>
    <b:SourceType>InternetSite</b:SourceType>
    <b:Guid>{1644BAE8-309A-44D2-B247-D44C89413EA1}</b:Guid>
    <b:Author>
      <b:Author>
        <b:NameList>
          <b:Person>
            <b:Last>Scoular</b:Last>
            <b:First>A</b:First>
          </b:Person>
          <b:Person>
            <b:Last>Ibarra</b:Last>
            <b:First>H</b:First>
          </b:Person>
        </b:NameList>
      </b:Author>
    </b:Author>
    <b:Title>The Leader as A Coach </b:Title>
    <b:Year>2019</b:Year>
    <b:YearAccessed>2020</b:YearAccessed>
    <b:MonthAccessed>July </b:MonthAccessed>
    <b:DayAccessed>19</b:DayAccessed>
    <b:URL>https://hbr.org/2019/11/the-leader-as-coach</b:URL>
    <b:RefOrder>8</b:RefOrder>
  </b:Source>
  <b:Source>
    <b:Tag>CIP20</b:Tag>
    <b:SourceType>InternetSite</b:SourceType>
    <b:Guid>{019A96E2-BABD-4FFF-87B8-5AE138F73590}</b:Guid>
    <b:Author>
      <b:Author>
        <b:Corporate>CIPD</b:Corporate>
      </b:Author>
    </b:Author>
    <b:Title>Employee Voice Factsheet </b:Title>
    <b:Year>2020</b:Year>
    <b:YearAccessed>2020</b:YearAccessed>
    <b:MonthAccessed>August</b:MonthAccessed>
    <b:DayAccessed>1</b:DayAccessed>
    <b:URL>https://www.cipd.co.uk/knowledge/fundamentals/relations/communication/voice-factsheet</b:URL>
    <b:RefOrder>9</b:RefOrder>
  </b:Source>
  <b:Source>
    <b:Tag>ACA18</b:Tag>
    <b:SourceType>InternetSite</b:SourceType>
    <b:Guid>{B63988AC-A89D-4DCA-B241-483161020DDA}</b:Guid>
    <b:Author>
      <b:Author>
        <b:Corporate>ACAS</b:Corporate>
      </b:Author>
    </b:Author>
    <b:Title>Employee Communications and Consultation </b:Title>
    <b:Year>2018</b:Year>
    <b:YearAccessed>2020</b:YearAccessed>
    <b:MonthAccessed>August </b:MonthAccessed>
    <b:DayAccessed>2</b:DayAccessed>
    <b:URL>https://archive.acas.org.uk/index.aspx?articleid=663#:~:text=Consultation%20involves%20managers%20actively%20seeking,the%20responsibilities%20of%20those%20involved.</b:URL>
    <b:RefOrder>10</b:RefOrder>
  </b:Source>
  <b:Source>
    <b:Tag>Col10</b:Tag>
    <b:SourceType>BookSection</b:SourceType>
    <b:Guid>{6C123EAB-2F01-48F2-886E-DB727E06711D}</b:Guid>
    <b:Year>2010</b:Year>
    <b:Author>
      <b:Author>
        <b:NameList>
          <b:Person>
            <b:Last>Colling</b:Last>
            <b:First>T</b:First>
          </b:Person>
          <b:Person>
            <b:Last>Terry</b:Last>
            <b:First>M</b:First>
          </b:Person>
        </b:NameList>
      </b:Author>
    </b:Author>
    <b:BookTitle>Industrial Relations - Theory and Practice </b:BookTitle>
    <b:Pages>7</b:Pages>
    <b:City>London</b:City>
    <b:Publisher>Wiley-Blackwell</b:Publisher>
    <b:RefOrder>11</b:RefOrder>
  </b:Source>
</b:Sources>
</file>

<file path=customXml/itemProps1.xml><?xml version="1.0" encoding="utf-8"?>
<ds:datastoreItem xmlns:ds="http://schemas.openxmlformats.org/officeDocument/2006/customXml" ds:itemID="{14736164-73F9-41E5-8493-0ABDB106E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4718</TotalTime>
  <Pages>7</Pages>
  <Words>2815</Words>
  <Characters>16047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Evans</dc:creator>
  <cp:keywords/>
  <dc:description/>
  <cp:lastModifiedBy>Victoria Evans</cp:lastModifiedBy>
  <cp:revision>58</cp:revision>
  <dcterms:created xsi:type="dcterms:W3CDTF">2020-05-16T10:57:00Z</dcterms:created>
  <dcterms:modified xsi:type="dcterms:W3CDTF">2020-08-27T17:37:00Z</dcterms:modified>
</cp:coreProperties>
</file>