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150612">
      <w:pPr>
        <w:rPr>
          <w:sz w:val="96"/>
          <w:szCs w:val="96"/>
        </w:rPr>
      </w:pPr>
    </w:p>
    <w:p w14:paraId="3C9844F3" w14:textId="5D7E78AE" w:rsidR="00BA3A50" w:rsidRDefault="00BA3A50" w:rsidP="00301299">
      <w:pPr>
        <w:jc w:val="center"/>
        <w:rPr>
          <w:sz w:val="96"/>
          <w:szCs w:val="96"/>
        </w:rPr>
      </w:pPr>
      <w:r>
        <w:rPr>
          <w:sz w:val="96"/>
          <w:szCs w:val="96"/>
        </w:rPr>
        <w:t xml:space="preserve">Analytical </w:t>
      </w:r>
      <w:r w:rsidR="0025202E">
        <w:rPr>
          <w:sz w:val="96"/>
          <w:szCs w:val="96"/>
        </w:rPr>
        <w:t>assessment of engine internal components</w:t>
      </w:r>
    </w:p>
    <w:p w14:paraId="50046D85" w14:textId="027F5E9E" w:rsidR="00301299" w:rsidRDefault="0025202E" w:rsidP="00301299">
      <w:pPr>
        <w:jc w:val="center"/>
        <w:rPr>
          <w:sz w:val="32"/>
          <w:szCs w:val="32"/>
        </w:rPr>
      </w:pPr>
      <w:r>
        <w:rPr>
          <w:sz w:val="36"/>
          <w:szCs w:val="36"/>
        </w:rPr>
        <w:t xml:space="preserve">Contemporary Powertrain Design </w:t>
      </w:r>
    </w:p>
    <w:p w14:paraId="22892D1A" w14:textId="412BB746" w:rsidR="00301299" w:rsidRDefault="000E138E" w:rsidP="00301299">
      <w:pPr>
        <w:jc w:val="center"/>
        <w:rPr>
          <w:sz w:val="40"/>
          <w:szCs w:val="40"/>
        </w:rPr>
      </w:pPr>
      <w:r>
        <w:rPr>
          <w:sz w:val="32"/>
          <w:szCs w:val="32"/>
        </w:rPr>
        <w:t xml:space="preserve">Scott Holden </w:t>
      </w:r>
    </w:p>
    <w:p w14:paraId="6BFE1304" w14:textId="6673E2AD" w:rsidR="00301299" w:rsidRDefault="000E138E" w:rsidP="00301299">
      <w:pPr>
        <w:jc w:val="center"/>
      </w:pPr>
      <w:r>
        <w:rPr>
          <w:sz w:val="24"/>
          <w:szCs w:val="24"/>
        </w:rPr>
        <w:t>2200027</w:t>
      </w:r>
    </w:p>
    <w:p w14:paraId="5E3CE57E" w14:textId="7B402C58" w:rsidR="000E138E" w:rsidRDefault="00855CA4" w:rsidP="000E138E">
      <w:pPr>
        <w:jc w:val="center"/>
        <w:sectPr w:rsidR="000E138E" w:rsidSect="00102CB1">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t>March</w:t>
      </w:r>
      <w:r w:rsidR="007E472B">
        <w:t xml:space="preserve"> 202</w:t>
      </w:r>
    </w:p>
    <w:p w14:paraId="622A0EBC" w14:textId="473FF253" w:rsidR="0004542F" w:rsidRDefault="0004542F" w:rsidP="007340D0"/>
    <w:sdt>
      <w:sdtPr>
        <w:rPr>
          <w:rFonts w:asciiTheme="minorHAnsi" w:eastAsiaTheme="minorHAnsi" w:hAnsiTheme="minorHAnsi" w:cstheme="minorBidi"/>
          <w:color w:val="auto"/>
          <w:sz w:val="22"/>
          <w:szCs w:val="22"/>
          <w:lang w:val="en-GB"/>
        </w:rPr>
        <w:id w:val="1433777948"/>
        <w:docPartObj>
          <w:docPartGallery w:val="Table of Contents"/>
          <w:docPartUnique/>
        </w:docPartObj>
      </w:sdtPr>
      <w:sdtEndPr>
        <w:rPr>
          <w:b/>
          <w:bCs/>
          <w:noProof/>
        </w:rPr>
      </w:sdtEndPr>
      <w:sdtContent>
        <w:p w14:paraId="00444D33" w14:textId="4E3A3973" w:rsidR="006D6CF4" w:rsidRDefault="006D6CF4">
          <w:pPr>
            <w:pStyle w:val="TOCHeading"/>
          </w:pPr>
          <w:r>
            <w:t>Contents</w:t>
          </w:r>
        </w:p>
        <w:p w14:paraId="242F9AFD" w14:textId="049A3EAE" w:rsidR="006D6CF4" w:rsidRDefault="006D6CF4">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5003681" w:history="1">
            <w:r w:rsidRPr="00C15B16">
              <w:rPr>
                <w:rStyle w:val="Hyperlink"/>
                <w:noProof/>
              </w:rPr>
              <w:t>1.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w:t>
            </w:r>
            <w:r>
              <w:rPr>
                <w:rFonts w:hint="eastAsia"/>
                <w:noProof/>
                <w:webHidden/>
              </w:rPr>
              <w:fldChar w:fldCharType="end"/>
            </w:r>
          </w:hyperlink>
        </w:p>
        <w:p w14:paraId="51599D52" w14:textId="79B83FA4"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682" w:history="1">
            <w:r w:rsidRPr="00C15B16">
              <w:rPr>
                <w:rStyle w:val="Hyperlink"/>
                <w:noProof/>
              </w:rPr>
              <w:t>2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w:t>
            </w:r>
            <w:r>
              <w:rPr>
                <w:rFonts w:hint="eastAsia"/>
                <w:noProof/>
                <w:webHidden/>
              </w:rPr>
              <w:fldChar w:fldCharType="end"/>
            </w:r>
          </w:hyperlink>
        </w:p>
        <w:p w14:paraId="75F54294" w14:textId="21491103"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683" w:history="1">
            <w:r w:rsidRPr="00C15B16">
              <w:rPr>
                <w:rStyle w:val="Hyperlink"/>
                <w:noProof/>
              </w:rPr>
              <w:t>3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5D082844" w14:textId="2AA5D7BB"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84" w:history="1">
            <w:r w:rsidRPr="00C15B16">
              <w:rPr>
                <w:rStyle w:val="Hyperlink"/>
                <w:noProof/>
              </w:rPr>
              <w:t>3.1 Engine Data and Assumptions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1CFDA653" w14:textId="5BFD92E8" w:rsidR="006D6CF4" w:rsidRDefault="006D6CF4">
          <w:pPr>
            <w:pStyle w:val="TOC2"/>
            <w:tabs>
              <w:tab w:val="left" w:pos="960"/>
              <w:tab w:val="right" w:leader="dot" w:pos="9016"/>
            </w:tabs>
            <w:rPr>
              <w:rFonts w:eastAsiaTheme="minorEastAsia"/>
              <w:noProof/>
              <w:kern w:val="2"/>
              <w:sz w:val="24"/>
              <w:szCs w:val="24"/>
              <w:lang w:eastAsia="zh-CN"/>
              <w14:ligatures w14:val="standardContextual"/>
            </w:rPr>
          </w:pPr>
          <w:hyperlink w:anchor="_Toc225003685" w:history="1">
            <w:r w:rsidRPr="00C15B16">
              <w:rPr>
                <w:rStyle w:val="Hyperlink"/>
                <w:noProof/>
              </w:rPr>
              <w:t>3.2</w:t>
            </w:r>
            <w:r>
              <w:rPr>
                <w:rFonts w:eastAsiaTheme="minorEastAsia" w:hint="eastAsia"/>
                <w:noProof/>
                <w:kern w:val="2"/>
                <w:sz w:val="24"/>
                <w:szCs w:val="24"/>
                <w:lang w:eastAsia="zh-CN"/>
                <w14:ligatures w14:val="standardContextual"/>
              </w:rPr>
              <w:tab/>
            </w:r>
            <w:r w:rsidRPr="00C15B16">
              <w:rPr>
                <w:rStyle w:val="Hyperlink"/>
                <w:noProof/>
              </w:rPr>
              <w:t>Force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49E28E07" w14:textId="6B824A1C" w:rsidR="006D6CF4" w:rsidRDefault="006D6CF4">
          <w:pPr>
            <w:pStyle w:val="TOC2"/>
            <w:tabs>
              <w:tab w:val="left" w:pos="960"/>
              <w:tab w:val="right" w:leader="dot" w:pos="9016"/>
            </w:tabs>
            <w:rPr>
              <w:rFonts w:eastAsiaTheme="minorEastAsia"/>
              <w:noProof/>
              <w:kern w:val="2"/>
              <w:sz w:val="24"/>
              <w:szCs w:val="24"/>
              <w:lang w:eastAsia="zh-CN"/>
              <w14:ligatures w14:val="standardContextual"/>
            </w:rPr>
          </w:pPr>
          <w:hyperlink w:anchor="_Toc225003686" w:history="1">
            <w:r w:rsidRPr="00C15B16">
              <w:rPr>
                <w:rStyle w:val="Hyperlink"/>
                <w:noProof/>
              </w:rPr>
              <w:t>3.3</w:t>
            </w:r>
            <w:r>
              <w:rPr>
                <w:rFonts w:eastAsiaTheme="minorEastAsia" w:hint="eastAsia"/>
                <w:noProof/>
                <w:kern w:val="2"/>
                <w:sz w:val="24"/>
                <w:szCs w:val="24"/>
                <w:lang w:eastAsia="zh-CN"/>
                <w14:ligatures w14:val="standardContextual"/>
              </w:rPr>
              <w:tab/>
            </w:r>
            <w:r w:rsidRPr="00C15B16">
              <w:rPr>
                <w:rStyle w:val="Hyperlink"/>
                <w:noProof/>
              </w:rPr>
              <w:t>Stress and Fatigue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136F6E26" w14:textId="4BF12D00"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687" w:history="1">
            <w:r w:rsidRPr="00C15B16">
              <w:rPr>
                <w:rStyle w:val="Hyperlink"/>
                <w:noProof/>
              </w:rPr>
              <w:t>4 Base Engine Results and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34E165D9" w14:textId="19E253D0"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88" w:history="1">
            <w:r w:rsidRPr="00C15B16">
              <w:rPr>
                <w:rStyle w:val="Hyperlink"/>
                <w:noProof/>
              </w:rPr>
              <w:t>4.1 Force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460CF898" w14:textId="53BC432F"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89" w:history="1">
            <w:r w:rsidRPr="00C15B16">
              <w:rPr>
                <w:rStyle w:val="Hyperlink"/>
                <w:noProof/>
              </w:rPr>
              <w:t>4.2 Stress distribution in Components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_Toc225003689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AA9B2FC" w14:textId="1FBFC3B7"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0" w:history="1">
            <w:r w:rsidRPr="00C15B16">
              <w:rPr>
                <w:rStyle w:val="Hyperlink"/>
                <w:noProof/>
              </w:rPr>
              <w:t>4.3 Fatigue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5B447098" w14:textId="6D24CCCF"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1" w:history="1">
            <w:r w:rsidRPr="00C15B16">
              <w:rPr>
                <w:rStyle w:val="Hyperlink"/>
                <w:rFonts w:cstheme="minorHAnsi"/>
                <w:noProof/>
              </w:rPr>
              <w:t xml:space="preserve">4.4 </w:t>
            </w:r>
            <w:r w:rsidRPr="00C15B16">
              <w:rPr>
                <w:rStyle w:val="Hyperlink"/>
                <w:noProof/>
              </w:rPr>
              <w:t>Critical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BA06B94" w14:textId="107E1F04"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692" w:history="1">
            <w:r w:rsidRPr="00C15B16">
              <w:rPr>
                <w:rStyle w:val="Hyperlink"/>
                <w:noProof/>
              </w:rPr>
              <w:t>5. High RPM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044C1058" w14:textId="1BD43101"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3" w:history="1">
            <w:r w:rsidRPr="00C15B16">
              <w:rPr>
                <w:rStyle w:val="Hyperlink"/>
                <w:noProof/>
              </w:rPr>
              <w:t>5.1 Interpolated Conditions at 9000rpm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51BB1F1" w14:textId="6798FA7E"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4" w:history="1">
            <w:r w:rsidRPr="00C15B16">
              <w:rPr>
                <w:rStyle w:val="Hyperlink"/>
                <w:noProof/>
              </w:rPr>
              <w:t>5.2 Effects on Fatigue Safety Factor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428670AC" w14:textId="7A82E18A"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5" w:history="1">
            <w:r w:rsidRPr="00C15B16">
              <w:rPr>
                <w:rStyle w:val="Hyperlink"/>
                <w:noProof/>
              </w:rPr>
              <w:t>5.3 Engineering 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3A9D55B8" w14:textId="2385B0F6"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696" w:history="1">
            <w:r w:rsidRPr="00C15B16">
              <w:rPr>
                <w:rStyle w:val="Hyperlink"/>
                <w:noProof/>
              </w:rPr>
              <w:t>6. Crankshaft Torque Comparison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40EE4883" w14:textId="3FCBC0C0"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7" w:history="1">
            <w:r w:rsidRPr="00C15B16">
              <w:rPr>
                <w:rStyle w:val="Hyperlink"/>
                <w:noProof/>
              </w:rPr>
              <w:t>6.1 Standard Crankshaft Configuration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1060AD2C" w14:textId="6BC3C7F2"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8" w:history="1">
            <w:r w:rsidRPr="00C15B16">
              <w:rPr>
                <w:rStyle w:val="Hyperlink"/>
                <w:noProof/>
              </w:rPr>
              <w:t>6.2 Cross-Plane Configuration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67E033D1" w14:textId="6A04F6FD" w:rsidR="006D6CF4" w:rsidRDefault="006D6CF4">
          <w:pPr>
            <w:pStyle w:val="TOC2"/>
            <w:tabs>
              <w:tab w:val="right" w:leader="dot" w:pos="9016"/>
            </w:tabs>
            <w:rPr>
              <w:rFonts w:eastAsiaTheme="minorEastAsia"/>
              <w:noProof/>
              <w:kern w:val="2"/>
              <w:sz w:val="24"/>
              <w:szCs w:val="24"/>
              <w:lang w:eastAsia="zh-CN"/>
              <w14:ligatures w14:val="standardContextual"/>
            </w:rPr>
          </w:pPr>
          <w:hyperlink w:anchor="_Toc225003699" w:history="1">
            <w:r w:rsidRPr="00C15B16">
              <w:rPr>
                <w:rStyle w:val="Hyperlink"/>
                <w:noProof/>
              </w:rPr>
              <w:t>6.3 Comparative Discussion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_Toc225003699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1F30DA08" w14:textId="791D9CC1"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700" w:history="1">
            <w:r w:rsidRPr="00C15B16">
              <w:rPr>
                <w:rStyle w:val="Hyperlink"/>
                <w:noProof/>
              </w:rPr>
              <w:t>7.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_Toc225003700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3029171C" w14:textId="06ED3976"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701" w:history="1">
            <w:r w:rsidRPr="00C15B16">
              <w:rPr>
                <w:rStyle w:val="Hyperlink"/>
                <w:noProof/>
              </w:rPr>
              <w:t>8.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_Toc225003701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33685B79" w14:textId="1112154B"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702" w:history="1">
            <w:r w:rsidRPr="00C15B16">
              <w:rPr>
                <w:rStyle w:val="Hyperlink"/>
                <w:noProof/>
              </w:rPr>
              <w:t>9 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_Toc225003702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458A03AE" w14:textId="6C05F9B0" w:rsidR="006D6CF4" w:rsidRDefault="006D6CF4">
          <w:pPr>
            <w:pStyle w:val="TOC1"/>
            <w:tabs>
              <w:tab w:val="right" w:leader="dot" w:pos="9016"/>
            </w:tabs>
            <w:rPr>
              <w:rFonts w:eastAsiaTheme="minorEastAsia"/>
              <w:noProof/>
              <w:kern w:val="2"/>
              <w:sz w:val="24"/>
              <w:szCs w:val="24"/>
              <w:lang w:eastAsia="zh-CN"/>
              <w14:ligatures w14:val="standardContextual"/>
            </w:rPr>
          </w:pPr>
          <w:hyperlink w:anchor="_Toc225003703" w:history="1">
            <w:r w:rsidRPr="00C15B16">
              <w:rPr>
                <w:rStyle w:val="Hyperlink"/>
                <w:noProof/>
              </w:rPr>
              <w:t>10 Appendices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_Toc225003703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7370DFCD" w14:textId="442C12ED" w:rsidR="007E472B" w:rsidRDefault="006D6CF4" w:rsidP="00CE0826">
          <w:r>
            <w:rPr>
              <w:b/>
              <w:bCs/>
              <w:noProof/>
            </w:rPr>
            <w:fldChar w:fldCharType="end"/>
          </w:r>
        </w:p>
      </w:sdtContent>
    </w:sdt>
    <w:p w14:paraId="1C0909A5" w14:textId="2F390535" w:rsidR="00B27256" w:rsidRDefault="00B27256">
      <w:pPr>
        <w:pStyle w:val="TableofFigures"/>
        <w:tabs>
          <w:tab w:val="right" w:leader="dot" w:pos="9016"/>
        </w:tabs>
        <w:rPr>
          <w:noProof/>
        </w:rPr>
      </w:pPr>
      <w:r>
        <w:fldChar w:fldCharType="begin"/>
      </w:r>
      <w:r>
        <w:instrText xml:space="preserve"> TOC \c "Equation" </w:instrText>
      </w:r>
      <w:r>
        <w:fldChar w:fldCharType="separate"/>
      </w:r>
      <w:r>
        <w:rPr>
          <w:noProof/>
        </w:rPr>
        <w:t>Equation 1 is used to calculate piston displacement (s)</w:t>
      </w:r>
      <w:r>
        <w:rPr>
          <w:noProof/>
        </w:rPr>
        <w:tab/>
      </w:r>
    </w:p>
    <w:p w14:paraId="573A8B89" w14:textId="0D8B69AF"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2 is used to calculate piston velocity and piston acceleration (v), (a)</w:t>
      </w:r>
      <w:r>
        <w:rPr>
          <w:noProof/>
        </w:rPr>
        <w:tab/>
      </w:r>
      <w:r>
        <w:rPr>
          <w:noProof/>
        </w:rPr>
        <w:fldChar w:fldCharType="begin"/>
      </w:r>
      <w:r>
        <w:rPr>
          <w:noProof/>
        </w:rPr>
        <w:instrText xml:space="preserve"> PAGEREF _Toc225107136 \h </w:instrText>
      </w:r>
      <w:r>
        <w:rPr>
          <w:noProof/>
        </w:rPr>
      </w:r>
      <w:r>
        <w:rPr>
          <w:noProof/>
        </w:rPr>
        <w:fldChar w:fldCharType="separate"/>
      </w:r>
      <w:r>
        <w:rPr>
          <w:noProof/>
        </w:rPr>
        <w:t>4</w:t>
      </w:r>
      <w:r>
        <w:rPr>
          <w:noProof/>
        </w:rPr>
        <w:fldChar w:fldCharType="end"/>
      </w:r>
    </w:p>
    <w:p w14:paraId="7C07F5CF" w14:textId="50C3CD48"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3 shows the relationship between pressure and piston area.</w:t>
      </w:r>
      <w:r>
        <w:rPr>
          <w:noProof/>
        </w:rPr>
        <w:tab/>
      </w:r>
      <w:r>
        <w:rPr>
          <w:noProof/>
        </w:rPr>
        <w:fldChar w:fldCharType="begin"/>
      </w:r>
      <w:r>
        <w:rPr>
          <w:noProof/>
        </w:rPr>
        <w:instrText xml:space="preserve"> PAGEREF _Toc225107137 \h </w:instrText>
      </w:r>
      <w:r>
        <w:rPr>
          <w:noProof/>
        </w:rPr>
      </w:r>
      <w:r>
        <w:rPr>
          <w:noProof/>
        </w:rPr>
        <w:fldChar w:fldCharType="separate"/>
      </w:r>
      <w:r>
        <w:rPr>
          <w:noProof/>
        </w:rPr>
        <w:t>5</w:t>
      </w:r>
      <w:r>
        <w:rPr>
          <w:noProof/>
        </w:rPr>
        <w:fldChar w:fldCharType="end"/>
      </w:r>
    </w:p>
    <w:p w14:paraId="586E0DBE" w14:textId="1AA7F2A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4 is used to calculate the inertial force on the internal components.</w:t>
      </w:r>
      <w:r>
        <w:rPr>
          <w:noProof/>
        </w:rPr>
        <w:tab/>
      </w:r>
      <w:r>
        <w:rPr>
          <w:noProof/>
        </w:rPr>
        <w:fldChar w:fldCharType="begin"/>
      </w:r>
      <w:r>
        <w:rPr>
          <w:noProof/>
        </w:rPr>
        <w:instrText xml:space="preserve"> PAGEREF _Toc225107138 \h </w:instrText>
      </w:r>
      <w:r>
        <w:rPr>
          <w:noProof/>
        </w:rPr>
      </w:r>
      <w:r>
        <w:rPr>
          <w:noProof/>
        </w:rPr>
        <w:fldChar w:fldCharType="separate"/>
      </w:r>
      <w:r>
        <w:rPr>
          <w:noProof/>
        </w:rPr>
        <w:t>5</w:t>
      </w:r>
      <w:r>
        <w:rPr>
          <w:noProof/>
        </w:rPr>
        <w:fldChar w:fldCharType="end"/>
      </w:r>
    </w:p>
    <w:p w14:paraId="1112227E" w14:textId="31CCF287"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5 denotes the total force on the engine components.</w:t>
      </w:r>
      <w:r>
        <w:rPr>
          <w:noProof/>
        </w:rPr>
        <w:tab/>
      </w:r>
      <w:r>
        <w:rPr>
          <w:noProof/>
        </w:rPr>
        <w:fldChar w:fldCharType="begin"/>
      </w:r>
      <w:r>
        <w:rPr>
          <w:noProof/>
        </w:rPr>
        <w:instrText xml:space="preserve"> PAGEREF _Toc225107139 \h </w:instrText>
      </w:r>
      <w:r>
        <w:rPr>
          <w:noProof/>
        </w:rPr>
      </w:r>
      <w:r>
        <w:rPr>
          <w:noProof/>
        </w:rPr>
        <w:fldChar w:fldCharType="separate"/>
      </w:r>
      <w:r>
        <w:rPr>
          <w:noProof/>
        </w:rPr>
        <w:t>5</w:t>
      </w:r>
      <w:r>
        <w:rPr>
          <w:noProof/>
        </w:rPr>
        <w:fldChar w:fldCharType="end"/>
      </w:r>
    </w:p>
    <w:p w14:paraId="7FC207E6" w14:textId="6ED04709" w:rsidR="00B27256" w:rsidRDefault="00B27256">
      <w:pPr>
        <w:pStyle w:val="TableofFigures"/>
        <w:tabs>
          <w:tab w:val="right" w:leader="dot" w:pos="9016"/>
        </w:tabs>
        <w:rPr>
          <w:rFonts w:eastAsiaTheme="minorEastAsia"/>
          <w:noProof/>
          <w:kern w:val="2"/>
          <w:sz w:val="24"/>
          <w:szCs w:val="24"/>
          <w:lang w:eastAsia="zh-CN"/>
          <w14:ligatures w14:val="standardContextual"/>
        </w:rPr>
      </w:pPr>
      <w:r w:rsidRPr="00B27256">
        <w:rPr>
          <w:noProof/>
        </w:rPr>
        <w:t>Equation 6 shows the calculation of stress.</w:t>
      </w:r>
      <w:r>
        <w:rPr>
          <w:noProof/>
        </w:rPr>
        <w:tab/>
      </w:r>
      <w:r>
        <w:rPr>
          <w:noProof/>
        </w:rPr>
        <w:fldChar w:fldCharType="begin"/>
      </w:r>
      <w:r>
        <w:rPr>
          <w:noProof/>
        </w:rPr>
        <w:instrText xml:space="preserve"> PAGEREF _Toc225107140 \h </w:instrText>
      </w:r>
      <w:r>
        <w:rPr>
          <w:noProof/>
        </w:rPr>
      </w:r>
      <w:r>
        <w:rPr>
          <w:noProof/>
        </w:rPr>
        <w:fldChar w:fldCharType="separate"/>
      </w:r>
      <w:r>
        <w:rPr>
          <w:noProof/>
        </w:rPr>
        <w:t>5</w:t>
      </w:r>
      <w:r>
        <w:rPr>
          <w:noProof/>
        </w:rPr>
        <w:fldChar w:fldCharType="end"/>
      </w:r>
    </w:p>
    <w:p w14:paraId="51B5F15F" w14:textId="1360C73A"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7 shows the goodman equation.</w:t>
      </w:r>
      <w:r>
        <w:rPr>
          <w:noProof/>
        </w:rPr>
        <w:tab/>
      </w:r>
      <w:r>
        <w:rPr>
          <w:noProof/>
        </w:rPr>
        <w:fldChar w:fldCharType="begin"/>
      </w:r>
      <w:r>
        <w:rPr>
          <w:noProof/>
        </w:rPr>
        <w:instrText xml:space="preserve"> PAGEREF _Toc225107141 \h </w:instrText>
      </w:r>
      <w:r>
        <w:rPr>
          <w:noProof/>
        </w:rPr>
      </w:r>
      <w:r>
        <w:rPr>
          <w:noProof/>
        </w:rPr>
        <w:fldChar w:fldCharType="separate"/>
      </w:r>
      <w:r>
        <w:rPr>
          <w:noProof/>
        </w:rPr>
        <w:t>6</w:t>
      </w:r>
      <w:r>
        <w:rPr>
          <w:noProof/>
        </w:rPr>
        <w:fldChar w:fldCharType="end"/>
      </w:r>
    </w:p>
    <w:p w14:paraId="4BF9BC3A" w14:textId="7EA1F1A4"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8 shows the mathematical relationship between Inertia and angular velocity.</w:t>
      </w:r>
      <w:r>
        <w:rPr>
          <w:noProof/>
        </w:rPr>
        <w:tab/>
      </w:r>
      <w:r>
        <w:rPr>
          <w:noProof/>
        </w:rPr>
        <w:fldChar w:fldCharType="begin"/>
      </w:r>
      <w:r>
        <w:rPr>
          <w:noProof/>
        </w:rPr>
        <w:instrText xml:space="preserve"> PAGEREF _Toc225107142 \h </w:instrText>
      </w:r>
      <w:r>
        <w:rPr>
          <w:noProof/>
        </w:rPr>
      </w:r>
      <w:r>
        <w:rPr>
          <w:noProof/>
        </w:rPr>
        <w:fldChar w:fldCharType="separate"/>
      </w:r>
      <w:r>
        <w:rPr>
          <w:noProof/>
        </w:rPr>
        <w:t>17</w:t>
      </w:r>
      <w:r>
        <w:rPr>
          <w:noProof/>
        </w:rPr>
        <w:fldChar w:fldCharType="end"/>
      </w:r>
    </w:p>
    <w:p w14:paraId="46B6DA6E" w14:textId="170E5363"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Equation 9 shows the relationship between stress and the force applied to the area.</w:t>
      </w:r>
      <w:r>
        <w:rPr>
          <w:noProof/>
        </w:rPr>
        <w:tab/>
      </w:r>
      <w:r>
        <w:rPr>
          <w:noProof/>
        </w:rPr>
        <w:fldChar w:fldCharType="begin"/>
      </w:r>
      <w:r>
        <w:rPr>
          <w:noProof/>
        </w:rPr>
        <w:instrText xml:space="preserve"> PAGEREF _Toc225107143 \h </w:instrText>
      </w:r>
      <w:r>
        <w:rPr>
          <w:noProof/>
        </w:rPr>
      </w:r>
      <w:r>
        <w:rPr>
          <w:noProof/>
        </w:rPr>
        <w:fldChar w:fldCharType="separate"/>
      </w:r>
      <w:r>
        <w:rPr>
          <w:noProof/>
        </w:rPr>
        <w:t>20</w:t>
      </w:r>
      <w:r>
        <w:rPr>
          <w:noProof/>
        </w:rPr>
        <w:fldChar w:fldCharType="end"/>
      </w:r>
    </w:p>
    <w:p w14:paraId="080F471A" w14:textId="6FE6943C" w:rsidR="00454D15" w:rsidRPr="00454D15" w:rsidRDefault="00B27256" w:rsidP="00454D15">
      <w:r>
        <w:fldChar w:fldCharType="end"/>
      </w:r>
    </w:p>
    <w:p w14:paraId="7A67EF75" w14:textId="77777777" w:rsidR="00454D15" w:rsidRPr="00454D15" w:rsidRDefault="00454D15" w:rsidP="00454D15"/>
    <w:p w14:paraId="22A8A118" w14:textId="77777777" w:rsidR="00454D15" w:rsidRPr="00454D15" w:rsidRDefault="00454D15" w:rsidP="00454D15"/>
    <w:p w14:paraId="53EA2A17" w14:textId="77777777" w:rsidR="00B27256" w:rsidRDefault="00B27256">
      <w:pPr>
        <w:pStyle w:val="TableofFigures"/>
        <w:tabs>
          <w:tab w:val="right" w:leader="dot" w:pos="9016"/>
        </w:tabs>
      </w:pPr>
    </w:p>
    <w:p w14:paraId="7E1C0B87" w14:textId="1993435D" w:rsidR="00B27256" w:rsidRDefault="00B27256">
      <w:pPr>
        <w:pStyle w:val="TableofFigures"/>
        <w:tabs>
          <w:tab w:val="right" w:leader="dot" w:pos="9016"/>
        </w:tabs>
        <w:rPr>
          <w:rFonts w:eastAsiaTheme="minorEastAsia"/>
          <w:noProof/>
          <w:kern w:val="2"/>
          <w:sz w:val="24"/>
          <w:szCs w:val="24"/>
          <w:lang w:eastAsia="zh-CN"/>
          <w14:ligatures w14:val="standardContextual"/>
        </w:rPr>
      </w:pPr>
      <w:r>
        <w:fldChar w:fldCharType="begin"/>
      </w:r>
      <w:r>
        <w:instrText xml:space="preserve"> TOC \c "Figure" </w:instrText>
      </w:r>
      <w:r>
        <w:fldChar w:fldCharType="separate"/>
      </w:r>
      <w:r>
        <w:rPr>
          <w:noProof/>
        </w:rPr>
        <w:t>Figure 1 shows the pressure vs crank angle results for the full rpm sweep.</w:t>
      </w:r>
      <w:r>
        <w:rPr>
          <w:noProof/>
        </w:rPr>
        <w:tab/>
      </w:r>
      <w:r>
        <w:rPr>
          <w:noProof/>
        </w:rPr>
        <w:fldChar w:fldCharType="begin"/>
      </w:r>
      <w:r>
        <w:rPr>
          <w:noProof/>
        </w:rPr>
        <w:instrText xml:space="preserve"> PAGEREF _Toc225107110 \h </w:instrText>
      </w:r>
      <w:r>
        <w:rPr>
          <w:noProof/>
        </w:rPr>
      </w:r>
      <w:r>
        <w:rPr>
          <w:noProof/>
        </w:rPr>
        <w:fldChar w:fldCharType="separate"/>
      </w:r>
      <w:r>
        <w:rPr>
          <w:noProof/>
        </w:rPr>
        <w:t>7</w:t>
      </w:r>
      <w:r>
        <w:rPr>
          <w:noProof/>
        </w:rPr>
        <w:fldChar w:fldCharType="end"/>
      </w:r>
    </w:p>
    <w:p w14:paraId="14F33C32" w14:textId="32884874"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 shows the conrod forces experienced over the crank angle for the rpm sweep.</w:t>
      </w:r>
      <w:r>
        <w:rPr>
          <w:noProof/>
        </w:rPr>
        <w:tab/>
      </w:r>
      <w:r>
        <w:rPr>
          <w:noProof/>
        </w:rPr>
        <w:fldChar w:fldCharType="begin"/>
      </w:r>
      <w:r>
        <w:rPr>
          <w:noProof/>
        </w:rPr>
        <w:instrText xml:space="preserve"> PAGEREF _Toc225107111 \h </w:instrText>
      </w:r>
      <w:r>
        <w:rPr>
          <w:noProof/>
        </w:rPr>
      </w:r>
      <w:r>
        <w:rPr>
          <w:noProof/>
        </w:rPr>
        <w:fldChar w:fldCharType="separate"/>
      </w:r>
      <w:r>
        <w:rPr>
          <w:noProof/>
        </w:rPr>
        <w:t>8</w:t>
      </w:r>
      <w:r>
        <w:rPr>
          <w:noProof/>
        </w:rPr>
        <w:fldChar w:fldCharType="end"/>
      </w:r>
    </w:p>
    <w:p w14:paraId="52591145" w14:textId="7077EFA0"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3 shows the gas and inertial forces against crank angle.</w:t>
      </w:r>
      <w:r>
        <w:rPr>
          <w:noProof/>
        </w:rPr>
        <w:tab/>
      </w:r>
      <w:r>
        <w:rPr>
          <w:noProof/>
        </w:rPr>
        <w:fldChar w:fldCharType="begin"/>
      </w:r>
      <w:r>
        <w:rPr>
          <w:noProof/>
        </w:rPr>
        <w:instrText xml:space="preserve"> PAGEREF _Toc225107112 \h </w:instrText>
      </w:r>
      <w:r>
        <w:rPr>
          <w:noProof/>
        </w:rPr>
      </w:r>
      <w:r>
        <w:rPr>
          <w:noProof/>
        </w:rPr>
        <w:fldChar w:fldCharType="separate"/>
      </w:r>
      <w:r>
        <w:rPr>
          <w:noProof/>
        </w:rPr>
        <w:t>8</w:t>
      </w:r>
      <w:r>
        <w:rPr>
          <w:noProof/>
        </w:rPr>
        <w:fldChar w:fldCharType="end"/>
      </w:r>
    </w:p>
    <w:p w14:paraId="3DF86C5E" w14:textId="1D731629"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4 shows the gas and inertial force acting on the piston through the rpm sweep.</w:t>
      </w:r>
      <w:r>
        <w:rPr>
          <w:noProof/>
        </w:rPr>
        <w:tab/>
      </w:r>
      <w:r>
        <w:rPr>
          <w:noProof/>
        </w:rPr>
        <w:fldChar w:fldCharType="begin"/>
      </w:r>
      <w:r>
        <w:rPr>
          <w:noProof/>
        </w:rPr>
        <w:instrText xml:space="preserve"> PAGEREF _Toc225107113 \h </w:instrText>
      </w:r>
      <w:r>
        <w:rPr>
          <w:noProof/>
        </w:rPr>
      </w:r>
      <w:r>
        <w:rPr>
          <w:noProof/>
        </w:rPr>
        <w:fldChar w:fldCharType="separate"/>
      </w:r>
      <w:r>
        <w:rPr>
          <w:noProof/>
        </w:rPr>
        <w:t>9</w:t>
      </w:r>
      <w:r>
        <w:rPr>
          <w:noProof/>
        </w:rPr>
        <w:fldChar w:fldCharType="end"/>
      </w:r>
    </w:p>
    <w:p w14:paraId="7E6225FD" w14:textId="41554160"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5 shows the stress acting on the pin during the cycle.</w:t>
      </w:r>
      <w:r>
        <w:rPr>
          <w:noProof/>
        </w:rPr>
        <w:tab/>
      </w:r>
      <w:r>
        <w:rPr>
          <w:noProof/>
        </w:rPr>
        <w:fldChar w:fldCharType="begin"/>
      </w:r>
      <w:r>
        <w:rPr>
          <w:noProof/>
        </w:rPr>
        <w:instrText xml:space="preserve"> PAGEREF _Toc225107114 \h </w:instrText>
      </w:r>
      <w:r>
        <w:rPr>
          <w:noProof/>
        </w:rPr>
      </w:r>
      <w:r>
        <w:rPr>
          <w:noProof/>
        </w:rPr>
        <w:fldChar w:fldCharType="separate"/>
      </w:r>
      <w:r>
        <w:rPr>
          <w:noProof/>
        </w:rPr>
        <w:t>10</w:t>
      </w:r>
      <w:r>
        <w:rPr>
          <w:noProof/>
        </w:rPr>
        <w:fldChar w:fldCharType="end"/>
      </w:r>
    </w:p>
    <w:p w14:paraId="165864EE" w14:textId="3D5D5692"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6 shows the stress acting on the conrod bolt.</w:t>
      </w:r>
      <w:r>
        <w:rPr>
          <w:noProof/>
        </w:rPr>
        <w:tab/>
      </w:r>
      <w:r>
        <w:rPr>
          <w:noProof/>
        </w:rPr>
        <w:fldChar w:fldCharType="begin"/>
      </w:r>
      <w:r>
        <w:rPr>
          <w:noProof/>
        </w:rPr>
        <w:instrText xml:space="preserve"> PAGEREF _Toc225107115 \h </w:instrText>
      </w:r>
      <w:r>
        <w:rPr>
          <w:noProof/>
        </w:rPr>
      </w:r>
      <w:r>
        <w:rPr>
          <w:noProof/>
        </w:rPr>
        <w:fldChar w:fldCharType="separate"/>
      </w:r>
      <w:r>
        <w:rPr>
          <w:noProof/>
        </w:rPr>
        <w:t>10</w:t>
      </w:r>
      <w:r>
        <w:rPr>
          <w:noProof/>
        </w:rPr>
        <w:fldChar w:fldCharType="end"/>
      </w:r>
    </w:p>
    <w:p w14:paraId="5824C86A" w14:textId="609E90D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7 shots the safety factors visualised over the rpm ranges.</w:t>
      </w:r>
      <w:r>
        <w:rPr>
          <w:noProof/>
        </w:rPr>
        <w:tab/>
      </w:r>
      <w:r>
        <w:rPr>
          <w:noProof/>
        </w:rPr>
        <w:fldChar w:fldCharType="begin"/>
      </w:r>
      <w:r>
        <w:rPr>
          <w:noProof/>
        </w:rPr>
        <w:instrText xml:space="preserve"> PAGEREF _Toc225107116 \h </w:instrText>
      </w:r>
      <w:r>
        <w:rPr>
          <w:noProof/>
        </w:rPr>
      </w:r>
      <w:r>
        <w:rPr>
          <w:noProof/>
        </w:rPr>
        <w:fldChar w:fldCharType="separate"/>
      </w:r>
      <w:r>
        <w:rPr>
          <w:noProof/>
        </w:rPr>
        <w:t>11</w:t>
      </w:r>
      <w:r>
        <w:rPr>
          <w:noProof/>
        </w:rPr>
        <w:fldChar w:fldCharType="end"/>
      </w:r>
    </w:p>
    <w:p w14:paraId="16296F11" w14:textId="2042F9F3"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8 shows the FS factor for the conrod bolt over the crank angle for each rpm range.</w:t>
      </w:r>
      <w:r>
        <w:rPr>
          <w:noProof/>
        </w:rPr>
        <w:tab/>
      </w:r>
      <w:r>
        <w:rPr>
          <w:noProof/>
        </w:rPr>
        <w:fldChar w:fldCharType="begin"/>
      </w:r>
      <w:r>
        <w:rPr>
          <w:noProof/>
        </w:rPr>
        <w:instrText xml:space="preserve"> PAGEREF _Toc225107117 \h </w:instrText>
      </w:r>
      <w:r>
        <w:rPr>
          <w:noProof/>
        </w:rPr>
      </w:r>
      <w:r>
        <w:rPr>
          <w:noProof/>
        </w:rPr>
        <w:fldChar w:fldCharType="separate"/>
      </w:r>
      <w:r>
        <w:rPr>
          <w:noProof/>
        </w:rPr>
        <w:t>11</w:t>
      </w:r>
      <w:r>
        <w:rPr>
          <w:noProof/>
        </w:rPr>
        <w:fldChar w:fldCharType="end"/>
      </w:r>
    </w:p>
    <w:p w14:paraId="4E968982" w14:textId="58CD0D54"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9 shows the conrod fatigue safety factor against crank angle for each rpm range.</w:t>
      </w:r>
      <w:r>
        <w:rPr>
          <w:noProof/>
        </w:rPr>
        <w:tab/>
      </w:r>
      <w:r>
        <w:rPr>
          <w:noProof/>
        </w:rPr>
        <w:fldChar w:fldCharType="begin"/>
      </w:r>
      <w:r>
        <w:rPr>
          <w:noProof/>
        </w:rPr>
        <w:instrText xml:space="preserve"> PAGEREF _Toc225107118 \h </w:instrText>
      </w:r>
      <w:r>
        <w:rPr>
          <w:noProof/>
        </w:rPr>
      </w:r>
      <w:r>
        <w:rPr>
          <w:noProof/>
        </w:rPr>
        <w:fldChar w:fldCharType="separate"/>
      </w:r>
      <w:r>
        <w:rPr>
          <w:noProof/>
        </w:rPr>
        <w:t>12</w:t>
      </w:r>
      <w:r>
        <w:rPr>
          <w:noProof/>
        </w:rPr>
        <w:fldChar w:fldCharType="end"/>
      </w:r>
    </w:p>
    <w:p w14:paraId="0026321F" w14:textId="0B0E7D06"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10 shows the goodman diagram for the Conrod.</w:t>
      </w:r>
      <w:r>
        <w:rPr>
          <w:noProof/>
        </w:rPr>
        <w:tab/>
      </w:r>
      <w:r>
        <w:rPr>
          <w:noProof/>
        </w:rPr>
        <w:fldChar w:fldCharType="begin"/>
      </w:r>
      <w:r>
        <w:rPr>
          <w:noProof/>
        </w:rPr>
        <w:instrText xml:space="preserve"> PAGEREF _Toc225107119 \h </w:instrText>
      </w:r>
      <w:r>
        <w:rPr>
          <w:noProof/>
        </w:rPr>
      </w:r>
      <w:r>
        <w:rPr>
          <w:noProof/>
        </w:rPr>
        <w:fldChar w:fldCharType="separate"/>
      </w:r>
      <w:r>
        <w:rPr>
          <w:noProof/>
        </w:rPr>
        <w:t>12</w:t>
      </w:r>
      <w:r>
        <w:rPr>
          <w:noProof/>
        </w:rPr>
        <w:fldChar w:fldCharType="end"/>
      </w:r>
    </w:p>
    <w:p w14:paraId="545D8655" w14:textId="1844AF65"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11 shows the Goodman diagram for the Gudgeon pin.</w:t>
      </w:r>
      <w:r>
        <w:rPr>
          <w:noProof/>
        </w:rPr>
        <w:tab/>
      </w:r>
      <w:r>
        <w:rPr>
          <w:noProof/>
        </w:rPr>
        <w:fldChar w:fldCharType="begin"/>
      </w:r>
      <w:r>
        <w:rPr>
          <w:noProof/>
        </w:rPr>
        <w:instrText xml:space="preserve"> PAGEREF _Toc225107120 \h </w:instrText>
      </w:r>
      <w:r>
        <w:rPr>
          <w:noProof/>
        </w:rPr>
      </w:r>
      <w:r>
        <w:rPr>
          <w:noProof/>
        </w:rPr>
        <w:fldChar w:fldCharType="separate"/>
      </w:r>
      <w:r>
        <w:rPr>
          <w:noProof/>
        </w:rPr>
        <w:t>13</w:t>
      </w:r>
      <w:r>
        <w:rPr>
          <w:noProof/>
        </w:rPr>
        <w:fldChar w:fldCharType="end"/>
      </w:r>
    </w:p>
    <w:p w14:paraId="22F75821" w14:textId="6B8A177A"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12 shows the Goodman diagram for the Conrod bolts.</w:t>
      </w:r>
      <w:r>
        <w:rPr>
          <w:noProof/>
        </w:rPr>
        <w:tab/>
      </w:r>
      <w:r>
        <w:rPr>
          <w:noProof/>
        </w:rPr>
        <w:fldChar w:fldCharType="begin"/>
      </w:r>
      <w:r>
        <w:rPr>
          <w:noProof/>
        </w:rPr>
        <w:instrText xml:space="preserve"> PAGEREF _Toc225107121 \h </w:instrText>
      </w:r>
      <w:r>
        <w:rPr>
          <w:noProof/>
        </w:rPr>
      </w:r>
      <w:r>
        <w:rPr>
          <w:noProof/>
        </w:rPr>
        <w:fldChar w:fldCharType="separate"/>
      </w:r>
      <w:r>
        <w:rPr>
          <w:noProof/>
        </w:rPr>
        <w:t>13</w:t>
      </w:r>
      <w:r>
        <w:rPr>
          <w:noProof/>
        </w:rPr>
        <w:fldChar w:fldCharType="end"/>
      </w:r>
    </w:p>
    <w:p w14:paraId="05FCA569" w14:textId="25B79BE0"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13 shows the bolt safety factor against crank angle.</w:t>
      </w:r>
      <w:r>
        <w:rPr>
          <w:noProof/>
        </w:rPr>
        <w:tab/>
      </w:r>
      <w:r>
        <w:rPr>
          <w:noProof/>
        </w:rPr>
        <w:fldChar w:fldCharType="begin"/>
      </w:r>
      <w:r>
        <w:rPr>
          <w:noProof/>
        </w:rPr>
        <w:instrText xml:space="preserve"> PAGEREF _Toc225107122 \h </w:instrText>
      </w:r>
      <w:r>
        <w:rPr>
          <w:noProof/>
        </w:rPr>
      </w:r>
      <w:r>
        <w:rPr>
          <w:noProof/>
        </w:rPr>
        <w:fldChar w:fldCharType="separate"/>
      </w:r>
      <w:r>
        <w:rPr>
          <w:noProof/>
        </w:rPr>
        <w:t>14</w:t>
      </w:r>
      <w:r>
        <w:rPr>
          <w:noProof/>
        </w:rPr>
        <w:fldChar w:fldCharType="end"/>
      </w:r>
    </w:p>
    <w:p w14:paraId="48626232" w14:textId="2DBC498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14 shows the P-V diagram taken form the engine model.</w:t>
      </w:r>
      <w:r>
        <w:rPr>
          <w:noProof/>
        </w:rPr>
        <w:tab/>
      </w:r>
      <w:r>
        <w:rPr>
          <w:noProof/>
        </w:rPr>
        <w:fldChar w:fldCharType="begin"/>
      </w:r>
      <w:r>
        <w:rPr>
          <w:noProof/>
        </w:rPr>
        <w:instrText xml:space="preserve"> PAGEREF _Toc225107123 \h </w:instrText>
      </w:r>
      <w:r>
        <w:rPr>
          <w:noProof/>
        </w:rPr>
      </w:r>
      <w:r>
        <w:rPr>
          <w:noProof/>
        </w:rPr>
        <w:fldChar w:fldCharType="separate"/>
      </w:r>
      <w:r>
        <w:rPr>
          <w:noProof/>
        </w:rPr>
        <w:t>14</w:t>
      </w:r>
      <w:r>
        <w:rPr>
          <w:noProof/>
        </w:rPr>
        <w:fldChar w:fldCharType="end"/>
      </w:r>
    </w:p>
    <w:p w14:paraId="015DE2B9" w14:textId="5540BA4E"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15 shows the instantaneous torque produced by the engine.</w:t>
      </w:r>
      <w:r>
        <w:rPr>
          <w:noProof/>
        </w:rPr>
        <w:tab/>
      </w:r>
      <w:r>
        <w:rPr>
          <w:noProof/>
        </w:rPr>
        <w:fldChar w:fldCharType="begin"/>
      </w:r>
      <w:r>
        <w:rPr>
          <w:noProof/>
        </w:rPr>
        <w:instrText xml:space="preserve"> PAGEREF _Toc225107124 \h </w:instrText>
      </w:r>
      <w:r>
        <w:rPr>
          <w:noProof/>
        </w:rPr>
      </w:r>
      <w:r>
        <w:rPr>
          <w:noProof/>
        </w:rPr>
        <w:fldChar w:fldCharType="separate"/>
      </w:r>
      <w:r>
        <w:rPr>
          <w:noProof/>
        </w:rPr>
        <w:t>15</w:t>
      </w:r>
      <w:r>
        <w:rPr>
          <w:noProof/>
        </w:rPr>
        <w:fldChar w:fldCharType="end"/>
      </w:r>
    </w:p>
    <w:p w14:paraId="09CF7C6C" w14:textId="17F3CCA2"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16 shows the multi cylinder torque value over the engine cycle.</w:t>
      </w:r>
      <w:r>
        <w:rPr>
          <w:noProof/>
        </w:rPr>
        <w:tab/>
      </w:r>
      <w:r>
        <w:rPr>
          <w:noProof/>
        </w:rPr>
        <w:fldChar w:fldCharType="begin"/>
      </w:r>
      <w:r>
        <w:rPr>
          <w:noProof/>
        </w:rPr>
        <w:instrText xml:space="preserve"> PAGEREF _Toc225107125 \h </w:instrText>
      </w:r>
      <w:r>
        <w:rPr>
          <w:noProof/>
        </w:rPr>
      </w:r>
      <w:r>
        <w:rPr>
          <w:noProof/>
        </w:rPr>
        <w:fldChar w:fldCharType="separate"/>
      </w:r>
      <w:r>
        <w:rPr>
          <w:noProof/>
        </w:rPr>
        <w:t>15</w:t>
      </w:r>
      <w:r>
        <w:rPr>
          <w:noProof/>
        </w:rPr>
        <w:fldChar w:fldCharType="end"/>
      </w:r>
    </w:p>
    <w:p w14:paraId="77E4EAF6" w14:textId="75D9389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17 shows the gas force and inertial force across the crank angle.</w:t>
      </w:r>
      <w:r>
        <w:rPr>
          <w:noProof/>
        </w:rPr>
        <w:tab/>
      </w:r>
      <w:r>
        <w:rPr>
          <w:noProof/>
        </w:rPr>
        <w:fldChar w:fldCharType="begin"/>
      </w:r>
      <w:r>
        <w:rPr>
          <w:noProof/>
        </w:rPr>
        <w:instrText xml:space="preserve"> PAGEREF _Toc225107126 \h </w:instrText>
      </w:r>
      <w:r>
        <w:rPr>
          <w:noProof/>
        </w:rPr>
      </w:r>
      <w:r>
        <w:rPr>
          <w:noProof/>
        </w:rPr>
        <w:fldChar w:fldCharType="separate"/>
      </w:r>
      <w:r>
        <w:rPr>
          <w:noProof/>
        </w:rPr>
        <w:t>17</w:t>
      </w:r>
      <w:r>
        <w:rPr>
          <w:noProof/>
        </w:rPr>
        <w:fldChar w:fldCharType="end"/>
      </w:r>
    </w:p>
    <w:p w14:paraId="2416DFC2" w14:textId="0421107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18 shows the gas force and inertial force across the rpm ranges.</w:t>
      </w:r>
      <w:r>
        <w:rPr>
          <w:noProof/>
        </w:rPr>
        <w:tab/>
      </w:r>
      <w:r>
        <w:rPr>
          <w:noProof/>
        </w:rPr>
        <w:fldChar w:fldCharType="begin"/>
      </w:r>
      <w:r>
        <w:rPr>
          <w:noProof/>
        </w:rPr>
        <w:instrText xml:space="preserve"> PAGEREF _Toc225107127 \h </w:instrText>
      </w:r>
      <w:r>
        <w:rPr>
          <w:noProof/>
        </w:rPr>
      </w:r>
      <w:r>
        <w:rPr>
          <w:noProof/>
        </w:rPr>
        <w:fldChar w:fldCharType="separate"/>
      </w:r>
      <w:r>
        <w:rPr>
          <w:noProof/>
        </w:rPr>
        <w:t>18</w:t>
      </w:r>
      <w:r>
        <w:rPr>
          <w:noProof/>
        </w:rPr>
        <w:fldChar w:fldCharType="end"/>
      </w:r>
    </w:p>
    <w:p w14:paraId="1C92E56D" w14:textId="2B987C0B"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19 shows the FS value calculated for the bolt across the rpm range and the rpm sweep.</w:t>
      </w:r>
      <w:r>
        <w:rPr>
          <w:noProof/>
        </w:rPr>
        <w:tab/>
      </w:r>
      <w:r>
        <w:rPr>
          <w:noProof/>
        </w:rPr>
        <w:fldChar w:fldCharType="begin"/>
      </w:r>
      <w:r>
        <w:rPr>
          <w:noProof/>
        </w:rPr>
        <w:instrText xml:space="preserve"> PAGEREF _Toc225107128 \h </w:instrText>
      </w:r>
      <w:r>
        <w:rPr>
          <w:noProof/>
        </w:rPr>
      </w:r>
      <w:r>
        <w:rPr>
          <w:noProof/>
        </w:rPr>
        <w:fldChar w:fldCharType="separate"/>
      </w:r>
      <w:r>
        <w:rPr>
          <w:noProof/>
        </w:rPr>
        <w:t>18</w:t>
      </w:r>
      <w:r>
        <w:rPr>
          <w:noProof/>
        </w:rPr>
        <w:fldChar w:fldCharType="end"/>
      </w:r>
    </w:p>
    <w:p w14:paraId="4A78592B" w14:textId="6420F57F"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20 shows the conrod safety factor against crank angle and rpm range.</w:t>
      </w:r>
      <w:r>
        <w:rPr>
          <w:noProof/>
        </w:rPr>
        <w:tab/>
      </w:r>
      <w:r>
        <w:rPr>
          <w:noProof/>
        </w:rPr>
        <w:fldChar w:fldCharType="begin"/>
      </w:r>
      <w:r>
        <w:rPr>
          <w:noProof/>
        </w:rPr>
        <w:instrText xml:space="preserve"> PAGEREF _Toc225107129 \h </w:instrText>
      </w:r>
      <w:r>
        <w:rPr>
          <w:noProof/>
        </w:rPr>
      </w:r>
      <w:r>
        <w:rPr>
          <w:noProof/>
        </w:rPr>
        <w:fldChar w:fldCharType="separate"/>
      </w:r>
      <w:r>
        <w:rPr>
          <w:noProof/>
        </w:rPr>
        <w:t>19</w:t>
      </w:r>
      <w:r>
        <w:rPr>
          <w:noProof/>
        </w:rPr>
        <w:fldChar w:fldCharType="end"/>
      </w:r>
    </w:p>
    <w:p w14:paraId="0601A6E8" w14:textId="715866AF"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21 shows the fatigue safety factor of the improved conrod bolt</w:t>
      </w:r>
      <w:r>
        <w:rPr>
          <w:noProof/>
        </w:rPr>
        <w:tab/>
      </w:r>
      <w:r>
        <w:rPr>
          <w:noProof/>
        </w:rPr>
        <w:fldChar w:fldCharType="begin"/>
      </w:r>
      <w:r>
        <w:rPr>
          <w:noProof/>
        </w:rPr>
        <w:instrText xml:space="preserve"> PAGEREF _Toc225107130 \h </w:instrText>
      </w:r>
      <w:r>
        <w:rPr>
          <w:noProof/>
        </w:rPr>
      </w:r>
      <w:r>
        <w:rPr>
          <w:noProof/>
        </w:rPr>
        <w:fldChar w:fldCharType="separate"/>
      </w:r>
      <w:r>
        <w:rPr>
          <w:noProof/>
        </w:rPr>
        <w:t>20</w:t>
      </w:r>
      <w:r>
        <w:rPr>
          <w:noProof/>
        </w:rPr>
        <w:fldChar w:fldCharType="end"/>
      </w:r>
    </w:p>
    <w:p w14:paraId="086CD56C" w14:textId="25F85614"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22 shows the crankshaft torque on the flat plane crankshaft.</w:t>
      </w:r>
      <w:r>
        <w:rPr>
          <w:noProof/>
        </w:rPr>
        <w:tab/>
      </w:r>
      <w:r>
        <w:rPr>
          <w:noProof/>
        </w:rPr>
        <w:fldChar w:fldCharType="begin"/>
      </w:r>
      <w:r>
        <w:rPr>
          <w:noProof/>
        </w:rPr>
        <w:instrText xml:space="preserve"> PAGEREF _Toc225107131 \h </w:instrText>
      </w:r>
      <w:r>
        <w:rPr>
          <w:noProof/>
        </w:rPr>
      </w:r>
      <w:r>
        <w:rPr>
          <w:noProof/>
        </w:rPr>
        <w:fldChar w:fldCharType="separate"/>
      </w:r>
      <w:r>
        <w:rPr>
          <w:noProof/>
        </w:rPr>
        <w:t>21</w:t>
      </w:r>
      <w:r>
        <w:rPr>
          <w:noProof/>
        </w:rPr>
        <w:fldChar w:fldCharType="end"/>
      </w:r>
    </w:p>
    <w:p w14:paraId="52443A1E" w14:textId="1AE9DF56"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23 shows the cross-plane torque figures across the crank angle cycle.</w:t>
      </w:r>
      <w:r>
        <w:rPr>
          <w:noProof/>
        </w:rPr>
        <w:tab/>
      </w:r>
      <w:r>
        <w:rPr>
          <w:noProof/>
        </w:rPr>
        <w:fldChar w:fldCharType="begin"/>
      </w:r>
      <w:r>
        <w:rPr>
          <w:noProof/>
        </w:rPr>
        <w:instrText xml:space="preserve"> PAGEREF _Toc225107132 \h </w:instrText>
      </w:r>
      <w:r>
        <w:rPr>
          <w:noProof/>
        </w:rPr>
      </w:r>
      <w:r>
        <w:rPr>
          <w:noProof/>
        </w:rPr>
        <w:fldChar w:fldCharType="separate"/>
      </w:r>
      <w:r>
        <w:rPr>
          <w:noProof/>
        </w:rPr>
        <w:t>21</w:t>
      </w:r>
      <w:r>
        <w:rPr>
          <w:noProof/>
        </w:rPr>
        <w:fldChar w:fldCharType="end"/>
      </w:r>
    </w:p>
    <w:p w14:paraId="1E767F58" w14:textId="6FE62C61"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24 shows the torque comparison between the flat-plane and cross-plane crankshafts.</w:t>
      </w:r>
      <w:r>
        <w:rPr>
          <w:noProof/>
        </w:rPr>
        <w:tab/>
      </w:r>
      <w:r>
        <w:rPr>
          <w:noProof/>
        </w:rPr>
        <w:fldChar w:fldCharType="begin"/>
      </w:r>
      <w:r>
        <w:rPr>
          <w:noProof/>
        </w:rPr>
        <w:instrText xml:space="preserve"> PAGEREF _Toc225107133 \h </w:instrText>
      </w:r>
      <w:r>
        <w:rPr>
          <w:noProof/>
        </w:rPr>
      </w:r>
      <w:r>
        <w:rPr>
          <w:noProof/>
        </w:rPr>
        <w:fldChar w:fldCharType="separate"/>
      </w:r>
      <w:r>
        <w:rPr>
          <w:noProof/>
        </w:rPr>
        <w:t>22</w:t>
      </w:r>
      <w:r>
        <w:rPr>
          <w:noProof/>
        </w:rPr>
        <w:fldChar w:fldCharType="end"/>
      </w:r>
    </w:p>
    <w:p w14:paraId="430022C4" w14:textId="25C6531C" w:rsidR="00B27256" w:rsidRDefault="00B27256">
      <w:pPr>
        <w:pStyle w:val="TableofFigures"/>
        <w:tabs>
          <w:tab w:val="right" w:leader="dot" w:pos="9016"/>
        </w:tabs>
        <w:rPr>
          <w:rFonts w:eastAsiaTheme="minorEastAsia"/>
          <w:noProof/>
          <w:kern w:val="2"/>
          <w:sz w:val="24"/>
          <w:szCs w:val="24"/>
          <w:lang w:eastAsia="zh-CN"/>
          <w14:ligatures w14:val="standardContextual"/>
        </w:rPr>
      </w:pPr>
      <w:r>
        <w:rPr>
          <w:noProof/>
        </w:rPr>
        <w:t>Figure 25 shows the torque ripple comparison between the two crankshafts.</w:t>
      </w:r>
      <w:r>
        <w:rPr>
          <w:noProof/>
        </w:rPr>
        <w:tab/>
      </w:r>
      <w:r>
        <w:rPr>
          <w:noProof/>
        </w:rPr>
        <w:fldChar w:fldCharType="begin"/>
      </w:r>
      <w:r>
        <w:rPr>
          <w:noProof/>
        </w:rPr>
        <w:instrText xml:space="preserve"> PAGEREF _Toc225107134 \h </w:instrText>
      </w:r>
      <w:r>
        <w:rPr>
          <w:noProof/>
        </w:rPr>
      </w:r>
      <w:r>
        <w:rPr>
          <w:noProof/>
        </w:rPr>
        <w:fldChar w:fldCharType="separate"/>
      </w:r>
      <w:r>
        <w:rPr>
          <w:noProof/>
        </w:rPr>
        <w:t>22</w:t>
      </w:r>
      <w:r>
        <w:rPr>
          <w:noProof/>
        </w:rPr>
        <w:fldChar w:fldCharType="end"/>
      </w:r>
    </w:p>
    <w:p w14:paraId="30ECF351" w14:textId="7742A433" w:rsidR="00454D15" w:rsidRPr="00454D15" w:rsidRDefault="00B27256" w:rsidP="00454D15">
      <w:r>
        <w:fldChar w:fldCharType="end"/>
      </w:r>
    </w:p>
    <w:p w14:paraId="4D282D86" w14:textId="77777777" w:rsidR="00454D15" w:rsidRPr="00454D15" w:rsidRDefault="00454D15" w:rsidP="00454D15"/>
    <w:p w14:paraId="2B6E9CA2" w14:textId="77777777" w:rsidR="00454D15" w:rsidRPr="00454D15" w:rsidRDefault="00454D15" w:rsidP="00454D15"/>
    <w:p w14:paraId="3EAB847D" w14:textId="77777777" w:rsidR="000E3976" w:rsidRDefault="000E3976" w:rsidP="00454D15">
      <w:pPr>
        <w:tabs>
          <w:tab w:val="left" w:pos="1560"/>
        </w:tabs>
        <w:rPr>
          <w:rFonts w:asciiTheme="majorHAnsi" w:eastAsiaTheme="majorEastAsia" w:hAnsiTheme="majorHAnsi" w:cstheme="majorBidi"/>
          <w:color w:val="2F5496" w:themeColor="accent1" w:themeShade="BF"/>
          <w:sz w:val="32"/>
          <w:szCs w:val="32"/>
        </w:rPr>
      </w:pPr>
    </w:p>
    <w:p w14:paraId="734CD2A4"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79068780"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4FE20D77"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72D6AE1C"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7FF98452"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5BA7393D"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23FEAE68" w14:textId="77777777" w:rsidR="00CE0826" w:rsidRDefault="00CE0826" w:rsidP="00454D15">
      <w:pPr>
        <w:tabs>
          <w:tab w:val="left" w:pos="1560"/>
        </w:tabs>
        <w:rPr>
          <w:rFonts w:asciiTheme="majorHAnsi" w:eastAsiaTheme="majorEastAsia" w:hAnsiTheme="majorHAnsi" w:cstheme="majorBidi"/>
          <w:color w:val="2F5496" w:themeColor="accent1" w:themeShade="BF"/>
          <w:sz w:val="32"/>
          <w:szCs w:val="32"/>
        </w:rPr>
      </w:pPr>
    </w:p>
    <w:p w14:paraId="15D1B741" w14:textId="77777777" w:rsidR="007340D0" w:rsidRPr="007340D0" w:rsidRDefault="007340D0" w:rsidP="00A264F5">
      <w:pPr>
        <w:pStyle w:val="Heading1"/>
        <w:numPr>
          <w:ilvl w:val="0"/>
          <w:numId w:val="0"/>
        </w:numPr>
        <w:ind w:left="432" w:hanging="432"/>
      </w:pPr>
      <w:bookmarkStart w:id="0" w:name="_Toc216266661"/>
      <w:bookmarkStart w:id="1" w:name="_Toc225003681"/>
      <w:r w:rsidRPr="007340D0">
        <w:lastRenderedPageBreak/>
        <w:t>1. Introduction</w:t>
      </w:r>
      <w:bookmarkEnd w:id="0"/>
      <w:bookmarkEnd w:id="1"/>
    </w:p>
    <w:p w14:paraId="20C31DC3" w14:textId="77777777" w:rsidR="00C35DE9" w:rsidRPr="00C35DE9" w:rsidRDefault="00C35DE9" w:rsidP="00C35DE9">
      <w:pPr>
        <w:tabs>
          <w:tab w:val="left" w:pos="1560"/>
        </w:tabs>
        <w:rPr>
          <w:rFonts w:eastAsiaTheme="majorEastAsia" w:cstheme="minorHAnsi"/>
        </w:rPr>
      </w:pPr>
      <w:r w:rsidRPr="00C35DE9">
        <w:rPr>
          <w:rFonts w:eastAsiaTheme="majorEastAsia" w:cstheme="minorHAnsi"/>
        </w:rPr>
        <w:t>The internal combustion engine remains fundamental to automotive and motorsport applications, where performance and reliability depend on the mechanical integrity of key components. Critical bottom-end components (Tawil, 1997), including the connecting rod, gudgeon pin and connecting rod bolts, are subjected to complex cyclic loading from combustion pressure and inertial forces. Understanding the magnitude and distribution of these forces is essential to ensure durability, prevent failure, and optimise weight and strength in high-performance applications (Henrik Peterson, 2026).</w:t>
      </w:r>
    </w:p>
    <w:p w14:paraId="7859838D" w14:textId="77777777" w:rsidR="00C35DE9" w:rsidRPr="00C35DE9" w:rsidRDefault="00C35DE9" w:rsidP="00C35DE9">
      <w:pPr>
        <w:tabs>
          <w:tab w:val="left" w:pos="1560"/>
        </w:tabs>
        <w:rPr>
          <w:rFonts w:eastAsiaTheme="majorEastAsia" w:cstheme="minorHAnsi"/>
        </w:rPr>
      </w:pPr>
      <w:r w:rsidRPr="00C35DE9">
        <w:rPr>
          <w:rFonts w:eastAsiaTheme="majorEastAsia" w:cstheme="minorHAnsi"/>
        </w:rPr>
        <w:t>The Ford 1.6 GTDI engine was used as a representative platform to evaluate component behaviour under realistic loading conditions. By combining in-cylinder pressure data with calculated piston kinematics, instantaneous forces throughout the engine cycle were determined. These forces were converted into stresses and analysed using fatigue methods, including the Goodman approach, to assess safety factors and identify potential failure points. Evaluating these across a range of engine speeds highlights the increasing influence of inertial loading on component life.</w:t>
      </w:r>
    </w:p>
    <w:p w14:paraId="1D189D87" w14:textId="77777777" w:rsidR="00C35DE9" w:rsidRPr="00C35DE9" w:rsidRDefault="00C35DE9" w:rsidP="00C35DE9">
      <w:pPr>
        <w:tabs>
          <w:tab w:val="left" w:pos="1560"/>
        </w:tabs>
        <w:rPr>
          <w:rFonts w:eastAsiaTheme="majorEastAsia" w:cstheme="minorHAnsi"/>
        </w:rPr>
      </w:pPr>
      <w:r w:rsidRPr="00C35DE9">
        <w:rPr>
          <w:rFonts w:eastAsiaTheme="majorEastAsia" w:cstheme="minorHAnsi"/>
        </w:rPr>
        <w:t>This report presents an analytical assessment of the engine’s bottom-end components, focusing on forces, stresses and fatigue safety factors at standard operating speeds, before extending the analysis to 9000 rpm using interpolation. Additional torque analysis and force trends provide further insight into operational limits and identify the components most susceptible to failure, supporting improved design and material selection.</w:t>
      </w:r>
    </w:p>
    <w:p w14:paraId="039ED245" w14:textId="77777777" w:rsidR="0007754C" w:rsidRDefault="0007754C" w:rsidP="007340D0">
      <w:pPr>
        <w:tabs>
          <w:tab w:val="left" w:pos="1560"/>
        </w:tabs>
        <w:rPr>
          <w:rFonts w:eastAsiaTheme="majorEastAsia" w:cstheme="minorHAnsi"/>
        </w:rPr>
      </w:pPr>
    </w:p>
    <w:p w14:paraId="252C24FF" w14:textId="0C045E82" w:rsidR="0007754C" w:rsidRDefault="0007754C" w:rsidP="007340D0">
      <w:pPr>
        <w:tabs>
          <w:tab w:val="left" w:pos="1560"/>
        </w:tabs>
        <w:rPr>
          <w:rFonts w:eastAsiaTheme="majorEastAsia" w:cstheme="minorHAnsi"/>
        </w:rPr>
      </w:pPr>
      <w:r>
        <w:rPr>
          <w:rFonts w:eastAsiaTheme="majorEastAsia" w:cstheme="minorHAnsi"/>
        </w:rPr>
        <w:t xml:space="preserve">The objectives of this report are therefore: </w:t>
      </w:r>
    </w:p>
    <w:p w14:paraId="5326203E" w14:textId="36943691" w:rsidR="00205065" w:rsidRDefault="00236525" w:rsidP="00205065">
      <w:pPr>
        <w:pStyle w:val="ListParagraph"/>
        <w:numPr>
          <w:ilvl w:val="0"/>
          <w:numId w:val="7"/>
        </w:numPr>
        <w:tabs>
          <w:tab w:val="left" w:pos="1560"/>
        </w:tabs>
        <w:rPr>
          <w:rFonts w:eastAsiaTheme="majorEastAsia" w:cstheme="minorHAnsi"/>
        </w:rPr>
      </w:pPr>
      <w:r>
        <w:rPr>
          <w:rFonts w:eastAsiaTheme="majorEastAsia" w:cstheme="minorHAnsi"/>
        </w:rPr>
        <w:t xml:space="preserve">Calculate forces acting on the critical components using pressure data and calculated engine kinematics. </w:t>
      </w:r>
    </w:p>
    <w:p w14:paraId="26BCDC75" w14:textId="7A77DFA9" w:rsidR="00236525" w:rsidRDefault="00081CFD" w:rsidP="00205065">
      <w:pPr>
        <w:pStyle w:val="ListParagraph"/>
        <w:numPr>
          <w:ilvl w:val="0"/>
          <w:numId w:val="7"/>
        </w:numPr>
        <w:tabs>
          <w:tab w:val="left" w:pos="1560"/>
        </w:tabs>
        <w:rPr>
          <w:rFonts w:eastAsiaTheme="majorEastAsia" w:cstheme="minorHAnsi"/>
        </w:rPr>
      </w:pPr>
      <w:r>
        <w:rPr>
          <w:rFonts w:eastAsiaTheme="majorEastAsia" w:cstheme="minorHAnsi"/>
        </w:rPr>
        <w:t xml:space="preserve">Determine the stresses and evaluate the fatigue safety factors under the cyclic loading conditions. </w:t>
      </w:r>
    </w:p>
    <w:p w14:paraId="2ED897B6" w14:textId="38944D72" w:rsidR="00081CFD" w:rsidRDefault="00006204" w:rsidP="00205065">
      <w:pPr>
        <w:pStyle w:val="ListParagraph"/>
        <w:numPr>
          <w:ilvl w:val="0"/>
          <w:numId w:val="7"/>
        </w:numPr>
        <w:tabs>
          <w:tab w:val="left" w:pos="1560"/>
        </w:tabs>
        <w:rPr>
          <w:rFonts w:eastAsiaTheme="majorEastAsia" w:cstheme="minorHAnsi"/>
        </w:rPr>
      </w:pPr>
      <w:r>
        <w:rPr>
          <w:rFonts w:eastAsiaTheme="majorEastAsia" w:cstheme="minorHAnsi"/>
        </w:rPr>
        <w:t xml:space="preserve">Examine </w:t>
      </w:r>
      <w:r w:rsidR="0096317E">
        <w:rPr>
          <w:rFonts w:eastAsiaTheme="majorEastAsia" w:cstheme="minorHAnsi"/>
        </w:rPr>
        <w:t>the influence of increasing engine speeds on component stresses</w:t>
      </w:r>
      <w:r w:rsidR="00941114">
        <w:rPr>
          <w:rFonts w:eastAsiaTheme="majorEastAsia" w:cstheme="minorHAnsi"/>
        </w:rPr>
        <w:t xml:space="preserve"> and the relevant safety margins. </w:t>
      </w:r>
    </w:p>
    <w:p w14:paraId="40F3ABB8" w14:textId="581F9182" w:rsidR="00941114" w:rsidRDefault="00941114" w:rsidP="00205065">
      <w:pPr>
        <w:pStyle w:val="ListParagraph"/>
        <w:numPr>
          <w:ilvl w:val="0"/>
          <w:numId w:val="7"/>
        </w:numPr>
        <w:tabs>
          <w:tab w:val="left" w:pos="1560"/>
        </w:tabs>
        <w:rPr>
          <w:rFonts w:eastAsiaTheme="majorEastAsia" w:cstheme="minorHAnsi"/>
        </w:rPr>
      </w:pPr>
      <w:r>
        <w:rPr>
          <w:rFonts w:eastAsiaTheme="majorEastAsia" w:cstheme="minorHAnsi"/>
        </w:rPr>
        <w:t>Provide a basis for engineering recommendations</w:t>
      </w:r>
      <w:r w:rsidR="00397004">
        <w:rPr>
          <w:rFonts w:eastAsiaTheme="majorEastAsia" w:cstheme="minorHAnsi"/>
        </w:rPr>
        <w:t xml:space="preserve">, including potential redesign strategies to maintain reliability and optimise component performance under increased loading conditions. </w:t>
      </w:r>
    </w:p>
    <w:p w14:paraId="09CC6857" w14:textId="78C9CF72" w:rsidR="008521E3" w:rsidRPr="008521E3" w:rsidRDefault="008521E3" w:rsidP="008521E3">
      <w:pPr>
        <w:tabs>
          <w:tab w:val="left" w:pos="1560"/>
        </w:tabs>
        <w:rPr>
          <w:rFonts w:eastAsiaTheme="majorEastAsia" w:cstheme="minorHAnsi"/>
        </w:rPr>
      </w:pPr>
      <w:r>
        <w:rPr>
          <w:rFonts w:eastAsiaTheme="majorEastAsia" w:cstheme="minorHAnsi"/>
        </w:rPr>
        <w:t xml:space="preserve">Combing the </w:t>
      </w:r>
      <w:r w:rsidR="0074362A">
        <w:rPr>
          <w:rFonts w:eastAsiaTheme="majorEastAsia" w:cstheme="minorHAnsi"/>
        </w:rPr>
        <w:t>analytical</w:t>
      </w:r>
      <w:r>
        <w:rPr>
          <w:rFonts w:eastAsiaTheme="majorEastAsia" w:cstheme="minorHAnsi"/>
        </w:rPr>
        <w:t xml:space="preserve"> calculations and the </w:t>
      </w:r>
      <w:r w:rsidR="0074362A">
        <w:rPr>
          <w:rFonts w:eastAsiaTheme="majorEastAsia" w:cstheme="minorHAnsi"/>
        </w:rPr>
        <w:t>visualisations</w:t>
      </w:r>
      <w:r>
        <w:rPr>
          <w:rFonts w:eastAsiaTheme="majorEastAsia" w:cstheme="minorHAnsi"/>
        </w:rPr>
        <w:t xml:space="preserve"> of forces, stresses and safety </w:t>
      </w:r>
      <w:r w:rsidR="0074362A">
        <w:rPr>
          <w:rFonts w:eastAsiaTheme="majorEastAsia" w:cstheme="minorHAnsi"/>
        </w:rPr>
        <w:t xml:space="preserve">factors, this report aims to provide a solid and robust understanding of the behaviour of the critical engine components under dynamic conditions and to inform design considerations. </w:t>
      </w:r>
    </w:p>
    <w:p w14:paraId="2D9C981D" w14:textId="77777777" w:rsidR="00B57429" w:rsidRPr="007340D0" w:rsidRDefault="00B57429" w:rsidP="00B57429">
      <w:pPr>
        <w:rPr>
          <w:rFonts w:asciiTheme="majorHAnsi" w:eastAsiaTheme="majorEastAsia" w:hAnsiTheme="majorHAnsi" w:cstheme="majorBidi"/>
          <w:sz w:val="32"/>
          <w:szCs w:val="32"/>
        </w:rPr>
      </w:pPr>
    </w:p>
    <w:p w14:paraId="0DC9AB8A" w14:textId="419D8372" w:rsidR="007340D0" w:rsidRPr="007340D0" w:rsidRDefault="005B26D8" w:rsidP="00003CCD">
      <w:pPr>
        <w:pStyle w:val="Heading1"/>
        <w:numPr>
          <w:ilvl w:val="0"/>
          <w:numId w:val="0"/>
        </w:numPr>
        <w:ind w:left="432" w:hanging="432"/>
        <w:rPr>
          <w:b/>
          <w:bCs/>
        </w:rPr>
      </w:pPr>
      <w:bookmarkStart w:id="2" w:name="_Toc216266663"/>
      <w:bookmarkStart w:id="3" w:name="_Toc225003683"/>
      <w:r>
        <w:rPr>
          <w:rStyle w:val="Heading1Char"/>
        </w:rPr>
        <w:t xml:space="preserve">2 </w:t>
      </w:r>
      <w:r w:rsidR="007340D0" w:rsidRPr="007340D0">
        <w:rPr>
          <w:rStyle w:val="Heading1Char"/>
        </w:rPr>
        <w:t>Methodology</w:t>
      </w:r>
      <w:bookmarkEnd w:id="2"/>
      <w:bookmarkEnd w:id="3"/>
    </w:p>
    <w:p w14:paraId="13778122" w14:textId="70468F21" w:rsidR="002A56C7" w:rsidRDefault="005B26D8" w:rsidP="00003CCD">
      <w:pPr>
        <w:pStyle w:val="Heading2"/>
        <w:numPr>
          <w:ilvl w:val="0"/>
          <w:numId w:val="0"/>
        </w:numPr>
      </w:pPr>
      <w:bookmarkStart w:id="4" w:name="_Toc225003684"/>
      <w:r>
        <w:t>2</w:t>
      </w:r>
      <w:r w:rsidR="00003CCD">
        <w:t xml:space="preserve">.1 </w:t>
      </w:r>
      <w:r w:rsidR="002A56C7">
        <w:t>Engine Data and Assumptions</w:t>
      </w:r>
      <w:bookmarkEnd w:id="4"/>
    </w:p>
    <w:p w14:paraId="40F652E9" w14:textId="2BA15697" w:rsidR="00840ED3" w:rsidRDefault="00840ED3" w:rsidP="00840ED3">
      <w:pPr>
        <w:pStyle w:val="Heading3"/>
        <w:numPr>
          <w:ilvl w:val="0"/>
          <w:numId w:val="0"/>
        </w:numPr>
      </w:pPr>
      <w:r>
        <w:t xml:space="preserve">2.1.1 Engine Parameters and assumptions </w:t>
      </w:r>
    </w:p>
    <w:p w14:paraId="629AC881" w14:textId="00F36BF5" w:rsidR="003866BC" w:rsidRDefault="003866BC" w:rsidP="007340D0">
      <w:pPr>
        <w:tabs>
          <w:tab w:val="left" w:pos="1560"/>
        </w:tabs>
        <w:rPr>
          <w:rFonts w:eastAsiaTheme="majorEastAsia" w:cstheme="minorHAnsi"/>
        </w:rPr>
      </w:pPr>
      <w:r>
        <w:rPr>
          <w:rFonts w:eastAsiaTheme="majorEastAsia" w:cstheme="minorHAnsi"/>
        </w:rPr>
        <w:t xml:space="preserve">Key geometric parameters for the Ford 1.6 GDTI </w:t>
      </w:r>
      <w:r w:rsidR="001B4A48">
        <w:rPr>
          <w:rFonts w:eastAsiaTheme="majorEastAsia" w:cstheme="minorHAnsi"/>
        </w:rPr>
        <w:t xml:space="preserve">were used in this analysis including bore, stroke, crank radius and connecting rod length, The reciprocating mass </w:t>
      </w:r>
      <w:r w:rsidR="006E650A">
        <w:rPr>
          <w:rFonts w:eastAsiaTheme="majorEastAsia" w:cstheme="minorHAnsi"/>
        </w:rPr>
        <w:t xml:space="preserve">of this assembly was also considered to calculate and evaluate inertial forces. </w:t>
      </w:r>
    </w:p>
    <w:p w14:paraId="1E14AC87" w14:textId="76C68F72" w:rsidR="006E650A" w:rsidRDefault="006E650A" w:rsidP="007340D0">
      <w:pPr>
        <w:tabs>
          <w:tab w:val="left" w:pos="1560"/>
        </w:tabs>
        <w:rPr>
          <w:rFonts w:eastAsiaTheme="majorEastAsia" w:cstheme="minorHAnsi"/>
        </w:rPr>
      </w:pPr>
      <w:r>
        <w:rPr>
          <w:rFonts w:eastAsiaTheme="majorEastAsia" w:cstheme="minorHAnsi"/>
        </w:rPr>
        <w:t xml:space="preserve">Several assumptions were made to simplify </w:t>
      </w:r>
      <w:r w:rsidR="005F785F">
        <w:rPr>
          <w:rFonts w:eastAsiaTheme="majorEastAsia" w:cstheme="minorHAnsi"/>
        </w:rPr>
        <w:t xml:space="preserve">the first principles approach: </w:t>
      </w:r>
    </w:p>
    <w:p w14:paraId="75EBAFAE" w14:textId="28EF792C" w:rsidR="005F785F" w:rsidRDefault="005F785F" w:rsidP="005F785F">
      <w:pPr>
        <w:pStyle w:val="ListParagraph"/>
        <w:numPr>
          <w:ilvl w:val="0"/>
          <w:numId w:val="10"/>
        </w:numPr>
        <w:tabs>
          <w:tab w:val="left" w:pos="1560"/>
        </w:tabs>
        <w:rPr>
          <w:rFonts w:eastAsiaTheme="majorEastAsia" w:cstheme="minorHAnsi"/>
        </w:rPr>
      </w:pPr>
      <w:r>
        <w:rPr>
          <w:rFonts w:eastAsiaTheme="majorEastAsia" w:cstheme="minorHAnsi"/>
        </w:rPr>
        <w:lastRenderedPageBreak/>
        <w:t xml:space="preserve">The component used were treated as rigid bodies. </w:t>
      </w:r>
    </w:p>
    <w:p w14:paraId="07780B34" w14:textId="692EBF34" w:rsidR="005F785F" w:rsidRDefault="00E853E0" w:rsidP="005F785F">
      <w:pPr>
        <w:pStyle w:val="ListParagraph"/>
        <w:numPr>
          <w:ilvl w:val="0"/>
          <w:numId w:val="10"/>
        </w:numPr>
        <w:tabs>
          <w:tab w:val="left" w:pos="1560"/>
        </w:tabs>
        <w:rPr>
          <w:rFonts w:eastAsiaTheme="majorEastAsia" w:cstheme="minorHAnsi"/>
        </w:rPr>
      </w:pPr>
      <w:r>
        <w:rPr>
          <w:rFonts w:eastAsiaTheme="majorEastAsia" w:cstheme="minorHAnsi"/>
        </w:rPr>
        <w:t xml:space="preserve">Frictional effects, thermal expansion and damping were neglected. </w:t>
      </w:r>
    </w:p>
    <w:p w14:paraId="20B3A930" w14:textId="37AEB922" w:rsidR="00E853E0" w:rsidRDefault="00D50006" w:rsidP="005F785F">
      <w:pPr>
        <w:pStyle w:val="ListParagraph"/>
        <w:numPr>
          <w:ilvl w:val="0"/>
          <w:numId w:val="10"/>
        </w:numPr>
        <w:tabs>
          <w:tab w:val="left" w:pos="1560"/>
        </w:tabs>
        <w:rPr>
          <w:rFonts w:eastAsiaTheme="majorEastAsia" w:cstheme="minorHAnsi"/>
        </w:rPr>
      </w:pPr>
      <w:r>
        <w:rPr>
          <w:rFonts w:eastAsiaTheme="majorEastAsia" w:cstheme="minorHAnsi"/>
        </w:rPr>
        <w:t xml:space="preserve">The loading forces </w:t>
      </w:r>
      <w:r w:rsidR="00507291">
        <w:rPr>
          <w:rFonts w:eastAsiaTheme="majorEastAsia" w:cstheme="minorHAnsi"/>
        </w:rPr>
        <w:t>were</w:t>
      </w:r>
      <w:r>
        <w:rPr>
          <w:rFonts w:eastAsiaTheme="majorEastAsia" w:cstheme="minorHAnsi"/>
        </w:rPr>
        <w:t xml:space="preserve"> axial along the main axis of motion </w:t>
      </w:r>
      <w:r w:rsidR="00AA6B6A">
        <w:rPr>
          <w:rFonts w:eastAsiaTheme="majorEastAsia" w:cstheme="minorHAnsi"/>
        </w:rPr>
        <w:t xml:space="preserve">with the inertial forces considered as linear. </w:t>
      </w:r>
    </w:p>
    <w:p w14:paraId="4EF6288E" w14:textId="736324F1" w:rsidR="00AA6B6A" w:rsidRDefault="00AA6B6A" w:rsidP="005F785F">
      <w:pPr>
        <w:pStyle w:val="ListParagraph"/>
        <w:numPr>
          <w:ilvl w:val="0"/>
          <w:numId w:val="10"/>
        </w:numPr>
        <w:tabs>
          <w:tab w:val="left" w:pos="1560"/>
        </w:tabs>
        <w:rPr>
          <w:rFonts w:eastAsiaTheme="majorEastAsia" w:cstheme="minorHAnsi"/>
        </w:rPr>
      </w:pPr>
      <w:r>
        <w:rPr>
          <w:rFonts w:eastAsiaTheme="majorEastAsia" w:cstheme="minorHAnsi"/>
        </w:rPr>
        <w:t xml:space="preserve">Bolt preload and stiffness were incorporated </w:t>
      </w:r>
      <w:r w:rsidR="00B76BB6">
        <w:rPr>
          <w:rFonts w:eastAsiaTheme="majorEastAsia" w:cstheme="minorHAnsi"/>
        </w:rPr>
        <w:t xml:space="preserve">for the connecting rod bolts </w:t>
      </w:r>
    </w:p>
    <w:p w14:paraId="6A75E4FB" w14:textId="78C1C6BE" w:rsidR="00B76BB6" w:rsidRDefault="00B76BB6" w:rsidP="00B76BB6">
      <w:pPr>
        <w:tabs>
          <w:tab w:val="left" w:pos="1560"/>
        </w:tabs>
        <w:rPr>
          <w:rFonts w:eastAsiaTheme="majorEastAsia" w:cstheme="minorHAnsi"/>
        </w:rPr>
      </w:pPr>
      <w:r>
        <w:rPr>
          <w:rFonts w:eastAsiaTheme="majorEastAsia" w:cstheme="minorHAnsi"/>
        </w:rPr>
        <w:t xml:space="preserve">These assumptions allow a balance between accuracy and </w:t>
      </w:r>
      <w:r w:rsidR="00C431CE">
        <w:rPr>
          <w:rFonts w:eastAsiaTheme="majorEastAsia" w:cstheme="minorHAnsi"/>
        </w:rPr>
        <w:t xml:space="preserve">computational efficiency, providing a realistic estimation of associated forces and stresses while </w:t>
      </w:r>
      <w:r w:rsidR="00833C3E">
        <w:rPr>
          <w:rFonts w:eastAsiaTheme="majorEastAsia" w:cstheme="minorHAnsi"/>
        </w:rPr>
        <w:t xml:space="preserve">remaining suitable for analytical evaluations.  </w:t>
      </w:r>
    </w:p>
    <w:p w14:paraId="39217CD2" w14:textId="3121C033" w:rsidR="00833C3E" w:rsidRDefault="00833C3E" w:rsidP="00833C3E">
      <w:pPr>
        <w:pStyle w:val="Heading3"/>
        <w:numPr>
          <w:ilvl w:val="0"/>
          <w:numId w:val="0"/>
        </w:numPr>
        <w:ind w:left="720" w:hanging="720"/>
      </w:pPr>
      <w:r>
        <w:t xml:space="preserve">2.1.2 Piston Kinematics </w:t>
      </w:r>
    </w:p>
    <w:p w14:paraId="5FC6D355" w14:textId="77777777" w:rsidR="0001782A" w:rsidRPr="0001782A" w:rsidRDefault="0001782A" w:rsidP="0001782A">
      <w:r w:rsidRPr="0001782A">
        <w:t>The piston displacement as a function of crank angle was calculated using the standard crank-slider relationship:</w:t>
      </w:r>
    </w:p>
    <w:p w14:paraId="69A63C84" w14:textId="578A4C91" w:rsidR="0001782A" w:rsidRPr="0001782A" w:rsidRDefault="0001782A" w:rsidP="00881702">
      <w:pPr>
        <w:pStyle w:val="Caption"/>
        <w:jc w:val="center"/>
      </w:pPr>
      <w:bookmarkStart w:id="5" w:name="_Toc225094136"/>
      <w:bookmarkStart w:id="6" w:name="_Toc225107135"/>
      <m:oMathPara>
        <m:oMath>
          <m:r>
            <w:rPr>
              <w:rFonts w:ascii="Cambria Math" w:hAnsi="Cambria Math"/>
              <w:color w:val="auto"/>
              <w:sz w:val="22"/>
              <w:szCs w:val="22"/>
            </w:rPr>
            <m:t>x(θ)=r(1-cos⁡θ)+</m:t>
          </m:r>
          <m:d>
            <m:dPr>
              <m:sepChr m:val="−"/>
              <m:ctrlPr>
                <w:rPr>
                  <w:rFonts w:ascii="Cambria Math" w:hAnsi="Cambria Math"/>
                  <w:i w:val="0"/>
                  <w:iCs w:val="0"/>
                  <w:color w:val="auto"/>
                  <w:sz w:val="22"/>
                  <w:szCs w:val="22"/>
                </w:rPr>
              </m:ctrlPr>
            </m:dPr>
            <m:e>
              <m:r>
                <w:rPr>
                  <w:rFonts w:ascii="Cambria Math" w:hAnsi="Cambria Math"/>
                  <w:color w:val="auto"/>
                  <w:sz w:val="22"/>
                  <w:szCs w:val="22"/>
                </w:rPr>
                <m:t>L</m:t>
              </m:r>
            </m:e>
            <m:e>
              <m:rad>
                <m:radPr>
                  <m:degHide m:val="1"/>
                  <m:ctrlPr>
                    <w:rPr>
                      <w:rFonts w:ascii="Cambria Math" w:hAnsi="Cambria Math"/>
                      <w:i w:val="0"/>
                      <w:iCs w:val="0"/>
                      <w:color w:val="auto"/>
                      <w:sz w:val="22"/>
                      <w:szCs w:val="22"/>
                    </w:rPr>
                  </m:ctrlPr>
                </m:radPr>
                <m:deg/>
                <m:e>
                  <m:sSup>
                    <m:sSupPr>
                      <m:ctrlPr>
                        <w:rPr>
                          <w:rFonts w:ascii="Cambria Math" w:hAnsi="Cambria Math"/>
                          <w:i w:val="0"/>
                          <w:iCs w:val="0"/>
                          <w:color w:val="auto"/>
                          <w:sz w:val="22"/>
                          <w:szCs w:val="22"/>
                        </w:rPr>
                      </m:ctrlPr>
                    </m:sSupPr>
                    <m:e>
                      <m:r>
                        <w:rPr>
                          <w:rFonts w:ascii="Cambria Math" w:hAnsi="Cambria Math"/>
                          <w:color w:val="auto"/>
                          <w:sz w:val="22"/>
                          <w:szCs w:val="22"/>
                        </w:rPr>
                        <m:t>L</m:t>
                      </m:r>
                    </m:e>
                    <m:sup>
                      <m:r>
                        <w:rPr>
                          <w:rFonts w:ascii="Cambria Math" w:hAnsi="Cambria Math"/>
                          <w:color w:val="auto"/>
                          <w:sz w:val="22"/>
                          <w:szCs w:val="22"/>
                        </w:rPr>
                        <m:t>2</m:t>
                      </m:r>
                    </m:sup>
                  </m:sSup>
                  <m:r>
                    <w:rPr>
                      <w:rFonts w:ascii="Cambria Math" w:hAnsi="Cambria Math"/>
                      <w:color w:val="auto"/>
                      <w:sz w:val="22"/>
                      <w:szCs w:val="22"/>
                    </w:rPr>
                    <m:t>-(rsin⁡θ</m:t>
                  </m:r>
                  <m:sSup>
                    <m:sSupPr>
                      <m:ctrlPr>
                        <w:rPr>
                          <w:rFonts w:ascii="Cambria Math" w:hAnsi="Cambria Math"/>
                          <w:i w:val="0"/>
                          <w:iCs w:val="0"/>
                          <w:color w:val="auto"/>
                          <w:sz w:val="22"/>
                          <w:szCs w:val="22"/>
                        </w:rPr>
                      </m:ctrlPr>
                    </m:sSupPr>
                    <m:e>
                      <m:r>
                        <w:rPr>
                          <w:rFonts w:ascii="Cambria Math" w:hAnsi="Cambria Math"/>
                          <w:color w:val="auto"/>
                          <w:sz w:val="22"/>
                          <w:szCs w:val="22"/>
                        </w:rPr>
                        <m:t>)</m:t>
                      </m:r>
                    </m:e>
                    <m:sup>
                      <m:r>
                        <w:rPr>
                          <w:rFonts w:ascii="Cambria Math" w:hAnsi="Cambria Math"/>
                          <w:color w:val="auto"/>
                          <w:sz w:val="22"/>
                          <w:szCs w:val="22"/>
                        </w:rPr>
                        <m:t>2</m:t>
                      </m:r>
                    </m:sup>
                  </m:sSup>
                </m:e>
              </m:rad>
            </m:e>
          </m:d>
          <m:r>
            <w:rPr>
              <w:rFonts w:ascii="Cambria Math" w:hAnsi="Cambria Math"/>
              <w:color w:val="auto"/>
              <w:sz w:val="22"/>
              <w:szCs w:val="22"/>
            </w:rPr>
            <w:br/>
          </m:r>
        </m:oMath>
      </m:oMathPara>
      <w:r w:rsidR="00881702">
        <w:t xml:space="preserve">Equation </w:t>
      </w:r>
      <w:r w:rsidR="00881702">
        <w:fldChar w:fldCharType="begin"/>
      </w:r>
      <w:r w:rsidR="00881702">
        <w:instrText xml:space="preserve"> SEQ Equation \* ARABIC </w:instrText>
      </w:r>
      <w:r w:rsidR="00881702">
        <w:fldChar w:fldCharType="separate"/>
      </w:r>
      <w:r w:rsidR="007C5B87">
        <w:rPr>
          <w:noProof/>
        </w:rPr>
        <w:t>1</w:t>
      </w:r>
      <w:r w:rsidR="00881702">
        <w:fldChar w:fldCharType="end"/>
      </w:r>
      <w:r w:rsidR="00881702">
        <w:t xml:space="preserve"> is used to calculate piston displacement (</w:t>
      </w:r>
      <w:r w:rsidR="00970551">
        <w:t>s</w:t>
      </w:r>
      <w:r w:rsidR="00881702">
        <w:t>)</w:t>
      </w:r>
      <w:bookmarkEnd w:id="5"/>
      <w:bookmarkEnd w:id="6"/>
    </w:p>
    <w:p w14:paraId="296C8F96" w14:textId="1A9A19B7" w:rsidR="0001782A" w:rsidRPr="0001782A" w:rsidRDefault="0001782A" w:rsidP="0001782A">
      <w:r w:rsidRPr="0001782A">
        <w:t xml:space="preserve">where </w:t>
      </w:r>
      <m:oMath>
        <m:r>
          <w:rPr>
            <w:rFonts w:ascii="Cambria Math" w:hAnsi="Cambria Math"/>
          </w:rPr>
          <m:t xml:space="preserve">r </m:t>
        </m:r>
      </m:oMath>
      <w:r w:rsidRPr="0001782A">
        <w:t xml:space="preserve">is the crank radius, </w:t>
      </w:r>
      <m:oMath>
        <m:r>
          <w:rPr>
            <w:rFonts w:ascii="Cambria Math" w:hAnsi="Cambria Math"/>
          </w:rPr>
          <m:t>L</m:t>
        </m:r>
      </m:oMath>
      <w:r w:rsidRPr="0001782A">
        <w:t xml:space="preserve">is the connecting rod length, and </w:t>
      </w:r>
      <m:oMath>
        <m:r>
          <w:rPr>
            <w:rFonts w:ascii="Cambria Math" w:hAnsi="Cambria Math"/>
          </w:rPr>
          <m:t>θ</m:t>
        </m:r>
      </m:oMath>
      <w:r w:rsidRPr="0001782A">
        <w:t>is the crank angle.</w:t>
      </w:r>
    </w:p>
    <w:p w14:paraId="44CD3C18" w14:textId="77777777" w:rsidR="0001782A" w:rsidRPr="0001782A" w:rsidRDefault="0001782A" w:rsidP="0001782A">
      <w:r w:rsidRPr="0001782A">
        <w:t>From this displacement, the piston velocity and acceleration were determined numerically using central finite differences:</w:t>
      </w:r>
    </w:p>
    <w:p w14:paraId="10872CF4" w14:textId="0FC81D13" w:rsidR="0001782A" w:rsidRPr="0001782A" w:rsidRDefault="0001782A" w:rsidP="00522AB8">
      <w:pPr>
        <w:pStyle w:val="Caption"/>
        <w:jc w:val="center"/>
      </w:pPr>
      <w:bookmarkStart w:id="7" w:name="_Toc225094137"/>
      <w:bookmarkStart w:id="8" w:name="_Toc225107136"/>
      <m:oMathPara>
        <m:oMath>
          <m:r>
            <w:rPr>
              <w:rFonts w:ascii="Cambria Math" w:hAnsi="Cambria Math"/>
              <w:color w:val="auto"/>
              <w:sz w:val="22"/>
              <w:szCs w:val="22"/>
            </w:rPr>
            <m:t>v=</m:t>
          </m:r>
          <m:f>
            <m:fPr>
              <m:ctrlPr>
                <w:rPr>
                  <w:rFonts w:ascii="Cambria Math" w:hAnsi="Cambria Math"/>
                  <w:i w:val="0"/>
                  <w:iCs w:val="0"/>
                  <w:color w:val="auto"/>
                  <w:sz w:val="22"/>
                  <w:szCs w:val="22"/>
                </w:rPr>
              </m:ctrlPr>
            </m:fPr>
            <m:num>
              <m:r>
                <w:rPr>
                  <w:rFonts w:ascii="Cambria Math" w:hAnsi="Cambria Math"/>
                  <w:color w:val="auto"/>
                  <w:sz w:val="22"/>
                  <w:szCs w:val="22"/>
                </w:rPr>
                <m:t>dx</m:t>
              </m:r>
            </m:num>
            <m:den>
              <m:r>
                <w:rPr>
                  <w:rFonts w:ascii="Cambria Math" w:hAnsi="Cambria Math"/>
                  <w:color w:val="auto"/>
                  <w:sz w:val="22"/>
                  <w:szCs w:val="22"/>
                </w:rPr>
                <m:t>dt</m:t>
              </m:r>
            </m:den>
          </m:f>
          <m:r>
            <w:rPr>
              <w:rFonts w:ascii="Cambria Math" w:hAnsi="Cambria Math"/>
              <w:color w:val="auto"/>
              <w:sz w:val="22"/>
              <w:szCs w:val="22"/>
            </w:rPr>
            <m:t>,  a=</m:t>
          </m:r>
          <m:f>
            <m:fPr>
              <m:ctrlPr>
                <w:rPr>
                  <w:rFonts w:ascii="Cambria Math" w:hAnsi="Cambria Math"/>
                  <w:i w:val="0"/>
                  <w:iCs w:val="0"/>
                  <w:color w:val="auto"/>
                  <w:sz w:val="22"/>
                  <w:szCs w:val="22"/>
                </w:rPr>
              </m:ctrlPr>
            </m:fPr>
            <m:num>
              <m:r>
                <w:rPr>
                  <w:rFonts w:ascii="Cambria Math" w:hAnsi="Cambria Math"/>
                  <w:color w:val="auto"/>
                  <w:sz w:val="22"/>
                  <w:szCs w:val="22"/>
                </w:rPr>
                <m:t>dv</m:t>
              </m:r>
            </m:num>
            <m:den>
              <m:r>
                <w:rPr>
                  <w:rFonts w:ascii="Cambria Math" w:hAnsi="Cambria Math"/>
                  <w:color w:val="auto"/>
                  <w:sz w:val="22"/>
                  <w:szCs w:val="22"/>
                </w:rPr>
                <m:t>dt</m:t>
              </m:r>
            </m:den>
          </m:f>
          <m:r>
            <w:rPr>
              <w:rFonts w:ascii="Cambria Math" w:hAnsi="Cambria Math"/>
              <w:color w:val="auto"/>
              <w:sz w:val="22"/>
              <w:szCs w:val="22"/>
            </w:rPr>
            <w:br/>
          </m:r>
        </m:oMath>
      </m:oMathPara>
      <w:r w:rsidR="00970551">
        <w:t xml:space="preserve">Equation </w:t>
      </w:r>
      <w:r w:rsidR="00970551">
        <w:fldChar w:fldCharType="begin"/>
      </w:r>
      <w:r w:rsidR="00970551">
        <w:instrText xml:space="preserve"> SEQ Equation \* ARABIC </w:instrText>
      </w:r>
      <w:r w:rsidR="00970551">
        <w:fldChar w:fldCharType="separate"/>
      </w:r>
      <w:r w:rsidR="007C5B87">
        <w:rPr>
          <w:noProof/>
        </w:rPr>
        <w:t>2</w:t>
      </w:r>
      <w:r w:rsidR="00970551">
        <w:fldChar w:fldCharType="end"/>
      </w:r>
      <w:r w:rsidR="00970551">
        <w:t xml:space="preserve"> is used to calculate piston velocity and piston acceleration (v), (a)</w:t>
      </w:r>
      <w:bookmarkEnd w:id="7"/>
      <w:bookmarkEnd w:id="8"/>
    </w:p>
    <w:p w14:paraId="7A72F564" w14:textId="5CD61407" w:rsidR="007340D0" w:rsidRPr="00A4263F" w:rsidRDefault="0001782A" w:rsidP="00A4263F">
      <w:r w:rsidRPr="0001782A">
        <w:t>This approach ensures consistency between displacement, velocity, and acceleration for the calculation of inertial forces.</w:t>
      </w:r>
    </w:p>
    <w:p w14:paraId="273CF2AB" w14:textId="290347F0" w:rsidR="007340D0" w:rsidRPr="007340D0" w:rsidRDefault="002A56C7" w:rsidP="009E2198">
      <w:pPr>
        <w:pStyle w:val="Heading2"/>
        <w:numPr>
          <w:ilvl w:val="2"/>
          <w:numId w:val="17"/>
        </w:numPr>
      </w:pPr>
      <w:bookmarkStart w:id="9" w:name="_Toc225003685"/>
      <w:r>
        <w:t>Force Analysis</w:t>
      </w:r>
      <w:bookmarkEnd w:id="9"/>
    </w:p>
    <w:p w14:paraId="4A6A16AD" w14:textId="3A5AC6F8" w:rsidR="00223060" w:rsidRDefault="00223060" w:rsidP="007340D0">
      <w:pPr>
        <w:tabs>
          <w:tab w:val="left" w:pos="1560"/>
        </w:tabs>
        <w:rPr>
          <w:rFonts w:eastAsiaTheme="majorEastAsia" w:cstheme="minorHAnsi"/>
        </w:rPr>
      </w:pPr>
      <w:r>
        <w:rPr>
          <w:rFonts w:eastAsiaTheme="majorEastAsia" w:cstheme="minorHAnsi"/>
        </w:rPr>
        <w:t xml:space="preserve">The total force </w:t>
      </w:r>
      <w:r w:rsidR="00D17E70">
        <w:rPr>
          <w:rFonts w:eastAsiaTheme="majorEastAsia" w:cstheme="minorHAnsi"/>
        </w:rPr>
        <w:t xml:space="preserve">experience by each component is calculated by combining the equations below: </w:t>
      </w:r>
    </w:p>
    <w:p w14:paraId="78D6A8C5" w14:textId="3D531898" w:rsidR="00D17E70" w:rsidRDefault="00D17E70" w:rsidP="00D17E70">
      <w:pPr>
        <w:pStyle w:val="ListParagraph"/>
        <w:numPr>
          <w:ilvl w:val="0"/>
          <w:numId w:val="11"/>
        </w:numPr>
        <w:tabs>
          <w:tab w:val="left" w:pos="1560"/>
        </w:tabs>
        <w:rPr>
          <w:rFonts w:eastAsiaTheme="majorEastAsia" w:cstheme="minorHAnsi"/>
        </w:rPr>
      </w:pPr>
      <w:r>
        <w:rPr>
          <w:rFonts w:eastAsiaTheme="majorEastAsia" w:cstheme="minorHAnsi"/>
        </w:rPr>
        <w:t xml:space="preserve">Gas force, </w:t>
      </w:r>
      <w:r w:rsidR="00012FDF">
        <w:rPr>
          <w:rFonts w:eastAsiaTheme="majorEastAsia" w:cstheme="minorHAnsi"/>
        </w:rPr>
        <w:t xml:space="preserve">calculated from the in-cylinder pressures supplied </w:t>
      </w:r>
      <w:r w:rsidR="00EA77C3">
        <w:rPr>
          <w:rFonts w:eastAsiaTheme="majorEastAsia" w:cstheme="minorHAnsi"/>
        </w:rPr>
        <w:t>in an excel document</w:t>
      </w:r>
      <w:r w:rsidR="00146CB6">
        <w:rPr>
          <w:rFonts w:eastAsiaTheme="majorEastAsia" w:cstheme="minorHAnsi"/>
        </w:rPr>
        <w:t>:</w:t>
      </w:r>
    </w:p>
    <w:bookmarkStart w:id="10" w:name="_Toc225094138"/>
    <w:bookmarkStart w:id="11" w:name="_Toc225107137"/>
    <w:p w14:paraId="6EEB1D47" w14:textId="7479805F" w:rsidR="00A4263F" w:rsidRPr="00A4263F" w:rsidRDefault="00406D56" w:rsidP="00AD6C67">
      <w:pPr>
        <w:pStyle w:val="Caption"/>
        <w:jc w:val="center"/>
        <w:rPr>
          <w:rFonts w:eastAsiaTheme="majorEastAsia" w:cstheme="minorHAnsi"/>
        </w:rPr>
      </w:pPr>
      <m:oMathPara>
        <m:oMath>
          <m:sSub>
            <m:sSubPr>
              <m:ctrlPr>
                <w:rPr>
                  <w:rFonts w:ascii="Cambria Math" w:eastAsiaTheme="majorEastAsia" w:hAnsi="Cambria Math" w:cstheme="minorHAnsi"/>
                  <w:i w:val="0"/>
                  <w:iCs w:val="0"/>
                  <w:color w:val="auto"/>
                  <w:sz w:val="22"/>
                  <w:szCs w:val="22"/>
                </w:rPr>
              </m:ctrlPr>
            </m:sSubPr>
            <m:e>
              <m:r>
                <w:rPr>
                  <w:rFonts w:ascii="Cambria Math" w:eastAsiaTheme="majorEastAsia" w:hAnsi="Cambria Math" w:cstheme="minorHAnsi"/>
                  <w:color w:val="auto"/>
                  <w:sz w:val="22"/>
                  <w:szCs w:val="22"/>
                </w:rPr>
                <m:t>F</m:t>
              </m:r>
            </m:e>
            <m:sub>
              <m:r>
                <m:rPr>
                  <m:nor/>
                </m:rPr>
                <w:rPr>
                  <w:rFonts w:eastAsiaTheme="majorEastAsia" w:cstheme="minorHAnsi"/>
                  <w:i w:val="0"/>
                  <w:iCs w:val="0"/>
                  <w:color w:val="auto"/>
                  <w:sz w:val="22"/>
                  <w:szCs w:val="22"/>
                </w:rPr>
                <m:t>gas</m:t>
              </m:r>
            </m:sub>
          </m:sSub>
          <m:r>
            <w:rPr>
              <w:rFonts w:ascii="Cambria Math" w:eastAsiaTheme="majorEastAsia" w:hAnsi="Cambria Math" w:cstheme="minorHAnsi"/>
              <w:color w:val="auto"/>
              <w:sz w:val="22"/>
              <w:szCs w:val="22"/>
            </w:rPr>
            <m:t>=</m:t>
          </m:r>
          <m:r>
            <w:rPr>
              <w:rFonts w:ascii="Cambria Math" w:eastAsiaTheme="majorEastAsia" w:hAnsi="Cambria Math" w:cstheme="minorHAnsi"/>
              <w:color w:val="auto"/>
              <w:sz w:val="22"/>
              <w:szCs w:val="22"/>
            </w:rPr>
            <m:t>P</m:t>
          </m:r>
          <m:r>
            <w:rPr>
              <w:rFonts w:ascii="Cambria Math" w:eastAsiaTheme="majorEastAsia" w:hAnsi="Cambria Math" w:cstheme="minorHAnsi"/>
              <w:color w:val="auto"/>
              <w:sz w:val="22"/>
              <w:szCs w:val="22"/>
            </w:rPr>
            <m:t>×</m:t>
          </m:r>
          <m:sSub>
            <m:sSubPr>
              <m:ctrlPr>
                <w:rPr>
                  <w:rFonts w:ascii="Cambria Math" w:eastAsiaTheme="majorEastAsia" w:hAnsi="Cambria Math" w:cstheme="minorHAnsi"/>
                  <w:i w:val="0"/>
                  <w:iCs w:val="0"/>
                  <w:color w:val="auto"/>
                  <w:sz w:val="22"/>
                  <w:szCs w:val="22"/>
                </w:rPr>
              </m:ctrlPr>
            </m:sSubPr>
            <m:e>
              <m:r>
                <w:rPr>
                  <w:rFonts w:ascii="Cambria Math" w:eastAsiaTheme="majorEastAsia" w:hAnsi="Cambria Math" w:cstheme="minorHAnsi"/>
                  <w:color w:val="auto"/>
                  <w:sz w:val="22"/>
                  <w:szCs w:val="22"/>
                </w:rPr>
                <m:t>A</m:t>
              </m:r>
            </m:e>
            <m:sub>
              <m:r>
                <m:rPr>
                  <m:nor/>
                </m:rPr>
                <w:rPr>
                  <w:rFonts w:eastAsiaTheme="majorEastAsia" w:cstheme="minorHAnsi"/>
                  <w:i w:val="0"/>
                  <w:iCs w:val="0"/>
                  <w:color w:val="auto"/>
                  <w:sz w:val="22"/>
                  <w:szCs w:val="22"/>
                </w:rPr>
                <m:t>piston</m:t>
              </m:r>
            </m:sub>
          </m:sSub>
          <m:r>
            <w:rPr>
              <w:rFonts w:eastAsiaTheme="majorEastAsia" w:cstheme="minorHAnsi"/>
            </w:rPr>
            <w:br/>
          </m:r>
        </m:oMath>
      </m:oMathPara>
      <w:r w:rsidR="00AD6C67">
        <w:t xml:space="preserve">Equation </w:t>
      </w:r>
      <w:r w:rsidR="00AD6C67">
        <w:fldChar w:fldCharType="begin"/>
      </w:r>
      <w:r w:rsidR="00AD6C67">
        <w:instrText xml:space="preserve"> SEQ Equation \* ARABIC </w:instrText>
      </w:r>
      <w:r w:rsidR="00AD6C67">
        <w:fldChar w:fldCharType="separate"/>
      </w:r>
      <w:r w:rsidR="007C5B87">
        <w:rPr>
          <w:noProof/>
        </w:rPr>
        <w:t>3</w:t>
      </w:r>
      <w:r w:rsidR="00AD6C67">
        <w:fldChar w:fldCharType="end"/>
      </w:r>
      <w:r w:rsidR="00AD6C67">
        <w:t xml:space="preserve"> shows the relationship between pressure and piston area.</w:t>
      </w:r>
      <w:bookmarkEnd w:id="10"/>
      <w:bookmarkEnd w:id="11"/>
    </w:p>
    <w:p w14:paraId="4CCF2235" w14:textId="026D1DD0" w:rsidR="00A4263F" w:rsidRDefault="00E031D5" w:rsidP="00E031D5">
      <w:pPr>
        <w:pStyle w:val="ListParagraph"/>
        <w:numPr>
          <w:ilvl w:val="0"/>
          <w:numId w:val="11"/>
        </w:numPr>
        <w:tabs>
          <w:tab w:val="left" w:pos="1560"/>
        </w:tabs>
        <w:rPr>
          <w:rFonts w:eastAsiaTheme="majorEastAsia" w:cstheme="minorHAnsi"/>
        </w:rPr>
      </w:pPr>
      <w:r>
        <w:rPr>
          <w:rFonts w:eastAsiaTheme="majorEastAsia" w:cstheme="minorHAnsi"/>
        </w:rPr>
        <w:t xml:space="preserve">Inertial force, arising from </w:t>
      </w:r>
      <w:r w:rsidR="00146CB6">
        <w:rPr>
          <w:rFonts w:eastAsiaTheme="majorEastAsia" w:cstheme="minorHAnsi"/>
        </w:rPr>
        <w:t xml:space="preserve">the acceleration on the reciprocating mass of the components: </w:t>
      </w:r>
    </w:p>
    <w:p w14:paraId="20C7239C" w14:textId="62FAE615" w:rsidR="00A4263F" w:rsidRDefault="00406D56" w:rsidP="00831967">
      <w:pPr>
        <w:tabs>
          <w:tab w:val="left" w:pos="1560"/>
        </w:tabs>
        <w:rPr>
          <w:rFonts w:eastAsiaTheme="majorEastAsia" w:cstheme="minorHAnsi"/>
        </w:rPr>
      </w:pPr>
      <m:oMathPara>
        <m:oMath>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F</m:t>
              </m:r>
            </m:e>
            <m:sub>
              <m:r>
                <m:rPr>
                  <m:nor/>
                </m:rPr>
                <w:rPr>
                  <w:rFonts w:ascii="Times New Roman" w:eastAsia="Times New Roman" w:hAnsi="Times New Roman" w:cs="Times New Roman"/>
                  <w:sz w:val="24"/>
                  <w:szCs w:val="24"/>
                  <w:lang w:eastAsia="en-GB"/>
                </w:rPr>
                <m:t>inertia</m:t>
              </m:r>
            </m:sub>
          </m:sSub>
          <m:r>
            <w:rPr>
              <w:rFonts w:ascii="Cambria Math" w:eastAsia="Times New Roman" w:hAnsi="Cambria Math" w:cs="Times New Roman"/>
              <w:sz w:val="24"/>
              <w:szCs w:val="24"/>
              <w:lang w:eastAsia="en-GB"/>
            </w:rPr>
            <m:t>=</m:t>
          </m:r>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m</m:t>
              </m:r>
            </m:e>
            <m:sub>
              <m:r>
                <m:rPr>
                  <m:nor/>
                </m:rPr>
                <w:rPr>
                  <w:rFonts w:ascii="Times New Roman" w:eastAsia="Times New Roman" w:hAnsi="Times New Roman" w:cs="Times New Roman"/>
                  <w:sz w:val="24"/>
                  <w:szCs w:val="24"/>
                  <w:lang w:eastAsia="en-GB"/>
                </w:rPr>
                <m:t>rec</m:t>
              </m:r>
            </m:sub>
          </m:sSub>
          <m:r>
            <w:rPr>
              <w:rFonts w:ascii="Cambria Math" w:eastAsia="Times New Roman" w:hAnsi="Cambria Math" w:cs="Times New Roman"/>
              <w:sz w:val="24"/>
              <w:szCs w:val="24"/>
              <w:lang w:eastAsia="en-GB"/>
            </w:rPr>
            <m:t>×</m:t>
          </m:r>
          <m:r>
            <w:rPr>
              <w:rFonts w:ascii="Cambria Math" w:eastAsia="Times New Roman" w:hAnsi="Cambria Math" w:cs="Times New Roman"/>
              <w:sz w:val="24"/>
              <w:szCs w:val="24"/>
              <w:lang w:eastAsia="en-GB"/>
            </w:rPr>
            <m:t>a</m:t>
          </m:r>
          <m:r>
            <m:rPr>
              <m:sty m:val="p"/>
            </m:rPr>
            <w:rPr>
              <w:rFonts w:ascii="Cambria Math" w:eastAsia="Times New Roman" w:hAnsi="Cambria Math" w:cs="Times New Roman"/>
              <w:sz w:val="24"/>
              <w:szCs w:val="24"/>
              <w:lang w:eastAsia="en-GB"/>
            </w:rPr>
            <w:br/>
          </m:r>
        </m:oMath>
      </m:oMathPara>
    </w:p>
    <w:p w14:paraId="4F56DC58" w14:textId="01B45236" w:rsidR="00A4263F" w:rsidRPr="00A4263F" w:rsidRDefault="00831967" w:rsidP="00831967">
      <w:pPr>
        <w:pStyle w:val="Caption"/>
        <w:jc w:val="center"/>
        <w:rPr>
          <w:rFonts w:eastAsiaTheme="majorEastAsia" w:cstheme="minorHAnsi"/>
        </w:rPr>
      </w:pPr>
      <w:bookmarkStart w:id="12" w:name="_Toc225094139"/>
      <w:bookmarkStart w:id="13" w:name="_Toc225107138"/>
      <w:r>
        <w:t xml:space="preserve">Equation </w:t>
      </w:r>
      <w:r>
        <w:fldChar w:fldCharType="begin"/>
      </w:r>
      <w:r>
        <w:instrText xml:space="preserve"> SEQ Equation \* ARABIC </w:instrText>
      </w:r>
      <w:r>
        <w:fldChar w:fldCharType="separate"/>
      </w:r>
      <w:r w:rsidR="007C5B87">
        <w:rPr>
          <w:noProof/>
        </w:rPr>
        <w:t>4</w:t>
      </w:r>
      <w:r>
        <w:fldChar w:fldCharType="end"/>
      </w:r>
      <w:r>
        <w:t xml:space="preserve"> is used to calculate the inertial force on the internal components.</w:t>
      </w:r>
      <w:bookmarkEnd w:id="12"/>
      <w:bookmarkEnd w:id="13"/>
    </w:p>
    <w:p w14:paraId="3EEFB85E" w14:textId="06B2206F" w:rsidR="00A4263F" w:rsidRDefault="00A4263F" w:rsidP="007340D0">
      <w:pPr>
        <w:tabs>
          <w:tab w:val="left" w:pos="1560"/>
        </w:tabs>
        <w:rPr>
          <w:rFonts w:eastAsiaTheme="majorEastAsia" w:cstheme="minorHAnsi"/>
        </w:rPr>
      </w:pPr>
    </w:p>
    <w:p w14:paraId="2D9FA6A2" w14:textId="1205BEB8" w:rsidR="007340D0" w:rsidRDefault="00D1313E" w:rsidP="007340D0">
      <w:pPr>
        <w:tabs>
          <w:tab w:val="left" w:pos="1560"/>
        </w:tabs>
        <w:rPr>
          <w:rFonts w:eastAsiaTheme="majorEastAsia" w:cstheme="minorHAnsi"/>
        </w:rPr>
      </w:pPr>
      <w:r>
        <w:rPr>
          <w:rFonts w:eastAsiaTheme="majorEastAsia" w:cstheme="minorHAnsi"/>
        </w:rPr>
        <w:t xml:space="preserve">Net force then becomes: </w:t>
      </w:r>
    </w:p>
    <w:bookmarkStart w:id="14" w:name="_Toc225094140"/>
    <w:bookmarkStart w:id="15" w:name="_Toc225107139"/>
    <w:p w14:paraId="19C9CD3F" w14:textId="505A0CA5" w:rsidR="00D1313E" w:rsidRDefault="00406D56" w:rsidP="00D1313E">
      <w:pPr>
        <w:pStyle w:val="Caption"/>
        <w:jc w:val="center"/>
      </w:pPr>
      <m:oMathPara>
        <m:oMath>
          <m:sSub>
            <m:sSubPr>
              <m:ctrlPr>
                <w:rPr>
                  <w:rFonts w:ascii="Cambria Math" w:eastAsiaTheme="majorEastAsia" w:hAnsi="Cambria Math" w:cstheme="minorHAnsi"/>
                  <w:i w:val="0"/>
                  <w:iCs w:val="0"/>
                  <w:color w:val="auto"/>
                  <w:sz w:val="22"/>
                  <w:szCs w:val="22"/>
                </w:rPr>
              </m:ctrlPr>
            </m:sSubPr>
            <m:e>
              <m:r>
                <w:rPr>
                  <w:rFonts w:ascii="Cambria Math" w:eastAsiaTheme="majorEastAsia" w:hAnsi="Cambria Math" w:cstheme="minorHAnsi"/>
                  <w:color w:val="auto"/>
                  <w:sz w:val="22"/>
                  <w:szCs w:val="22"/>
                </w:rPr>
                <m:t>F</m:t>
              </m:r>
            </m:e>
            <m:sub>
              <m:r>
                <m:rPr>
                  <m:nor/>
                </m:rPr>
                <w:rPr>
                  <w:rFonts w:eastAsiaTheme="majorEastAsia" w:cstheme="minorHAnsi"/>
                  <w:i w:val="0"/>
                  <w:iCs w:val="0"/>
                  <w:color w:val="auto"/>
                  <w:sz w:val="22"/>
                  <w:szCs w:val="22"/>
                </w:rPr>
                <m:t>total</m:t>
              </m:r>
            </m:sub>
          </m:sSub>
          <m:r>
            <w:rPr>
              <w:rFonts w:ascii="Cambria Math" w:eastAsiaTheme="majorEastAsia" w:hAnsi="Cambria Math" w:cstheme="minorHAnsi"/>
              <w:color w:val="auto"/>
              <w:sz w:val="22"/>
              <w:szCs w:val="22"/>
            </w:rPr>
            <m:t>=</m:t>
          </m:r>
          <m:sSub>
            <m:sSubPr>
              <m:ctrlPr>
                <w:rPr>
                  <w:rFonts w:ascii="Cambria Math" w:eastAsiaTheme="majorEastAsia" w:hAnsi="Cambria Math" w:cstheme="minorHAnsi"/>
                  <w:i w:val="0"/>
                  <w:iCs w:val="0"/>
                  <w:color w:val="auto"/>
                  <w:sz w:val="22"/>
                  <w:szCs w:val="22"/>
                </w:rPr>
              </m:ctrlPr>
            </m:sSubPr>
            <m:e>
              <m:r>
                <w:rPr>
                  <w:rFonts w:ascii="Cambria Math" w:eastAsiaTheme="majorEastAsia" w:hAnsi="Cambria Math" w:cstheme="minorHAnsi"/>
                  <w:color w:val="auto"/>
                  <w:sz w:val="22"/>
                  <w:szCs w:val="22"/>
                </w:rPr>
                <m:t>F</m:t>
              </m:r>
            </m:e>
            <m:sub>
              <m:r>
                <m:rPr>
                  <m:nor/>
                </m:rPr>
                <w:rPr>
                  <w:rFonts w:eastAsiaTheme="majorEastAsia" w:cstheme="minorHAnsi"/>
                  <w:i w:val="0"/>
                  <w:iCs w:val="0"/>
                  <w:color w:val="auto"/>
                  <w:sz w:val="22"/>
                  <w:szCs w:val="22"/>
                </w:rPr>
                <m:t>gas</m:t>
              </m:r>
            </m:sub>
          </m:sSub>
          <m:r>
            <w:rPr>
              <w:rFonts w:ascii="Cambria Math" w:eastAsiaTheme="majorEastAsia" w:hAnsi="Cambria Math" w:cstheme="minorHAnsi"/>
              <w:color w:val="auto"/>
              <w:sz w:val="22"/>
              <w:szCs w:val="22"/>
            </w:rPr>
            <m:t>-</m:t>
          </m:r>
          <m:sSub>
            <m:sSubPr>
              <m:ctrlPr>
                <w:rPr>
                  <w:rFonts w:ascii="Cambria Math" w:eastAsiaTheme="majorEastAsia" w:hAnsi="Cambria Math" w:cstheme="minorHAnsi"/>
                  <w:i w:val="0"/>
                  <w:iCs w:val="0"/>
                  <w:color w:val="auto"/>
                  <w:sz w:val="22"/>
                  <w:szCs w:val="22"/>
                </w:rPr>
              </m:ctrlPr>
            </m:sSubPr>
            <m:e>
              <m:r>
                <w:rPr>
                  <w:rFonts w:ascii="Cambria Math" w:eastAsiaTheme="majorEastAsia" w:hAnsi="Cambria Math" w:cstheme="minorHAnsi"/>
                  <w:color w:val="auto"/>
                  <w:sz w:val="22"/>
                  <w:szCs w:val="22"/>
                </w:rPr>
                <m:t>F</m:t>
              </m:r>
            </m:e>
            <m:sub>
              <m:r>
                <m:rPr>
                  <m:nor/>
                </m:rPr>
                <w:rPr>
                  <w:rFonts w:eastAsiaTheme="majorEastAsia" w:cstheme="minorHAnsi"/>
                  <w:i w:val="0"/>
                  <w:iCs w:val="0"/>
                  <w:color w:val="auto"/>
                  <w:sz w:val="22"/>
                  <w:szCs w:val="22"/>
                </w:rPr>
                <m:t>inertia</m:t>
              </m:r>
            </m:sub>
          </m:sSub>
          <m:r>
            <w:rPr>
              <w:rFonts w:eastAsiaTheme="majorEastAsia" w:cstheme="minorHAnsi"/>
              <w:color w:val="auto"/>
              <w:sz w:val="22"/>
              <w:szCs w:val="22"/>
            </w:rPr>
            <w:br/>
          </m:r>
        </m:oMath>
      </m:oMathPara>
      <w:r w:rsidR="00D1313E">
        <w:t xml:space="preserve">Equation </w:t>
      </w:r>
      <w:r w:rsidR="00D1313E">
        <w:fldChar w:fldCharType="begin"/>
      </w:r>
      <w:r w:rsidR="00D1313E">
        <w:instrText xml:space="preserve"> SEQ Equation \* ARABIC </w:instrText>
      </w:r>
      <w:r w:rsidR="00D1313E">
        <w:fldChar w:fldCharType="separate"/>
      </w:r>
      <w:r w:rsidR="007C5B87">
        <w:rPr>
          <w:noProof/>
        </w:rPr>
        <w:t>5</w:t>
      </w:r>
      <w:r w:rsidR="00D1313E">
        <w:fldChar w:fldCharType="end"/>
      </w:r>
      <w:r w:rsidR="00D1313E">
        <w:t xml:space="preserve"> denotes the total </w:t>
      </w:r>
      <w:r w:rsidR="00066763">
        <w:t>force</w:t>
      </w:r>
      <w:r w:rsidR="00D1313E">
        <w:t xml:space="preserve"> on the engine </w:t>
      </w:r>
      <w:r w:rsidR="00066763">
        <w:t>components</w:t>
      </w:r>
      <w:r w:rsidR="00D1313E">
        <w:t>.</w:t>
      </w:r>
      <w:bookmarkEnd w:id="14"/>
      <w:bookmarkEnd w:id="15"/>
    </w:p>
    <w:p w14:paraId="7E9CDE55" w14:textId="48E39C5C" w:rsidR="009E2198" w:rsidRDefault="009E2198" w:rsidP="009E2198">
      <w:pPr>
        <w:pStyle w:val="Heading3"/>
        <w:numPr>
          <w:ilvl w:val="0"/>
          <w:numId w:val="0"/>
        </w:numPr>
        <w:ind w:left="720" w:hanging="720"/>
      </w:pPr>
      <w:r>
        <w:t xml:space="preserve">2.1.4. Component Force Distribution </w:t>
      </w:r>
    </w:p>
    <w:p w14:paraId="0F4DD7BC" w14:textId="3FF6CD3A" w:rsidR="009E2198" w:rsidRDefault="00C87889" w:rsidP="009E2198">
      <w:r>
        <w:t xml:space="preserve">The connecting rod, gudgeon pin and conrod bolts were assumed to be distinct load-bearing components: </w:t>
      </w:r>
    </w:p>
    <w:p w14:paraId="05EF4FB3" w14:textId="4E6DD152" w:rsidR="00C87889" w:rsidRDefault="00C87889" w:rsidP="00C87889">
      <w:pPr>
        <w:pStyle w:val="ListParagraph"/>
        <w:numPr>
          <w:ilvl w:val="0"/>
          <w:numId w:val="18"/>
        </w:numPr>
      </w:pPr>
      <w:r>
        <w:lastRenderedPageBreak/>
        <w:t xml:space="preserve">Connecting rod force: This was calculated by resolving the total piston force along the rod axis using the crank angle and rod geometry </w:t>
      </w:r>
    </w:p>
    <w:p w14:paraId="28C1FCC6" w14:textId="261CBDF1" w:rsidR="007667CB" w:rsidRDefault="007667CB" w:rsidP="00C87889">
      <w:pPr>
        <w:pStyle w:val="ListParagraph"/>
        <w:numPr>
          <w:ilvl w:val="0"/>
          <w:numId w:val="18"/>
        </w:numPr>
      </w:pPr>
      <w:r>
        <w:t xml:space="preserve">Gudgeon pin force: Was assumed to be equal to the connecting rod force at the pin interface. </w:t>
      </w:r>
    </w:p>
    <w:p w14:paraId="0155BA01" w14:textId="59B2F3B2" w:rsidR="00066763" w:rsidRDefault="007667CB" w:rsidP="00066763">
      <w:pPr>
        <w:pStyle w:val="ListParagraph"/>
        <w:numPr>
          <w:ilvl w:val="0"/>
          <w:numId w:val="18"/>
        </w:numPr>
      </w:pPr>
      <w:r>
        <w:t xml:space="preserve">Bolt force: This was then calculated </w:t>
      </w:r>
      <w:r w:rsidR="000D292F">
        <w:t xml:space="preserve">by combining the preload experienced and the proportion of tensile force, then accounting for the joint stiffness. </w:t>
      </w:r>
    </w:p>
    <w:p w14:paraId="60C85537" w14:textId="13C0698C" w:rsidR="007340D0" w:rsidRPr="007340D0" w:rsidRDefault="002A56C7" w:rsidP="005B26D8">
      <w:pPr>
        <w:pStyle w:val="Heading2"/>
        <w:numPr>
          <w:ilvl w:val="1"/>
          <w:numId w:val="8"/>
        </w:numPr>
      </w:pPr>
      <w:bookmarkStart w:id="16" w:name="_Toc225003686"/>
      <w:r>
        <w:t>Stress and Fatigue Analysis</w:t>
      </w:r>
      <w:bookmarkEnd w:id="16"/>
    </w:p>
    <w:p w14:paraId="314C8F19" w14:textId="5900D5AC" w:rsidR="00F95135" w:rsidRDefault="00F95135" w:rsidP="00D86712">
      <w:pPr>
        <w:pStyle w:val="Heading3"/>
        <w:numPr>
          <w:ilvl w:val="0"/>
          <w:numId w:val="0"/>
        </w:numPr>
        <w:ind w:left="720" w:hanging="720"/>
      </w:pPr>
      <w:r>
        <w:t xml:space="preserve">2.2.1 Stress calculations </w:t>
      </w:r>
    </w:p>
    <w:p w14:paraId="4181E635" w14:textId="780C2BBC" w:rsidR="007340D0" w:rsidRDefault="00D86712" w:rsidP="007340D0">
      <w:pPr>
        <w:tabs>
          <w:tab w:val="left" w:pos="1560"/>
        </w:tabs>
        <w:rPr>
          <w:rFonts w:eastAsiaTheme="majorEastAsia" w:cstheme="minorHAnsi"/>
        </w:rPr>
      </w:pPr>
      <w:r>
        <w:rPr>
          <w:rFonts w:eastAsiaTheme="majorEastAsia" w:cstheme="minorHAnsi"/>
        </w:rPr>
        <w:t xml:space="preserve">The axial stress in each of the components was calculated </w:t>
      </w:r>
      <w:r w:rsidR="00A55F62">
        <w:rPr>
          <w:rFonts w:eastAsiaTheme="majorEastAsia" w:cstheme="minorHAnsi"/>
        </w:rPr>
        <w:t xml:space="preserve">through the division of the applied forces against the cross-sectional area of each respective component. </w:t>
      </w:r>
    </w:p>
    <w:p w14:paraId="56AF78F2" w14:textId="7E98A5B6" w:rsidR="00B57429" w:rsidRDefault="006D623D" w:rsidP="006D623D">
      <w:pPr>
        <w:tabs>
          <w:tab w:val="left" w:pos="1560"/>
        </w:tabs>
        <w:jc w:val="center"/>
        <w:rPr>
          <w:i/>
          <w:iCs/>
          <w:color w:val="44546A" w:themeColor="text2"/>
          <w:sz w:val="18"/>
          <w:szCs w:val="18"/>
        </w:rPr>
      </w:pPr>
      <w:bookmarkStart w:id="17" w:name="_Toc225094141"/>
      <w:bookmarkStart w:id="18" w:name="_Toc225107140"/>
      <m:oMathPara>
        <m:oMath>
          <m:r>
            <w:rPr>
              <w:rFonts w:ascii="Cambria Math" w:eastAsiaTheme="majorEastAsia" w:hAnsi="Cambria Math" w:cstheme="minorHAnsi"/>
            </w:rPr>
            <m:t>σ=</m:t>
          </m:r>
          <m:f>
            <m:fPr>
              <m:ctrlPr>
                <w:rPr>
                  <w:rFonts w:ascii="Cambria Math" w:eastAsiaTheme="majorEastAsia" w:hAnsi="Cambria Math" w:cstheme="minorHAnsi"/>
                </w:rPr>
              </m:ctrlPr>
            </m:fPr>
            <m:num>
              <m:r>
                <w:rPr>
                  <w:rFonts w:ascii="Cambria Math" w:eastAsiaTheme="majorEastAsia" w:hAnsi="Cambria Math" w:cstheme="minorHAnsi"/>
                </w:rPr>
                <m:t>F</m:t>
              </m:r>
            </m:num>
            <m:den>
              <m:r>
                <w:rPr>
                  <w:rFonts w:ascii="Cambria Math" w:eastAsiaTheme="majorEastAsia" w:hAnsi="Cambria Math" w:cstheme="minorHAnsi"/>
                </w:rPr>
                <m:t>A</m:t>
              </m:r>
            </m:den>
          </m:f>
          <m:r>
            <m:rPr>
              <m:sty m:val="p"/>
            </m:rPr>
            <w:rPr>
              <w:rFonts w:eastAsiaTheme="majorEastAsia" w:cstheme="minorHAnsi"/>
            </w:rPr>
            <w:br/>
          </m:r>
        </m:oMath>
      </m:oMathPara>
      <w:r w:rsidRPr="006D623D">
        <w:rPr>
          <w:i/>
          <w:iCs/>
          <w:color w:val="44546A" w:themeColor="text2"/>
          <w:sz w:val="18"/>
          <w:szCs w:val="18"/>
        </w:rPr>
        <w:t xml:space="preserve">Equation </w:t>
      </w:r>
      <w:r w:rsidRPr="006D623D">
        <w:rPr>
          <w:i/>
          <w:iCs/>
          <w:color w:val="44546A" w:themeColor="text2"/>
          <w:sz w:val="18"/>
          <w:szCs w:val="18"/>
        </w:rPr>
        <w:fldChar w:fldCharType="begin"/>
      </w:r>
      <w:r w:rsidRPr="006D623D">
        <w:rPr>
          <w:i/>
          <w:iCs/>
          <w:color w:val="44546A" w:themeColor="text2"/>
          <w:sz w:val="18"/>
          <w:szCs w:val="18"/>
        </w:rPr>
        <w:instrText xml:space="preserve"> SEQ Equation \* ARABIC </w:instrText>
      </w:r>
      <w:r w:rsidRPr="006D623D">
        <w:rPr>
          <w:i/>
          <w:iCs/>
          <w:color w:val="44546A" w:themeColor="text2"/>
          <w:sz w:val="18"/>
          <w:szCs w:val="18"/>
        </w:rPr>
        <w:fldChar w:fldCharType="separate"/>
      </w:r>
      <w:r w:rsidR="007C5B87">
        <w:rPr>
          <w:i/>
          <w:iCs/>
          <w:noProof/>
          <w:color w:val="44546A" w:themeColor="text2"/>
          <w:sz w:val="18"/>
          <w:szCs w:val="18"/>
        </w:rPr>
        <w:t>6</w:t>
      </w:r>
      <w:r w:rsidRPr="006D623D">
        <w:rPr>
          <w:i/>
          <w:iCs/>
          <w:color w:val="44546A" w:themeColor="text2"/>
          <w:sz w:val="18"/>
          <w:szCs w:val="18"/>
        </w:rPr>
        <w:fldChar w:fldCharType="end"/>
      </w:r>
      <w:r w:rsidRPr="006D623D">
        <w:rPr>
          <w:i/>
          <w:iCs/>
          <w:color w:val="44546A" w:themeColor="text2"/>
          <w:sz w:val="18"/>
          <w:szCs w:val="18"/>
        </w:rPr>
        <w:t xml:space="preserve"> shows the calculation of stress.</w:t>
      </w:r>
      <w:bookmarkEnd w:id="17"/>
      <w:bookmarkEnd w:id="18"/>
    </w:p>
    <w:p w14:paraId="553084C1" w14:textId="2C117C10" w:rsidR="00970092" w:rsidRDefault="00970092" w:rsidP="00970092">
      <w:pPr>
        <w:tabs>
          <w:tab w:val="left" w:pos="1560"/>
        </w:tabs>
        <w:rPr>
          <w:rFonts w:eastAsiaTheme="majorEastAsia" w:cstheme="minorHAnsi"/>
        </w:rPr>
      </w:pPr>
      <w:r>
        <w:rPr>
          <w:rFonts w:eastAsiaTheme="majorEastAsia" w:cstheme="minorHAnsi"/>
        </w:rPr>
        <w:t xml:space="preserve">Where necessary, the value of tensile stress </w:t>
      </w:r>
      <w:r w:rsidR="00EA504C">
        <w:rPr>
          <w:rFonts w:eastAsiaTheme="majorEastAsia" w:cstheme="minorHAnsi"/>
        </w:rPr>
        <w:t xml:space="preserve">and compressive stresses was used to evaluate the range of cyclic loading. </w:t>
      </w:r>
      <w:r w:rsidR="00D214BA">
        <w:rPr>
          <w:rFonts w:eastAsiaTheme="majorEastAsia" w:cstheme="minorHAnsi"/>
        </w:rPr>
        <w:t xml:space="preserve">Incorporating preload and dynamic tensile forces ensure a realistic stress estimation for the connecting rod bolts. </w:t>
      </w:r>
    </w:p>
    <w:p w14:paraId="34F1E9A6" w14:textId="48294C22" w:rsidR="00D214BA" w:rsidRPr="00D214BA" w:rsidRDefault="00D214BA" w:rsidP="00D214BA">
      <w:pPr>
        <w:pStyle w:val="Heading3"/>
        <w:numPr>
          <w:ilvl w:val="0"/>
          <w:numId w:val="0"/>
        </w:numPr>
        <w:ind w:left="720" w:hanging="720"/>
      </w:pPr>
      <w:r w:rsidRPr="00D214BA">
        <w:t xml:space="preserve">2.2.2 Fatigue Analysis </w:t>
      </w:r>
    </w:p>
    <w:p w14:paraId="7BD4153D" w14:textId="53C78560" w:rsidR="003147F0" w:rsidRDefault="00FC0B0A" w:rsidP="003147F0">
      <w:pPr>
        <w:tabs>
          <w:tab w:val="left" w:pos="1560"/>
        </w:tabs>
        <w:rPr>
          <w:rFonts w:eastAsiaTheme="majorEastAsia" w:cstheme="minorHAnsi"/>
        </w:rPr>
      </w:pPr>
      <w:r>
        <w:rPr>
          <w:rFonts w:eastAsiaTheme="majorEastAsia" w:cstheme="minorHAnsi"/>
        </w:rPr>
        <w:t xml:space="preserve">Fatigue behaviour was assessed using Goodman theory, which </w:t>
      </w:r>
      <w:r w:rsidR="003147F0">
        <w:rPr>
          <w:rFonts w:eastAsiaTheme="majorEastAsia" w:cstheme="minorHAnsi"/>
        </w:rPr>
        <w:t>considers</w:t>
      </w:r>
      <w:r>
        <w:rPr>
          <w:rFonts w:eastAsiaTheme="majorEastAsia" w:cstheme="minorHAnsi"/>
        </w:rPr>
        <w:t xml:space="preserve"> both mean and alternating stress</w:t>
      </w:r>
      <w:r w:rsidR="003147F0">
        <w:rPr>
          <w:rFonts w:eastAsiaTheme="majorEastAsia" w:cstheme="minorHAnsi"/>
        </w:rPr>
        <w:t>es</w:t>
      </w:r>
      <w:sdt>
        <w:sdtPr>
          <w:rPr>
            <w:rFonts w:eastAsiaTheme="majorEastAsia" w:cstheme="minorHAnsi"/>
          </w:rPr>
          <w:id w:val="21821685"/>
          <w:citation/>
        </w:sdtPr>
        <w:sdtEndPr/>
        <w:sdtContent>
          <w:r w:rsidR="00507291">
            <w:rPr>
              <w:rFonts w:eastAsiaTheme="majorEastAsia" w:cstheme="minorHAnsi"/>
            </w:rPr>
            <w:fldChar w:fldCharType="begin"/>
          </w:r>
          <w:r w:rsidR="00507291">
            <w:rPr>
              <w:rFonts w:eastAsiaTheme="majorEastAsia" w:cstheme="minorHAnsi"/>
            </w:rPr>
            <w:instrText xml:space="preserve"> CITATION RBu15 \l 2057 </w:instrText>
          </w:r>
          <w:r w:rsidR="00507291">
            <w:rPr>
              <w:rFonts w:eastAsiaTheme="majorEastAsia" w:cstheme="minorHAnsi"/>
            </w:rPr>
            <w:fldChar w:fldCharType="separate"/>
          </w:r>
          <w:r w:rsidR="00F23937">
            <w:rPr>
              <w:rFonts w:eastAsiaTheme="majorEastAsia" w:cstheme="minorHAnsi"/>
              <w:noProof/>
            </w:rPr>
            <w:t xml:space="preserve"> </w:t>
          </w:r>
          <w:r w:rsidR="00F23937" w:rsidRPr="00F23937">
            <w:rPr>
              <w:rFonts w:eastAsiaTheme="majorEastAsia" w:cstheme="minorHAnsi"/>
              <w:noProof/>
            </w:rPr>
            <w:t>(R. Budynas, 2015)</w:t>
          </w:r>
          <w:r w:rsidR="00507291">
            <w:rPr>
              <w:rFonts w:eastAsiaTheme="majorEastAsia" w:cstheme="minorHAnsi"/>
            </w:rPr>
            <w:fldChar w:fldCharType="end"/>
          </w:r>
        </w:sdtContent>
      </w:sdt>
      <w:r w:rsidR="003147F0">
        <w:rPr>
          <w:rFonts w:eastAsiaTheme="majorEastAsia" w:cstheme="minorHAnsi"/>
        </w:rPr>
        <w:t xml:space="preserve">: </w:t>
      </w:r>
    </w:p>
    <w:p w14:paraId="2B6CD755" w14:textId="53893840" w:rsidR="003147F0" w:rsidRDefault="003147F0" w:rsidP="003147F0">
      <w:pPr>
        <w:pStyle w:val="Caption"/>
        <w:jc w:val="center"/>
      </w:pPr>
      <w:bookmarkStart w:id="19" w:name="_Toc225094142"/>
      <w:bookmarkStart w:id="20" w:name="_Toc225107141"/>
      <m:oMathPara>
        <m:oMath>
          <m:r>
            <w:rPr>
              <w:rFonts w:ascii="Cambria Math" w:eastAsiaTheme="majorEastAsia" w:hAnsi="Cambria Math" w:cstheme="minorHAnsi"/>
              <w:color w:val="auto"/>
              <w:sz w:val="22"/>
              <w:szCs w:val="22"/>
            </w:rPr>
            <m:t>FS=</m:t>
          </m:r>
          <m:f>
            <m:fPr>
              <m:ctrlPr>
                <w:rPr>
                  <w:rFonts w:ascii="Cambria Math" w:eastAsiaTheme="majorEastAsia" w:hAnsi="Cambria Math" w:cstheme="minorHAnsi"/>
                  <w:iCs w:val="0"/>
                  <w:color w:val="auto"/>
                  <w:sz w:val="22"/>
                  <w:szCs w:val="22"/>
                </w:rPr>
              </m:ctrlPr>
            </m:fPr>
            <m:num>
              <m:r>
                <w:rPr>
                  <w:rFonts w:ascii="Cambria Math" w:eastAsiaTheme="majorEastAsia" w:hAnsi="Cambria Math" w:cstheme="minorHAnsi"/>
                  <w:color w:val="auto"/>
                  <w:sz w:val="22"/>
                  <w:szCs w:val="22"/>
                </w:rPr>
                <m:t>1</m:t>
              </m:r>
            </m:num>
            <m:den>
              <m:f>
                <m:fPr>
                  <m:ctrlPr>
                    <w:rPr>
                      <w:rFonts w:ascii="Cambria Math" w:eastAsiaTheme="majorEastAsia" w:hAnsi="Cambria Math" w:cstheme="minorHAnsi"/>
                      <w:iCs w:val="0"/>
                      <w:color w:val="auto"/>
                      <w:sz w:val="22"/>
                      <w:szCs w:val="22"/>
                    </w:rPr>
                  </m:ctrlPr>
                </m:fPr>
                <m:num>
                  <m:sSub>
                    <m:sSubPr>
                      <m:ctrlPr>
                        <w:rPr>
                          <w:rFonts w:ascii="Cambria Math" w:eastAsiaTheme="majorEastAsia" w:hAnsi="Cambria Math" w:cstheme="minorHAnsi"/>
                          <w:iCs w:val="0"/>
                          <w:color w:val="auto"/>
                          <w:sz w:val="22"/>
                          <w:szCs w:val="22"/>
                        </w:rPr>
                      </m:ctrlPr>
                    </m:sSubPr>
                    <m:e>
                      <m:r>
                        <w:rPr>
                          <w:rFonts w:ascii="Cambria Math" w:eastAsiaTheme="majorEastAsia" w:hAnsi="Cambria Math" w:cstheme="minorHAnsi"/>
                          <w:color w:val="auto"/>
                          <w:sz w:val="22"/>
                          <w:szCs w:val="22"/>
                        </w:rPr>
                        <m:t>σ</m:t>
                      </m:r>
                    </m:e>
                    <m:sub>
                      <m:r>
                        <w:rPr>
                          <w:rFonts w:ascii="Cambria Math" w:eastAsiaTheme="majorEastAsia" w:hAnsi="Cambria Math" w:cstheme="minorHAnsi"/>
                          <w:color w:val="auto"/>
                          <w:sz w:val="22"/>
                          <w:szCs w:val="22"/>
                        </w:rPr>
                        <m:t>a</m:t>
                      </m:r>
                    </m:sub>
                  </m:sSub>
                </m:num>
                <m:den>
                  <m:sSub>
                    <m:sSubPr>
                      <m:ctrlPr>
                        <w:rPr>
                          <w:rFonts w:ascii="Cambria Math" w:eastAsiaTheme="majorEastAsia" w:hAnsi="Cambria Math" w:cstheme="minorHAnsi"/>
                          <w:iCs w:val="0"/>
                          <w:color w:val="auto"/>
                          <w:sz w:val="22"/>
                          <w:szCs w:val="22"/>
                        </w:rPr>
                      </m:ctrlPr>
                    </m:sSubPr>
                    <m:e>
                      <m:r>
                        <w:rPr>
                          <w:rFonts w:ascii="Cambria Math" w:eastAsiaTheme="majorEastAsia" w:hAnsi="Cambria Math" w:cstheme="minorHAnsi"/>
                          <w:color w:val="auto"/>
                          <w:sz w:val="22"/>
                          <w:szCs w:val="22"/>
                        </w:rPr>
                        <m:t>S</m:t>
                      </m:r>
                    </m:e>
                    <m:sub>
                      <m:r>
                        <w:rPr>
                          <w:rFonts w:ascii="Cambria Math" w:eastAsiaTheme="majorEastAsia" w:hAnsi="Cambria Math" w:cstheme="minorHAnsi"/>
                          <w:color w:val="auto"/>
                          <w:sz w:val="22"/>
                          <w:szCs w:val="22"/>
                        </w:rPr>
                        <m:t>e</m:t>
                      </m:r>
                    </m:sub>
                  </m:sSub>
                </m:den>
              </m:f>
              <m:r>
                <w:rPr>
                  <w:rFonts w:ascii="Cambria Math" w:eastAsiaTheme="majorEastAsia" w:hAnsi="Cambria Math" w:cstheme="minorHAnsi"/>
                  <w:color w:val="auto"/>
                  <w:sz w:val="22"/>
                  <w:szCs w:val="22"/>
                </w:rPr>
                <m:t>+</m:t>
              </m:r>
              <m:f>
                <m:fPr>
                  <m:ctrlPr>
                    <w:rPr>
                      <w:rFonts w:ascii="Cambria Math" w:eastAsiaTheme="majorEastAsia" w:hAnsi="Cambria Math" w:cstheme="minorHAnsi"/>
                      <w:iCs w:val="0"/>
                      <w:color w:val="auto"/>
                      <w:sz w:val="22"/>
                      <w:szCs w:val="22"/>
                    </w:rPr>
                  </m:ctrlPr>
                </m:fPr>
                <m:num>
                  <m:sSub>
                    <m:sSubPr>
                      <m:ctrlPr>
                        <w:rPr>
                          <w:rFonts w:ascii="Cambria Math" w:eastAsiaTheme="majorEastAsia" w:hAnsi="Cambria Math" w:cstheme="minorHAnsi"/>
                          <w:iCs w:val="0"/>
                          <w:color w:val="auto"/>
                          <w:sz w:val="22"/>
                          <w:szCs w:val="22"/>
                        </w:rPr>
                      </m:ctrlPr>
                    </m:sSubPr>
                    <m:e>
                      <m:r>
                        <w:rPr>
                          <w:rFonts w:ascii="Cambria Math" w:eastAsiaTheme="majorEastAsia" w:hAnsi="Cambria Math" w:cstheme="minorHAnsi"/>
                          <w:color w:val="auto"/>
                          <w:sz w:val="22"/>
                          <w:szCs w:val="22"/>
                        </w:rPr>
                        <m:t>σ</m:t>
                      </m:r>
                    </m:e>
                    <m:sub>
                      <m:r>
                        <w:rPr>
                          <w:rFonts w:ascii="Cambria Math" w:eastAsiaTheme="majorEastAsia" w:hAnsi="Cambria Math" w:cstheme="minorHAnsi"/>
                          <w:color w:val="auto"/>
                          <w:sz w:val="22"/>
                          <w:szCs w:val="22"/>
                        </w:rPr>
                        <m:t>m</m:t>
                      </m:r>
                    </m:sub>
                  </m:sSub>
                </m:num>
                <m:den>
                  <m:sSub>
                    <m:sSubPr>
                      <m:ctrlPr>
                        <w:rPr>
                          <w:rFonts w:ascii="Cambria Math" w:eastAsiaTheme="majorEastAsia" w:hAnsi="Cambria Math" w:cstheme="minorHAnsi"/>
                          <w:iCs w:val="0"/>
                          <w:color w:val="auto"/>
                          <w:sz w:val="22"/>
                          <w:szCs w:val="22"/>
                        </w:rPr>
                      </m:ctrlPr>
                    </m:sSubPr>
                    <m:e>
                      <m:r>
                        <w:rPr>
                          <w:rFonts w:ascii="Cambria Math" w:eastAsiaTheme="majorEastAsia" w:hAnsi="Cambria Math" w:cstheme="minorHAnsi"/>
                          <w:color w:val="auto"/>
                          <w:sz w:val="22"/>
                          <w:szCs w:val="22"/>
                        </w:rPr>
                        <m:t>S</m:t>
                      </m:r>
                    </m:e>
                    <m:sub>
                      <m:r>
                        <m:rPr>
                          <m:nor/>
                        </m:rPr>
                        <w:rPr>
                          <w:rFonts w:ascii="Cambria Math" w:eastAsiaTheme="majorEastAsia" w:hAnsi="Cambria Math" w:cstheme="minorHAnsi"/>
                          <w:iCs w:val="0"/>
                          <w:color w:val="auto"/>
                          <w:sz w:val="22"/>
                          <w:szCs w:val="22"/>
                        </w:rPr>
                        <m:t>ut</m:t>
                      </m:r>
                    </m:sub>
                  </m:sSub>
                </m:den>
              </m:f>
            </m:den>
          </m:f>
          <m:r>
            <w:rPr>
              <w:rFonts w:ascii="Cambria Math" w:eastAsiaTheme="majorEastAsia" w:hAnsi="Cambria Math" w:cstheme="minorHAnsi"/>
              <w:color w:val="auto"/>
              <w:sz w:val="22"/>
              <w:szCs w:val="22"/>
            </w:rPr>
            <w:br/>
          </m:r>
        </m:oMath>
      </m:oMathPara>
      <w:r>
        <w:t xml:space="preserve">Equation </w:t>
      </w:r>
      <w:r>
        <w:fldChar w:fldCharType="begin"/>
      </w:r>
      <w:r>
        <w:instrText xml:space="preserve"> SEQ Equation \* ARABIC </w:instrText>
      </w:r>
      <w:r>
        <w:fldChar w:fldCharType="separate"/>
      </w:r>
      <w:r w:rsidR="007C5B87">
        <w:rPr>
          <w:noProof/>
        </w:rPr>
        <w:t>7</w:t>
      </w:r>
      <w:r>
        <w:fldChar w:fldCharType="end"/>
      </w:r>
      <w:r>
        <w:t xml:space="preserve"> shows the goodman equation.</w:t>
      </w:r>
      <w:bookmarkEnd w:id="19"/>
      <w:bookmarkEnd w:id="20"/>
    </w:p>
    <w:p w14:paraId="406C33C0" w14:textId="77777777" w:rsidR="00860E94" w:rsidRPr="00860E94" w:rsidRDefault="00860E94" w:rsidP="00860E94">
      <w:r w:rsidRPr="00860E94">
        <w:t>Where:</w:t>
      </w:r>
    </w:p>
    <w:p w14:paraId="120A19A1" w14:textId="7DD2CD3A" w:rsidR="00860E94" w:rsidRPr="00860E94" w:rsidRDefault="00406D56" w:rsidP="00860E94">
      <w:pPr>
        <w:numPr>
          <w:ilvl w:val="0"/>
          <w:numId w:val="20"/>
        </w:numPr>
      </w:pPr>
      <m:oMath>
        <m:sSub>
          <m:sSubPr>
            <m:ctrlPr>
              <w:rPr>
                <w:rFonts w:ascii="Cambria Math" w:hAnsi="Cambria Math"/>
              </w:rPr>
            </m:ctrlPr>
          </m:sSubPr>
          <m:e>
            <m:r>
              <w:rPr>
                <w:rFonts w:ascii="Cambria Math" w:hAnsi="Cambria Math"/>
              </w:rPr>
              <m:t>σ</m:t>
            </m:r>
          </m:e>
          <m:sub>
            <m:r>
              <w:rPr>
                <w:rFonts w:ascii="Cambria Math" w:hAnsi="Cambria Math"/>
              </w:rPr>
              <m:t>a</m:t>
            </m:r>
          </m:sub>
        </m:sSub>
      </m:oMath>
      <w:r w:rsidR="00860E94" w:rsidRPr="00860E94">
        <w:t xml:space="preserve">= alternating stress </w:t>
      </w:r>
    </w:p>
    <w:p w14:paraId="2885F6E7" w14:textId="3CC7CFC1" w:rsidR="00860E94" w:rsidRPr="00860E94" w:rsidRDefault="00406D56" w:rsidP="00860E94">
      <w:pPr>
        <w:numPr>
          <w:ilvl w:val="0"/>
          <w:numId w:val="20"/>
        </w:numPr>
      </w:pPr>
      <m:oMath>
        <m:sSub>
          <m:sSubPr>
            <m:ctrlPr>
              <w:rPr>
                <w:rFonts w:ascii="Cambria Math" w:hAnsi="Cambria Math"/>
              </w:rPr>
            </m:ctrlPr>
          </m:sSubPr>
          <m:e>
            <m:r>
              <w:rPr>
                <w:rFonts w:ascii="Cambria Math" w:hAnsi="Cambria Math"/>
              </w:rPr>
              <m:t>σ</m:t>
            </m:r>
          </m:e>
          <m:sub>
            <m:r>
              <w:rPr>
                <w:rFonts w:ascii="Cambria Math" w:hAnsi="Cambria Math"/>
              </w:rPr>
              <m:t>m</m:t>
            </m:r>
          </m:sub>
        </m:sSub>
      </m:oMath>
      <w:r w:rsidR="00860E94" w:rsidRPr="00860E94">
        <w:t xml:space="preserve">= mean stress </w:t>
      </w:r>
    </w:p>
    <w:p w14:paraId="365DC559" w14:textId="3C363FF6" w:rsidR="00860E94" w:rsidRPr="00860E94" w:rsidRDefault="00406D56" w:rsidP="00860E94">
      <w:pPr>
        <w:numPr>
          <w:ilvl w:val="0"/>
          <w:numId w:val="20"/>
        </w:numPr>
      </w:pPr>
      <m:oMath>
        <m:sSub>
          <m:sSubPr>
            <m:ctrlPr>
              <w:rPr>
                <w:rFonts w:ascii="Cambria Math" w:hAnsi="Cambria Math"/>
              </w:rPr>
            </m:ctrlPr>
          </m:sSubPr>
          <m:e>
            <m:r>
              <w:rPr>
                <w:rFonts w:ascii="Cambria Math" w:hAnsi="Cambria Math"/>
              </w:rPr>
              <m:t>S</m:t>
            </m:r>
          </m:e>
          <m:sub>
            <m:r>
              <w:rPr>
                <w:rFonts w:ascii="Cambria Math" w:hAnsi="Cambria Math"/>
              </w:rPr>
              <m:t>e</m:t>
            </m:r>
          </m:sub>
        </m:sSub>
      </m:oMath>
      <w:r w:rsidR="00860E94" w:rsidRPr="00860E94">
        <w:t xml:space="preserve">= endurance limit </w:t>
      </w:r>
    </w:p>
    <w:p w14:paraId="14D6F115" w14:textId="6F4337A4" w:rsidR="00860E94" w:rsidRDefault="00406D56" w:rsidP="00860E94">
      <w:pPr>
        <w:numPr>
          <w:ilvl w:val="0"/>
          <w:numId w:val="20"/>
        </w:numPr>
      </w:pPr>
      <m:oMath>
        <m:sSub>
          <m:sSubPr>
            <m:ctrlPr>
              <w:rPr>
                <w:rFonts w:ascii="Cambria Math" w:hAnsi="Cambria Math"/>
              </w:rPr>
            </m:ctrlPr>
          </m:sSubPr>
          <m:e>
            <m:r>
              <w:rPr>
                <w:rFonts w:ascii="Cambria Math" w:hAnsi="Cambria Math"/>
              </w:rPr>
              <m:t>S</m:t>
            </m:r>
          </m:e>
          <m:sub>
            <m:r>
              <m:rPr>
                <m:nor/>
              </m:rPr>
              <m:t>ut</m:t>
            </m:r>
          </m:sub>
        </m:sSub>
      </m:oMath>
      <w:r w:rsidR="00860E94" w:rsidRPr="00860E94">
        <w:t>= ultimate tensile st</w:t>
      </w:r>
      <w:r w:rsidR="00002A96">
        <w:t xml:space="preserve">rength </w:t>
      </w:r>
    </w:p>
    <w:p w14:paraId="0FF8E0EC" w14:textId="6284AAC5" w:rsidR="00002A96" w:rsidRPr="00860E94" w:rsidRDefault="00002A96" w:rsidP="00002A96">
      <w:r>
        <w:t xml:space="preserve">The alternating and mean stresses for each component </w:t>
      </w:r>
      <w:r w:rsidR="009A168A">
        <w:t xml:space="preserve">were determined from the max and minimum values over the whole engine cycle. This </w:t>
      </w:r>
      <w:r w:rsidR="00D061A5">
        <w:t>approached allowed for calculation of the component specific fatigue safety factors and the identification of the critical compo</w:t>
      </w:r>
      <w:r w:rsidR="00267C24">
        <w:t xml:space="preserve">nents most likely to fail under loading. </w:t>
      </w:r>
    </w:p>
    <w:p w14:paraId="12307AAB" w14:textId="18D6A585" w:rsidR="003147F0" w:rsidRDefault="00A528EC" w:rsidP="00C02615">
      <w:pPr>
        <w:pStyle w:val="Heading3"/>
        <w:numPr>
          <w:ilvl w:val="0"/>
          <w:numId w:val="0"/>
        </w:numPr>
        <w:ind w:left="720" w:hanging="720"/>
      </w:pPr>
      <w:r>
        <w:t xml:space="preserve">2.2.3 </w:t>
      </w:r>
      <w:r w:rsidR="00FE4077" w:rsidRPr="00FE4077">
        <w:rPr>
          <w:rStyle w:val="Heading3Char"/>
        </w:rPr>
        <w:t>Multi RPM analysis</w:t>
      </w:r>
      <w:r w:rsidR="00FE4077">
        <w:t xml:space="preserve"> </w:t>
      </w:r>
    </w:p>
    <w:p w14:paraId="38F51BEF" w14:textId="6CE47BE3" w:rsidR="00FE4077" w:rsidRDefault="00406D56" w:rsidP="003147F0">
      <w:r>
        <w:t>To</w:t>
      </w:r>
      <w:r w:rsidR="00DD0731">
        <w:t xml:space="preserve"> evaluate the </w:t>
      </w:r>
      <w:r w:rsidR="005B4DEC">
        <w:t>behaviour</w:t>
      </w:r>
      <w:r w:rsidR="00DD0731">
        <w:t xml:space="preserve"> across the full </w:t>
      </w:r>
      <w:r w:rsidR="005B4DEC">
        <w:t>operating</w:t>
      </w:r>
      <w:r w:rsidR="00DD0731">
        <w:t xml:space="preserve"> </w:t>
      </w:r>
      <w:r w:rsidR="005B4DEC">
        <w:t>range</w:t>
      </w:r>
      <w:r w:rsidR="00DD0731">
        <w:t xml:space="preserve"> </w:t>
      </w:r>
      <w:r w:rsidR="000E11A3">
        <w:t>an rpm sweep from 1000 to 6000</w:t>
      </w:r>
      <w:r w:rsidR="00232B13">
        <w:t xml:space="preserve"> RPM was conducted using the pressure columns given in the datasheet. For </w:t>
      </w:r>
      <w:r w:rsidR="00107B2E">
        <w:t xml:space="preserve">each RPM: </w:t>
      </w:r>
    </w:p>
    <w:p w14:paraId="1C812A5F" w14:textId="4F222ECD" w:rsidR="00107B2E" w:rsidRDefault="00107B2E" w:rsidP="00107B2E">
      <w:pPr>
        <w:pStyle w:val="ListParagraph"/>
        <w:numPr>
          <w:ilvl w:val="0"/>
          <w:numId w:val="21"/>
        </w:numPr>
      </w:pPr>
      <w:r>
        <w:t xml:space="preserve">Piston kinematics and forces </w:t>
      </w:r>
      <w:r w:rsidR="00074EF7">
        <w:t>were calculated</w:t>
      </w:r>
    </w:p>
    <w:p w14:paraId="24D76F09" w14:textId="13744403" w:rsidR="00074EF7" w:rsidRDefault="00074EF7" w:rsidP="00107B2E">
      <w:pPr>
        <w:pStyle w:val="ListParagraph"/>
        <w:numPr>
          <w:ilvl w:val="0"/>
          <w:numId w:val="21"/>
        </w:numPr>
      </w:pPr>
      <w:r>
        <w:t xml:space="preserve">Stresses and fatigue safety factors were determined </w:t>
      </w:r>
    </w:p>
    <w:p w14:paraId="3E047C14" w14:textId="5EC3D94E" w:rsidR="00074EF7" w:rsidRDefault="00074EF7" w:rsidP="00107B2E">
      <w:pPr>
        <w:pStyle w:val="ListParagraph"/>
        <w:numPr>
          <w:ilvl w:val="0"/>
          <w:numId w:val="21"/>
        </w:numPr>
      </w:pPr>
      <w:r>
        <w:t xml:space="preserve">Maximum gas and inertial forces were </w:t>
      </w:r>
      <w:r w:rsidR="008043EA">
        <w:t>calculated</w:t>
      </w:r>
      <w:r>
        <w:t xml:space="preserve"> to assess loading trends </w:t>
      </w:r>
    </w:p>
    <w:p w14:paraId="44488FCF" w14:textId="77777777" w:rsidR="00C02615" w:rsidRDefault="008043EA" w:rsidP="008043EA">
      <w:r>
        <w:t>This method allowed the identification of critical engine speeds where component safety factors were compromised.</w:t>
      </w:r>
    </w:p>
    <w:p w14:paraId="69F49EE3" w14:textId="2CB933B3" w:rsidR="00C02615" w:rsidRDefault="00C02615" w:rsidP="00C02615">
      <w:pPr>
        <w:pStyle w:val="Heading3"/>
        <w:numPr>
          <w:ilvl w:val="0"/>
          <w:numId w:val="0"/>
        </w:numPr>
        <w:ind w:left="720" w:hanging="720"/>
        <w:rPr>
          <w:rStyle w:val="Heading3Char"/>
        </w:rPr>
      </w:pPr>
      <w:r w:rsidRPr="00C02615">
        <w:rPr>
          <w:rStyle w:val="Heading3Char"/>
        </w:rPr>
        <w:lastRenderedPageBreak/>
        <w:t xml:space="preserve">2.2.4 Visualization and Data interpretation </w:t>
      </w:r>
    </w:p>
    <w:p w14:paraId="3C6CD428" w14:textId="74A1701B" w:rsidR="00C02615" w:rsidRDefault="00C93094" w:rsidP="00C02615">
      <w:r>
        <w:t xml:space="preserve">Graphical analysis was used to support this interpretation: </w:t>
      </w:r>
    </w:p>
    <w:p w14:paraId="47C88FAC" w14:textId="5282EFFC" w:rsidR="00C93094" w:rsidRPr="00C02615" w:rsidRDefault="00C93094" w:rsidP="00EE4D35">
      <w:pPr>
        <w:pStyle w:val="ListParagraph"/>
        <w:numPr>
          <w:ilvl w:val="0"/>
          <w:numId w:val="22"/>
        </w:numPr>
      </w:pPr>
      <w:r>
        <w:t xml:space="preserve">Pressure vs crank angle </w:t>
      </w:r>
      <w:r w:rsidR="00EE4D35">
        <w:t xml:space="preserve">was used to validate input data </w:t>
      </w:r>
    </w:p>
    <w:p w14:paraId="23B3FB32" w14:textId="767E64F9" w:rsidR="008043EA" w:rsidRDefault="008043EA" w:rsidP="008043EA">
      <w:r>
        <w:t xml:space="preserve"> </w:t>
      </w:r>
    </w:p>
    <w:p w14:paraId="114A17A6" w14:textId="77777777" w:rsidR="001D5BA5" w:rsidRDefault="001D5BA5" w:rsidP="001D5BA5">
      <w:pPr>
        <w:keepNext/>
      </w:pPr>
      <w:r>
        <w:rPr>
          <w:noProof/>
        </w:rPr>
        <w:drawing>
          <wp:inline distT="0" distB="0" distL="0" distR="0" wp14:anchorId="3C3B1876" wp14:editId="2A40DB42">
            <wp:extent cx="5731510" cy="3858260"/>
            <wp:effectExtent l="0" t="0" r="2540" b="8890"/>
            <wp:docPr id="1966777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77393" name=""/>
                    <pic:cNvPicPr/>
                  </pic:nvPicPr>
                  <pic:blipFill>
                    <a:blip r:embed="rId11"/>
                    <a:stretch>
                      <a:fillRect/>
                    </a:stretch>
                  </pic:blipFill>
                  <pic:spPr>
                    <a:xfrm>
                      <a:off x="0" y="0"/>
                      <a:ext cx="5731510" cy="3858260"/>
                    </a:xfrm>
                    <a:prstGeom prst="rect">
                      <a:avLst/>
                    </a:prstGeom>
                  </pic:spPr>
                </pic:pic>
              </a:graphicData>
            </a:graphic>
          </wp:inline>
        </w:drawing>
      </w:r>
    </w:p>
    <w:p w14:paraId="656EB770" w14:textId="1D175AF2" w:rsidR="00FE4077" w:rsidRDefault="001D5BA5" w:rsidP="001D5BA5">
      <w:pPr>
        <w:pStyle w:val="Caption"/>
        <w:jc w:val="center"/>
      </w:pPr>
      <w:bookmarkStart w:id="21" w:name="_Toc225094233"/>
      <w:bookmarkStart w:id="22" w:name="_Toc225107110"/>
      <w:r>
        <w:t xml:space="preserve">Figure </w:t>
      </w:r>
      <w:r>
        <w:fldChar w:fldCharType="begin"/>
      </w:r>
      <w:r>
        <w:instrText xml:space="preserve"> SEQ Figure \* ARABIC </w:instrText>
      </w:r>
      <w:r>
        <w:fldChar w:fldCharType="separate"/>
      </w:r>
      <w:r w:rsidR="00DA3E67">
        <w:rPr>
          <w:noProof/>
        </w:rPr>
        <w:t>1</w:t>
      </w:r>
      <w:r>
        <w:fldChar w:fldCharType="end"/>
      </w:r>
      <w:r>
        <w:t xml:space="preserve"> shows the pressure vs crank angle results for the full rpm sweep.</w:t>
      </w:r>
      <w:bookmarkEnd w:id="21"/>
      <w:bookmarkEnd w:id="22"/>
    </w:p>
    <w:p w14:paraId="566999B2" w14:textId="77777777" w:rsidR="009A1EC0" w:rsidRDefault="009A1EC0" w:rsidP="009A1EC0">
      <w:pPr>
        <w:pStyle w:val="ListParagraph"/>
      </w:pPr>
    </w:p>
    <w:p w14:paraId="2EA53B6A" w14:textId="77777777" w:rsidR="009A1EC0" w:rsidRDefault="009A1EC0" w:rsidP="009A1EC0">
      <w:pPr>
        <w:pStyle w:val="ListParagraph"/>
      </w:pPr>
    </w:p>
    <w:p w14:paraId="57A8FEEE" w14:textId="77777777" w:rsidR="009A1EC0" w:rsidRDefault="009A1EC0" w:rsidP="009A1EC0">
      <w:pPr>
        <w:pStyle w:val="ListParagraph"/>
      </w:pPr>
    </w:p>
    <w:p w14:paraId="47B9A6D4" w14:textId="77777777" w:rsidR="009A1EC0" w:rsidRDefault="009A1EC0" w:rsidP="009A1EC0">
      <w:pPr>
        <w:pStyle w:val="ListParagraph"/>
      </w:pPr>
    </w:p>
    <w:p w14:paraId="51F218B5" w14:textId="77777777" w:rsidR="009A1EC0" w:rsidRDefault="009A1EC0" w:rsidP="009A1EC0">
      <w:pPr>
        <w:pStyle w:val="ListParagraph"/>
      </w:pPr>
    </w:p>
    <w:p w14:paraId="63493BEE" w14:textId="77777777" w:rsidR="009A1EC0" w:rsidRDefault="009A1EC0" w:rsidP="009A1EC0">
      <w:pPr>
        <w:pStyle w:val="ListParagraph"/>
      </w:pPr>
    </w:p>
    <w:p w14:paraId="3D7D932F" w14:textId="77777777" w:rsidR="009A1EC0" w:rsidRDefault="009A1EC0" w:rsidP="009A1EC0">
      <w:pPr>
        <w:pStyle w:val="ListParagraph"/>
      </w:pPr>
    </w:p>
    <w:p w14:paraId="0CE01E86" w14:textId="77777777" w:rsidR="009A1EC0" w:rsidRDefault="009A1EC0" w:rsidP="009A1EC0">
      <w:pPr>
        <w:pStyle w:val="ListParagraph"/>
      </w:pPr>
    </w:p>
    <w:p w14:paraId="4775A9F4" w14:textId="77777777" w:rsidR="009A1EC0" w:rsidRDefault="009A1EC0" w:rsidP="009A1EC0">
      <w:pPr>
        <w:pStyle w:val="ListParagraph"/>
      </w:pPr>
    </w:p>
    <w:p w14:paraId="0DE1BBA2" w14:textId="282B13BC" w:rsidR="001D5BA5" w:rsidRDefault="009A1EC0" w:rsidP="007E1A72">
      <w:pPr>
        <w:pStyle w:val="ListParagraph"/>
        <w:numPr>
          <w:ilvl w:val="0"/>
          <w:numId w:val="22"/>
        </w:numPr>
      </w:pPr>
      <w:r w:rsidRPr="00700175">
        <w:rPr>
          <w:noProof/>
        </w:rPr>
        <w:lastRenderedPageBreak/>
        <w:drawing>
          <wp:anchor distT="0" distB="0" distL="114300" distR="114300" simplePos="0" relativeHeight="251607040" behindDoc="0" locked="0" layoutInCell="1" allowOverlap="1" wp14:anchorId="36074DCE" wp14:editId="17A0DD7B">
            <wp:simplePos x="0" y="0"/>
            <wp:positionH relativeFrom="margin">
              <wp:align>center</wp:align>
            </wp:positionH>
            <wp:positionV relativeFrom="paragraph">
              <wp:posOffset>257175</wp:posOffset>
            </wp:positionV>
            <wp:extent cx="5105400" cy="3311525"/>
            <wp:effectExtent l="0" t="0" r="0" b="3175"/>
            <wp:wrapTopAndBottom/>
            <wp:docPr id="1152758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58373" name=""/>
                    <pic:cNvPicPr/>
                  </pic:nvPicPr>
                  <pic:blipFill>
                    <a:blip r:embed="rId12">
                      <a:extLst>
                        <a:ext uri="{28A0092B-C50C-407E-A947-70E740481C1C}">
                          <a14:useLocalDpi xmlns:a14="http://schemas.microsoft.com/office/drawing/2010/main" val="0"/>
                        </a:ext>
                      </a:extLst>
                    </a:blip>
                    <a:stretch>
                      <a:fillRect/>
                    </a:stretch>
                  </pic:blipFill>
                  <pic:spPr>
                    <a:xfrm>
                      <a:off x="0" y="0"/>
                      <a:ext cx="5105400" cy="3311525"/>
                    </a:xfrm>
                    <a:prstGeom prst="rect">
                      <a:avLst/>
                    </a:prstGeom>
                  </pic:spPr>
                </pic:pic>
              </a:graphicData>
            </a:graphic>
            <wp14:sizeRelH relativeFrom="margin">
              <wp14:pctWidth>0</wp14:pctWidth>
            </wp14:sizeRelH>
            <wp14:sizeRelV relativeFrom="margin">
              <wp14:pctHeight>0</wp14:pctHeight>
            </wp14:sizeRelV>
          </wp:anchor>
        </w:drawing>
      </w:r>
      <w:r w:rsidR="007E1A72">
        <w:t xml:space="preserve">Component forces vs </w:t>
      </w:r>
      <w:r w:rsidR="00700175">
        <w:t xml:space="preserve">crank angle </w:t>
      </w:r>
    </w:p>
    <w:p w14:paraId="6D2A7690" w14:textId="2DD8AB62" w:rsidR="00B57429" w:rsidRDefault="00700175" w:rsidP="00700175">
      <w:pPr>
        <w:pStyle w:val="Caption"/>
        <w:jc w:val="center"/>
      </w:pPr>
      <w:bookmarkStart w:id="23" w:name="_Toc225094234"/>
      <w:bookmarkStart w:id="24" w:name="_Toc225107111"/>
      <w:r>
        <w:t xml:space="preserve">Figure </w:t>
      </w:r>
      <w:r>
        <w:fldChar w:fldCharType="begin"/>
      </w:r>
      <w:r>
        <w:instrText xml:space="preserve"> SEQ Figure \* ARABIC </w:instrText>
      </w:r>
      <w:r>
        <w:fldChar w:fldCharType="separate"/>
      </w:r>
      <w:r w:rsidR="00DA3E67">
        <w:rPr>
          <w:noProof/>
        </w:rPr>
        <w:t>2</w:t>
      </w:r>
      <w:r>
        <w:fldChar w:fldCharType="end"/>
      </w:r>
      <w:r>
        <w:t xml:space="preserve"> shows the conrod forces experienced over the crank angle for the rpm sweep.</w:t>
      </w:r>
      <w:bookmarkEnd w:id="23"/>
      <w:bookmarkEnd w:id="24"/>
    </w:p>
    <w:p w14:paraId="361E4F2D" w14:textId="64F1B5E4" w:rsidR="0054034E" w:rsidRDefault="009A1EC0" w:rsidP="0054034E">
      <w:pPr>
        <w:pStyle w:val="ListParagraph"/>
        <w:numPr>
          <w:ilvl w:val="0"/>
          <w:numId w:val="22"/>
        </w:numPr>
      </w:pPr>
      <w:r w:rsidRPr="008B1373">
        <w:rPr>
          <w:noProof/>
        </w:rPr>
        <w:drawing>
          <wp:anchor distT="0" distB="0" distL="114300" distR="114300" simplePos="0" relativeHeight="251601920" behindDoc="0" locked="0" layoutInCell="1" allowOverlap="1" wp14:anchorId="38AE16A7" wp14:editId="3EE5A562">
            <wp:simplePos x="0" y="0"/>
            <wp:positionH relativeFrom="margin">
              <wp:align>center</wp:align>
            </wp:positionH>
            <wp:positionV relativeFrom="paragraph">
              <wp:posOffset>245110</wp:posOffset>
            </wp:positionV>
            <wp:extent cx="5279097" cy="3556635"/>
            <wp:effectExtent l="0" t="0" r="0" b="5715"/>
            <wp:wrapTopAndBottom/>
            <wp:docPr id="991952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52696" name=""/>
                    <pic:cNvPicPr/>
                  </pic:nvPicPr>
                  <pic:blipFill>
                    <a:blip r:embed="rId13">
                      <a:extLst>
                        <a:ext uri="{28A0092B-C50C-407E-A947-70E740481C1C}">
                          <a14:useLocalDpi xmlns:a14="http://schemas.microsoft.com/office/drawing/2010/main" val="0"/>
                        </a:ext>
                      </a:extLst>
                    </a:blip>
                    <a:stretch>
                      <a:fillRect/>
                    </a:stretch>
                  </pic:blipFill>
                  <pic:spPr>
                    <a:xfrm>
                      <a:off x="0" y="0"/>
                      <a:ext cx="5279097" cy="3556635"/>
                    </a:xfrm>
                    <a:prstGeom prst="rect">
                      <a:avLst/>
                    </a:prstGeom>
                  </pic:spPr>
                </pic:pic>
              </a:graphicData>
            </a:graphic>
          </wp:anchor>
        </w:drawing>
      </w:r>
      <w:r w:rsidR="008B1373">
        <w:rPr>
          <w:noProof/>
        </w:rPr>
        <mc:AlternateContent>
          <mc:Choice Requires="wps">
            <w:drawing>
              <wp:anchor distT="0" distB="0" distL="114300" distR="114300" simplePos="0" relativeHeight="251603968" behindDoc="0" locked="0" layoutInCell="1" allowOverlap="1" wp14:anchorId="364C684B" wp14:editId="76425A76">
                <wp:simplePos x="0" y="0"/>
                <wp:positionH relativeFrom="column">
                  <wp:posOffset>226060</wp:posOffset>
                </wp:positionH>
                <wp:positionV relativeFrom="paragraph">
                  <wp:posOffset>3868420</wp:posOffset>
                </wp:positionV>
                <wp:extent cx="5278755" cy="635"/>
                <wp:effectExtent l="0" t="0" r="0" b="0"/>
                <wp:wrapTopAndBottom/>
                <wp:docPr id="1321595349" name="Text Box 1"/>
                <wp:cNvGraphicFramePr/>
                <a:graphic xmlns:a="http://schemas.openxmlformats.org/drawingml/2006/main">
                  <a:graphicData uri="http://schemas.microsoft.com/office/word/2010/wordprocessingShape">
                    <wps:wsp>
                      <wps:cNvSpPr txBox="1"/>
                      <wps:spPr>
                        <a:xfrm>
                          <a:off x="0" y="0"/>
                          <a:ext cx="5278755" cy="635"/>
                        </a:xfrm>
                        <a:prstGeom prst="rect">
                          <a:avLst/>
                        </a:prstGeom>
                        <a:solidFill>
                          <a:prstClr val="white"/>
                        </a:solidFill>
                        <a:ln>
                          <a:noFill/>
                        </a:ln>
                      </wps:spPr>
                      <wps:txbx>
                        <w:txbxContent>
                          <w:p w14:paraId="195C9F5B" w14:textId="0703DF1A" w:rsidR="008B1373" w:rsidRPr="00C70CA3" w:rsidRDefault="008B1373" w:rsidP="008B1373">
                            <w:pPr>
                              <w:pStyle w:val="Caption"/>
                              <w:jc w:val="center"/>
                              <w:rPr>
                                <w:sz w:val="22"/>
                                <w:szCs w:val="22"/>
                              </w:rPr>
                            </w:pPr>
                            <w:bookmarkStart w:id="25" w:name="_Toc225094235"/>
                            <w:bookmarkStart w:id="26" w:name="_Toc225107112"/>
                            <w:r>
                              <w:t xml:space="preserve">Figure </w:t>
                            </w:r>
                            <w:r>
                              <w:fldChar w:fldCharType="begin"/>
                            </w:r>
                            <w:r>
                              <w:instrText xml:space="preserve"> SEQ Figure \* ARABIC </w:instrText>
                            </w:r>
                            <w:r>
                              <w:fldChar w:fldCharType="separate"/>
                            </w:r>
                            <w:r w:rsidR="00DA3E67">
                              <w:rPr>
                                <w:noProof/>
                              </w:rPr>
                              <w:t>3</w:t>
                            </w:r>
                            <w:r>
                              <w:fldChar w:fldCharType="end"/>
                            </w:r>
                            <w:r>
                              <w:t xml:space="preserve"> shows the gas and inertial forces against crank angle.</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4C684B" id="_x0000_t202" coordsize="21600,21600" o:spt="202" path="m,l,21600r21600,l21600,xe">
                <v:stroke joinstyle="miter"/>
                <v:path gradientshapeok="t" o:connecttype="rect"/>
              </v:shapetype>
              <v:shape id="Text Box 1" o:spid="_x0000_s1026" type="#_x0000_t202" style="position:absolute;left:0;text-align:left;margin-left:17.8pt;margin-top:304.6pt;width:415.6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" stroked="f">
                <v:textbox style="mso-fit-shape-to-text:t" inset="0,0,0,0">
                  <w:txbxContent>
                    <w:p w14:paraId="195C9F5B" w14:textId="0703DF1A" w:rsidR="008B1373" w:rsidRPr="00C70CA3" w:rsidRDefault="008B1373" w:rsidP="008B1373">
                      <w:pPr>
                        <w:pStyle w:val="Caption"/>
                        <w:jc w:val="center"/>
                        <w:rPr>
                          <w:sz w:val="22"/>
                          <w:szCs w:val="22"/>
                        </w:rPr>
                      </w:pPr>
                      <w:bookmarkStart w:id="27" w:name="_Toc225094235"/>
                      <w:bookmarkStart w:id="28" w:name="_Toc225107112"/>
                      <w:r>
                        <w:t xml:space="preserve">Figure </w:t>
                      </w:r>
                      <w:r>
                        <w:fldChar w:fldCharType="begin"/>
                      </w:r>
                      <w:r>
                        <w:instrText xml:space="preserve"> SEQ Figure \* ARABIC </w:instrText>
                      </w:r>
                      <w:r>
                        <w:fldChar w:fldCharType="separate"/>
                      </w:r>
                      <w:r w:rsidR="00DA3E67">
                        <w:rPr>
                          <w:noProof/>
                        </w:rPr>
                        <w:t>3</w:t>
                      </w:r>
                      <w:r>
                        <w:fldChar w:fldCharType="end"/>
                      </w:r>
                      <w:r>
                        <w:t xml:space="preserve"> shows the gas and inertial forces against crank angle.</w:t>
                      </w:r>
                      <w:bookmarkEnd w:id="27"/>
                      <w:bookmarkEnd w:id="28"/>
                    </w:p>
                  </w:txbxContent>
                </v:textbox>
                <w10:wrap type="topAndBottom"/>
              </v:shape>
            </w:pict>
          </mc:Fallback>
        </mc:AlternateContent>
      </w:r>
      <w:r w:rsidR="0054034E">
        <w:t xml:space="preserve">Gas and inertial forces experienced against crank angle </w:t>
      </w:r>
    </w:p>
    <w:p w14:paraId="727D57D8" w14:textId="1F9177C5" w:rsidR="0054034E" w:rsidRPr="0054034E" w:rsidRDefault="0054034E" w:rsidP="0054034E">
      <w:pPr>
        <w:ind w:left="360"/>
      </w:pPr>
    </w:p>
    <w:p w14:paraId="2FB2FF6E" w14:textId="1A25A61A" w:rsidR="00B57429" w:rsidRDefault="00B57429" w:rsidP="00B57429">
      <w:pPr>
        <w:rPr>
          <w:rFonts w:eastAsiaTheme="majorEastAsia" w:cstheme="minorHAnsi"/>
        </w:rPr>
      </w:pPr>
    </w:p>
    <w:p w14:paraId="2ABA3C96" w14:textId="5C5419F0" w:rsidR="00B57429" w:rsidRPr="007340D0" w:rsidRDefault="00B57429" w:rsidP="00B57429">
      <w:pPr>
        <w:rPr>
          <w:rFonts w:eastAsiaTheme="majorEastAsia" w:cstheme="minorHAnsi"/>
        </w:rPr>
      </w:pPr>
    </w:p>
    <w:p w14:paraId="2F695AE4" w14:textId="61B69F2E" w:rsidR="007340D0" w:rsidRPr="007340D0" w:rsidRDefault="005B26D8" w:rsidP="00B57429">
      <w:pPr>
        <w:pStyle w:val="Heading1"/>
        <w:numPr>
          <w:ilvl w:val="0"/>
          <w:numId w:val="0"/>
        </w:numPr>
        <w:ind w:left="432" w:hanging="432"/>
      </w:pPr>
      <w:bookmarkStart w:id="29" w:name="_Toc216266667"/>
      <w:bookmarkStart w:id="30" w:name="_Toc225003687"/>
      <w:r>
        <w:lastRenderedPageBreak/>
        <w:t>3</w:t>
      </w:r>
      <w:r w:rsidR="00B57429">
        <w:t xml:space="preserve"> </w:t>
      </w:r>
      <w:bookmarkEnd w:id="29"/>
      <w:r w:rsidR="00925AE5">
        <w:t>Base Engine Results and Analysis</w:t>
      </w:r>
      <w:bookmarkEnd w:id="30"/>
      <w:r w:rsidR="00925AE5">
        <w:t xml:space="preserve"> </w:t>
      </w:r>
    </w:p>
    <w:p w14:paraId="77D0BC49" w14:textId="4AA05818" w:rsidR="007340D0" w:rsidRPr="007340D0" w:rsidRDefault="005B26D8" w:rsidP="00B57429">
      <w:pPr>
        <w:pStyle w:val="Heading2"/>
        <w:numPr>
          <w:ilvl w:val="0"/>
          <w:numId w:val="0"/>
        </w:numPr>
        <w:ind w:left="576" w:hanging="576"/>
      </w:pPr>
      <w:bookmarkStart w:id="31" w:name="_Toc216266668"/>
      <w:bookmarkStart w:id="32" w:name="_Toc225003688"/>
      <w:r>
        <w:t>3.1</w:t>
      </w:r>
      <w:r w:rsidR="007340D0" w:rsidRPr="007340D0">
        <w:t xml:space="preserve"> </w:t>
      </w:r>
      <w:bookmarkEnd w:id="31"/>
      <w:r w:rsidR="00CC29FB">
        <w:t xml:space="preserve">Cylinder Pressure and </w:t>
      </w:r>
      <w:r w:rsidR="00925AE5">
        <w:t>Force Analysis</w:t>
      </w:r>
      <w:bookmarkEnd w:id="32"/>
    </w:p>
    <w:p w14:paraId="2C1D2A15" w14:textId="08148FCD" w:rsidR="00194904" w:rsidRDefault="00194904" w:rsidP="007340D0">
      <w:pPr>
        <w:tabs>
          <w:tab w:val="left" w:pos="1560"/>
        </w:tabs>
        <w:rPr>
          <w:rFonts w:eastAsiaTheme="majorEastAsia" w:cstheme="minorHAnsi"/>
        </w:rPr>
      </w:pPr>
      <w:r>
        <w:rPr>
          <w:rFonts w:eastAsiaTheme="majorEastAsia" w:cstheme="minorHAnsi"/>
        </w:rPr>
        <w:t xml:space="preserve">The variation of in cylinder pressures </w:t>
      </w:r>
      <w:r w:rsidR="003E29F5">
        <w:rPr>
          <w:rFonts w:eastAsiaTheme="majorEastAsia" w:cstheme="minorHAnsi"/>
        </w:rPr>
        <w:t xml:space="preserve">against the crank angle can be seen in Figure 1 above. As </w:t>
      </w:r>
      <w:r w:rsidR="0073341A">
        <w:rPr>
          <w:rFonts w:eastAsiaTheme="majorEastAsia" w:cstheme="minorHAnsi"/>
        </w:rPr>
        <w:t>expected,</w:t>
      </w:r>
      <w:r w:rsidR="003E29F5">
        <w:rPr>
          <w:rFonts w:eastAsiaTheme="majorEastAsia" w:cstheme="minorHAnsi"/>
        </w:rPr>
        <w:t xml:space="preserve"> the pressure reaches its peak </w:t>
      </w:r>
      <w:r w:rsidR="008C754A">
        <w:rPr>
          <w:rFonts w:eastAsiaTheme="majorEastAsia" w:cstheme="minorHAnsi"/>
        </w:rPr>
        <w:t>soon after top dead centre (TDC) during the combustion phase, before decreasing through the expansion stroke</w:t>
      </w:r>
      <w:r w:rsidR="004128D2">
        <w:rPr>
          <w:rFonts w:eastAsiaTheme="majorEastAsia" w:cstheme="minorHAnsi"/>
        </w:rPr>
        <w:t xml:space="preserve">. The pressure profile governs the magnitude of the gas force applied to the piston during the cycle. </w:t>
      </w:r>
    </w:p>
    <w:p w14:paraId="3A9AFD04" w14:textId="77777777" w:rsidR="008108D8" w:rsidRDefault="008108D8" w:rsidP="008108D8">
      <w:pPr>
        <w:keepNext/>
        <w:tabs>
          <w:tab w:val="left" w:pos="1560"/>
        </w:tabs>
      </w:pPr>
      <w:r w:rsidRPr="008108D8">
        <w:rPr>
          <w:noProof/>
        </w:rPr>
        <w:drawing>
          <wp:inline distT="0" distB="0" distL="0" distR="0" wp14:anchorId="3E98B26E" wp14:editId="115DECB4">
            <wp:extent cx="5731510" cy="3790315"/>
            <wp:effectExtent l="0" t="0" r="2540" b="635"/>
            <wp:docPr id="1364533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33669" name=""/>
                    <pic:cNvPicPr/>
                  </pic:nvPicPr>
                  <pic:blipFill>
                    <a:blip r:embed="rId14"/>
                    <a:stretch>
                      <a:fillRect/>
                    </a:stretch>
                  </pic:blipFill>
                  <pic:spPr>
                    <a:xfrm>
                      <a:off x="0" y="0"/>
                      <a:ext cx="5731510" cy="3790315"/>
                    </a:xfrm>
                    <a:prstGeom prst="rect">
                      <a:avLst/>
                    </a:prstGeom>
                  </pic:spPr>
                </pic:pic>
              </a:graphicData>
            </a:graphic>
          </wp:inline>
        </w:drawing>
      </w:r>
    </w:p>
    <w:p w14:paraId="608EDE48" w14:textId="527BDB0B" w:rsidR="004128D2" w:rsidRDefault="008108D8" w:rsidP="008108D8">
      <w:pPr>
        <w:pStyle w:val="Caption"/>
        <w:jc w:val="center"/>
      </w:pPr>
      <w:bookmarkStart w:id="33" w:name="_Toc225094236"/>
      <w:bookmarkStart w:id="34" w:name="_Toc225107113"/>
      <w:r>
        <w:t xml:space="preserve">Figure </w:t>
      </w:r>
      <w:r>
        <w:fldChar w:fldCharType="begin"/>
      </w:r>
      <w:r>
        <w:instrText xml:space="preserve"> SEQ Figure \* ARABIC </w:instrText>
      </w:r>
      <w:r>
        <w:fldChar w:fldCharType="separate"/>
      </w:r>
      <w:r w:rsidR="00DA3E67">
        <w:rPr>
          <w:noProof/>
        </w:rPr>
        <w:t>4</w:t>
      </w:r>
      <w:r>
        <w:fldChar w:fldCharType="end"/>
      </w:r>
      <w:r>
        <w:t xml:space="preserve"> shows the gas and inertial force acting on the piston through the rpm sweep.</w:t>
      </w:r>
      <w:bookmarkEnd w:id="33"/>
      <w:bookmarkEnd w:id="34"/>
    </w:p>
    <w:p w14:paraId="1AF9220F" w14:textId="1E19C6E3" w:rsidR="008108D8" w:rsidRDefault="008108D8" w:rsidP="008108D8">
      <w:r>
        <w:t>The resultant piston force shown in figure</w:t>
      </w:r>
      <w:r w:rsidR="00CC5F26">
        <w:t xml:space="preserve"> 4 above is the combination of the gas and inertial force</w:t>
      </w:r>
      <w:r w:rsidR="006153F0">
        <w:t xml:space="preserve"> acting on the piston. </w:t>
      </w:r>
      <w:r w:rsidR="001C6A5A">
        <w:t>The gas force dominates</w:t>
      </w:r>
      <w:r w:rsidR="00AC0289">
        <w:t xml:space="preserve"> during the compression and e</w:t>
      </w:r>
      <w:r w:rsidR="0048027B">
        <w:t>xpansion stroke</w:t>
      </w:r>
      <w:r w:rsidR="00E825C5">
        <w:t>s</w:t>
      </w:r>
      <w:r w:rsidR="003B6C1E">
        <w:t xml:space="preserve"> producing huge compressive loads, where inertial forces </w:t>
      </w:r>
      <w:r w:rsidR="00AE2E3D">
        <w:t>become increasingly significant at the higher rpm ranges</w:t>
      </w:r>
      <w:sdt>
        <w:sdtPr>
          <w:id w:val="556048142"/>
          <w:citation/>
        </w:sdtPr>
        <w:sdtEndPr/>
        <w:sdtContent>
          <w:r w:rsidR="00193E0D">
            <w:fldChar w:fldCharType="begin"/>
          </w:r>
          <w:r w:rsidR="00193E0D">
            <w:instrText xml:space="preserve"> CITATION Cha85 \l 2057 </w:instrText>
          </w:r>
          <w:r w:rsidR="00193E0D">
            <w:fldChar w:fldCharType="separate"/>
          </w:r>
          <w:r w:rsidR="00F23937">
            <w:rPr>
              <w:noProof/>
            </w:rPr>
            <w:t xml:space="preserve"> </w:t>
          </w:r>
          <w:r w:rsidR="00F23937" w:rsidRPr="00F23937">
            <w:rPr>
              <w:noProof/>
            </w:rPr>
            <w:t>(Taylor, 1985)</w:t>
          </w:r>
          <w:r w:rsidR="00193E0D">
            <w:fldChar w:fldCharType="end"/>
          </w:r>
        </w:sdtContent>
      </w:sdt>
      <w:r w:rsidR="00E07240">
        <w:t xml:space="preserve">. This interaction between them results in alternating </w:t>
      </w:r>
      <w:r w:rsidR="00B17E85">
        <w:t xml:space="preserve">tensile and compressive loading on the components causing alternating stress through the system. </w:t>
      </w:r>
    </w:p>
    <w:p w14:paraId="33833767" w14:textId="2C5A2952" w:rsidR="00B17E85" w:rsidRPr="008108D8" w:rsidRDefault="00B17E85" w:rsidP="008108D8">
      <w:r>
        <w:t xml:space="preserve">The separation of these forces into tensile and compressive components highlights that </w:t>
      </w:r>
      <w:r w:rsidR="007C32E8">
        <w:t>the system goes through fully reversed loading, which is critical for fatigue analysis. Peak compressive forces occur shortly after combustion wh</w:t>
      </w:r>
      <w:r w:rsidR="00A22703">
        <w:t>ere the peak tensile forces are observed close to TDC due to the quick deceleration of the r</w:t>
      </w:r>
      <w:r w:rsidR="00D071C5">
        <w:t xml:space="preserve">otating components. </w:t>
      </w:r>
    </w:p>
    <w:p w14:paraId="7D7DBFDD" w14:textId="767CF2F1" w:rsidR="007340D0" w:rsidRDefault="007340D0" w:rsidP="007340D0">
      <w:pPr>
        <w:tabs>
          <w:tab w:val="left" w:pos="1560"/>
        </w:tabs>
        <w:rPr>
          <w:rFonts w:eastAsiaTheme="majorEastAsia" w:cstheme="minorHAnsi"/>
        </w:rPr>
      </w:pPr>
    </w:p>
    <w:p w14:paraId="47EC19E0" w14:textId="77777777" w:rsidR="0073341A" w:rsidRDefault="0073341A" w:rsidP="007340D0">
      <w:pPr>
        <w:tabs>
          <w:tab w:val="left" w:pos="1560"/>
        </w:tabs>
        <w:rPr>
          <w:rFonts w:eastAsiaTheme="majorEastAsia" w:cstheme="minorHAnsi"/>
        </w:rPr>
      </w:pPr>
    </w:p>
    <w:p w14:paraId="4B891C96" w14:textId="77777777" w:rsidR="0073341A" w:rsidRDefault="0073341A" w:rsidP="007340D0">
      <w:pPr>
        <w:tabs>
          <w:tab w:val="left" w:pos="1560"/>
        </w:tabs>
        <w:rPr>
          <w:rFonts w:eastAsiaTheme="majorEastAsia" w:cstheme="minorHAnsi"/>
        </w:rPr>
      </w:pPr>
    </w:p>
    <w:p w14:paraId="38C3B7FE" w14:textId="77777777" w:rsidR="0073341A" w:rsidRPr="007340D0" w:rsidRDefault="0073341A" w:rsidP="007340D0">
      <w:pPr>
        <w:tabs>
          <w:tab w:val="left" w:pos="1560"/>
        </w:tabs>
        <w:rPr>
          <w:rFonts w:eastAsiaTheme="majorEastAsia" w:cstheme="minorHAnsi"/>
        </w:rPr>
      </w:pPr>
    </w:p>
    <w:p w14:paraId="5C368F7F" w14:textId="1F9DFED9" w:rsidR="007340D0" w:rsidRPr="007340D0" w:rsidRDefault="005B26D8" w:rsidP="00B57429">
      <w:pPr>
        <w:pStyle w:val="Heading2"/>
        <w:numPr>
          <w:ilvl w:val="0"/>
          <w:numId w:val="0"/>
        </w:numPr>
        <w:ind w:left="576" w:hanging="576"/>
      </w:pPr>
      <w:bookmarkStart w:id="35" w:name="_Toc216266669"/>
      <w:bookmarkStart w:id="36" w:name="_Toc225003689"/>
      <w:r>
        <w:lastRenderedPageBreak/>
        <w:t>3.2</w:t>
      </w:r>
      <w:r w:rsidR="007340D0" w:rsidRPr="007340D0">
        <w:t xml:space="preserve"> </w:t>
      </w:r>
      <w:bookmarkEnd w:id="35"/>
      <w:r w:rsidR="00925AE5">
        <w:t xml:space="preserve">Stress distribution </w:t>
      </w:r>
      <w:r w:rsidR="002E4894">
        <w:t>in Components</w:t>
      </w:r>
      <w:bookmarkEnd w:id="36"/>
    </w:p>
    <w:p w14:paraId="5B234328" w14:textId="2CFD2180" w:rsidR="007340D0" w:rsidRDefault="007457AF" w:rsidP="007340D0">
      <w:pPr>
        <w:tabs>
          <w:tab w:val="left" w:pos="1560"/>
        </w:tabs>
        <w:rPr>
          <w:rFonts w:eastAsiaTheme="majorEastAsia" w:cstheme="minorHAnsi"/>
        </w:rPr>
      </w:pPr>
      <w:r>
        <w:rPr>
          <w:noProof/>
        </w:rPr>
        <mc:AlternateContent>
          <mc:Choice Requires="wps">
            <w:drawing>
              <wp:anchor distT="0" distB="0" distL="114300" distR="114300" simplePos="0" relativeHeight="251618304" behindDoc="0" locked="0" layoutInCell="1" allowOverlap="1" wp14:anchorId="51EDB50A" wp14:editId="6056C108">
                <wp:simplePos x="0" y="0"/>
                <wp:positionH relativeFrom="margin">
                  <wp:align>right</wp:align>
                </wp:positionH>
                <wp:positionV relativeFrom="paragraph">
                  <wp:posOffset>4538980</wp:posOffset>
                </wp:positionV>
                <wp:extent cx="5731510" cy="635"/>
                <wp:effectExtent l="0" t="0" r="2540" b="0"/>
                <wp:wrapTopAndBottom/>
                <wp:docPr id="9344516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9D5E5AC" w14:textId="106E0420" w:rsidR="00BD5633" w:rsidRPr="003B712C" w:rsidRDefault="00BD5633" w:rsidP="00BD5633">
                            <w:pPr>
                              <w:pStyle w:val="Caption"/>
                              <w:jc w:val="center"/>
                              <w:rPr>
                                <w:sz w:val="22"/>
                                <w:szCs w:val="22"/>
                              </w:rPr>
                            </w:pPr>
                            <w:bookmarkStart w:id="37" w:name="_Toc225094237"/>
                            <w:bookmarkStart w:id="38" w:name="_Toc225107114"/>
                            <w:r>
                              <w:t xml:space="preserve">Figure </w:t>
                            </w:r>
                            <w:r>
                              <w:fldChar w:fldCharType="begin"/>
                            </w:r>
                            <w:r>
                              <w:instrText xml:space="preserve"> SEQ Figure \* ARABIC </w:instrText>
                            </w:r>
                            <w:r>
                              <w:fldChar w:fldCharType="separate"/>
                            </w:r>
                            <w:r w:rsidR="00DA3E67">
                              <w:rPr>
                                <w:noProof/>
                              </w:rPr>
                              <w:t>5</w:t>
                            </w:r>
                            <w:r>
                              <w:fldChar w:fldCharType="end"/>
                            </w:r>
                            <w:r>
                              <w:t xml:space="preserve"> shows the stress acting on the pin during the cycle.</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DB50A" id="_x0000_s1027" type="#_x0000_t202" style="position:absolute;margin-left:400.1pt;margin-top:357.4pt;width:451.3pt;height:.05pt;z-index:2516183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" stroked="f">
                <v:textbox style="mso-fit-shape-to-text:t" inset="0,0,0,0">
                  <w:txbxContent>
                    <w:p w14:paraId="39D5E5AC" w14:textId="106E0420" w:rsidR="00BD5633" w:rsidRPr="003B712C" w:rsidRDefault="00BD5633" w:rsidP="00BD5633">
                      <w:pPr>
                        <w:pStyle w:val="Caption"/>
                        <w:jc w:val="center"/>
                        <w:rPr>
                          <w:sz w:val="22"/>
                          <w:szCs w:val="22"/>
                        </w:rPr>
                      </w:pPr>
                      <w:bookmarkStart w:id="39" w:name="_Toc225094237"/>
                      <w:bookmarkStart w:id="40" w:name="_Toc225107114"/>
                      <w:r>
                        <w:t xml:space="preserve">Figure </w:t>
                      </w:r>
                      <w:r>
                        <w:fldChar w:fldCharType="begin"/>
                      </w:r>
                      <w:r>
                        <w:instrText xml:space="preserve"> SEQ Figure \* ARABIC </w:instrText>
                      </w:r>
                      <w:r>
                        <w:fldChar w:fldCharType="separate"/>
                      </w:r>
                      <w:r w:rsidR="00DA3E67">
                        <w:rPr>
                          <w:noProof/>
                        </w:rPr>
                        <w:t>5</w:t>
                      </w:r>
                      <w:r>
                        <w:fldChar w:fldCharType="end"/>
                      </w:r>
                      <w:r>
                        <w:t xml:space="preserve"> shows the stress acting on the pin during the cycle.</w:t>
                      </w:r>
                      <w:bookmarkEnd w:id="39"/>
                      <w:bookmarkEnd w:id="40"/>
                    </w:p>
                  </w:txbxContent>
                </v:textbox>
                <w10:wrap type="topAndBottom" anchorx="margin"/>
              </v:shape>
            </w:pict>
          </mc:Fallback>
        </mc:AlternateContent>
      </w:r>
      <w:r>
        <w:rPr>
          <w:noProof/>
        </w:rPr>
        <mc:AlternateContent>
          <mc:Choice Requires="wps">
            <w:drawing>
              <wp:anchor distT="0" distB="0" distL="114300" distR="114300" simplePos="0" relativeHeight="251667456" behindDoc="0" locked="0" layoutInCell="1" allowOverlap="1" wp14:anchorId="5A253C10" wp14:editId="10589CD5">
                <wp:simplePos x="0" y="0"/>
                <wp:positionH relativeFrom="column">
                  <wp:posOffset>330200</wp:posOffset>
                </wp:positionH>
                <wp:positionV relativeFrom="paragraph">
                  <wp:posOffset>8078470</wp:posOffset>
                </wp:positionV>
                <wp:extent cx="5071110" cy="635"/>
                <wp:effectExtent l="0" t="0" r="0" b="0"/>
                <wp:wrapTopAndBottom/>
                <wp:docPr id="1917780670" name="Text Box 1"/>
                <wp:cNvGraphicFramePr/>
                <a:graphic xmlns:a="http://schemas.openxmlformats.org/drawingml/2006/main">
                  <a:graphicData uri="http://schemas.microsoft.com/office/word/2010/wordprocessingShape">
                    <wps:wsp>
                      <wps:cNvSpPr txBox="1"/>
                      <wps:spPr>
                        <a:xfrm>
                          <a:off x="0" y="0"/>
                          <a:ext cx="5071110" cy="635"/>
                        </a:xfrm>
                        <a:prstGeom prst="rect">
                          <a:avLst/>
                        </a:prstGeom>
                        <a:solidFill>
                          <a:prstClr val="white"/>
                        </a:solidFill>
                        <a:ln>
                          <a:noFill/>
                        </a:ln>
                      </wps:spPr>
                      <wps:txbx>
                        <w:txbxContent>
                          <w:p w14:paraId="3CA61278" w14:textId="6D75973C" w:rsidR="007457AF" w:rsidRPr="000159BA" w:rsidRDefault="007457AF" w:rsidP="007457AF">
                            <w:pPr>
                              <w:pStyle w:val="Caption"/>
                              <w:jc w:val="center"/>
                              <w:rPr>
                                <w:noProof/>
                                <w:sz w:val="22"/>
                                <w:szCs w:val="22"/>
                              </w:rPr>
                            </w:pPr>
                            <w:bookmarkStart w:id="41" w:name="_Toc225094238"/>
                            <w:bookmarkStart w:id="42" w:name="_Toc225107115"/>
                            <w:r>
                              <w:t xml:space="preserve">Figure </w:t>
                            </w:r>
                            <w:r>
                              <w:fldChar w:fldCharType="begin"/>
                            </w:r>
                            <w:r>
                              <w:instrText xml:space="preserve"> SEQ Figure \* ARABIC </w:instrText>
                            </w:r>
                            <w:r>
                              <w:fldChar w:fldCharType="separate"/>
                            </w:r>
                            <w:r w:rsidR="00DA3E67">
                              <w:rPr>
                                <w:noProof/>
                              </w:rPr>
                              <w:t>6</w:t>
                            </w:r>
                            <w:r>
                              <w:fldChar w:fldCharType="end"/>
                            </w:r>
                            <w:r>
                              <w:t xml:space="preserve"> shows the stress acting on the conrod bolt.</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53C10" id="_x0000_s1028" type="#_x0000_t202" style="position:absolute;margin-left:26pt;margin-top:636.1pt;width:399.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IxvGQIAAD8EAAAOAAAAZHJzL2Uyb0RvYy54bWysU8Fu2zAMvQ/YPwi6L04ytBu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" stroked="f">
                <v:textbox style="mso-fit-shape-to-text:t" inset="0,0,0,0">
                  <w:txbxContent>
                    <w:p w14:paraId="3CA61278" w14:textId="6D75973C" w:rsidR="007457AF" w:rsidRPr="000159BA" w:rsidRDefault="007457AF" w:rsidP="007457AF">
                      <w:pPr>
                        <w:pStyle w:val="Caption"/>
                        <w:jc w:val="center"/>
                        <w:rPr>
                          <w:noProof/>
                          <w:sz w:val="22"/>
                          <w:szCs w:val="22"/>
                        </w:rPr>
                      </w:pPr>
                      <w:bookmarkStart w:id="43" w:name="_Toc225094238"/>
                      <w:bookmarkStart w:id="44" w:name="_Toc225107115"/>
                      <w:r>
                        <w:t xml:space="preserve">Figure </w:t>
                      </w:r>
                      <w:r>
                        <w:fldChar w:fldCharType="begin"/>
                      </w:r>
                      <w:r>
                        <w:instrText xml:space="preserve"> SEQ Figure \* ARABIC </w:instrText>
                      </w:r>
                      <w:r>
                        <w:fldChar w:fldCharType="separate"/>
                      </w:r>
                      <w:r w:rsidR="00DA3E67">
                        <w:rPr>
                          <w:noProof/>
                        </w:rPr>
                        <w:t>6</w:t>
                      </w:r>
                      <w:r>
                        <w:fldChar w:fldCharType="end"/>
                      </w:r>
                      <w:r>
                        <w:t xml:space="preserve"> shows the stress acting on the conrod bolt.</w:t>
                      </w:r>
                      <w:bookmarkEnd w:id="43"/>
                      <w:bookmarkEnd w:id="44"/>
                    </w:p>
                  </w:txbxContent>
                </v:textbox>
                <w10:wrap type="topAndBottom"/>
              </v:shape>
            </w:pict>
          </mc:Fallback>
        </mc:AlternateContent>
      </w:r>
      <w:r w:rsidRPr="007457AF">
        <w:rPr>
          <w:noProof/>
        </w:rPr>
        <w:drawing>
          <wp:anchor distT="0" distB="0" distL="114300" distR="114300" simplePos="0" relativeHeight="251622400" behindDoc="0" locked="0" layoutInCell="1" allowOverlap="1" wp14:anchorId="3F96BBA5" wp14:editId="5B7DF2F0">
            <wp:simplePos x="0" y="0"/>
            <wp:positionH relativeFrom="margin">
              <wp:align>center</wp:align>
            </wp:positionH>
            <wp:positionV relativeFrom="paragraph">
              <wp:posOffset>4782820</wp:posOffset>
            </wp:positionV>
            <wp:extent cx="5071110" cy="3238500"/>
            <wp:effectExtent l="0" t="0" r="0" b="0"/>
            <wp:wrapTopAndBottom/>
            <wp:docPr id="2110811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11417" name=""/>
                    <pic:cNvPicPr/>
                  </pic:nvPicPr>
                  <pic:blipFill>
                    <a:blip r:embed="rId15">
                      <a:extLst>
                        <a:ext uri="{28A0092B-C50C-407E-A947-70E740481C1C}">
                          <a14:useLocalDpi xmlns:a14="http://schemas.microsoft.com/office/drawing/2010/main" val="0"/>
                        </a:ext>
                      </a:extLst>
                    </a:blip>
                    <a:stretch>
                      <a:fillRect/>
                    </a:stretch>
                  </pic:blipFill>
                  <pic:spPr>
                    <a:xfrm>
                      <a:off x="0" y="0"/>
                      <a:ext cx="5071110" cy="3238500"/>
                    </a:xfrm>
                    <a:prstGeom prst="rect">
                      <a:avLst/>
                    </a:prstGeom>
                  </pic:spPr>
                </pic:pic>
              </a:graphicData>
            </a:graphic>
            <wp14:sizeRelH relativeFrom="margin">
              <wp14:pctWidth>0</wp14:pctWidth>
            </wp14:sizeRelH>
            <wp14:sizeRelV relativeFrom="margin">
              <wp14:pctHeight>0</wp14:pctHeight>
            </wp14:sizeRelV>
          </wp:anchor>
        </w:drawing>
      </w:r>
      <w:r w:rsidRPr="00BD5633">
        <w:rPr>
          <w:noProof/>
        </w:rPr>
        <w:drawing>
          <wp:anchor distT="0" distB="0" distL="114300" distR="114300" simplePos="0" relativeHeight="251611136" behindDoc="0" locked="0" layoutInCell="1" allowOverlap="1" wp14:anchorId="40650D51" wp14:editId="14C893BE">
            <wp:simplePos x="0" y="0"/>
            <wp:positionH relativeFrom="margin">
              <wp:align>center</wp:align>
            </wp:positionH>
            <wp:positionV relativeFrom="paragraph">
              <wp:posOffset>1191895</wp:posOffset>
            </wp:positionV>
            <wp:extent cx="5005705" cy="3248025"/>
            <wp:effectExtent l="0" t="0" r="4445" b="9525"/>
            <wp:wrapTopAndBottom/>
            <wp:docPr id="152711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1175" name=""/>
                    <pic:cNvPicPr/>
                  </pic:nvPicPr>
                  <pic:blipFill>
                    <a:blip r:embed="rId16">
                      <a:extLst>
                        <a:ext uri="{28A0092B-C50C-407E-A947-70E740481C1C}">
                          <a14:useLocalDpi xmlns:a14="http://schemas.microsoft.com/office/drawing/2010/main" val="0"/>
                        </a:ext>
                      </a:extLst>
                    </a:blip>
                    <a:stretch>
                      <a:fillRect/>
                    </a:stretch>
                  </pic:blipFill>
                  <pic:spPr>
                    <a:xfrm>
                      <a:off x="0" y="0"/>
                      <a:ext cx="5005705" cy="3248025"/>
                    </a:xfrm>
                    <a:prstGeom prst="rect">
                      <a:avLst/>
                    </a:prstGeom>
                  </pic:spPr>
                </pic:pic>
              </a:graphicData>
            </a:graphic>
            <wp14:sizeRelH relativeFrom="margin">
              <wp14:pctWidth>0</wp14:pctWidth>
            </wp14:sizeRelH>
            <wp14:sizeRelV relativeFrom="margin">
              <wp14:pctHeight>0</wp14:pctHeight>
            </wp14:sizeRelV>
          </wp:anchor>
        </w:drawing>
      </w:r>
      <w:r w:rsidR="0073341A">
        <w:rPr>
          <w:rFonts w:eastAsiaTheme="majorEastAsia" w:cstheme="minorHAnsi"/>
        </w:rPr>
        <w:t xml:space="preserve">The calculated stress </w:t>
      </w:r>
      <w:r w:rsidR="00F9468C">
        <w:rPr>
          <w:rFonts w:eastAsiaTheme="majorEastAsia" w:cstheme="minorHAnsi"/>
        </w:rPr>
        <w:t xml:space="preserve">variation in the connecting rod (seen in figure 2) pin (Figure 5) and </w:t>
      </w:r>
      <w:r w:rsidR="00053625">
        <w:rPr>
          <w:rFonts w:eastAsiaTheme="majorEastAsia" w:cstheme="minorHAnsi"/>
        </w:rPr>
        <w:t xml:space="preserve">conrod bolt (Figure 6). The connecting rod </w:t>
      </w:r>
      <w:r w:rsidR="00043C8C">
        <w:rPr>
          <w:rFonts w:eastAsiaTheme="majorEastAsia" w:cstheme="minorHAnsi"/>
        </w:rPr>
        <w:t xml:space="preserve">experiences the higher magnitude of the stress compared to the </w:t>
      </w:r>
      <w:r w:rsidR="00AD5AD8">
        <w:rPr>
          <w:rFonts w:eastAsiaTheme="majorEastAsia" w:cstheme="minorHAnsi"/>
        </w:rPr>
        <w:t xml:space="preserve">Gudgeon </w:t>
      </w:r>
      <w:r w:rsidR="006D25E8">
        <w:rPr>
          <w:rFonts w:eastAsiaTheme="majorEastAsia" w:cstheme="minorHAnsi"/>
        </w:rPr>
        <w:t>pin</w:t>
      </w:r>
      <w:sdt>
        <w:sdtPr>
          <w:rPr>
            <w:rFonts w:eastAsiaTheme="majorEastAsia" w:cstheme="minorHAnsi"/>
          </w:rPr>
          <w:id w:val="-575828034"/>
          <w:citation/>
        </w:sdtPr>
        <w:sdtEndPr/>
        <w:sdtContent>
          <w:r w:rsidR="001D21CD">
            <w:rPr>
              <w:rFonts w:eastAsiaTheme="majorEastAsia" w:cstheme="minorHAnsi"/>
            </w:rPr>
            <w:fldChar w:fldCharType="begin"/>
          </w:r>
          <w:r w:rsidR="001D21CD">
            <w:rPr>
              <w:rFonts w:eastAsiaTheme="majorEastAsia" w:cstheme="minorHAnsi"/>
            </w:rPr>
            <w:instrText xml:space="preserve"> CITATION Wil14 \l 2057 </w:instrText>
          </w:r>
          <w:r w:rsidR="001D21CD">
            <w:rPr>
              <w:rFonts w:eastAsiaTheme="majorEastAsia" w:cstheme="minorHAnsi"/>
            </w:rPr>
            <w:fldChar w:fldCharType="separate"/>
          </w:r>
          <w:r w:rsidR="00F23937">
            <w:rPr>
              <w:rFonts w:eastAsiaTheme="majorEastAsia" w:cstheme="minorHAnsi"/>
              <w:noProof/>
            </w:rPr>
            <w:t xml:space="preserve"> </w:t>
          </w:r>
          <w:r w:rsidR="00F23937" w:rsidRPr="00F23937">
            <w:rPr>
              <w:rFonts w:eastAsiaTheme="majorEastAsia" w:cstheme="minorHAnsi"/>
              <w:noProof/>
            </w:rPr>
            <w:t>(Pulkrabek, 2014)</w:t>
          </w:r>
          <w:r w:rsidR="001D21CD">
            <w:rPr>
              <w:rFonts w:eastAsiaTheme="majorEastAsia" w:cstheme="minorHAnsi"/>
            </w:rPr>
            <w:fldChar w:fldCharType="end"/>
          </w:r>
        </w:sdtContent>
      </w:sdt>
      <w:r w:rsidR="006D25E8">
        <w:rPr>
          <w:rFonts w:eastAsiaTheme="majorEastAsia" w:cstheme="minorHAnsi"/>
        </w:rPr>
        <w:t>;</w:t>
      </w:r>
      <w:r w:rsidR="00AD5AD8">
        <w:rPr>
          <w:rFonts w:eastAsiaTheme="majorEastAsia" w:cstheme="minorHAnsi"/>
        </w:rPr>
        <w:t xml:space="preserve"> this can be attributed to the stress exhibiting a direct </w:t>
      </w:r>
      <w:r w:rsidR="005013E8">
        <w:rPr>
          <w:rFonts w:eastAsiaTheme="majorEastAsia" w:cstheme="minorHAnsi"/>
        </w:rPr>
        <w:t xml:space="preserve">load path between the </w:t>
      </w:r>
      <w:r w:rsidR="006B3D1C">
        <w:rPr>
          <w:rFonts w:eastAsiaTheme="majorEastAsia" w:cstheme="minorHAnsi"/>
        </w:rPr>
        <w:t>piston</w:t>
      </w:r>
      <w:r w:rsidR="005013E8">
        <w:rPr>
          <w:rFonts w:eastAsiaTheme="majorEastAsia" w:cstheme="minorHAnsi"/>
        </w:rPr>
        <w:t xml:space="preserve"> and the crankshaft. The stress profiles all follow the same trend </w:t>
      </w:r>
      <w:r w:rsidR="006B3D1C">
        <w:rPr>
          <w:rFonts w:eastAsiaTheme="majorEastAsia" w:cstheme="minorHAnsi"/>
        </w:rPr>
        <w:t>due</w:t>
      </w:r>
      <w:r w:rsidR="005013E8">
        <w:rPr>
          <w:rFonts w:eastAsiaTheme="majorEastAsia" w:cstheme="minorHAnsi"/>
        </w:rPr>
        <w:t xml:space="preserve"> to the nature of the cyclic loading </w:t>
      </w:r>
      <w:r w:rsidR="00DE2D66">
        <w:rPr>
          <w:rFonts w:eastAsiaTheme="majorEastAsia" w:cstheme="minorHAnsi"/>
        </w:rPr>
        <w:t xml:space="preserve">with significant compressive stress during the combustion phase and </w:t>
      </w:r>
      <w:r w:rsidR="000D491F">
        <w:rPr>
          <w:rFonts w:eastAsiaTheme="majorEastAsia" w:cstheme="minorHAnsi"/>
        </w:rPr>
        <w:t xml:space="preserve">tensile stress during the high-speed inertial phases. </w:t>
      </w:r>
    </w:p>
    <w:p w14:paraId="44EA9EE8" w14:textId="77777777" w:rsidR="00BD5633" w:rsidRPr="007340D0" w:rsidRDefault="00BD5633" w:rsidP="007340D0">
      <w:pPr>
        <w:tabs>
          <w:tab w:val="left" w:pos="1560"/>
        </w:tabs>
        <w:rPr>
          <w:rFonts w:eastAsiaTheme="majorEastAsia" w:cstheme="minorHAnsi"/>
        </w:rPr>
      </w:pPr>
    </w:p>
    <w:p w14:paraId="72D42FF8" w14:textId="44AE406F" w:rsidR="007340D0" w:rsidRPr="007340D0" w:rsidRDefault="005B26D8" w:rsidP="00B57429">
      <w:pPr>
        <w:pStyle w:val="Heading2"/>
        <w:numPr>
          <w:ilvl w:val="0"/>
          <w:numId w:val="0"/>
        </w:numPr>
        <w:ind w:left="576" w:hanging="576"/>
      </w:pPr>
      <w:bookmarkStart w:id="45" w:name="_Toc216266670"/>
      <w:bookmarkStart w:id="46" w:name="_Toc225003690"/>
      <w:r>
        <w:lastRenderedPageBreak/>
        <w:t>3</w:t>
      </w:r>
      <w:r w:rsidR="007340D0" w:rsidRPr="007340D0">
        <w:t xml:space="preserve">.3 </w:t>
      </w:r>
      <w:bookmarkEnd w:id="45"/>
      <w:r w:rsidR="002E4894">
        <w:t>Fatigue Analysis</w:t>
      </w:r>
      <w:bookmarkEnd w:id="46"/>
    </w:p>
    <w:p w14:paraId="5248CB3A" w14:textId="54550F7C" w:rsidR="006D25E8" w:rsidRDefault="00AC0D88" w:rsidP="007340D0">
      <w:pPr>
        <w:tabs>
          <w:tab w:val="left" w:pos="1560"/>
        </w:tabs>
        <w:rPr>
          <w:rFonts w:eastAsiaTheme="majorEastAsia" w:cstheme="minorHAnsi"/>
        </w:rPr>
      </w:pPr>
      <w:r>
        <w:rPr>
          <w:noProof/>
        </w:rPr>
        <w:drawing>
          <wp:anchor distT="0" distB="0" distL="114300" distR="114300" simplePos="0" relativeHeight="251624448" behindDoc="0" locked="0" layoutInCell="1" allowOverlap="1" wp14:anchorId="7296E376" wp14:editId="79DFF6C8">
            <wp:simplePos x="0" y="0"/>
            <wp:positionH relativeFrom="margin">
              <wp:align>center</wp:align>
            </wp:positionH>
            <wp:positionV relativeFrom="paragraph">
              <wp:posOffset>801370</wp:posOffset>
            </wp:positionV>
            <wp:extent cx="4594225" cy="3095625"/>
            <wp:effectExtent l="0" t="0" r="0" b="9525"/>
            <wp:wrapTopAndBottom/>
            <wp:docPr id="105701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16287" name=""/>
                    <pic:cNvPicPr/>
                  </pic:nvPicPr>
                  <pic:blipFill>
                    <a:blip r:embed="rId17">
                      <a:extLst>
                        <a:ext uri="{28A0092B-C50C-407E-A947-70E740481C1C}">
                          <a14:useLocalDpi xmlns:a14="http://schemas.microsoft.com/office/drawing/2010/main" val="0"/>
                        </a:ext>
                      </a:extLst>
                    </a:blip>
                    <a:stretch>
                      <a:fillRect/>
                    </a:stretch>
                  </pic:blipFill>
                  <pic:spPr>
                    <a:xfrm>
                      <a:off x="0" y="0"/>
                      <a:ext cx="4594225" cy="3095625"/>
                    </a:xfrm>
                    <a:prstGeom prst="rect">
                      <a:avLst/>
                    </a:prstGeom>
                  </pic:spPr>
                </pic:pic>
              </a:graphicData>
            </a:graphic>
            <wp14:sizeRelH relativeFrom="margin">
              <wp14:pctWidth>0</wp14:pctWidth>
            </wp14:sizeRelH>
            <wp14:sizeRelV relativeFrom="margin">
              <wp14:pctHeight>0</wp14:pctHeight>
            </wp14:sizeRelV>
          </wp:anchor>
        </w:drawing>
      </w:r>
      <w:r w:rsidR="006D25E8">
        <w:rPr>
          <w:rFonts w:eastAsiaTheme="majorEastAsia" w:cstheme="minorHAnsi"/>
        </w:rPr>
        <w:t xml:space="preserve">The fatigue safety factors for each component were calculated using the </w:t>
      </w:r>
      <w:r w:rsidR="002F1862">
        <w:rPr>
          <w:rFonts w:eastAsiaTheme="majorEastAsia" w:cstheme="minorHAnsi"/>
        </w:rPr>
        <w:t>Goodman theory, with results</w:t>
      </w:r>
      <w:r w:rsidR="0060675A">
        <w:rPr>
          <w:rFonts w:eastAsiaTheme="majorEastAsia" w:cstheme="minorHAnsi"/>
        </w:rPr>
        <w:t xml:space="preserve"> for the conrod</w:t>
      </w:r>
      <w:r w:rsidR="002F1862">
        <w:rPr>
          <w:rFonts w:eastAsiaTheme="majorEastAsia" w:cstheme="minorHAnsi"/>
        </w:rPr>
        <w:t xml:space="preserve"> summarised in figure 7 below</w:t>
      </w:r>
      <w:r w:rsidR="00081EF7">
        <w:rPr>
          <w:rFonts w:eastAsiaTheme="majorEastAsia" w:cstheme="minorHAnsi"/>
        </w:rPr>
        <w:t xml:space="preserve">. The </w:t>
      </w:r>
      <w:r w:rsidR="00782F9D">
        <w:rPr>
          <w:rFonts w:eastAsiaTheme="majorEastAsia" w:cstheme="minorHAnsi"/>
        </w:rPr>
        <w:t xml:space="preserve">connecting rod and Gudgeon pin have </w:t>
      </w:r>
      <w:r w:rsidR="0060675A">
        <w:rPr>
          <w:rFonts w:eastAsiaTheme="majorEastAsia" w:cstheme="minorHAnsi"/>
        </w:rPr>
        <w:t>relatively</w:t>
      </w:r>
      <w:r w:rsidR="00782F9D">
        <w:rPr>
          <w:rFonts w:eastAsiaTheme="majorEastAsia" w:cstheme="minorHAnsi"/>
        </w:rPr>
        <w:t xml:space="preserve"> </w:t>
      </w:r>
      <w:r w:rsidR="0060675A">
        <w:rPr>
          <w:rFonts w:eastAsiaTheme="majorEastAsia" w:cstheme="minorHAnsi"/>
        </w:rPr>
        <w:t>high</w:t>
      </w:r>
      <w:r w:rsidR="00782F9D">
        <w:rPr>
          <w:rFonts w:eastAsiaTheme="majorEastAsia" w:cstheme="minorHAnsi"/>
        </w:rPr>
        <w:t xml:space="preserve"> safety factors indi</w:t>
      </w:r>
      <w:r w:rsidR="0060675A">
        <w:rPr>
          <w:rFonts w:eastAsiaTheme="majorEastAsia" w:cstheme="minorHAnsi"/>
        </w:rPr>
        <w:t xml:space="preserve">cating that they are not likely to fail under normal loading conditions. </w:t>
      </w:r>
    </w:p>
    <w:p w14:paraId="6FA78F95" w14:textId="7F6AF776" w:rsidR="0012151B" w:rsidRDefault="00AC0D88" w:rsidP="007340D0">
      <w:pPr>
        <w:tabs>
          <w:tab w:val="left" w:pos="1560"/>
        </w:tabs>
        <w:rPr>
          <w:rFonts w:eastAsiaTheme="majorEastAsia" w:cstheme="minorHAnsi"/>
        </w:rPr>
      </w:pPr>
      <w:r>
        <w:rPr>
          <w:noProof/>
        </w:rPr>
        <mc:AlternateContent>
          <mc:Choice Requires="wps">
            <w:drawing>
              <wp:anchor distT="0" distB="0" distL="114300" distR="114300" simplePos="0" relativeHeight="251629568" behindDoc="0" locked="0" layoutInCell="1" allowOverlap="1" wp14:anchorId="45EBF7E8" wp14:editId="05A7E874">
                <wp:simplePos x="0" y="0"/>
                <wp:positionH relativeFrom="margin">
                  <wp:align>right</wp:align>
                </wp:positionH>
                <wp:positionV relativeFrom="paragraph">
                  <wp:posOffset>3387090</wp:posOffset>
                </wp:positionV>
                <wp:extent cx="5731510" cy="635"/>
                <wp:effectExtent l="0" t="0" r="2540" b="0"/>
                <wp:wrapTopAndBottom/>
                <wp:docPr id="18331629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CCCCA7" w14:textId="6E6F5BF6" w:rsidR="0012151B" w:rsidRPr="008A14D8" w:rsidRDefault="0012151B" w:rsidP="0012151B">
                            <w:pPr>
                              <w:pStyle w:val="Caption"/>
                              <w:jc w:val="center"/>
                              <w:rPr>
                                <w:noProof/>
                                <w:sz w:val="22"/>
                                <w:szCs w:val="22"/>
                              </w:rPr>
                            </w:pPr>
                            <w:bookmarkStart w:id="47" w:name="_Toc225094239"/>
                            <w:bookmarkStart w:id="48" w:name="_Toc225107116"/>
                            <w:r>
                              <w:t xml:space="preserve">Figure </w:t>
                            </w:r>
                            <w:r>
                              <w:fldChar w:fldCharType="begin"/>
                            </w:r>
                            <w:r>
                              <w:instrText xml:space="preserve"> SEQ Figure \* ARABIC </w:instrText>
                            </w:r>
                            <w:r>
                              <w:fldChar w:fldCharType="separate"/>
                            </w:r>
                            <w:r w:rsidR="00DA3E67">
                              <w:rPr>
                                <w:noProof/>
                              </w:rPr>
                              <w:t>7</w:t>
                            </w:r>
                            <w:r>
                              <w:fldChar w:fldCharType="end"/>
                            </w:r>
                            <w:r>
                              <w:t xml:space="preserve"> shots the safety factors visualised over the rpm ranges.</w:t>
                            </w:r>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BF7E8" id="_x0000_s1029" type="#_x0000_t202" style="position:absolute;margin-left:400.1pt;margin-top:266.7pt;width:451.3pt;height:.05pt;z-index:2516295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" stroked="f">
                <v:textbox style="mso-fit-shape-to-text:t" inset="0,0,0,0">
                  <w:txbxContent>
                    <w:p w14:paraId="7FCCCCA7" w14:textId="6E6F5BF6" w:rsidR="0012151B" w:rsidRPr="008A14D8" w:rsidRDefault="0012151B" w:rsidP="0012151B">
                      <w:pPr>
                        <w:pStyle w:val="Caption"/>
                        <w:jc w:val="center"/>
                        <w:rPr>
                          <w:noProof/>
                          <w:sz w:val="22"/>
                          <w:szCs w:val="22"/>
                        </w:rPr>
                      </w:pPr>
                      <w:bookmarkStart w:id="49" w:name="_Toc225094239"/>
                      <w:bookmarkStart w:id="50" w:name="_Toc225107116"/>
                      <w:r>
                        <w:t xml:space="preserve">Figure </w:t>
                      </w:r>
                      <w:r>
                        <w:fldChar w:fldCharType="begin"/>
                      </w:r>
                      <w:r>
                        <w:instrText xml:space="preserve"> SEQ Figure \* ARABIC </w:instrText>
                      </w:r>
                      <w:r>
                        <w:fldChar w:fldCharType="separate"/>
                      </w:r>
                      <w:r w:rsidR="00DA3E67">
                        <w:rPr>
                          <w:noProof/>
                        </w:rPr>
                        <w:t>7</w:t>
                      </w:r>
                      <w:r>
                        <w:fldChar w:fldCharType="end"/>
                      </w:r>
                      <w:r>
                        <w:t xml:space="preserve"> shots the safety factors visualised over the rpm ranges.</w:t>
                      </w:r>
                      <w:bookmarkEnd w:id="49"/>
                      <w:bookmarkEnd w:id="50"/>
                    </w:p>
                  </w:txbxContent>
                </v:textbox>
                <w10:wrap type="topAndBottom" anchorx="margin"/>
              </v:shape>
            </w:pict>
          </mc:Fallback>
        </mc:AlternateContent>
      </w:r>
    </w:p>
    <w:p w14:paraId="7A6DE4DF" w14:textId="36AE3E6B" w:rsidR="002E4894" w:rsidRDefault="00AC0D88" w:rsidP="007340D0">
      <w:pPr>
        <w:tabs>
          <w:tab w:val="left" w:pos="1560"/>
        </w:tabs>
        <w:rPr>
          <w:rFonts w:eastAsiaTheme="majorEastAsia" w:cstheme="minorHAnsi"/>
        </w:rPr>
      </w:pPr>
      <w:r>
        <w:rPr>
          <w:noProof/>
        </w:rPr>
        <mc:AlternateContent>
          <mc:Choice Requires="wps">
            <w:drawing>
              <wp:anchor distT="0" distB="0" distL="114300" distR="114300" simplePos="0" relativeHeight="251673600" behindDoc="0" locked="0" layoutInCell="1" allowOverlap="1" wp14:anchorId="559D6869" wp14:editId="4234A7CF">
                <wp:simplePos x="0" y="0"/>
                <wp:positionH relativeFrom="column">
                  <wp:posOffset>646430</wp:posOffset>
                </wp:positionH>
                <wp:positionV relativeFrom="paragraph">
                  <wp:posOffset>3566795</wp:posOffset>
                </wp:positionV>
                <wp:extent cx="4438650" cy="635"/>
                <wp:effectExtent l="0" t="0" r="0" b="0"/>
                <wp:wrapTopAndBottom/>
                <wp:docPr id="2005593699" name="Text Box 1"/>
                <wp:cNvGraphicFramePr/>
                <a:graphic xmlns:a="http://schemas.openxmlformats.org/drawingml/2006/main">
                  <a:graphicData uri="http://schemas.microsoft.com/office/word/2010/wordprocessingShape">
                    <wps:wsp>
                      <wps:cNvSpPr txBox="1"/>
                      <wps:spPr>
                        <a:xfrm>
                          <a:off x="0" y="0"/>
                          <a:ext cx="4438650" cy="635"/>
                        </a:xfrm>
                        <a:prstGeom prst="rect">
                          <a:avLst/>
                        </a:prstGeom>
                        <a:solidFill>
                          <a:prstClr val="white"/>
                        </a:solidFill>
                        <a:ln>
                          <a:noFill/>
                        </a:ln>
                      </wps:spPr>
                      <wps:txbx>
                        <w:txbxContent>
                          <w:p w14:paraId="5603F1FA" w14:textId="20811D44" w:rsidR="00AC0D88" w:rsidRPr="004E2A9E" w:rsidRDefault="00AC0D88" w:rsidP="00AC0D88">
                            <w:pPr>
                              <w:pStyle w:val="Caption"/>
                              <w:jc w:val="center"/>
                              <w:rPr>
                                <w:sz w:val="22"/>
                                <w:szCs w:val="22"/>
                              </w:rPr>
                            </w:pPr>
                            <w:bookmarkStart w:id="51" w:name="_Toc225094240"/>
                            <w:bookmarkStart w:id="52" w:name="_Toc225107117"/>
                            <w:r>
                              <w:t xml:space="preserve">Figure </w:t>
                            </w:r>
                            <w:r>
                              <w:fldChar w:fldCharType="begin"/>
                            </w:r>
                            <w:r>
                              <w:instrText xml:space="preserve"> SEQ Figure \* ARABIC </w:instrText>
                            </w:r>
                            <w:r>
                              <w:fldChar w:fldCharType="separate"/>
                            </w:r>
                            <w:r w:rsidR="00DA3E67">
                              <w:rPr>
                                <w:noProof/>
                              </w:rPr>
                              <w:t>8</w:t>
                            </w:r>
                            <w:r>
                              <w:fldChar w:fldCharType="end"/>
                            </w:r>
                            <w:r>
                              <w:t xml:space="preserve"> shows the FS factor for the conrod bolt over the crank angle for each rpm range.</w:t>
                            </w:r>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9D6869" id="_x0000_s1030" type="#_x0000_t202" style="position:absolute;margin-left:50.9pt;margin-top:280.85pt;width:34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" stroked="f">
                <v:textbox style="mso-fit-shape-to-text:t" inset="0,0,0,0">
                  <w:txbxContent>
                    <w:p w14:paraId="5603F1FA" w14:textId="20811D44" w:rsidR="00AC0D88" w:rsidRPr="004E2A9E" w:rsidRDefault="00AC0D88" w:rsidP="00AC0D88">
                      <w:pPr>
                        <w:pStyle w:val="Caption"/>
                        <w:jc w:val="center"/>
                        <w:rPr>
                          <w:sz w:val="22"/>
                          <w:szCs w:val="22"/>
                        </w:rPr>
                      </w:pPr>
                      <w:bookmarkStart w:id="53" w:name="_Toc225094240"/>
                      <w:bookmarkStart w:id="54" w:name="_Toc225107117"/>
                      <w:r>
                        <w:t xml:space="preserve">Figure </w:t>
                      </w:r>
                      <w:r>
                        <w:fldChar w:fldCharType="begin"/>
                      </w:r>
                      <w:r>
                        <w:instrText xml:space="preserve"> SEQ Figure \* ARABIC </w:instrText>
                      </w:r>
                      <w:r>
                        <w:fldChar w:fldCharType="separate"/>
                      </w:r>
                      <w:r w:rsidR="00DA3E67">
                        <w:rPr>
                          <w:noProof/>
                        </w:rPr>
                        <w:t>8</w:t>
                      </w:r>
                      <w:r>
                        <w:fldChar w:fldCharType="end"/>
                      </w:r>
                      <w:r>
                        <w:t xml:space="preserve"> shows the FS factor for the conrod bolt over the crank angle for each rpm range.</w:t>
                      </w:r>
                      <w:bookmarkEnd w:id="53"/>
                      <w:bookmarkEnd w:id="54"/>
                    </w:p>
                  </w:txbxContent>
                </v:textbox>
                <w10:wrap type="topAndBottom"/>
              </v:shape>
            </w:pict>
          </mc:Fallback>
        </mc:AlternateContent>
      </w:r>
      <w:r w:rsidRPr="00AC0D88">
        <w:rPr>
          <w:noProof/>
        </w:rPr>
        <w:drawing>
          <wp:anchor distT="0" distB="0" distL="114300" distR="114300" simplePos="0" relativeHeight="251636736" behindDoc="0" locked="0" layoutInCell="1" allowOverlap="1" wp14:anchorId="53019142" wp14:editId="4EDC6DD7">
            <wp:simplePos x="0" y="0"/>
            <wp:positionH relativeFrom="margin">
              <wp:align>center</wp:align>
            </wp:positionH>
            <wp:positionV relativeFrom="paragraph">
              <wp:posOffset>534035</wp:posOffset>
            </wp:positionV>
            <wp:extent cx="4438650" cy="2975610"/>
            <wp:effectExtent l="0" t="0" r="0" b="0"/>
            <wp:wrapTopAndBottom/>
            <wp:docPr id="447972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972761" name=""/>
                    <pic:cNvPicPr/>
                  </pic:nvPicPr>
                  <pic:blipFill>
                    <a:blip r:embed="rId18">
                      <a:extLst>
                        <a:ext uri="{28A0092B-C50C-407E-A947-70E740481C1C}">
                          <a14:useLocalDpi xmlns:a14="http://schemas.microsoft.com/office/drawing/2010/main" val="0"/>
                        </a:ext>
                      </a:extLst>
                    </a:blip>
                    <a:stretch>
                      <a:fillRect/>
                    </a:stretch>
                  </pic:blipFill>
                  <pic:spPr>
                    <a:xfrm>
                      <a:off x="0" y="0"/>
                      <a:ext cx="4438650" cy="2975610"/>
                    </a:xfrm>
                    <a:prstGeom prst="rect">
                      <a:avLst/>
                    </a:prstGeom>
                  </pic:spPr>
                </pic:pic>
              </a:graphicData>
            </a:graphic>
            <wp14:sizeRelH relativeFrom="margin">
              <wp14:pctWidth>0</wp14:pctWidth>
            </wp14:sizeRelH>
            <wp14:sizeRelV relativeFrom="margin">
              <wp14:pctHeight>0</wp14:pctHeight>
            </wp14:sizeRelV>
          </wp:anchor>
        </w:drawing>
      </w:r>
    </w:p>
    <w:p w14:paraId="35A3C04B" w14:textId="4D4B4A03" w:rsidR="0012151B" w:rsidRDefault="0012151B" w:rsidP="007340D0">
      <w:pPr>
        <w:tabs>
          <w:tab w:val="left" w:pos="1560"/>
        </w:tabs>
        <w:rPr>
          <w:rFonts w:eastAsiaTheme="majorEastAsia" w:cstheme="minorHAnsi"/>
        </w:rPr>
      </w:pPr>
    </w:p>
    <w:p w14:paraId="44AF6527" w14:textId="77777777" w:rsidR="0012151B" w:rsidRDefault="0012151B" w:rsidP="007340D0">
      <w:pPr>
        <w:tabs>
          <w:tab w:val="left" w:pos="1560"/>
        </w:tabs>
        <w:rPr>
          <w:rFonts w:eastAsiaTheme="majorEastAsia" w:cstheme="minorHAnsi"/>
        </w:rPr>
      </w:pPr>
    </w:p>
    <w:p w14:paraId="350A8E31" w14:textId="1C4EF681" w:rsidR="0012151B" w:rsidRDefault="008B0B51" w:rsidP="007340D0">
      <w:pPr>
        <w:tabs>
          <w:tab w:val="left" w:pos="1560"/>
        </w:tabs>
        <w:rPr>
          <w:rFonts w:eastAsiaTheme="majorEastAsia" w:cstheme="minorHAnsi"/>
        </w:rPr>
      </w:pPr>
      <w:r>
        <w:rPr>
          <w:noProof/>
        </w:rPr>
        <w:lastRenderedPageBreak/>
        <mc:AlternateContent>
          <mc:Choice Requires="wps">
            <w:drawing>
              <wp:anchor distT="0" distB="0" distL="114300" distR="114300" simplePos="0" relativeHeight="251642880" behindDoc="0" locked="0" layoutInCell="1" allowOverlap="1" wp14:anchorId="560C2D43" wp14:editId="0C57D74A">
                <wp:simplePos x="0" y="0"/>
                <wp:positionH relativeFrom="margin">
                  <wp:align>center</wp:align>
                </wp:positionH>
                <wp:positionV relativeFrom="paragraph">
                  <wp:posOffset>3105150</wp:posOffset>
                </wp:positionV>
                <wp:extent cx="4867910" cy="635"/>
                <wp:effectExtent l="0" t="0" r="8890" b="0"/>
                <wp:wrapTopAndBottom/>
                <wp:docPr id="1772970925" name="Text Box 1"/>
                <wp:cNvGraphicFramePr/>
                <a:graphic xmlns:a="http://schemas.openxmlformats.org/drawingml/2006/main">
                  <a:graphicData uri="http://schemas.microsoft.com/office/word/2010/wordprocessingShape">
                    <wps:wsp>
                      <wps:cNvSpPr txBox="1"/>
                      <wps:spPr>
                        <a:xfrm>
                          <a:off x="0" y="0"/>
                          <a:ext cx="4867910" cy="635"/>
                        </a:xfrm>
                        <a:prstGeom prst="rect">
                          <a:avLst/>
                        </a:prstGeom>
                        <a:solidFill>
                          <a:prstClr val="white"/>
                        </a:solidFill>
                        <a:ln>
                          <a:noFill/>
                        </a:ln>
                      </wps:spPr>
                      <wps:txbx>
                        <w:txbxContent>
                          <w:p w14:paraId="217C4368" w14:textId="10FE1C28" w:rsidR="009A3030" w:rsidRPr="00EB7617" w:rsidRDefault="009A3030" w:rsidP="009A3030">
                            <w:pPr>
                              <w:pStyle w:val="Caption"/>
                              <w:jc w:val="center"/>
                              <w:rPr>
                                <w:sz w:val="22"/>
                                <w:szCs w:val="22"/>
                              </w:rPr>
                            </w:pPr>
                            <w:bookmarkStart w:id="55" w:name="_Toc225094241"/>
                            <w:bookmarkStart w:id="56" w:name="_Toc225107118"/>
                            <w:r>
                              <w:t xml:space="preserve">Figure </w:t>
                            </w:r>
                            <w:r>
                              <w:fldChar w:fldCharType="begin"/>
                            </w:r>
                            <w:r>
                              <w:instrText xml:space="preserve"> SEQ Figure \* ARABIC </w:instrText>
                            </w:r>
                            <w:r>
                              <w:fldChar w:fldCharType="separate"/>
                            </w:r>
                            <w:r w:rsidR="00DA3E67">
                              <w:rPr>
                                <w:noProof/>
                              </w:rPr>
                              <w:t>9</w:t>
                            </w:r>
                            <w:r>
                              <w:fldChar w:fldCharType="end"/>
                            </w:r>
                            <w:r w:rsidR="008B0B51">
                              <w:t xml:space="preserve"> </w:t>
                            </w:r>
                            <w:r>
                              <w:t>shows the conrod fatigue safety factor against crank angle for each rpm range.</w:t>
                            </w:r>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C2D43" id="_x0000_s1031" type="#_x0000_t202" style="position:absolute;margin-left:0;margin-top:244.5pt;width:383.3pt;height:.05pt;z-index:2516428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" stroked="f">
                <v:textbox style="mso-fit-shape-to-text:t" inset="0,0,0,0">
                  <w:txbxContent>
                    <w:p w14:paraId="217C4368" w14:textId="10FE1C28" w:rsidR="009A3030" w:rsidRPr="00EB7617" w:rsidRDefault="009A3030" w:rsidP="009A3030">
                      <w:pPr>
                        <w:pStyle w:val="Caption"/>
                        <w:jc w:val="center"/>
                        <w:rPr>
                          <w:sz w:val="22"/>
                          <w:szCs w:val="22"/>
                        </w:rPr>
                      </w:pPr>
                      <w:bookmarkStart w:id="57" w:name="_Toc225094241"/>
                      <w:bookmarkStart w:id="58" w:name="_Toc225107118"/>
                      <w:r>
                        <w:t xml:space="preserve">Figure </w:t>
                      </w:r>
                      <w:r>
                        <w:fldChar w:fldCharType="begin"/>
                      </w:r>
                      <w:r>
                        <w:instrText xml:space="preserve"> SEQ Figure \* ARABIC </w:instrText>
                      </w:r>
                      <w:r>
                        <w:fldChar w:fldCharType="separate"/>
                      </w:r>
                      <w:r w:rsidR="00DA3E67">
                        <w:rPr>
                          <w:noProof/>
                        </w:rPr>
                        <w:t>9</w:t>
                      </w:r>
                      <w:r>
                        <w:fldChar w:fldCharType="end"/>
                      </w:r>
                      <w:r w:rsidR="008B0B51">
                        <w:t xml:space="preserve"> </w:t>
                      </w:r>
                      <w:r>
                        <w:t>shows the conrod fatigue safety factor against crank angle for each rpm range.</w:t>
                      </w:r>
                      <w:bookmarkEnd w:id="57"/>
                      <w:bookmarkEnd w:id="58"/>
                    </w:p>
                  </w:txbxContent>
                </v:textbox>
                <w10:wrap type="topAndBottom" anchorx="margin"/>
              </v:shape>
            </w:pict>
          </mc:Fallback>
        </mc:AlternateContent>
      </w:r>
      <w:r w:rsidRPr="009A3030">
        <w:rPr>
          <w:noProof/>
        </w:rPr>
        <w:drawing>
          <wp:anchor distT="0" distB="0" distL="114300" distR="114300" simplePos="0" relativeHeight="251640832" behindDoc="0" locked="0" layoutInCell="1" allowOverlap="1" wp14:anchorId="40E32A00" wp14:editId="22B7B506">
            <wp:simplePos x="0" y="0"/>
            <wp:positionH relativeFrom="margin">
              <wp:align>center</wp:align>
            </wp:positionH>
            <wp:positionV relativeFrom="paragraph">
              <wp:posOffset>0</wp:posOffset>
            </wp:positionV>
            <wp:extent cx="4387850" cy="2962275"/>
            <wp:effectExtent l="0" t="0" r="0" b="9525"/>
            <wp:wrapTopAndBottom/>
            <wp:docPr id="98691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13924" name=""/>
                    <pic:cNvPicPr/>
                  </pic:nvPicPr>
                  <pic:blipFill>
                    <a:blip r:embed="rId19">
                      <a:extLst>
                        <a:ext uri="{28A0092B-C50C-407E-A947-70E740481C1C}">
                          <a14:useLocalDpi xmlns:a14="http://schemas.microsoft.com/office/drawing/2010/main" val="0"/>
                        </a:ext>
                      </a:extLst>
                    </a:blip>
                    <a:stretch>
                      <a:fillRect/>
                    </a:stretch>
                  </pic:blipFill>
                  <pic:spPr>
                    <a:xfrm>
                      <a:off x="0" y="0"/>
                      <a:ext cx="4387850" cy="2962275"/>
                    </a:xfrm>
                    <a:prstGeom prst="rect">
                      <a:avLst/>
                    </a:prstGeom>
                  </pic:spPr>
                </pic:pic>
              </a:graphicData>
            </a:graphic>
            <wp14:sizeRelH relativeFrom="margin">
              <wp14:pctWidth>0</wp14:pctWidth>
            </wp14:sizeRelH>
            <wp14:sizeRelV relativeFrom="margin">
              <wp14:pctHeight>0</wp14:pctHeight>
            </wp14:sizeRelV>
          </wp:anchor>
        </w:drawing>
      </w:r>
      <w:r w:rsidR="00051432">
        <w:rPr>
          <w:rFonts w:eastAsiaTheme="majorEastAsia" w:cstheme="minorHAnsi"/>
        </w:rPr>
        <w:t xml:space="preserve">As seen in the figures above, the connecting rod bolts have a lower FS value compared to the connecting rod and the Gudgeon pin, making them the critical component in this </w:t>
      </w:r>
      <w:r w:rsidR="00C91A4C">
        <w:rPr>
          <w:rFonts w:eastAsiaTheme="majorEastAsia" w:cstheme="minorHAnsi"/>
        </w:rPr>
        <w:t>assembly,</w:t>
      </w:r>
      <w:r w:rsidR="00051432">
        <w:rPr>
          <w:rFonts w:eastAsiaTheme="majorEastAsia" w:cstheme="minorHAnsi"/>
        </w:rPr>
        <w:t xml:space="preserve"> </w:t>
      </w:r>
      <w:r w:rsidR="009F4A77">
        <w:rPr>
          <w:rFonts w:eastAsiaTheme="majorEastAsia" w:cstheme="minorHAnsi"/>
        </w:rPr>
        <w:t>primarily</w:t>
      </w:r>
      <w:r w:rsidR="00051432">
        <w:rPr>
          <w:rFonts w:eastAsiaTheme="majorEastAsia" w:cstheme="minorHAnsi"/>
        </w:rPr>
        <w:t xml:space="preserve"> due to the high </w:t>
      </w:r>
      <w:r w:rsidR="00F421EF">
        <w:rPr>
          <w:rFonts w:eastAsiaTheme="majorEastAsia" w:cstheme="minorHAnsi"/>
        </w:rPr>
        <w:t>mean stress from the preload and additional fluctuating stresses. The presence of high mean stresses on this component</w:t>
      </w:r>
      <w:r w:rsidR="00C91A4C">
        <w:rPr>
          <w:rFonts w:eastAsiaTheme="majorEastAsia" w:cstheme="minorHAnsi"/>
        </w:rPr>
        <w:t xml:space="preserve"> significantly reduces fatigue life according to goodman’s theory</w:t>
      </w:r>
      <w:sdt>
        <w:sdtPr>
          <w:rPr>
            <w:rFonts w:eastAsiaTheme="majorEastAsia" w:cstheme="minorHAnsi"/>
          </w:rPr>
          <w:id w:val="-1424956560"/>
          <w:citation/>
        </w:sdtPr>
        <w:sdtEndPr/>
        <w:sdtContent>
          <w:r w:rsidR="009F65B2">
            <w:rPr>
              <w:rFonts w:eastAsiaTheme="majorEastAsia" w:cstheme="minorHAnsi"/>
            </w:rPr>
            <w:fldChar w:fldCharType="begin"/>
          </w:r>
          <w:r w:rsidR="009F65B2">
            <w:rPr>
              <w:rFonts w:eastAsiaTheme="majorEastAsia" w:cstheme="minorHAnsi"/>
            </w:rPr>
            <w:instrText xml:space="preserve"> CITATION AWe11 \l 2057 </w:instrText>
          </w:r>
          <w:r w:rsidR="009F65B2">
            <w:rPr>
              <w:rFonts w:eastAsiaTheme="majorEastAsia" w:cstheme="minorHAnsi"/>
            </w:rPr>
            <w:fldChar w:fldCharType="separate"/>
          </w:r>
          <w:r w:rsidR="00F23937">
            <w:rPr>
              <w:rFonts w:eastAsiaTheme="majorEastAsia" w:cstheme="minorHAnsi"/>
              <w:noProof/>
            </w:rPr>
            <w:t xml:space="preserve"> </w:t>
          </w:r>
          <w:r w:rsidR="00F23937" w:rsidRPr="00F23937">
            <w:rPr>
              <w:rFonts w:eastAsiaTheme="majorEastAsia" w:cstheme="minorHAnsi"/>
              <w:noProof/>
            </w:rPr>
            <w:t>(A. Weinert, 2011)</w:t>
          </w:r>
          <w:r w:rsidR="009F65B2">
            <w:rPr>
              <w:rFonts w:eastAsiaTheme="majorEastAsia" w:cstheme="minorHAnsi"/>
            </w:rPr>
            <w:fldChar w:fldCharType="end"/>
          </w:r>
        </w:sdtContent>
      </w:sdt>
      <w:r w:rsidR="00C91A4C">
        <w:rPr>
          <w:rFonts w:eastAsiaTheme="majorEastAsia" w:cstheme="minorHAnsi"/>
        </w:rPr>
        <w:t xml:space="preserve">. </w:t>
      </w:r>
    </w:p>
    <w:p w14:paraId="7007C915" w14:textId="2A8169F4" w:rsidR="005C2DA7" w:rsidRDefault="008B0B51" w:rsidP="007340D0">
      <w:pPr>
        <w:tabs>
          <w:tab w:val="left" w:pos="1560"/>
        </w:tabs>
        <w:rPr>
          <w:rFonts w:eastAsiaTheme="majorEastAsia" w:cstheme="minorHAnsi"/>
        </w:rPr>
      </w:pPr>
      <w:r>
        <w:rPr>
          <w:noProof/>
        </w:rPr>
        <mc:AlternateContent>
          <mc:Choice Requires="wps">
            <w:drawing>
              <wp:anchor distT="0" distB="0" distL="114300" distR="114300" simplePos="0" relativeHeight="251677696" behindDoc="0" locked="0" layoutInCell="1" allowOverlap="1" wp14:anchorId="62BEA0A5" wp14:editId="40C47DCA">
                <wp:simplePos x="0" y="0"/>
                <wp:positionH relativeFrom="column">
                  <wp:posOffset>614045</wp:posOffset>
                </wp:positionH>
                <wp:positionV relativeFrom="paragraph">
                  <wp:posOffset>3976370</wp:posOffset>
                </wp:positionV>
                <wp:extent cx="4503420" cy="635"/>
                <wp:effectExtent l="0" t="0" r="0" b="0"/>
                <wp:wrapTopAndBottom/>
                <wp:docPr id="1305062822" name="Text Box 1"/>
                <wp:cNvGraphicFramePr/>
                <a:graphic xmlns:a="http://schemas.openxmlformats.org/drawingml/2006/main">
                  <a:graphicData uri="http://schemas.microsoft.com/office/word/2010/wordprocessingShape">
                    <wps:wsp>
                      <wps:cNvSpPr txBox="1"/>
                      <wps:spPr>
                        <a:xfrm>
                          <a:off x="0" y="0"/>
                          <a:ext cx="4503420" cy="635"/>
                        </a:xfrm>
                        <a:prstGeom prst="rect">
                          <a:avLst/>
                        </a:prstGeom>
                        <a:solidFill>
                          <a:prstClr val="white"/>
                        </a:solidFill>
                        <a:ln>
                          <a:noFill/>
                        </a:ln>
                      </wps:spPr>
                      <wps:txbx>
                        <w:txbxContent>
                          <w:p w14:paraId="0E32AA4B" w14:textId="28D4ED4A" w:rsidR="008B0B51" w:rsidRPr="00DF5A0B" w:rsidRDefault="008B0B51" w:rsidP="008B0B51">
                            <w:pPr>
                              <w:pStyle w:val="Caption"/>
                              <w:jc w:val="center"/>
                              <w:rPr>
                                <w:sz w:val="22"/>
                                <w:szCs w:val="22"/>
                              </w:rPr>
                            </w:pPr>
                            <w:bookmarkStart w:id="59" w:name="_Toc225094242"/>
                            <w:bookmarkStart w:id="60" w:name="_Toc225107119"/>
                            <w:r>
                              <w:t xml:space="preserve">Figure </w:t>
                            </w:r>
                            <w:r>
                              <w:fldChar w:fldCharType="begin"/>
                            </w:r>
                            <w:r>
                              <w:instrText xml:space="preserve"> SEQ Figure \* ARABIC </w:instrText>
                            </w:r>
                            <w:r>
                              <w:fldChar w:fldCharType="separate"/>
                            </w:r>
                            <w:r w:rsidR="00DA3E67">
                              <w:rPr>
                                <w:noProof/>
                              </w:rPr>
                              <w:t>10</w:t>
                            </w:r>
                            <w:r>
                              <w:fldChar w:fldCharType="end"/>
                            </w:r>
                            <w:r>
                              <w:t xml:space="preserve"> shows the goodman diagram for the Conrod.</w:t>
                            </w:r>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BEA0A5" id="_x0000_s1032" type="#_x0000_t202" style="position:absolute;margin-left:48.35pt;margin-top:313.1pt;width:354.6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" stroked="f">
                <v:textbox style="mso-fit-shape-to-text:t" inset="0,0,0,0">
                  <w:txbxContent>
                    <w:p w14:paraId="0E32AA4B" w14:textId="28D4ED4A" w:rsidR="008B0B51" w:rsidRPr="00DF5A0B" w:rsidRDefault="008B0B51" w:rsidP="008B0B51">
                      <w:pPr>
                        <w:pStyle w:val="Caption"/>
                        <w:jc w:val="center"/>
                        <w:rPr>
                          <w:sz w:val="22"/>
                          <w:szCs w:val="22"/>
                        </w:rPr>
                      </w:pPr>
                      <w:bookmarkStart w:id="61" w:name="_Toc225094242"/>
                      <w:bookmarkStart w:id="62" w:name="_Toc225107119"/>
                      <w:r>
                        <w:t xml:space="preserve">Figure </w:t>
                      </w:r>
                      <w:r>
                        <w:fldChar w:fldCharType="begin"/>
                      </w:r>
                      <w:r>
                        <w:instrText xml:space="preserve"> SEQ Figure \* ARABIC </w:instrText>
                      </w:r>
                      <w:r>
                        <w:fldChar w:fldCharType="separate"/>
                      </w:r>
                      <w:r w:rsidR="00DA3E67">
                        <w:rPr>
                          <w:noProof/>
                        </w:rPr>
                        <w:t>10</w:t>
                      </w:r>
                      <w:r>
                        <w:fldChar w:fldCharType="end"/>
                      </w:r>
                      <w:r>
                        <w:t xml:space="preserve"> shows the goodman diagram for the Conrod.</w:t>
                      </w:r>
                      <w:bookmarkEnd w:id="61"/>
                      <w:bookmarkEnd w:id="62"/>
                    </w:p>
                  </w:txbxContent>
                </v:textbox>
                <w10:wrap type="topAndBottom"/>
              </v:shape>
            </w:pict>
          </mc:Fallback>
        </mc:AlternateContent>
      </w:r>
      <w:r w:rsidRPr="008B0B51">
        <w:rPr>
          <w:noProof/>
        </w:rPr>
        <w:drawing>
          <wp:anchor distT="0" distB="0" distL="114300" distR="114300" simplePos="0" relativeHeight="251675648" behindDoc="0" locked="0" layoutInCell="1" allowOverlap="1" wp14:anchorId="63C60EA1" wp14:editId="09BE0E28">
            <wp:simplePos x="0" y="0"/>
            <wp:positionH relativeFrom="margin">
              <wp:align>center</wp:align>
            </wp:positionH>
            <wp:positionV relativeFrom="paragraph">
              <wp:posOffset>949325</wp:posOffset>
            </wp:positionV>
            <wp:extent cx="4503420" cy="2969895"/>
            <wp:effectExtent l="0" t="0" r="0" b="1905"/>
            <wp:wrapTopAndBottom/>
            <wp:docPr id="1809413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13970" name=""/>
                    <pic:cNvPicPr/>
                  </pic:nvPicPr>
                  <pic:blipFill>
                    <a:blip r:embed="rId20">
                      <a:extLst>
                        <a:ext uri="{28A0092B-C50C-407E-A947-70E740481C1C}">
                          <a14:useLocalDpi xmlns:a14="http://schemas.microsoft.com/office/drawing/2010/main" val="0"/>
                        </a:ext>
                      </a:extLst>
                    </a:blip>
                    <a:stretch>
                      <a:fillRect/>
                    </a:stretch>
                  </pic:blipFill>
                  <pic:spPr>
                    <a:xfrm>
                      <a:off x="0" y="0"/>
                      <a:ext cx="4503420" cy="2969895"/>
                    </a:xfrm>
                    <a:prstGeom prst="rect">
                      <a:avLst/>
                    </a:prstGeom>
                  </pic:spPr>
                </pic:pic>
              </a:graphicData>
            </a:graphic>
            <wp14:sizeRelH relativeFrom="margin">
              <wp14:pctWidth>0</wp14:pctWidth>
            </wp14:sizeRelH>
            <wp14:sizeRelV relativeFrom="margin">
              <wp14:pctHeight>0</wp14:pctHeight>
            </wp14:sizeRelV>
          </wp:anchor>
        </w:drawing>
      </w:r>
      <w:r w:rsidR="00A76B1B">
        <w:rPr>
          <w:rFonts w:eastAsiaTheme="majorEastAsia" w:cstheme="minorHAnsi"/>
        </w:rPr>
        <w:t>The Goodmans diagrams, (Figures 10, 11, 12) illustrate this behaviour, showing that the operating conditions for t</w:t>
      </w:r>
      <w:r w:rsidR="00785337">
        <w:rPr>
          <w:rFonts w:eastAsiaTheme="majorEastAsia" w:cstheme="minorHAnsi"/>
        </w:rPr>
        <w:t>his engine are deemed to be wit</w:t>
      </w:r>
      <w:r w:rsidR="00F83E3F">
        <w:rPr>
          <w:rFonts w:eastAsiaTheme="majorEastAsia" w:cstheme="minorHAnsi"/>
        </w:rPr>
        <w:t>hin acceptable lifetime expectancy, although the conrod bolt has</w:t>
      </w:r>
      <w:r w:rsidR="002F132F">
        <w:rPr>
          <w:rFonts w:eastAsiaTheme="majorEastAsia" w:cstheme="minorHAnsi"/>
        </w:rPr>
        <w:t xml:space="preserve"> an fatigue safety value the lies closer to the failure boundary, </w:t>
      </w:r>
      <w:r w:rsidR="001E7DD5">
        <w:rPr>
          <w:rFonts w:eastAsiaTheme="majorEastAsia" w:cstheme="minorHAnsi"/>
        </w:rPr>
        <w:t xml:space="preserve">compared to the other components whereas the conrod and Gudgeon pin operate well within the safe region suggesting potential over design in these components. </w:t>
      </w:r>
      <w:sdt>
        <w:sdtPr>
          <w:rPr>
            <w:rFonts w:eastAsiaTheme="majorEastAsia" w:cstheme="minorHAnsi"/>
          </w:rPr>
          <w:id w:val="1037544143"/>
          <w:citation/>
        </w:sdtPr>
        <w:sdtEndPr/>
        <w:sdtContent>
          <w:r w:rsidR="00CE0826">
            <w:rPr>
              <w:rFonts w:eastAsiaTheme="majorEastAsia" w:cstheme="minorHAnsi"/>
            </w:rPr>
            <w:fldChar w:fldCharType="begin"/>
          </w:r>
          <w:r w:rsidR="00CE0826">
            <w:rPr>
              <w:rFonts w:eastAsiaTheme="majorEastAsia" w:cstheme="minorHAnsi"/>
            </w:rPr>
            <w:instrText xml:space="preserve"> CITATION PDa17 \l 2057 </w:instrText>
          </w:r>
          <w:r w:rsidR="00CE0826">
            <w:rPr>
              <w:rFonts w:eastAsiaTheme="majorEastAsia" w:cstheme="minorHAnsi"/>
            </w:rPr>
            <w:fldChar w:fldCharType="separate"/>
          </w:r>
          <w:r w:rsidR="00F23937" w:rsidRPr="00F23937">
            <w:rPr>
              <w:rFonts w:eastAsiaTheme="majorEastAsia" w:cstheme="minorHAnsi"/>
              <w:noProof/>
            </w:rPr>
            <w:t>(P. Date, 2017)</w:t>
          </w:r>
          <w:r w:rsidR="00CE0826">
            <w:rPr>
              <w:rFonts w:eastAsiaTheme="majorEastAsia" w:cstheme="minorHAnsi"/>
            </w:rPr>
            <w:fldChar w:fldCharType="end"/>
          </w:r>
        </w:sdtContent>
      </w:sdt>
    </w:p>
    <w:p w14:paraId="1D92A2FF" w14:textId="6E141E76" w:rsidR="00954528" w:rsidRDefault="008B0B51" w:rsidP="00954528">
      <w:pPr>
        <w:keepNext/>
        <w:tabs>
          <w:tab w:val="left" w:pos="1560"/>
        </w:tabs>
      </w:pPr>
      <w:r>
        <w:rPr>
          <w:noProof/>
        </w:rPr>
        <w:lastRenderedPageBreak/>
        <mc:AlternateContent>
          <mc:Choice Requires="wps">
            <w:drawing>
              <wp:anchor distT="0" distB="0" distL="114300" distR="114300" simplePos="0" relativeHeight="251680768" behindDoc="0" locked="0" layoutInCell="1" allowOverlap="1" wp14:anchorId="751E903A" wp14:editId="2F4724A6">
                <wp:simplePos x="0" y="0"/>
                <wp:positionH relativeFrom="margin">
                  <wp:align>center</wp:align>
                </wp:positionH>
                <wp:positionV relativeFrom="paragraph">
                  <wp:posOffset>2886075</wp:posOffset>
                </wp:positionV>
                <wp:extent cx="4116070" cy="635"/>
                <wp:effectExtent l="0" t="0" r="0" b="0"/>
                <wp:wrapTopAndBottom/>
                <wp:docPr id="292996871" name="Text Box 1"/>
                <wp:cNvGraphicFramePr/>
                <a:graphic xmlns:a="http://schemas.openxmlformats.org/drawingml/2006/main">
                  <a:graphicData uri="http://schemas.microsoft.com/office/word/2010/wordprocessingShape">
                    <wps:wsp>
                      <wps:cNvSpPr txBox="1"/>
                      <wps:spPr>
                        <a:xfrm>
                          <a:off x="0" y="0"/>
                          <a:ext cx="4116070" cy="635"/>
                        </a:xfrm>
                        <a:prstGeom prst="rect">
                          <a:avLst/>
                        </a:prstGeom>
                        <a:solidFill>
                          <a:prstClr val="white"/>
                        </a:solidFill>
                        <a:ln>
                          <a:noFill/>
                        </a:ln>
                      </wps:spPr>
                      <wps:txbx>
                        <w:txbxContent>
                          <w:p w14:paraId="26ED63B0" w14:textId="71A0CEF0" w:rsidR="008B0B51" w:rsidRPr="00D8454F" w:rsidRDefault="008B0B51" w:rsidP="008B0B51">
                            <w:pPr>
                              <w:pStyle w:val="Caption"/>
                              <w:jc w:val="center"/>
                              <w:rPr>
                                <w:sz w:val="22"/>
                                <w:szCs w:val="22"/>
                              </w:rPr>
                            </w:pPr>
                            <w:bookmarkStart w:id="63" w:name="_Toc225094243"/>
                            <w:bookmarkStart w:id="64" w:name="_Toc225107120"/>
                            <w:r>
                              <w:t xml:space="preserve">Figure </w:t>
                            </w:r>
                            <w:r>
                              <w:fldChar w:fldCharType="begin"/>
                            </w:r>
                            <w:r>
                              <w:instrText xml:space="preserve"> SEQ Figure \* ARABIC </w:instrText>
                            </w:r>
                            <w:r>
                              <w:fldChar w:fldCharType="separate"/>
                            </w:r>
                            <w:r w:rsidR="00DA3E67">
                              <w:rPr>
                                <w:noProof/>
                              </w:rPr>
                              <w:t>11</w:t>
                            </w:r>
                            <w:r>
                              <w:fldChar w:fldCharType="end"/>
                            </w:r>
                            <w:r>
                              <w:t xml:space="preserve"> shows the Goodman diagram for the Gudgeon pin.</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E903A" id="_x0000_s1033" type="#_x0000_t202" style="position:absolute;margin-left:0;margin-top:227.25pt;width:324.1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" stroked="f">
                <v:textbox style="mso-fit-shape-to-text:t" inset="0,0,0,0">
                  <w:txbxContent>
                    <w:p w14:paraId="26ED63B0" w14:textId="71A0CEF0" w:rsidR="008B0B51" w:rsidRPr="00D8454F" w:rsidRDefault="008B0B51" w:rsidP="008B0B51">
                      <w:pPr>
                        <w:pStyle w:val="Caption"/>
                        <w:jc w:val="center"/>
                        <w:rPr>
                          <w:sz w:val="22"/>
                          <w:szCs w:val="22"/>
                        </w:rPr>
                      </w:pPr>
                      <w:bookmarkStart w:id="65" w:name="_Toc225094243"/>
                      <w:bookmarkStart w:id="66" w:name="_Toc225107120"/>
                      <w:r>
                        <w:t xml:space="preserve">Figure </w:t>
                      </w:r>
                      <w:r>
                        <w:fldChar w:fldCharType="begin"/>
                      </w:r>
                      <w:r>
                        <w:instrText xml:space="preserve"> SEQ Figure \* ARABIC </w:instrText>
                      </w:r>
                      <w:r>
                        <w:fldChar w:fldCharType="separate"/>
                      </w:r>
                      <w:r w:rsidR="00DA3E67">
                        <w:rPr>
                          <w:noProof/>
                        </w:rPr>
                        <w:t>11</w:t>
                      </w:r>
                      <w:r>
                        <w:fldChar w:fldCharType="end"/>
                      </w:r>
                      <w:r>
                        <w:t xml:space="preserve"> shows the Goodman diagram for the Gudgeon pin.</w:t>
                      </w:r>
                      <w:bookmarkEnd w:id="65"/>
                      <w:bookmarkEnd w:id="66"/>
                    </w:p>
                  </w:txbxContent>
                </v:textbox>
                <w10:wrap type="topAndBottom" anchorx="margin"/>
              </v:shape>
            </w:pict>
          </mc:Fallback>
        </mc:AlternateContent>
      </w:r>
      <w:r>
        <w:rPr>
          <w:noProof/>
        </w:rPr>
        <mc:AlternateContent>
          <mc:Choice Requires="wps">
            <w:drawing>
              <wp:anchor distT="0" distB="0" distL="114300" distR="114300" simplePos="0" relativeHeight="251682816" behindDoc="0" locked="0" layoutInCell="1" allowOverlap="1" wp14:anchorId="14E19645" wp14:editId="38130680">
                <wp:simplePos x="0" y="0"/>
                <wp:positionH relativeFrom="column">
                  <wp:posOffset>798830</wp:posOffset>
                </wp:positionH>
                <wp:positionV relativeFrom="paragraph">
                  <wp:posOffset>6081395</wp:posOffset>
                </wp:positionV>
                <wp:extent cx="4124325" cy="635"/>
                <wp:effectExtent l="0" t="0" r="0" b="0"/>
                <wp:wrapTopAndBottom/>
                <wp:docPr id="758029197" name="Text Box 1"/>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wps:spPr>
                      <wps:txbx>
                        <w:txbxContent>
                          <w:p w14:paraId="752380E1" w14:textId="7D3FEA78" w:rsidR="008B0B51" w:rsidRPr="006F3347" w:rsidRDefault="008B0B51" w:rsidP="008B0B51">
                            <w:pPr>
                              <w:pStyle w:val="Caption"/>
                              <w:jc w:val="center"/>
                              <w:rPr>
                                <w:noProof/>
                                <w:sz w:val="22"/>
                                <w:szCs w:val="22"/>
                              </w:rPr>
                            </w:pPr>
                            <w:bookmarkStart w:id="67" w:name="_Toc225094244"/>
                            <w:bookmarkStart w:id="68" w:name="_Toc225107121"/>
                            <w:r>
                              <w:t xml:space="preserve">Figure </w:t>
                            </w:r>
                            <w:r>
                              <w:fldChar w:fldCharType="begin"/>
                            </w:r>
                            <w:r>
                              <w:instrText xml:space="preserve"> SEQ Figure \* ARABIC </w:instrText>
                            </w:r>
                            <w:r>
                              <w:fldChar w:fldCharType="separate"/>
                            </w:r>
                            <w:r w:rsidR="00DA3E67">
                              <w:rPr>
                                <w:noProof/>
                              </w:rPr>
                              <w:t>12</w:t>
                            </w:r>
                            <w:r>
                              <w:fldChar w:fldCharType="end"/>
                            </w:r>
                            <w:r>
                              <w:t xml:space="preserve"> shows the Goodman diagram for the Conrod bolts.</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19645" id="_x0000_s1034" type="#_x0000_t202" style="position:absolute;margin-left:62.9pt;margin-top:478.85pt;width:324.7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" stroked="f">
                <v:textbox style="mso-fit-shape-to-text:t" inset="0,0,0,0">
                  <w:txbxContent>
                    <w:p w14:paraId="752380E1" w14:textId="7D3FEA78" w:rsidR="008B0B51" w:rsidRPr="006F3347" w:rsidRDefault="008B0B51" w:rsidP="008B0B51">
                      <w:pPr>
                        <w:pStyle w:val="Caption"/>
                        <w:jc w:val="center"/>
                        <w:rPr>
                          <w:noProof/>
                          <w:sz w:val="22"/>
                          <w:szCs w:val="22"/>
                        </w:rPr>
                      </w:pPr>
                      <w:bookmarkStart w:id="69" w:name="_Toc225094244"/>
                      <w:bookmarkStart w:id="70" w:name="_Toc225107121"/>
                      <w:r>
                        <w:t xml:space="preserve">Figure </w:t>
                      </w:r>
                      <w:r>
                        <w:fldChar w:fldCharType="begin"/>
                      </w:r>
                      <w:r>
                        <w:instrText xml:space="preserve"> SEQ Figure \* ARABIC </w:instrText>
                      </w:r>
                      <w:r>
                        <w:fldChar w:fldCharType="separate"/>
                      </w:r>
                      <w:r w:rsidR="00DA3E67">
                        <w:rPr>
                          <w:noProof/>
                        </w:rPr>
                        <w:t>12</w:t>
                      </w:r>
                      <w:r>
                        <w:fldChar w:fldCharType="end"/>
                      </w:r>
                      <w:r>
                        <w:t xml:space="preserve"> shows the Goodman diagram for the Conrod bolts.</w:t>
                      </w:r>
                      <w:bookmarkEnd w:id="69"/>
                      <w:bookmarkEnd w:id="70"/>
                    </w:p>
                  </w:txbxContent>
                </v:textbox>
                <w10:wrap type="topAndBottom"/>
              </v:shape>
            </w:pict>
          </mc:Fallback>
        </mc:AlternateContent>
      </w:r>
      <w:r w:rsidRPr="008B0B51">
        <w:rPr>
          <w:noProof/>
        </w:rPr>
        <w:drawing>
          <wp:anchor distT="0" distB="0" distL="114300" distR="114300" simplePos="0" relativeHeight="251674624" behindDoc="0" locked="0" layoutInCell="1" allowOverlap="1" wp14:anchorId="4AB84393" wp14:editId="4F2E9A25">
            <wp:simplePos x="0" y="0"/>
            <wp:positionH relativeFrom="margin">
              <wp:align>center</wp:align>
            </wp:positionH>
            <wp:positionV relativeFrom="paragraph">
              <wp:posOffset>3305175</wp:posOffset>
            </wp:positionV>
            <wp:extent cx="4124325" cy="2719070"/>
            <wp:effectExtent l="0" t="0" r="9525" b="5080"/>
            <wp:wrapTopAndBottom/>
            <wp:docPr id="1410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4377" name=""/>
                    <pic:cNvPicPr/>
                  </pic:nvPicPr>
                  <pic:blipFill>
                    <a:blip r:embed="rId21">
                      <a:extLst>
                        <a:ext uri="{28A0092B-C50C-407E-A947-70E740481C1C}">
                          <a14:useLocalDpi xmlns:a14="http://schemas.microsoft.com/office/drawing/2010/main" val="0"/>
                        </a:ext>
                      </a:extLst>
                    </a:blip>
                    <a:stretch>
                      <a:fillRect/>
                    </a:stretch>
                  </pic:blipFill>
                  <pic:spPr>
                    <a:xfrm>
                      <a:off x="0" y="0"/>
                      <a:ext cx="4124325" cy="2719070"/>
                    </a:xfrm>
                    <a:prstGeom prst="rect">
                      <a:avLst/>
                    </a:prstGeom>
                  </pic:spPr>
                </pic:pic>
              </a:graphicData>
            </a:graphic>
            <wp14:sizeRelH relativeFrom="margin">
              <wp14:pctWidth>0</wp14:pctWidth>
            </wp14:sizeRelH>
            <wp14:sizeRelV relativeFrom="margin">
              <wp14:pctHeight>0</wp14:pctHeight>
            </wp14:sizeRelV>
          </wp:anchor>
        </w:drawing>
      </w:r>
      <w:r w:rsidRPr="008B0B51">
        <w:rPr>
          <w:noProof/>
        </w:rPr>
        <w:drawing>
          <wp:anchor distT="0" distB="0" distL="114300" distR="114300" simplePos="0" relativeHeight="251678720" behindDoc="0" locked="0" layoutInCell="1" allowOverlap="1" wp14:anchorId="67F329A4" wp14:editId="39F3E7B3">
            <wp:simplePos x="0" y="0"/>
            <wp:positionH relativeFrom="margin">
              <wp:align>center</wp:align>
            </wp:positionH>
            <wp:positionV relativeFrom="paragraph">
              <wp:posOffset>0</wp:posOffset>
            </wp:positionV>
            <wp:extent cx="4116070" cy="2714625"/>
            <wp:effectExtent l="0" t="0" r="0" b="9525"/>
            <wp:wrapTopAndBottom/>
            <wp:docPr id="196894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44345" name=""/>
                    <pic:cNvPicPr/>
                  </pic:nvPicPr>
                  <pic:blipFill>
                    <a:blip r:embed="rId22">
                      <a:extLst>
                        <a:ext uri="{28A0092B-C50C-407E-A947-70E740481C1C}">
                          <a14:useLocalDpi xmlns:a14="http://schemas.microsoft.com/office/drawing/2010/main" val="0"/>
                        </a:ext>
                      </a:extLst>
                    </a:blip>
                    <a:stretch>
                      <a:fillRect/>
                    </a:stretch>
                  </pic:blipFill>
                  <pic:spPr>
                    <a:xfrm>
                      <a:off x="0" y="0"/>
                      <a:ext cx="4116070" cy="2714625"/>
                    </a:xfrm>
                    <a:prstGeom prst="rect">
                      <a:avLst/>
                    </a:prstGeom>
                  </pic:spPr>
                </pic:pic>
              </a:graphicData>
            </a:graphic>
            <wp14:sizeRelH relativeFrom="margin">
              <wp14:pctWidth>0</wp14:pctWidth>
            </wp14:sizeRelH>
            <wp14:sizeRelV relativeFrom="margin">
              <wp14:pctHeight>0</wp14:pctHeight>
            </wp14:sizeRelV>
          </wp:anchor>
        </w:drawing>
      </w:r>
    </w:p>
    <w:p w14:paraId="1B3147F7" w14:textId="713D9816" w:rsidR="008B0B51" w:rsidRDefault="008B0B51" w:rsidP="007340D0">
      <w:pPr>
        <w:tabs>
          <w:tab w:val="left" w:pos="1560"/>
        </w:tabs>
        <w:rPr>
          <w:rFonts w:eastAsiaTheme="majorEastAsia" w:cstheme="minorHAnsi"/>
        </w:rPr>
      </w:pPr>
      <w:r>
        <w:rPr>
          <w:rFonts w:eastAsiaTheme="majorEastAsia" w:cstheme="minorHAnsi"/>
        </w:rPr>
        <w:t xml:space="preserve">The variation of safety factor for the connecting rod bolts is shown in Figure 9 above, the minimum safety factor occurs at the crank angles corresponding with the peak tensile stresses. Typically, near TDC during the exhaust and intake stroke, this is consistent with the dominant inertial forces at high engine speeds. These results highlight the importance of using the full cycle rather than just relying on peak pressures alone, while combustion produces the highest compressive loads, it is the inertial effects that can govern fatigue critical conditions. </w:t>
      </w:r>
    </w:p>
    <w:p w14:paraId="111D86FA" w14:textId="40C6C0CE" w:rsidR="00AC0D88" w:rsidRDefault="00AC0D88" w:rsidP="007340D0">
      <w:pPr>
        <w:tabs>
          <w:tab w:val="left" w:pos="1560"/>
        </w:tabs>
        <w:rPr>
          <w:rFonts w:eastAsiaTheme="majorEastAsia" w:cstheme="minorHAnsi"/>
        </w:rPr>
      </w:pPr>
    </w:p>
    <w:p w14:paraId="165EE97F" w14:textId="4F13E38C" w:rsidR="00AC0D88" w:rsidRDefault="00AC0D88" w:rsidP="007340D0">
      <w:pPr>
        <w:tabs>
          <w:tab w:val="left" w:pos="1560"/>
        </w:tabs>
        <w:rPr>
          <w:rFonts w:eastAsiaTheme="majorEastAsia" w:cstheme="minorHAnsi"/>
        </w:rPr>
      </w:pPr>
    </w:p>
    <w:p w14:paraId="7F6D4371" w14:textId="735BDC2C" w:rsidR="00AC0D88" w:rsidRDefault="00AC0D88" w:rsidP="007340D0">
      <w:pPr>
        <w:tabs>
          <w:tab w:val="left" w:pos="1560"/>
        </w:tabs>
        <w:rPr>
          <w:rFonts w:eastAsiaTheme="majorEastAsia" w:cstheme="minorHAnsi"/>
        </w:rPr>
      </w:pPr>
    </w:p>
    <w:p w14:paraId="44A6F44F" w14:textId="71896DAA" w:rsidR="00B57429" w:rsidRDefault="005B26D8" w:rsidP="0073040A">
      <w:pPr>
        <w:pStyle w:val="Heading2"/>
        <w:numPr>
          <w:ilvl w:val="0"/>
          <w:numId w:val="0"/>
        </w:numPr>
      </w:pPr>
      <w:bookmarkStart w:id="71" w:name="_Toc225003691"/>
      <w:r>
        <w:rPr>
          <w:rFonts w:cstheme="minorHAnsi"/>
        </w:rPr>
        <w:lastRenderedPageBreak/>
        <w:t>3</w:t>
      </w:r>
      <w:r w:rsidR="002E4894">
        <w:rPr>
          <w:rFonts w:cstheme="minorHAnsi"/>
        </w:rPr>
        <w:t xml:space="preserve">.4 </w:t>
      </w:r>
      <w:r w:rsidR="002E4894" w:rsidRPr="002E4894">
        <w:rPr>
          <w:rStyle w:val="Heading2Char"/>
        </w:rPr>
        <w:t>Critical Discussion</w:t>
      </w:r>
      <w:bookmarkEnd w:id="71"/>
      <w:r w:rsidR="002E4894" w:rsidRPr="002E4894">
        <w:t xml:space="preserve"> </w:t>
      </w:r>
      <w:r w:rsidR="00CE0826">
        <w:t xml:space="preserve"> </w:t>
      </w:r>
    </w:p>
    <w:p w14:paraId="3E483B7B" w14:textId="295680A1" w:rsidR="002E4894" w:rsidRPr="002E4894" w:rsidRDefault="007C5B87" w:rsidP="002E4894">
      <w:r>
        <w:rPr>
          <w:noProof/>
        </w:rPr>
        <w:drawing>
          <wp:anchor distT="0" distB="0" distL="114300" distR="114300" simplePos="0" relativeHeight="251708416" behindDoc="0" locked="0" layoutInCell="1" allowOverlap="1" wp14:anchorId="0C37A64D" wp14:editId="31017EB8">
            <wp:simplePos x="0" y="0"/>
            <wp:positionH relativeFrom="margin">
              <wp:align>center</wp:align>
            </wp:positionH>
            <wp:positionV relativeFrom="paragraph">
              <wp:posOffset>812042</wp:posOffset>
            </wp:positionV>
            <wp:extent cx="4133215" cy="2770505"/>
            <wp:effectExtent l="0" t="0" r="635" b="0"/>
            <wp:wrapTopAndBottom/>
            <wp:docPr id="603765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65824" name=""/>
                    <pic:cNvPicPr/>
                  </pic:nvPicPr>
                  <pic:blipFill>
                    <a:blip r:embed="rId23">
                      <a:extLst>
                        <a:ext uri="{28A0092B-C50C-407E-A947-70E740481C1C}">
                          <a14:useLocalDpi xmlns:a14="http://schemas.microsoft.com/office/drawing/2010/main" val="0"/>
                        </a:ext>
                      </a:extLst>
                    </a:blip>
                    <a:stretch>
                      <a:fillRect/>
                    </a:stretch>
                  </pic:blipFill>
                  <pic:spPr>
                    <a:xfrm>
                      <a:off x="0" y="0"/>
                      <a:ext cx="4133215" cy="2770505"/>
                    </a:xfrm>
                    <a:prstGeom prst="rect">
                      <a:avLst/>
                    </a:prstGeom>
                  </pic:spPr>
                </pic:pic>
              </a:graphicData>
            </a:graphic>
            <wp14:sizeRelH relativeFrom="margin">
              <wp14:pctWidth>0</wp14:pctWidth>
            </wp14:sizeRelH>
            <wp14:sizeRelV relativeFrom="margin">
              <wp14:pctHeight>0</wp14:pctHeight>
            </wp14:sizeRelV>
          </wp:anchor>
        </w:drawing>
      </w:r>
      <w:r w:rsidR="00047F24">
        <w:rPr>
          <w:noProof/>
        </w:rPr>
        <mc:AlternateContent>
          <mc:Choice Requires="wps">
            <w:drawing>
              <wp:anchor distT="0" distB="0" distL="114300" distR="114300" simplePos="0" relativeHeight="251685888" behindDoc="0" locked="0" layoutInCell="1" allowOverlap="1" wp14:anchorId="7D526D38" wp14:editId="76915A54">
                <wp:simplePos x="0" y="0"/>
                <wp:positionH relativeFrom="margin">
                  <wp:align>center</wp:align>
                </wp:positionH>
                <wp:positionV relativeFrom="paragraph">
                  <wp:posOffset>3726815</wp:posOffset>
                </wp:positionV>
                <wp:extent cx="4705350" cy="635"/>
                <wp:effectExtent l="0" t="0" r="0" b="0"/>
                <wp:wrapTopAndBottom/>
                <wp:docPr id="786779766" name="Text Box 1"/>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1EBC3A3D" w14:textId="6F7C37C6" w:rsidR="00CE0826" w:rsidRPr="00506689" w:rsidRDefault="00CE0826" w:rsidP="00CE0826">
                            <w:pPr>
                              <w:pStyle w:val="Caption"/>
                              <w:jc w:val="center"/>
                              <w:rPr>
                                <w:noProof/>
                                <w:sz w:val="22"/>
                                <w:szCs w:val="22"/>
                              </w:rPr>
                            </w:pPr>
                            <w:bookmarkStart w:id="72" w:name="_Toc225094245"/>
                            <w:bookmarkStart w:id="73" w:name="_Toc225107122"/>
                            <w:r>
                              <w:t xml:space="preserve">Figure </w:t>
                            </w:r>
                            <w:r>
                              <w:fldChar w:fldCharType="begin"/>
                            </w:r>
                            <w:r>
                              <w:instrText xml:space="preserve"> SEQ Figure \* ARABIC </w:instrText>
                            </w:r>
                            <w:r>
                              <w:fldChar w:fldCharType="separate"/>
                            </w:r>
                            <w:r w:rsidR="00DA3E67">
                              <w:rPr>
                                <w:noProof/>
                              </w:rPr>
                              <w:t>13</w:t>
                            </w:r>
                            <w:r>
                              <w:fldChar w:fldCharType="end"/>
                            </w:r>
                            <w:r>
                              <w:t xml:space="preserve"> shows the bolt safety factor against crank angle.</w:t>
                            </w:r>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26D38" id="_x0000_s1035" type="#_x0000_t202" style="position:absolute;margin-left:0;margin-top:293.45pt;width:370.5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fDrGgIAAD8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ff5jOr+cUkhS7uZ7H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" stroked="f">
                <v:textbox style="mso-fit-shape-to-text:t" inset="0,0,0,0">
                  <w:txbxContent>
                    <w:p w14:paraId="1EBC3A3D" w14:textId="6F7C37C6" w:rsidR="00CE0826" w:rsidRPr="00506689" w:rsidRDefault="00CE0826" w:rsidP="00CE0826">
                      <w:pPr>
                        <w:pStyle w:val="Caption"/>
                        <w:jc w:val="center"/>
                        <w:rPr>
                          <w:noProof/>
                          <w:sz w:val="22"/>
                          <w:szCs w:val="22"/>
                        </w:rPr>
                      </w:pPr>
                      <w:bookmarkStart w:id="74" w:name="_Toc225094245"/>
                      <w:bookmarkStart w:id="75" w:name="_Toc225107122"/>
                      <w:r>
                        <w:t xml:space="preserve">Figure </w:t>
                      </w:r>
                      <w:r>
                        <w:fldChar w:fldCharType="begin"/>
                      </w:r>
                      <w:r>
                        <w:instrText xml:space="preserve"> SEQ Figure \* ARABIC </w:instrText>
                      </w:r>
                      <w:r>
                        <w:fldChar w:fldCharType="separate"/>
                      </w:r>
                      <w:r w:rsidR="00DA3E67">
                        <w:rPr>
                          <w:noProof/>
                        </w:rPr>
                        <w:t>13</w:t>
                      </w:r>
                      <w:r>
                        <w:fldChar w:fldCharType="end"/>
                      </w:r>
                      <w:r>
                        <w:t xml:space="preserve"> shows the bolt safety factor against crank angle.</w:t>
                      </w:r>
                      <w:bookmarkEnd w:id="74"/>
                      <w:bookmarkEnd w:id="75"/>
                    </w:p>
                  </w:txbxContent>
                </v:textbox>
                <w10:wrap type="topAndBottom" anchorx="margin"/>
              </v:shape>
            </w:pict>
          </mc:Fallback>
        </mc:AlternateContent>
      </w:r>
      <w:r w:rsidR="00E31C52" w:rsidRPr="00E31C52">
        <w:t>The connecting rod bolts were identified as the most critical component due to their exposure to high tensile loads and stress concentrations associated with threaded regions. Although the calculated safety factors indicate safe operation, the margin of safety may be reduced significantly under increased engine speeds.</w:t>
      </w:r>
      <w:r w:rsidR="00CE0826">
        <w:t xml:space="preserve"> This can be seen in Figure 13 below. </w:t>
      </w:r>
    </w:p>
    <w:p w14:paraId="162B57D1" w14:textId="65B284CA" w:rsidR="002E4894" w:rsidRDefault="00047F24" w:rsidP="00B57429">
      <w:pPr>
        <w:rPr>
          <w:rFonts w:eastAsiaTheme="majorEastAsia" w:cstheme="minorHAnsi"/>
        </w:rPr>
      </w:pPr>
      <w:r>
        <w:rPr>
          <w:noProof/>
        </w:rPr>
        <mc:AlternateContent>
          <mc:Choice Requires="wps">
            <w:drawing>
              <wp:anchor distT="0" distB="0" distL="114300" distR="114300" simplePos="0" relativeHeight="251688960" behindDoc="0" locked="0" layoutInCell="1" allowOverlap="1" wp14:anchorId="4010E7CB" wp14:editId="3F52D258">
                <wp:simplePos x="0" y="0"/>
                <wp:positionH relativeFrom="column">
                  <wp:posOffset>494030</wp:posOffset>
                </wp:positionH>
                <wp:positionV relativeFrom="paragraph">
                  <wp:posOffset>7366635</wp:posOffset>
                </wp:positionV>
                <wp:extent cx="4743450" cy="635"/>
                <wp:effectExtent l="0" t="0" r="0" b="0"/>
                <wp:wrapTopAndBottom/>
                <wp:docPr id="1974315327" name="Text Box 1"/>
                <wp:cNvGraphicFramePr/>
                <a:graphic xmlns:a="http://schemas.openxmlformats.org/drawingml/2006/main">
                  <a:graphicData uri="http://schemas.microsoft.com/office/word/2010/wordprocessingShape">
                    <wps:wsp>
                      <wps:cNvSpPr txBox="1"/>
                      <wps:spPr>
                        <a:xfrm>
                          <a:off x="0" y="0"/>
                          <a:ext cx="4743450" cy="635"/>
                        </a:xfrm>
                        <a:prstGeom prst="rect">
                          <a:avLst/>
                        </a:prstGeom>
                        <a:solidFill>
                          <a:prstClr val="white"/>
                        </a:solidFill>
                        <a:ln>
                          <a:noFill/>
                        </a:ln>
                      </wps:spPr>
                      <wps:txbx>
                        <w:txbxContent>
                          <w:p w14:paraId="0A2BB293" w14:textId="6058354A" w:rsidR="00047F24" w:rsidRPr="00BE288F" w:rsidRDefault="00047F24" w:rsidP="00047F24">
                            <w:pPr>
                              <w:pStyle w:val="Caption"/>
                              <w:jc w:val="center"/>
                              <w:rPr>
                                <w:noProof/>
                                <w:sz w:val="22"/>
                                <w:szCs w:val="22"/>
                              </w:rPr>
                            </w:pPr>
                            <w:bookmarkStart w:id="76" w:name="_Toc225107123"/>
                            <w:r>
                              <w:t xml:space="preserve">Figure </w:t>
                            </w:r>
                            <w:r>
                              <w:fldChar w:fldCharType="begin"/>
                            </w:r>
                            <w:r>
                              <w:instrText xml:space="preserve"> SEQ Figure \* ARABIC </w:instrText>
                            </w:r>
                            <w:r>
                              <w:fldChar w:fldCharType="separate"/>
                            </w:r>
                            <w:r w:rsidR="00DA3E67">
                              <w:rPr>
                                <w:noProof/>
                              </w:rPr>
                              <w:t>14</w:t>
                            </w:r>
                            <w:r>
                              <w:fldChar w:fldCharType="end"/>
                            </w:r>
                            <w:r>
                              <w:t xml:space="preserve"> shows the P-V diagram taken form the engine model.</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10E7CB" id="_x0000_s1036" type="#_x0000_t202" style="position:absolute;margin-left:38.9pt;margin-top:580.05pt;width:373.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" stroked="f">
                <v:textbox style="mso-fit-shape-to-text:t" inset="0,0,0,0">
                  <w:txbxContent>
                    <w:p w14:paraId="0A2BB293" w14:textId="6058354A" w:rsidR="00047F24" w:rsidRPr="00BE288F" w:rsidRDefault="00047F24" w:rsidP="00047F24">
                      <w:pPr>
                        <w:pStyle w:val="Caption"/>
                        <w:jc w:val="center"/>
                        <w:rPr>
                          <w:noProof/>
                          <w:sz w:val="22"/>
                          <w:szCs w:val="22"/>
                        </w:rPr>
                      </w:pPr>
                      <w:bookmarkStart w:id="77" w:name="_Toc225107123"/>
                      <w:r>
                        <w:t xml:space="preserve">Figure </w:t>
                      </w:r>
                      <w:r>
                        <w:fldChar w:fldCharType="begin"/>
                      </w:r>
                      <w:r>
                        <w:instrText xml:space="preserve"> SEQ Figure \* ARABIC </w:instrText>
                      </w:r>
                      <w:r>
                        <w:fldChar w:fldCharType="separate"/>
                      </w:r>
                      <w:r w:rsidR="00DA3E67">
                        <w:rPr>
                          <w:noProof/>
                        </w:rPr>
                        <w:t>14</w:t>
                      </w:r>
                      <w:r>
                        <w:fldChar w:fldCharType="end"/>
                      </w:r>
                      <w:r>
                        <w:t xml:space="preserve"> shows the P-V diagram taken form the engine model.</w:t>
                      </w:r>
                      <w:bookmarkEnd w:id="77"/>
                    </w:p>
                  </w:txbxContent>
                </v:textbox>
                <w10:wrap type="topAndBottom"/>
              </v:shape>
            </w:pict>
          </mc:Fallback>
        </mc:AlternateContent>
      </w:r>
      <w:r>
        <w:rPr>
          <w:noProof/>
        </w:rPr>
        <w:drawing>
          <wp:anchor distT="0" distB="0" distL="114300" distR="114300" simplePos="0" relativeHeight="251686912" behindDoc="0" locked="0" layoutInCell="1" allowOverlap="1" wp14:anchorId="3ECF01C9" wp14:editId="1A6DB635">
            <wp:simplePos x="0" y="0"/>
            <wp:positionH relativeFrom="margin">
              <wp:align>center</wp:align>
            </wp:positionH>
            <wp:positionV relativeFrom="paragraph">
              <wp:posOffset>4127500</wp:posOffset>
            </wp:positionV>
            <wp:extent cx="4743450" cy="3181985"/>
            <wp:effectExtent l="0" t="0" r="0" b="0"/>
            <wp:wrapTopAndBottom/>
            <wp:docPr id="610737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37661" name=""/>
                    <pic:cNvPicPr/>
                  </pic:nvPicPr>
                  <pic:blipFill>
                    <a:blip r:embed="rId24">
                      <a:extLst>
                        <a:ext uri="{28A0092B-C50C-407E-A947-70E740481C1C}">
                          <a14:useLocalDpi xmlns:a14="http://schemas.microsoft.com/office/drawing/2010/main" val="0"/>
                        </a:ext>
                      </a:extLst>
                    </a:blip>
                    <a:stretch>
                      <a:fillRect/>
                    </a:stretch>
                  </pic:blipFill>
                  <pic:spPr>
                    <a:xfrm>
                      <a:off x="0" y="0"/>
                      <a:ext cx="4743450" cy="3181985"/>
                    </a:xfrm>
                    <a:prstGeom prst="rect">
                      <a:avLst/>
                    </a:prstGeom>
                  </pic:spPr>
                </pic:pic>
              </a:graphicData>
            </a:graphic>
            <wp14:sizeRelH relativeFrom="margin">
              <wp14:pctWidth>0</wp14:pctWidth>
            </wp14:sizeRelH>
            <wp14:sizeRelV relativeFrom="margin">
              <wp14:pctHeight>0</wp14:pctHeight>
            </wp14:sizeRelV>
          </wp:anchor>
        </w:drawing>
      </w:r>
      <w:r>
        <w:rPr>
          <w:rFonts w:eastAsiaTheme="majorEastAsia" w:cstheme="minorHAnsi"/>
        </w:rPr>
        <w:t>The calculated P-V diagram (Figure 14) demonstrates the thermodynamic cycle that the engine undergoes, from which the work per cycle and IMEP (Indicated mean effective pressure) were calculated. The IMEP provides a useful measure of engine performance and is a visual way of determining the validity of the model. The IMEP represents the average pressure that would produce the same work output</w:t>
      </w:r>
      <w:sdt>
        <w:sdtPr>
          <w:rPr>
            <w:rFonts w:eastAsiaTheme="majorEastAsia" w:cstheme="minorHAnsi"/>
          </w:rPr>
          <w:id w:val="1146551461"/>
          <w:citation/>
        </w:sdtPr>
        <w:sdtEndPr/>
        <w:sdtContent>
          <w:r>
            <w:rPr>
              <w:rFonts w:eastAsiaTheme="majorEastAsia" w:cstheme="minorHAnsi"/>
            </w:rPr>
            <w:fldChar w:fldCharType="begin"/>
          </w:r>
          <w:r>
            <w:rPr>
              <w:rFonts w:eastAsiaTheme="majorEastAsia" w:cstheme="minorHAnsi"/>
            </w:rPr>
            <w:instrText xml:space="preserve"> CITATION JHe18 \l 2057 </w:instrText>
          </w:r>
          <w:r>
            <w:rPr>
              <w:rFonts w:eastAsiaTheme="majorEastAsia" w:cstheme="minorHAnsi"/>
            </w:rPr>
            <w:fldChar w:fldCharType="separate"/>
          </w:r>
          <w:r w:rsidR="00F23937">
            <w:rPr>
              <w:rFonts w:eastAsiaTheme="majorEastAsia" w:cstheme="minorHAnsi"/>
              <w:noProof/>
            </w:rPr>
            <w:t xml:space="preserve"> </w:t>
          </w:r>
          <w:r w:rsidR="00F23937" w:rsidRPr="00F23937">
            <w:rPr>
              <w:rFonts w:eastAsiaTheme="majorEastAsia" w:cstheme="minorHAnsi"/>
              <w:noProof/>
            </w:rPr>
            <w:t>(Heywood, 2018)</w:t>
          </w:r>
          <w:r>
            <w:rPr>
              <w:rFonts w:eastAsiaTheme="majorEastAsia" w:cstheme="minorHAnsi"/>
            </w:rPr>
            <w:fldChar w:fldCharType="end"/>
          </w:r>
        </w:sdtContent>
      </w:sdt>
      <w:r>
        <w:rPr>
          <w:rFonts w:eastAsiaTheme="majorEastAsia" w:cstheme="minorHAnsi"/>
        </w:rPr>
        <w:t xml:space="preserve">.  </w:t>
      </w:r>
    </w:p>
    <w:p w14:paraId="44095D2B" w14:textId="6B2A834A" w:rsidR="00047F24" w:rsidRDefault="00047F24" w:rsidP="00B57429">
      <w:pPr>
        <w:rPr>
          <w:rFonts w:eastAsiaTheme="majorEastAsia" w:cstheme="minorHAnsi"/>
        </w:rPr>
      </w:pPr>
    </w:p>
    <w:p w14:paraId="518FEE05" w14:textId="056B0838" w:rsidR="00B57429" w:rsidRDefault="00CA5993" w:rsidP="00B57429">
      <w:pPr>
        <w:rPr>
          <w:rFonts w:eastAsiaTheme="majorEastAsia" w:cstheme="minorHAnsi"/>
        </w:rPr>
      </w:pPr>
      <w:r>
        <w:rPr>
          <w:noProof/>
        </w:rPr>
        <w:lastRenderedPageBreak/>
        <mc:AlternateContent>
          <mc:Choice Requires="wps">
            <w:drawing>
              <wp:anchor distT="0" distB="0" distL="114300" distR="114300" simplePos="0" relativeHeight="251692032" behindDoc="0" locked="0" layoutInCell="1" allowOverlap="1" wp14:anchorId="0BAF5784" wp14:editId="39A68555">
                <wp:simplePos x="0" y="0"/>
                <wp:positionH relativeFrom="margin">
                  <wp:align>center</wp:align>
                </wp:positionH>
                <wp:positionV relativeFrom="paragraph">
                  <wp:posOffset>3693795</wp:posOffset>
                </wp:positionV>
                <wp:extent cx="4657725" cy="635"/>
                <wp:effectExtent l="0" t="0" r="9525" b="0"/>
                <wp:wrapTopAndBottom/>
                <wp:docPr id="1017883110" name="Text Box 1"/>
                <wp:cNvGraphicFramePr/>
                <a:graphic xmlns:a="http://schemas.openxmlformats.org/drawingml/2006/main">
                  <a:graphicData uri="http://schemas.microsoft.com/office/word/2010/wordprocessingShape">
                    <wps:wsp>
                      <wps:cNvSpPr txBox="1"/>
                      <wps:spPr>
                        <a:xfrm>
                          <a:off x="0" y="0"/>
                          <a:ext cx="4657725" cy="635"/>
                        </a:xfrm>
                        <a:prstGeom prst="rect">
                          <a:avLst/>
                        </a:prstGeom>
                        <a:solidFill>
                          <a:prstClr val="white"/>
                        </a:solidFill>
                        <a:ln>
                          <a:noFill/>
                        </a:ln>
                      </wps:spPr>
                      <wps:txbx>
                        <w:txbxContent>
                          <w:p w14:paraId="61FBE43D" w14:textId="1B688E1D" w:rsidR="00CA5993" w:rsidRPr="009551E3" w:rsidRDefault="00CA5993" w:rsidP="00CA5993">
                            <w:pPr>
                              <w:pStyle w:val="Caption"/>
                              <w:jc w:val="center"/>
                              <w:rPr>
                                <w:noProof/>
                                <w:sz w:val="22"/>
                                <w:szCs w:val="22"/>
                              </w:rPr>
                            </w:pPr>
                            <w:bookmarkStart w:id="78" w:name="_Toc225107124"/>
                            <w:r>
                              <w:t xml:space="preserve">Figure </w:t>
                            </w:r>
                            <w:r>
                              <w:fldChar w:fldCharType="begin"/>
                            </w:r>
                            <w:r>
                              <w:instrText xml:space="preserve"> SEQ Figure \* ARABIC </w:instrText>
                            </w:r>
                            <w:r>
                              <w:fldChar w:fldCharType="separate"/>
                            </w:r>
                            <w:r w:rsidR="00DA3E67">
                              <w:rPr>
                                <w:noProof/>
                              </w:rPr>
                              <w:t>15</w:t>
                            </w:r>
                            <w:r>
                              <w:fldChar w:fldCharType="end"/>
                            </w:r>
                            <w:r>
                              <w:t xml:space="preserve"> shows the instantaneous torque produced by the engine.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F5784" id="_x0000_s1037" type="#_x0000_t202" style="position:absolute;margin-left:0;margin-top:290.85pt;width:366.75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" stroked="f">
                <v:textbox style="mso-fit-shape-to-text:t" inset="0,0,0,0">
                  <w:txbxContent>
                    <w:p w14:paraId="61FBE43D" w14:textId="1B688E1D" w:rsidR="00CA5993" w:rsidRPr="009551E3" w:rsidRDefault="00CA5993" w:rsidP="00CA5993">
                      <w:pPr>
                        <w:pStyle w:val="Caption"/>
                        <w:jc w:val="center"/>
                        <w:rPr>
                          <w:noProof/>
                          <w:sz w:val="22"/>
                          <w:szCs w:val="22"/>
                        </w:rPr>
                      </w:pPr>
                      <w:bookmarkStart w:id="79" w:name="_Toc225107124"/>
                      <w:r>
                        <w:t xml:space="preserve">Figure </w:t>
                      </w:r>
                      <w:r>
                        <w:fldChar w:fldCharType="begin"/>
                      </w:r>
                      <w:r>
                        <w:instrText xml:space="preserve"> SEQ Figure \* ARABIC </w:instrText>
                      </w:r>
                      <w:r>
                        <w:fldChar w:fldCharType="separate"/>
                      </w:r>
                      <w:r w:rsidR="00DA3E67">
                        <w:rPr>
                          <w:noProof/>
                        </w:rPr>
                        <w:t>15</w:t>
                      </w:r>
                      <w:r>
                        <w:fldChar w:fldCharType="end"/>
                      </w:r>
                      <w:r>
                        <w:t xml:space="preserve"> shows the instantaneous torque produced by the engine.</w:t>
                      </w:r>
                      <w:bookmarkEnd w:id="79"/>
                    </w:p>
                  </w:txbxContent>
                </v:textbox>
                <w10:wrap type="topAndBottom" anchorx="margin"/>
              </v:shape>
            </w:pict>
          </mc:Fallback>
        </mc:AlternateContent>
      </w:r>
      <w:r>
        <w:rPr>
          <w:noProof/>
        </w:rPr>
        <w:drawing>
          <wp:anchor distT="0" distB="0" distL="114300" distR="114300" simplePos="0" relativeHeight="251689984" behindDoc="0" locked="0" layoutInCell="1" allowOverlap="1" wp14:anchorId="1137D45F" wp14:editId="57E07045">
            <wp:simplePos x="0" y="0"/>
            <wp:positionH relativeFrom="margin">
              <wp:align>center</wp:align>
            </wp:positionH>
            <wp:positionV relativeFrom="paragraph">
              <wp:posOffset>476250</wp:posOffset>
            </wp:positionV>
            <wp:extent cx="4657725" cy="3046095"/>
            <wp:effectExtent l="0" t="0" r="9525" b="1905"/>
            <wp:wrapTopAndBottom/>
            <wp:docPr id="160456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60332" name=""/>
                    <pic:cNvPicPr/>
                  </pic:nvPicPr>
                  <pic:blipFill>
                    <a:blip r:embed="rId25">
                      <a:extLst>
                        <a:ext uri="{28A0092B-C50C-407E-A947-70E740481C1C}">
                          <a14:useLocalDpi xmlns:a14="http://schemas.microsoft.com/office/drawing/2010/main" val="0"/>
                        </a:ext>
                      </a:extLst>
                    </a:blip>
                    <a:stretch>
                      <a:fillRect/>
                    </a:stretch>
                  </pic:blipFill>
                  <pic:spPr>
                    <a:xfrm>
                      <a:off x="0" y="0"/>
                      <a:ext cx="4657725" cy="3046095"/>
                    </a:xfrm>
                    <a:prstGeom prst="rect">
                      <a:avLst/>
                    </a:prstGeom>
                  </pic:spPr>
                </pic:pic>
              </a:graphicData>
            </a:graphic>
            <wp14:sizeRelH relativeFrom="margin">
              <wp14:pctWidth>0</wp14:pctWidth>
            </wp14:sizeRelH>
            <wp14:sizeRelV relativeFrom="margin">
              <wp14:pctHeight>0</wp14:pctHeight>
            </wp14:sizeRelV>
          </wp:anchor>
        </w:drawing>
      </w:r>
      <w:r w:rsidR="00047F24">
        <w:rPr>
          <w:rFonts w:eastAsiaTheme="majorEastAsia" w:cstheme="minorHAnsi"/>
        </w:rPr>
        <w:t xml:space="preserve">Torque and power figures were also calculated, with the multi cylinder torque profile showing a smoother </w:t>
      </w:r>
      <w:r>
        <w:rPr>
          <w:rFonts w:eastAsiaTheme="majorEastAsia" w:cstheme="minorHAnsi"/>
        </w:rPr>
        <w:t xml:space="preserve">distribution compared to the single cylinder case. </w:t>
      </w:r>
    </w:p>
    <w:p w14:paraId="59DFCE57" w14:textId="7D95B13D" w:rsidR="00CA5993" w:rsidRDefault="00CA5993" w:rsidP="00B57429">
      <w:pPr>
        <w:rPr>
          <w:rFonts w:eastAsiaTheme="majorEastAsia" w:cstheme="minorHAnsi"/>
        </w:rPr>
      </w:pPr>
      <w:r>
        <w:rPr>
          <w:noProof/>
        </w:rPr>
        <mc:AlternateContent>
          <mc:Choice Requires="wps">
            <w:drawing>
              <wp:anchor distT="0" distB="0" distL="114300" distR="114300" simplePos="0" relativeHeight="251695104" behindDoc="0" locked="0" layoutInCell="1" allowOverlap="1" wp14:anchorId="5331572D" wp14:editId="2248DD92">
                <wp:simplePos x="0" y="0"/>
                <wp:positionH relativeFrom="column">
                  <wp:posOffset>555625</wp:posOffset>
                </wp:positionH>
                <wp:positionV relativeFrom="paragraph">
                  <wp:posOffset>6732905</wp:posOffset>
                </wp:positionV>
                <wp:extent cx="4619625" cy="635"/>
                <wp:effectExtent l="0" t="0" r="0" b="0"/>
                <wp:wrapTopAndBottom/>
                <wp:docPr id="1773363965" name="Text Box 1"/>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14:paraId="7BE70FD1" w14:textId="331430CB" w:rsidR="00CA5993" w:rsidRPr="00BD2D3D" w:rsidRDefault="00CA5993" w:rsidP="00CA5993">
                            <w:pPr>
                              <w:pStyle w:val="Caption"/>
                              <w:jc w:val="center"/>
                              <w:rPr>
                                <w:sz w:val="22"/>
                                <w:szCs w:val="22"/>
                              </w:rPr>
                            </w:pPr>
                            <w:bookmarkStart w:id="80" w:name="_Toc225107125"/>
                            <w:r>
                              <w:t xml:space="preserve">Figure </w:t>
                            </w:r>
                            <w:r>
                              <w:fldChar w:fldCharType="begin"/>
                            </w:r>
                            <w:r>
                              <w:instrText xml:space="preserve"> SEQ Figure \* ARABIC </w:instrText>
                            </w:r>
                            <w:r>
                              <w:fldChar w:fldCharType="separate"/>
                            </w:r>
                            <w:r w:rsidR="00DA3E67">
                              <w:rPr>
                                <w:noProof/>
                              </w:rPr>
                              <w:t>16</w:t>
                            </w:r>
                            <w:r>
                              <w:fldChar w:fldCharType="end"/>
                            </w:r>
                            <w:r>
                              <w:t xml:space="preserve"> shows the multi cylinder torque value over the engine cycle.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1572D" id="_x0000_s1038" type="#_x0000_t202" style="position:absolute;margin-left:43.75pt;margin-top:530.15pt;width:363.7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" stroked="f">
                <v:textbox style="mso-fit-shape-to-text:t" inset="0,0,0,0">
                  <w:txbxContent>
                    <w:p w14:paraId="7BE70FD1" w14:textId="331430CB" w:rsidR="00CA5993" w:rsidRPr="00BD2D3D" w:rsidRDefault="00CA5993" w:rsidP="00CA5993">
                      <w:pPr>
                        <w:pStyle w:val="Caption"/>
                        <w:jc w:val="center"/>
                        <w:rPr>
                          <w:sz w:val="22"/>
                          <w:szCs w:val="22"/>
                        </w:rPr>
                      </w:pPr>
                      <w:bookmarkStart w:id="81" w:name="_Toc225107125"/>
                      <w:r>
                        <w:t xml:space="preserve">Figure </w:t>
                      </w:r>
                      <w:r>
                        <w:fldChar w:fldCharType="begin"/>
                      </w:r>
                      <w:r>
                        <w:instrText xml:space="preserve"> SEQ Figure \* ARABIC </w:instrText>
                      </w:r>
                      <w:r>
                        <w:fldChar w:fldCharType="separate"/>
                      </w:r>
                      <w:r w:rsidR="00DA3E67">
                        <w:rPr>
                          <w:noProof/>
                        </w:rPr>
                        <w:t>16</w:t>
                      </w:r>
                      <w:r>
                        <w:fldChar w:fldCharType="end"/>
                      </w:r>
                      <w:r>
                        <w:t xml:space="preserve"> shows the multi cylinder torque value over the engine cycle.</w:t>
                      </w:r>
                      <w:bookmarkEnd w:id="81"/>
                    </w:p>
                  </w:txbxContent>
                </v:textbox>
                <w10:wrap type="topAndBottom"/>
              </v:shape>
            </w:pict>
          </mc:Fallback>
        </mc:AlternateContent>
      </w:r>
      <w:r w:rsidRPr="00CA5993">
        <w:rPr>
          <w:noProof/>
        </w:rPr>
        <w:drawing>
          <wp:anchor distT="0" distB="0" distL="114300" distR="114300" simplePos="0" relativeHeight="251693056" behindDoc="0" locked="0" layoutInCell="1" allowOverlap="1" wp14:anchorId="5EF34701" wp14:editId="501CF960">
            <wp:simplePos x="0" y="0"/>
            <wp:positionH relativeFrom="margin">
              <wp:align>center</wp:align>
            </wp:positionH>
            <wp:positionV relativeFrom="paragraph">
              <wp:posOffset>3654425</wp:posOffset>
            </wp:positionV>
            <wp:extent cx="4619625" cy="3021745"/>
            <wp:effectExtent l="0" t="0" r="0" b="7620"/>
            <wp:wrapTopAndBottom/>
            <wp:docPr id="44656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67593" name=""/>
                    <pic:cNvPicPr/>
                  </pic:nvPicPr>
                  <pic:blipFill>
                    <a:blip r:embed="rId26">
                      <a:extLst>
                        <a:ext uri="{28A0092B-C50C-407E-A947-70E740481C1C}">
                          <a14:useLocalDpi xmlns:a14="http://schemas.microsoft.com/office/drawing/2010/main" val="0"/>
                        </a:ext>
                      </a:extLst>
                    </a:blip>
                    <a:stretch>
                      <a:fillRect/>
                    </a:stretch>
                  </pic:blipFill>
                  <pic:spPr>
                    <a:xfrm>
                      <a:off x="0" y="0"/>
                      <a:ext cx="4619625" cy="3021745"/>
                    </a:xfrm>
                    <a:prstGeom prst="rect">
                      <a:avLst/>
                    </a:prstGeom>
                  </pic:spPr>
                </pic:pic>
              </a:graphicData>
            </a:graphic>
          </wp:anchor>
        </w:drawing>
      </w:r>
      <w:r w:rsidR="00705064">
        <w:rPr>
          <w:rFonts w:eastAsiaTheme="majorEastAsia" w:cstheme="minorHAnsi"/>
        </w:rPr>
        <w:t xml:space="preserve">Across these analyses, the connecting rod bolts were identified to be the most critical component due to their consistently lower fatigue safety factor. This attributed to: </w:t>
      </w:r>
    </w:p>
    <w:p w14:paraId="65B630EE" w14:textId="4D1F9DA1" w:rsidR="00705064" w:rsidRDefault="00705064" w:rsidP="00705064">
      <w:pPr>
        <w:pStyle w:val="ListParagraph"/>
        <w:numPr>
          <w:ilvl w:val="0"/>
          <w:numId w:val="22"/>
        </w:numPr>
        <w:rPr>
          <w:rFonts w:eastAsiaTheme="majorEastAsia" w:cstheme="minorHAnsi"/>
        </w:rPr>
      </w:pPr>
      <w:r>
        <w:rPr>
          <w:rFonts w:eastAsiaTheme="majorEastAsia" w:cstheme="minorHAnsi"/>
        </w:rPr>
        <w:t>High mean stress from the preload</w:t>
      </w:r>
    </w:p>
    <w:p w14:paraId="7CE0D95D" w14:textId="4B13DBAE" w:rsidR="00705064" w:rsidRDefault="00705064" w:rsidP="00705064">
      <w:pPr>
        <w:pStyle w:val="ListParagraph"/>
        <w:numPr>
          <w:ilvl w:val="0"/>
          <w:numId w:val="22"/>
        </w:numPr>
        <w:rPr>
          <w:rFonts w:eastAsiaTheme="majorEastAsia" w:cstheme="minorHAnsi"/>
        </w:rPr>
      </w:pPr>
      <w:r>
        <w:rPr>
          <w:rFonts w:eastAsiaTheme="majorEastAsia" w:cstheme="minorHAnsi"/>
        </w:rPr>
        <w:t>Superimposed fluctuating tensile loads</w:t>
      </w:r>
    </w:p>
    <w:p w14:paraId="00665D15" w14:textId="77777777" w:rsidR="00705064" w:rsidRDefault="00705064" w:rsidP="00705064">
      <w:pPr>
        <w:pStyle w:val="ListParagraph"/>
        <w:numPr>
          <w:ilvl w:val="0"/>
          <w:numId w:val="22"/>
        </w:numPr>
        <w:rPr>
          <w:rFonts w:eastAsiaTheme="majorEastAsia" w:cstheme="minorHAnsi"/>
        </w:rPr>
      </w:pPr>
      <w:r>
        <w:rPr>
          <w:rFonts w:eastAsiaTheme="majorEastAsia" w:cstheme="minorHAnsi"/>
        </w:rPr>
        <w:t>Sensitivity to increasing inertial forces at higher rpms</w:t>
      </w:r>
    </w:p>
    <w:p w14:paraId="3DC10640" w14:textId="7FC9764A" w:rsidR="00705064" w:rsidRPr="00705064" w:rsidRDefault="00705064" w:rsidP="00705064">
      <w:pPr>
        <w:rPr>
          <w:rFonts w:eastAsiaTheme="majorEastAsia" w:cstheme="minorHAnsi"/>
        </w:rPr>
      </w:pPr>
      <w:r>
        <w:rPr>
          <w:rFonts w:eastAsiaTheme="majorEastAsia" w:cstheme="minorHAnsi"/>
        </w:rPr>
        <w:lastRenderedPageBreak/>
        <w:t xml:space="preserve">In contrast to this, the connecting rod and Gudgeon pin show higher safety factors indicating that their design has been conservative, this can be attributed to failure of the connecting rod is considered to be </w:t>
      </w:r>
      <w:r w:rsidR="004150FC">
        <w:rPr>
          <w:rFonts w:eastAsiaTheme="majorEastAsia" w:cstheme="minorHAnsi"/>
        </w:rPr>
        <w:t>catastrophic failure of the engine</w:t>
      </w:r>
      <w:sdt>
        <w:sdtPr>
          <w:rPr>
            <w:rFonts w:eastAsiaTheme="majorEastAsia" w:cstheme="minorHAnsi"/>
          </w:rPr>
          <w:id w:val="1027137769"/>
          <w:citation/>
        </w:sdtPr>
        <w:sdtEndPr/>
        <w:sdtContent>
          <w:r w:rsidR="004150FC">
            <w:rPr>
              <w:rFonts w:eastAsiaTheme="majorEastAsia" w:cstheme="minorHAnsi"/>
            </w:rPr>
            <w:fldChar w:fldCharType="begin"/>
          </w:r>
          <w:r w:rsidR="004150FC">
            <w:rPr>
              <w:rFonts w:eastAsiaTheme="majorEastAsia" w:cstheme="minorHAnsi"/>
            </w:rPr>
            <w:instrText xml:space="preserve"> CITATION JLe15 \l 2057 </w:instrText>
          </w:r>
          <w:r w:rsidR="004150FC">
            <w:rPr>
              <w:rFonts w:eastAsiaTheme="majorEastAsia" w:cstheme="minorHAnsi"/>
            </w:rPr>
            <w:fldChar w:fldCharType="separate"/>
          </w:r>
          <w:r w:rsidR="00F23937">
            <w:rPr>
              <w:rFonts w:eastAsiaTheme="majorEastAsia" w:cstheme="minorHAnsi"/>
              <w:noProof/>
            </w:rPr>
            <w:t xml:space="preserve"> </w:t>
          </w:r>
          <w:r w:rsidR="00F23937" w:rsidRPr="00F23937">
            <w:rPr>
              <w:rFonts w:eastAsiaTheme="majorEastAsia" w:cstheme="minorHAnsi"/>
              <w:noProof/>
            </w:rPr>
            <w:t>(J. Leon, 2015)</w:t>
          </w:r>
          <w:r w:rsidR="004150FC">
            <w:rPr>
              <w:rFonts w:eastAsiaTheme="majorEastAsia" w:cstheme="minorHAnsi"/>
            </w:rPr>
            <w:fldChar w:fldCharType="end"/>
          </w:r>
        </w:sdtContent>
      </w:sdt>
      <w:r>
        <w:rPr>
          <w:rFonts w:eastAsiaTheme="majorEastAsia" w:cstheme="minorHAnsi"/>
        </w:rPr>
        <w:t xml:space="preserve">. This opens the possibility for weight reduction or material optimisation practices without potentially compromising safety. These results indicate that any design efforts should be focused on connecting rod bolt performance, either through increased cross-sectional area or improved material properties. </w:t>
      </w:r>
      <w:r w:rsidRPr="00705064">
        <w:rPr>
          <w:rFonts w:eastAsiaTheme="majorEastAsia" w:cstheme="minorHAnsi"/>
        </w:rPr>
        <w:t xml:space="preserve"> </w:t>
      </w:r>
    </w:p>
    <w:p w14:paraId="0A6A2161" w14:textId="04217D50" w:rsidR="00B57429" w:rsidRDefault="00B57429" w:rsidP="00B57429">
      <w:pPr>
        <w:rPr>
          <w:rFonts w:eastAsiaTheme="majorEastAsia" w:cstheme="minorHAnsi"/>
        </w:rPr>
      </w:pPr>
    </w:p>
    <w:p w14:paraId="2466E182" w14:textId="0F642A53" w:rsidR="00B57429" w:rsidRDefault="00B57429" w:rsidP="00B57429">
      <w:pPr>
        <w:rPr>
          <w:rFonts w:eastAsiaTheme="majorEastAsia" w:cstheme="minorHAnsi"/>
        </w:rPr>
      </w:pPr>
    </w:p>
    <w:p w14:paraId="29CE8DAB" w14:textId="668BC99B" w:rsidR="00B57429" w:rsidRDefault="00B57429" w:rsidP="00B57429">
      <w:pPr>
        <w:rPr>
          <w:rFonts w:eastAsiaTheme="majorEastAsia" w:cstheme="minorHAnsi"/>
        </w:rPr>
      </w:pPr>
    </w:p>
    <w:p w14:paraId="3161C4CF" w14:textId="119145FF" w:rsidR="00B57429" w:rsidRDefault="00B57429" w:rsidP="00B57429">
      <w:pPr>
        <w:rPr>
          <w:rFonts w:eastAsiaTheme="majorEastAsia" w:cstheme="minorHAnsi"/>
        </w:rPr>
      </w:pPr>
    </w:p>
    <w:p w14:paraId="056D907E" w14:textId="46FACA44" w:rsidR="00B57429" w:rsidRDefault="00B57429" w:rsidP="00B57429">
      <w:pPr>
        <w:rPr>
          <w:rFonts w:eastAsiaTheme="majorEastAsia" w:cstheme="minorHAnsi"/>
        </w:rPr>
      </w:pPr>
    </w:p>
    <w:p w14:paraId="635BA217" w14:textId="7F726675" w:rsidR="0073040A" w:rsidRDefault="0073040A" w:rsidP="00B57429">
      <w:pPr>
        <w:rPr>
          <w:rFonts w:eastAsiaTheme="majorEastAsia" w:cstheme="minorHAnsi"/>
        </w:rPr>
      </w:pPr>
    </w:p>
    <w:p w14:paraId="0D123550" w14:textId="77777777" w:rsidR="0073040A" w:rsidRDefault="0073040A" w:rsidP="00B57429">
      <w:pPr>
        <w:rPr>
          <w:rFonts w:eastAsiaTheme="majorEastAsia" w:cstheme="minorHAnsi"/>
        </w:rPr>
      </w:pPr>
    </w:p>
    <w:p w14:paraId="7633F142" w14:textId="77777777" w:rsidR="0073040A" w:rsidRDefault="0073040A" w:rsidP="00B57429">
      <w:pPr>
        <w:rPr>
          <w:rFonts w:eastAsiaTheme="majorEastAsia" w:cstheme="minorHAnsi"/>
        </w:rPr>
      </w:pPr>
    </w:p>
    <w:p w14:paraId="0E28DE7F" w14:textId="77777777" w:rsidR="0073040A" w:rsidRDefault="0073040A" w:rsidP="00B57429">
      <w:pPr>
        <w:rPr>
          <w:rFonts w:eastAsiaTheme="majorEastAsia" w:cstheme="minorHAnsi"/>
        </w:rPr>
      </w:pPr>
    </w:p>
    <w:p w14:paraId="17F887F9" w14:textId="77777777" w:rsidR="0073040A" w:rsidRDefault="0073040A" w:rsidP="00B57429">
      <w:pPr>
        <w:rPr>
          <w:rFonts w:eastAsiaTheme="majorEastAsia" w:cstheme="minorHAnsi"/>
        </w:rPr>
      </w:pPr>
    </w:p>
    <w:p w14:paraId="2BE67B17" w14:textId="77777777" w:rsidR="0073040A" w:rsidRDefault="0073040A" w:rsidP="00B57429">
      <w:pPr>
        <w:rPr>
          <w:rFonts w:eastAsiaTheme="majorEastAsia" w:cstheme="minorHAnsi"/>
        </w:rPr>
      </w:pPr>
    </w:p>
    <w:p w14:paraId="6B3E8223" w14:textId="77777777" w:rsidR="0073040A" w:rsidRDefault="0073040A" w:rsidP="00B57429">
      <w:pPr>
        <w:rPr>
          <w:rFonts w:eastAsiaTheme="majorEastAsia" w:cstheme="minorHAnsi"/>
        </w:rPr>
      </w:pPr>
    </w:p>
    <w:p w14:paraId="7A18681B" w14:textId="77777777" w:rsidR="0073040A" w:rsidRDefault="0073040A" w:rsidP="00B57429">
      <w:pPr>
        <w:rPr>
          <w:rFonts w:eastAsiaTheme="majorEastAsia" w:cstheme="minorHAnsi"/>
        </w:rPr>
      </w:pPr>
    </w:p>
    <w:p w14:paraId="7E70B456" w14:textId="77777777" w:rsidR="0073040A" w:rsidRDefault="0073040A" w:rsidP="00B57429">
      <w:pPr>
        <w:rPr>
          <w:rFonts w:eastAsiaTheme="majorEastAsia" w:cstheme="minorHAnsi"/>
        </w:rPr>
      </w:pPr>
    </w:p>
    <w:p w14:paraId="0F5A6AA0" w14:textId="77777777" w:rsidR="0073040A" w:rsidRDefault="0073040A" w:rsidP="00B57429">
      <w:pPr>
        <w:rPr>
          <w:rFonts w:eastAsiaTheme="majorEastAsia" w:cstheme="minorHAnsi"/>
        </w:rPr>
      </w:pPr>
    </w:p>
    <w:p w14:paraId="05EF1704" w14:textId="77777777" w:rsidR="0073040A" w:rsidRDefault="0073040A" w:rsidP="00B57429">
      <w:pPr>
        <w:rPr>
          <w:rFonts w:eastAsiaTheme="majorEastAsia" w:cstheme="minorHAnsi"/>
        </w:rPr>
      </w:pPr>
    </w:p>
    <w:p w14:paraId="3D3F0CFA" w14:textId="77777777" w:rsidR="0073040A" w:rsidRDefault="0073040A" w:rsidP="00B57429">
      <w:pPr>
        <w:rPr>
          <w:rFonts w:eastAsiaTheme="majorEastAsia" w:cstheme="minorHAnsi"/>
        </w:rPr>
      </w:pPr>
    </w:p>
    <w:p w14:paraId="26DF78AF" w14:textId="77777777" w:rsidR="0073040A" w:rsidRDefault="0073040A" w:rsidP="00B57429">
      <w:pPr>
        <w:rPr>
          <w:rFonts w:eastAsiaTheme="majorEastAsia" w:cstheme="minorHAnsi"/>
        </w:rPr>
      </w:pPr>
    </w:p>
    <w:p w14:paraId="00894F68" w14:textId="77777777" w:rsidR="0073040A" w:rsidRDefault="0073040A" w:rsidP="00B57429">
      <w:pPr>
        <w:rPr>
          <w:rFonts w:eastAsiaTheme="majorEastAsia" w:cstheme="minorHAnsi"/>
        </w:rPr>
      </w:pPr>
    </w:p>
    <w:p w14:paraId="7C1EECCD" w14:textId="77777777" w:rsidR="0073040A" w:rsidRDefault="0073040A" w:rsidP="00B57429">
      <w:pPr>
        <w:rPr>
          <w:rFonts w:eastAsiaTheme="majorEastAsia" w:cstheme="minorHAnsi"/>
        </w:rPr>
      </w:pPr>
    </w:p>
    <w:p w14:paraId="66AF7C96" w14:textId="77777777" w:rsidR="0073040A" w:rsidRDefault="0073040A" w:rsidP="00B57429">
      <w:pPr>
        <w:rPr>
          <w:rFonts w:eastAsiaTheme="majorEastAsia" w:cstheme="minorHAnsi"/>
        </w:rPr>
      </w:pPr>
    </w:p>
    <w:p w14:paraId="1D353F14" w14:textId="77777777" w:rsidR="0073040A" w:rsidRDefault="0073040A" w:rsidP="00B57429">
      <w:pPr>
        <w:rPr>
          <w:rFonts w:eastAsiaTheme="majorEastAsia" w:cstheme="minorHAnsi"/>
        </w:rPr>
      </w:pPr>
    </w:p>
    <w:p w14:paraId="0837AD54" w14:textId="77777777" w:rsidR="0073040A" w:rsidRDefault="0073040A" w:rsidP="00B57429">
      <w:pPr>
        <w:rPr>
          <w:rFonts w:eastAsiaTheme="majorEastAsia" w:cstheme="minorHAnsi"/>
        </w:rPr>
      </w:pPr>
    </w:p>
    <w:p w14:paraId="3FFEC1F1" w14:textId="77777777" w:rsidR="0073040A" w:rsidRDefault="0073040A" w:rsidP="00B57429">
      <w:pPr>
        <w:rPr>
          <w:rFonts w:eastAsiaTheme="majorEastAsia" w:cstheme="minorHAnsi"/>
        </w:rPr>
      </w:pPr>
    </w:p>
    <w:p w14:paraId="42786E14" w14:textId="77777777" w:rsidR="00705064" w:rsidRDefault="00705064" w:rsidP="00B57429">
      <w:pPr>
        <w:rPr>
          <w:rFonts w:eastAsiaTheme="majorEastAsia" w:cstheme="minorHAnsi"/>
        </w:rPr>
      </w:pPr>
    </w:p>
    <w:p w14:paraId="7856B340" w14:textId="77777777" w:rsidR="00705064" w:rsidRPr="007340D0" w:rsidRDefault="00705064" w:rsidP="00B57429">
      <w:pPr>
        <w:rPr>
          <w:rFonts w:eastAsiaTheme="majorEastAsia" w:cstheme="minorHAnsi"/>
        </w:rPr>
      </w:pPr>
    </w:p>
    <w:p w14:paraId="19F24BB0" w14:textId="02EEF2D3" w:rsidR="007340D0" w:rsidRPr="007340D0" w:rsidRDefault="005B26D8" w:rsidP="00E31C52">
      <w:pPr>
        <w:pStyle w:val="Heading1"/>
        <w:numPr>
          <w:ilvl w:val="0"/>
          <w:numId w:val="0"/>
        </w:numPr>
      </w:pPr>
      <w:bookmarkStart w:id="82" w:name="_Toc216266671"/>
      <w:bookmarkStart w:id="83" w:name="_Toc225003692"/>
      <w:r>
        <w:lastRenderedPageBreak/>
        <w:t>4</w:t>
      </w:r>
      <w:r w:rsidR="007340D0" w:rsidRPr="007340D0">
        <w:t xml:space="preserve">. </w:t>
      </w:r>
      <w:bookmarkEnd w:id="82"/>
      <w:r w:rsidR="00E31C52">
        <w:t>High RPM Analysis</w:t>
      </w:r>
      <w:bookmarkEnd w:id="83"/>
    </w:p>
    <w:p w14:paraId="5B8ADD18" w14:textId="0B24F4F4" w:rsidR="004150FC" w:rsidRDefault="004150FC" w:rsidP="00F05CF6">
      <w:pPr>
        <w:pStyle w:val="Heading2"/>
        <w:numPr>
          <w:ilvl w:val="0"/>
          <w:numId w:val="0"/>
        </w:numPr>
        <w:ind w:left="576" w:hanging="576"/>
      </w:pPr>
      <w:bookmarkStart w:id="84" w:name="_Toc225003693"/>
      <w:r>
        <w:t>4.1 Extension to High Engine Speeds</w:t>
      </w:r>
    </w:p>
    <w:p w14:paraId="60EE904B" w14:textId="535AAD13" w:rsidR="004150FC" w:rsidRPr="004150FC" w:rsidRDefault="004150FC" w:rsidP="004150FC">
      <w:r>
        <w:t>To evaluate the performance of the engine components past its original operation range, this analysis was extended to 9000rpm, using interpolated pressure data from the given dataset. This represents a significant increase in engine speed compared to the baseline maximum of 6000 rpm, this allows the assessment of component behaviour under extreme operational conditions.</w:t>
      </w:r>
    </w:p>
    <w:p w14:paraId="3A2B5598" w14:textId="27BB1357" w:rsidR="004150FC" w:rsidRDefault="004150FC" w:rsidP="004150FC">
      <w:pPr>
        <w:pStyle w:val="Heading2"/>
        <w:numPr>
          <w:ilvl w:val="0"/>
          <w:numId w:val="0"/>
        </w:numPr>
        <w:ind w:left="576" w:hanging="576"/>
      </w:pPr>
      <w:r>
        <w:t xml:space="preserve">4.2 </w:t>
      </w:r>
      <w:r w:rsidR="00510048">
        <w:t>Influence of Inertial Forces</w:t>
      </w:r>
      <w:r w:rsidR="00F05CF6">
        <w:t xml:space="preserve"> at 9000rpm</w:t>
      </w:r>
      <w:bookmarkEnd w:id="84"/>
    </w:p>
    <w:p w14:paraId="29762048" w14:textId="2A062E5D" w:rsidR="00510048" w:rsidRPr="00510048" w:rsidRDefault="00510048" w:rsidP="00510048">
      <w:r>
        <w:t>At 9000 rpm, the inertial forces increase substantially due to their proportional relationship with angular velocity as seen in the equations below:</w:t>
      </w:r>
    </w:p>
    <w:bookmarkStart w:id="85" w:name="_Toc225107142"/>
    <w:p w14:paraId="32EFD0E4" w14:textId="40DA5434" w:rsidR="00510048" w:rsidRDefault="00406D56" w:rsidP="00510048">
      <w:pPr>
        <w:pStyle w:val="Caption"/>
        <w:jc w:val="center"/>
      </w:pPr>
      <m:oMathPara>
        <m:oMath>
          <m:sSub>
            <m:sSubPr>
              <m:ctrlPr>
                <w:rPr>
                  <w:rFonts w:ascii="Cambria Math" w:hAnsi="Cambria Math"/>
                  <w:i w:val="0"/>
                  <w:iCs w:val="0"/>
                  <w:color w:val="auto"/>
                  <w:sz w:val="22"/>
                  <w:szCs w:val="22"/>
                </w:rPr>
              </m:ctrlPr>
            </m:sSubPr>
            <m:e>
              <m:r>
                <w:rPr>
                  <w:rFonts w:ascii="Cambria Math" w:hAnsi="Cambria Math"/>
                  <w:color w:val="auto"/>
                  <w:sz w:val="22"/>
                  <w:szCs w:val="22"/>
                </w:rPr>
                <m:t>F</m:t>
              </m:r>
            </m:e>
            <m:sub>
              <m:r>
                <m:rPr>
                  <m:nor/>
                </m:rPr>
                <w:rPr>
                  <w:i w:val="0"/>
                  <w:iCs w:val="0"/>
                  <w:color w:val="auto"/>
                  <w:sz w:val="22"/>
                  <w:szCs w:val="22"/>
                </w:rPr>
                <m:t>inertia</m:t>
              </m:r>
            </m:sub>
          </m:sSub>
          <m:r>
            <w:rPr>
              <w:rFonts w:ascii="Cambria Math" w:hAnsi="Cambria Math"/>
              <w:color w:val="auto"/>
              <w:sz w:val="22"/>
              <w:szCs w:val="22"/>
            </w:rPr>
            <m:t>∝</m:t>
          </m:r>
          <m:sSup>
            <m:sSupPr>
              <m:ctrlPr>
                <w:rPr>
                  <w:rFonts w:ascii="Cambria Math" w:hAnsi="Cambria Math"/>
                  <w:i w:val="0"/>
                  <w:iCs w:val="0"/>
                  <w:color w:val="auto"/>
                  <w:sz w:val="22"/>
                  <w:szCs w:val="22"/>
                </w:rPr>
              </m:ctrlPr>
            </m:sSupPr>
            <m:e>
              <m:r>
                <w:rPr>
                  <w:rFonts w:ascii="Cambria Math" w:hAnsi="Cambria Math"/>
                  <w:color w:val="auto"/>
                  <w:sz w:val="22"/>
                  <w:szCs w:val="22"/>
                </w:rPr>
                <m:t>ω</m:t>
              </m:r>
            </m:e>
            <m:sup>
              <m:r>
                <w:rPr>
                  <w:rFonts w:ascii="Cambria Math" w:hAnsi="Cambria Math"/>
                  <w:color w:val="auto"/>
                  <w:sz w:val="22"/>
                  <w:szCs w:val="22"/>
                </w:rPr>
                <m:t>2</m:t>
              </m:r>
            </m:sup>
          </m:sSup>
          <m:r>
            <w:rPr>
              <w:color w:val="auto"/>
              <w:sz w:val="22"/>
              <w:szCs w:val="22"/>
            </w:rPr>
            <w:br/>
          </m:r>
        </m:oMath>
      </m:oMathPara>
      <w:r w:rsidR="00510048">
        <w:t xml:space="preserve">Equation </w:t>
      </w:r>
      <w:r w:rsidR="00510048">
        <w:fldChar w:fldCharType="begin"/>
      </w:r>
      <w:r w:rsidR="00510048">
        <w:instrText xml:space="preserve"> SEQ Equation \* ARABIC </w:instrText>
      </w:r>
      <w:r w:rsidR="00510048">
        <w:fldChar w:fldCharType="separate"/>
      </w:r>
      <w:r w:rsidR="007C5B87">
        <w:rPr>
          <w:noProof/>
        </w:rPr>
        <w:t>8</w:t>
      </w:r>
      <w:r w:rsidR="00510048">
        <w:fldChar w:fldCharType="end"/>
      </w:r>
      <w:r w:rsidR="00510048">
        <w:t xml:space="preserve"> shows the mathematical relationship between Inertia and angular velocity.</w:t>
      </w:r>
      <w:bookmarkEnd w:id="85"/>
    </w:p>
    <w:p w14:paraId="2FEA10B3" w14:textId="78BB7035" w:rsidR="00510048" w:rsidRDefault="00510048" w:rsidP="00510048">
      <w:r>
        <w:t xml:space="preserve">A result of this is that inertial loading becomes a dominant contributor to total force acting on the components especially during the intake and exhaust strokes. This causes higher tensile stresses acting on the connecting rod compared to lower engine speeds. </w:t>
      </w:r>
    </w:p>
    <w:p w14:paraId="6DDABD2B" w14:textId="3585F6F0" w:rsidR="0026031D" w:rsidRDefault="00DA096F" w:rsidP="00510048">
      <w:r>
        <w:rPr>
          <w:noProof/>
        </w:rPr>
        <mc:AlternateContent>
          <mc:Choice Requires="wps">
            <w:drawing>
              <wp:anchor distT="0" distB="0" distL="114300" distR="114300" simplePos="0" relativeHeight="251698176" behindDoc="0" locked="0" layoutInCell="1" allowOverlap="1" wp14:anchorId="6F5F359E" wp14:editId="092C60AB">
                <wp:simplePos x="0" y="0"/>
                <wp:positionH relativeFrom="column">
                  <wp:posOffset>894080</wp:posOffset>
                </wp:positionH>
                <wp:positionV relativeFrom="paragraph">
                  <wp:posOffset>3352165</wp:posOffset>
                </wp:positionV>
                <wp:extent cx="3943985" cy="635"/>
                <wp:effectExtent l="0" t="0" r="0" b="0"/>
                <wp:wrapTopAndBottom/>
                <wp:docPr id="1532398671" name="Text Box 1"/>
                <wp:cNvGraphicFramePr/>
                <a:graphic xmlns:a="http://schemas.openxmlformats.org/drawingml/2006/main">
                  <a:graphicData uri="http://schemas.microsoft.com/office/word/2010/wordprocessingShape">
                    <wps:wsp>
                      <wps:cNvSpPr txBox="1"/>
                      <wps:spPr>
                        <a:xfrm>
                          <a:off x="0" y="0"/>
                          <a:ext cx="3943985" cy="635"/>
                        </a:xfrm>
                        <a:prstGeom prst="rect">
                          <a:avLst/>
                        </a:prstGeom>
                        <a:solidFill>
                          <a:prstClr val="white"/>
                        </a:solidFill>
                        <a:ln>
                          <a:noFill/>
                        </a:ln>
                      </wps:spPr>
                      <wps:txbx>
                        <w:txbxContent>
                          <w:p w14:paraId="24C128CC" w14:textId="5B37571F" w:rsidR="00DA096F" w:rsidRPr="00AE2131" w:rsidRDefault="00DA096F" w:rsidP="00DA096F">
                            <w:pPr>
                              <w:pStyle w:val="Caption"/>
                              <w:jc w:val="center"/>
                              <w:rPr>
                                <w:noProof/>
                                <w:sz w:val="22"/>
                                <w:szCs w:val="22"/>
                              </w:rPr>
                            </w:pPr>
                            <w:bookmarkStart w:id="86" w:name="_Toc225107126"/>
                            <w:r>
                              <w:t xml:space="preserve">Figure </w:t>
                            </w:r>
                            <w:r>
                              <w:fldChar w:fldCharType="begin"/>
                            </w:r>
                            <w:r>
                              <w:instrText xml:space="preserve"> SEQ Figure \* ARABIC </w:instrText>
                            </w:r>
                            <w:r>
                              <w:fldChar w:fldCharType="separate"/>
                            </w:r>
                            <w:r w:rsidR="00DA3E67">
                              <w:rPr>
                                <w:noProof/>
                              </w:rPr>
                              <w:t>17</w:t>
                            </w:r>
                            <w:r>
                              <w:fldChar w:fldCharType="end"/>
                            </w:r>
                            <w:r>
                              <w:t xml:space="preserve"> shows the gas force and inertial force across the crank angle.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5F359E" id="_x0000_s1039" type="#_x0000_t202" style="position:absolute;margin-left:70.4pt;margin-top:263.95pt;width:310.5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" stroked="f">
                <v:textbox style="mso-fit-shape-to-text:t" inset="0,0,0,0">
                  <w:txbxContent>
                    <w:p w14:paraId="24C128CC" w14:textId="5B37571F" w:rsidR="00DA096F" w:rsidRPr="00AE2131" w:rsidRDefault="00DA096F" w:rsidP="00DA096F">
                      <w:pPr>
                        <w:pStyle w:val="Caption"/>
                        <w:jc w:val="center"/>
                        <w:rPr>
                          <w:noProof/>
                          <w:sz w:val="22"/>
                          <w:szCs w:val="22"/>
                        </w:rPr>
                      </w:pPr>
                      <w:bookmarkStart w:id="87" w:name="_Toc225107126"/>
                      <w:r>
                        <w:t xml:space="preserve">Figure </w:t>
                      </w:r>
                      <w:r>
                        <w:fldChar w:fldCharType="begin"/>
                      </w:r>
                      <w:r>
                        <w:instrText xml:space="preserve"> SEQ Figure \* ARABIC </w:instrText>
                      </w:r>
                      <w:r>
                        <w:fldChar w:fldCharType="separate"/>
                      </w:r>
                      <w:r w:rsidR="00DA3E67">
                        <w:rPr>
                          <w:noProof/>
                        </w:rPr>
                        <w:t>17</w:t>
                      </w:r>
                      <w:r>
                        <w:fldChar w:fldCharType="end"/>
                      </w:r>
                      <w:r>
                        <w:t xml:space="preserve"> shows the gas force and inertial force across the crank angle.</w:t>
                      </w:r>
                      <w:bookmarkEnd w:id="87"/>
                    </w:p>
                  </w:txbxContent>
                </v:textbox>
                <w10:wrap type="topAndBottom"/>
              </v:shape>
            </w:pict>
          </mc:Fallback>
        </mc:AlternateContent>
      </w:r>
      <w:r>
        <w:rPr>
          <w:noProof/>
        </w:rPr>
        <w:drawing>
          <wp:anchor distT="0" distB="0" distL="114300" distR="114300" simplePos="0" relativeHeight="251696128" behindDoc="0" locked="0" layoutInCell="1" allowOverlap="1" wp14:anchorId="35E8A442" wp14:editId="70CD6115">
            <wp:simplePos x="0" y="0"/>
            <wp:positionH relativeFrom="margin">
              <wp:align>center</wp:align>
            </wp:positionH>
            <wp:positionV relativeFrom="paragraph">
              <wp:posOffset>603307</wp:posOffset>
            </wp:positionV>
            <wp:extent cx="3943985" cy="2691765"/>
            <wp:effectExtent l="0" t="0" r="0" b="0"/>
            <wp:wrapTopAndBottom/>
            <wp:docPr id="975316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16034" name=""/>
                    <pic:cNvPicPr/>
                  </pic:nvPicPr>
                  <pic:blipFill>
                    <a:blip r:embed="rId27">
                      <a:extLst>
                        <a:ext uri="{28A0092B-C50C-407E-A947-70E740481C1C}">
                          <a14:useLocalDpi xmlns:a14="http://schemas.microsoft.com/office/drawing/2010/main" val="0"/>
                        </a:ext>
                      </a:extLst>
                    </a:blip>
                    <a:stretch>
                      <a:fillRect/>
                    </a:stretch>
                  </pic:blipFill>
                  <pic:spPr>
                    <a:xfrm>
                      <a:off x="0" y="0"/>
                      <a:ext cx="3943985" cy="2691765"/>
                    </a:xfrm>
                    <a:prstGeom prst="rect">
                      <a:avLst/>
                    </a:prstGeom>
                  </pic:spPr>
                </pic:pic>
              </a:graphicData>
            </a:graphic>
            <wp14:sizeRelH relativeFrom="margin">
              <wp14:pctWidth>0</wp14:pctWidth>
            </wp14:sizeRelH>
            <wp14:sizeRelV relativeFrom="margin">
              <wp14:pctHeight>0</wp14:pctHeight>
            </wp14:sizeRelV>
          </wp:anchor>
        </w:drawing>
      </w:r>
      <w:r w:rsidR="0026031D">
        <w:t>The comparison of gas and inertial forces demonstrates that while g</w:t>
      </w:r>
      <w:r>
        <w:t xml:space="preserve">as forces remain relatively unchanged across the rpm range, the inertial forces increase dramatically, altering the loading regime of the engine components. </w:t>
      </w:r>
    </w:p>
    <w:p w14:paraId="4C36A303" w14:textId="55C183A4" w:rsidR="00DA096F" w:rsidRPr="00510048" w:rsidRDefault="00DA096F" w:rsidP="00510048"/>
    <w:p w14:paraId="3C5CFF78" w14:textId="49ABAFC6" w:rsidR="004150FC" w:rsidRPr="004150FC" w:rsidRDefault="004150FC" w:rsidP="004150FC"/>
    <w:p w14:paraId="5E8D998B" w14:textId="034ED3CB" w:rsidR="004150FC" w:rsidRDefault="004150FC" w:rsidP="004150FC"/>
    <w:p w14:paraId="7CF7645B" w14:textId="77777777" w:rsidR="00DA096F" w:rsidRDefault="00DA096F" w:rsidP="004150FC"/>
    <w:p w14:paraId="43EE3AC8" w14:textId="77777777" w:rsidR="00DA096F" w:rsidRDefault="00DA096F" w:rsidP="004150FC"/>
    <w:p w14:paraId="50AC59D6" w14:textId="77777777" w:rsidR="00DA096F" w:rsidRDefault="00DA096F" w:rsidP="004150FC"/>
    <w:p w14:paraId="213DC73A" w14:textId="77777777" w:rsidR="00DA096F" w:rsidRDefault="00DA096F" w:rsidP="004150FC"/>
    <w:p w14:paraId="5E64D2BF" w14:textId="3A232203" w:rsidR="00B57429" w:rsidRPr="00DA096F" w:rsidRDefault="00DA096F" w:rsidP="00DA096F">
      <w:r>
        <w:rPr>
          <w:noProof/>
        </w:rPr>
        <w:lastRenderedPageBreak/>
        <mc:AlternateContent>
          <mc:Choice Requires="wps">
            <w:drawing>
              <wp:anchor distT="0" distB="0" distL="114300" distR="114300" simplePos="0" relativeHeight="251701248" behindDoc="0" locked="0" layoutInCell="1" allowOverlap="1" wp14:anchorId="6200A884" wp14:editId="1E018511">
                <wp:simplePos x="0" y="0"/>
                <wp:positionH relativeFrom="column">
                  <wp:posOffset>624205</wp:posOffset>
                </wp:positionH>
                <wp:positionV relativeFrom="paragraph">
                  <wp:posOffset>3019425</wp:posOffset>
                </wp:positionV>
                <wp:extent cx="4483100" cy="635"/>
                <wp:effectExtent l="0" t="0" r="0" b="0"/>
                <wp:wrapTopAndBottom/>
                <wp:docPr id="1402300610" name="Text Box 1"/>
                <wp:cNvGraphicFramePr/>
                <a:graphic xmlns:a="http://schemas.openxmlformats.org/drawingml/2006/main">
                  <a:graphicData uri="http://schemas.microsoft.com/office/word/2010/wordprocessingShape">
                    <wps:wsp>
                      <wps:cNvSpPr txBox="1"/>
                      <wps:spPr>
                        <a:xfrm>
                          <a:off x="0" y="0"/>
                          <a:ext cx="4483100" cy="635"/>
                        </a:xfrm>
                        <a:prstGeom prst="rect">
                          <a:avLst/>
                        </a:prstGeom>
                        <a:solidFill>
                          <a:prstClr val="white"/>
                        </a:solidFill>
                        <a:ln>
                          <a:noFill/>
                        </a:ln>
                      </wps:spPr>
                      <wps:txbx>
                        <w:txbxContent>
                          <w:p w14:paraId="5C4484BE" w14:textId="08A76317" w:rsidR="00DA096F" w:rsidRPr="00365F15" w:rsidRDefault="00DA096F" w:rsidP="00DA096F">
                            <w:pPr>
                              <w:pStyle w:val="Caption"/>
                              <w:jc w:val="center"/>
                              <w:rPr>
                                <w:sz w:val="22"/>
                                <w:szCs w:val="22"/>
                              </w:rPr>
                            </w:pPr>
                            <w:bookmarkStart w:id="88" w:name="_Toc225107127"/>
                            <w:r>
                              <w:t xml:space="preserve">Figure </w:t>
                            </w:r>
                            <w:r>
                              <w:fldChar w:fldCharType="begin"/>
                            </w:r>
                            <w:r>
                              <w:instrText xml:space="preserve"> SEQ Figure \* ARABIC </w:instrText>
                            </w:r>
                            <w:r>
                              <w:fldChar w:fldCharType="separate"/>
                            </w:r>
                            <w:r w:rsidR="00DA3E67">
                              <w:rPr>
                                <w:noProof/>
                              </w:rPr>
                              <w:t>18</w:t>
                            </w:r>
                            <w:r>
                              <w:fldChar w:fldCharType="end"/>
                            </w:r>
                            <w:r>
                              <w:t xml:space="preserve"> shows the gas force and inertial force across the rpm ranges.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0A884" id="_x0000_s1040" type="#_x0000_t202" style="position:absolute;margin-left:49.15pt;margin-top:237.75pt;width:353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eMBGgIAAEAEAAAOAAAAZHJzL2Uyb0RvYy54bWysU8Fu2zAMvQ/YPwi6L07arCi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M+v72eTSkkKXZz/Tn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" stroked="f">
                <v:textbox style="mso-fit-shape-to-text:t" inset="0,0,0,0">
                  <w:txbxContent>
                    <w:p w14:paraId="5C4484BE" w14:textId="08A76317" w:rsidR="00DA096F" w:rsidRPr="00365F15" w:rsidRDefault="00DA096F" w:rsidP="00DA096F">
                      <w:pPr>
                        <w:pStyle w:val="Caption"/>
                        <w:jc w:val="center"/>
                        <w:rPr>
                          <w:sz w:val="22"/>
                          <w:szCs w:val="22"/>
                        </w:rPr>
                      </w:pPr>
                      <w:bookmarkStart w:id="89" w:name="_Toc225107127"/>
                      <w:r>
                        <w:t xml:space="preserve">Figure </w:t>
                      </w:r>
                      <w:r>
                        <w:fldChar w:fldCharType="begin"/>
                      </w:r>
                      <w:r>
                        <w:instrText xml:space="preserve"> SEQ Figure \* ARABIC </w:instrText>
                      </w:r>
                      <w:r>
                        <w:fldChar w:fldCharType="separate"/>
                      </w:r>
                      <w:r w:rsidR="00DA3E67">
                        <w:rPr>
                          <w:noProof/>
                        </w:rPr>
                        <w:t>18</w:t>
                      </w:r>
                      <w:r>
                        <w:fldChar w:fldCharType="end"/>
                      </w:r>
                      <w:r>
                        <w:t xml:space="preserve"> shows the gas force and inertial force across the rpm ranges.</w:t>
                      </w:r>
                      <w:bookmarkEnd w:id="89"/>
                    </w:p>
                  </w:txbxContent>
                </v:textbox>
                <w10:wrap type="topAndBottom"/>
              </v:shape>
            </w:pict>
          </mc:Fallback>
        </mc:AlternateContent>
      </w:r>
      <w:r w:rsidRPr="00DA096F">
        <w:rPr>
          <w:noProof/>
        </w:rPr>
        <w:drawing>
          <wp:anchor distT="0" distB="0" distL="114300" distR="114300" simplePos="0" relativeHeight="251699200" behindDoc="0" locked="0" layoutInCell="1" allowOverlap="1" wp14:anchorId="0B34CD76" wp14:editId="5984AA76">
            <wp:simplePos x="0" y="0"/>
            <wp:positionH relativeFrom="margin">
              <wp:align>center</wp:align>
            </wp:positionH>
            <wp:positionV relativeFrom="paragraph">
              <wp:posOffset>0</wp:posOffset>
            </wp:positionV>
            <wp:extent cx="4483100" cy="2962275"/>
            <wp:effectExtent l="0" t="0" r="0" b="9525"/>
            <wp:wrapTopAndBottom/>
            <wp:docPr id="70516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63666" name=""/>
                    <pic:cNvPicPr/>
                  </pic:nvPicPr>
                  <pic:blipFill>
                    <a:blip r:embed="rId28">
                      <a:extLst>
                        <a:ext uri="{28A0092B-C50C-407E-A947-70E740481C1C}">
                          <a14:useLocalDpi xmlns:a14="http://schemas.microsoft.com/office/drawing/2010/main" val="0"/>
                        </a:ext>
                      </a:extLst>
                    </a:blip>
                    <a:stretch>
                      <a:fillRect/>
                    </a:stretch>
                  </pic:blipFill>
                  <pic:spPr>
                    <a:xfrm>
                      <a:off x="0" y="0"/>
                      <a:ext cx="4483100" cy="2962275"/>
                    </a:xfrm>
                    <a:prstGeom prst="rect">
                      <a:avLst/>
                    </a:prstGeom>
                  </pic:spPr>
                </pic:pic>
              </a:graphicData>
            </a:graphic>
          </wp:anchor>
        </w:drawing>
      </w:r>
    </w:p>
    <w:p w14:paraId="66114B25" w14:textId="61666D4E" w:rsidR="00B57429" w:rsidRDefault="005B26D8" w:rsidP="00807E72">
      <w:pPr>
        <w:pStyle w:val="Heading2"/>
        <w:numPr>
          <w:ilvl w:val="0"/>
          <w:numId w:val="0"/>
        </w:numPr>
        <w:ind w:left="576" w:hanging="576"/>
      </w:pPr>
      <w:bookmarkStart w:id="90" w:name="_Toc225003694"/>
      <w:r>
        <w:t>4</w:t>
      </w:r>
      <w:r w:rsidR="00807E72">
        <w:t>.</w:t>
      </w:r>
      <w:r w:rsidR="004150FC">
        <w:t>3</w:t>
      </w:r>
      <w:r w:rsidR="00807E72">
        <w:t xml:space="preserve"> Effects on Fatigue Safety Factor</w:t>
      </w:r>
      <w:bookmarkEnd w:id="90"/>
      <w:r w:rsidR="00807E72">
        <w:t xml:space="preserve"> </w:t>
      </w:r>
    </w:p>
    <w:p w14:paraId="5DBD35F5" w14:textId="516B667A" w:rsidR="00DA096F" w:rsidRDefault="00DA096F" w:rsidP="00DA096F">
      <w:r>
        <w:t xml:space="preserve">The increased inertial forces at 9000 rpm results in higher stress amplitudes across all the components while the connecting rod experiences higher tensile stress during rapid deceleration phases, the gudgeon pin shows a proportional increase in stress due to load transmission. </w:t>
      </w:r>
    </w:p>
    <w:p w14:paraId="05B62B99" w14:textId="37FBF351" w:rsidR="00DA096F" w:rsidRDefault="009248F7" w:rsidP="00DA096F">
      <w:r>
        <w:rPr>
          <w:noProof/>
        </w:rPr>
        <mc:AlternateContent>
          <mc:Choice Requires="wps">
            <w:drawing>
              <wp:anchor distT="0" distB="0" distL="114300" distR="114300" simplePos="0" relativeHeight="251704320" behindDoc="0" locked="0" layoutInCell="1" allowOverlap="1" wp14:anchorId="7B445CE8" wp14:editId="72C8446B">
                <wp:simplePos x="0" y="0"/>
                <wp:positionH relativeFrom="column">
                  <wp:posOffset>922655</wp:posOffset>
                </wp:positionH>
                <wp:positionV relativeFrom="paragraph">
                  <wp:posOffset>3088640</wp:posOffset>
                </wp:positionV>
                <wp:extent cx="3882390" cy="635"/>
                <wp:effectExtent l="0" t="0" r="0" b="0"/>
                <wp:wrapTopAndBottom/>
                <wp:docPr id="2104917557" name="Text Box 1"/>
                <wp:cNvGraphicFramePr/>
                <a:graphic xmlns:a="http://schemas.openxmlformats.org/drawingml/2006/main">
                  <a:graphicData uri="http://schemas.microsoft.com/office/word/2010/wordprocessingShape">
                    <wps:wsp>
                      <wps:cNvSpPr txBox="1"/>
                      <wps:spPr>
                        <a:xfrm>
                          <a:off x="0" y="0"/>
                          <a:ext cx="3882390" cy="635"/>
                        </a:xfrm>
                        <a:prstGeom prst="rect">
                          <a:avLst/>
                        </a:prstGeom>
                        <a:solidFill>
                          <a:prstClr val="white"/>
                        </a:solidFill>
                        <a:ln>
                          <a:noFill/>
                        </a:ln>
                      </wps:spPr>
                      <wps:txbx>
                        <w:txbxContent>
                          <w:p w14:paraId="2B6F70BF" w14:textId="3E3FB8A1" w:rsidR="009248F7" w:rsidRPr="000557B4" w:rsidRDefault="009248F7" w:rsidP="009248F7">
                            <w:pPr>
                              <w:pStyle w:val="Caption"/>
                              <w:rPr>
                                <w:sz w:val="22"/>
                                <w:szCs w:val="22"/>
                              </w:rPr>
                            </w:pPr>
                            <w:bookmarkStart w:id="91" w:name="_Toc225107128"/>
                            <w:r>
                              <w:t xml:space="preserve">Figure </w:t>
                            </w:r>
                            <w:r>
                              <w:fldChar w:fldCharType="begin"/>
                            </w:r>
                            <w:r>
                              <w:instrText xml:space="preserve"> SEQ Figure \* ARABIC </w:instrText>
                            </w:r>
                            <w:r>
                              <w:fldChar w:fldCharType="separate"/>
                            </w:r>
                            <w:r w:rsidR="00DA3E67">
                              <w:rPr>
                                <w:noProof/>
                              </w:rPr>
                              <w:t>19</w:t>
                            </w:r>
                            <w:r>
                              <w:fldChar w:fldCharType="end"/>
                            </w:r>
                            <w:r>
                              <w:t xml:space="preserve"> shows the FS value calculated for the bolt across the rpm range and the rpm sweep.</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45CE8" id="_x0000_s1041" type="#_x0000_t202" style="position:absolute;margin-left:72.65pt;margin-top:243.2pt;width:305.7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" stroked="f">
                <v:textbox style="mso-fit-shape-to-text:t" inset="0,0,0,0">
                  <w:txbxContent>
                    <w:p w14:paraId="2B6F70BF" w14:textId="3E3FB8A1" w:rsidR="009248F7" w:rsidRPr="000557B4" w:rsidRDefault="009248F7" w:rsidP="009248F7">
                      <w:pPr>
                        <w:pStyle w:val="Caption"/>
                        <w:rPr>
                          <w:sz w:val="22"/>
                          <w:szCs w:val="22"/>
                        </w:rPr>
                      </w:pPr>
                      <w:bookmarkStart w:id="92" w:name="_Toc225107128"/>
                      <w:r>
                        <w:t xml:space="preserve">Figure </w:t>
                      </w:r>
                      <w:r>
                        <w:fldChar w:fldCharType="begin"/>
                      </w:r>
                      <w:r>
                        <w:instrText xml:space="preserve"> SEQ Figure \* ARABIC </w:instrText>
                      </w:r>
                      <w:r>
                        <w:fldChar w:fldCharType="separate"/>
                      </w:r>
                      <w:r w:rsidR="00DA3E67">
                        <w:rPr>
                          <w:noProof/>
                        </w:rPr>
                        <w:t>19</w:t>
                      </w:r>
                      <w:r>
                        <w:fldChar w:fldCharType="end"/>
                      </w:r>
                      <w:r>
                        <w:t xml:space="preserve"> shows the FS value calculated for the bolt across the rpm range and the rpm sweep.</w:t>
                      </w:r>
                      <w:bookmarkEnd w:id="92"/>
                    </w:p>
                  </w:txbxContent>
                </v:textbox>
                <w10:wrap type="topAndBottom"/>
              </v:shape>
            </w:pict>
          </mc:Fallback>
        </mc:AlternateContent>
      </w:r>
      <w:r w:rsidRPr="009248F7">
        <w:rPr>
          <w:noProof/>
        </w:rPr>
        <w:drawing>
          <wp:anchor distT="0" distB="0" distL="114300" distR="114300" simplePos="0" relativeHeight="251702272" behindDoc="0" locked="0" layoutInCell="1" allowOverlap="1" wp14:anchorId="608D0DCC" wp14:editId="0BCC8F0A">
            <wp:simplePos x="0" y="0"/>
            <wp:positionH relativeFrom="margin">
              <wp:align>center</wp:align>
            </wp:positionH>
            <wp:positionV relativeFrom="paragraph">
              <wp:posOffset>620130</wp:posOffset>
            </wp:positionV>
            <wp:extent cx="3882788" cy="2412009"/>
            <wp:effectExtent l="0" t="0" r="3810" b="7620"/>
            <wp:wrapTopAndBottom/>
            <wp:docPr id="56944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45222" name=""/>
                    <pic:cNvPicPr/>
                  </pic:nvPicPr>
                  <pic:blipFill>
                    <a:blip r:embed="rId29">
                      <a:extLst>
                        <a:ext uri="{28A0092B-C50C-407E-A947-70E740481C1C}">
                          <a14:useLocalDpi xmlns:a14="http://schemas.microsoft.com/office/drawing/2010/main" val="0"/>
                        </a:ext>
                      </a:extLst>
                    </a:blip>
                    <a:stretch>
                      <a:fillRect/>
                    </a:stretch>
                  </pic:blipFill>
                  <pic:spPr>
                    <a:xfrm>
                      <a:off x="0" y="0"/>
                      <a:ext cx="3882788" cy="2412009"/>
                    </a:xfrm>
                    <a:prstGeom prst="rect">
                      <a:avLst/>
                    </a:prstGeom>
                  </pic:spPr>
                </pic:pic>
              </a:graphicData>
            </a:graphic>
          </wp:anchor>
        </w:drawing>
      </w:r>
      <w:r w:rsidR="00DA096F">
        <w:t xml:space="preserve">The calculated fatigue safety factors indicate a marked reduction compared to lower engine speeds. </w:t>
      </w:r>
      <w:r w:rsidR="0082645D">
        <w:t>The</w:t>
      </w:r>
      <w:r w:rsidR="00DA096F">
        <w:t xml:space="preserve"> connecting rod bolt decreases to its lowest overall level confirming that it remains the critical component under high-speed operation. </w:t>
      </w:r>
    </w:p>
    <w:p w14:paraId="4D0092E5" w14:textId="149F57F3" w:rsidR="00DA096F" w:rsidRDefault="00DA096F" w:rsidP="00DA096F"/>
    <w:p w14:paraId="527FC5B2" w14:textId="67524B75" w:rsidR="00807E72" w:rsidRPr="00807E72" w:rsidRDefault="009248F7" w:rsidP="00807E72">
      <w:r>
        <w:rPr>
          <w:noProof/>
        </w:rPr>
        <w:lastRenderedPageBreak/>
        <mc:AlternateContent>
          <mc:Choice Requires="wps">
            <w:drawing>
              <wp:anchor distT="0" distB="0" distL="114300" distR="114300" simplePos="0" relativeHeight="251707392" behindDoc="0" locked="0" layoutInCell="1" allowOverlap="1" wp14:anchorId="275E36B9" wp14:editId="4860FBBF">
                <wp:simplePos x="0" y="0"/>
                <wp:positionH relativeFrom="column">
                  <wp:posOffset>853440</wp:posOffset>
                </wp:positionH>
                <wp:positionV relativeFrom="paragraph">
                  <wp:posOffset>2629535</wp:posOffset>
                </wp:positionV>
                <wp:extent cx="4024630" cy="635"/>
                <wp:effectExtent l="0" t="0" r="0" b="0"/>
                <wp:wrapTopAndBottom/>
                <wp:docPr id="780283890" name="Text Box 1"/>
                <wp:cNvGraphicFramePr/>
                <a:graphic xmlns:a="http://schemas.openxmlformats.org/drawingml/2006/main">
                  <a:graphicData uri="http://schemas.microsoft.com/office/word/2010/wordprocessingShape">
                    <wps:wsp>
                      <wps:cNvSpPr txBox="1"/>
                      <wps:spPr>
                        <a:xfrm>
                          <a:off x="0" y="0"/>
                          <a:ext cx="4024630" cy="635"/>
                        </a:xfrm>
                        <a:prstGeom prst="rect">
                          <a:avLst/>
                        </a:prstGeom>
                        <a:solidFill>
                          <a:prstClr val="white"/>
                        </a:solidFill>
                        <a:ln>
                          <a:noFill/>
                        </a:ln>
                      </wps:spPr>
                      <wps:txbx>
                        <w:txbxContent>
                          <w:p w14:paraId="3D7E9E1D" w14:textId="36B57C09" w:rsidR="009248F7" w:rsidRPr="00B1482D" w:rsidRDefault="009248F7" w:rsidP="009248F7">
                            <w:pPr>
                              <w:pStyle w:val="Caption"/>
                              <w:rPr>
                                <w:sz w:val="22"/>
                                <w:szCs w:val="22"/>
                              </w:rPr>
                            </w:pPr>
                            <w:bookmarkStart w:id="93" w:name="_Toc225107129"/>
                            <w:r>
                              <w:t xml:space="preserve">Figure </w:t>
                            </w:r>
                            <w:r>
                              <w:fldChar w:fldCharType="begin"/>
                            </w:r>
                            <w:r>
                              <w:instrText xml:space="preserve"> SEQ Figure \* ARABIC </w:instrText>
                            </w:r>
                            <w:r>
                              <w:fldChar w:fldCharType="separate"/>
                            </w:r>
                            <w:r w:rsidR="00DA3E67">
                              <w:rPr>
                                <w:noProof/>
                              </w:rPr>
                              <w:t>20</w:t>
                            </w:r>
                            <w:r>
                              <w:fldChar w:fldCharType="end"/>
                            </w:r>
                            <w:r>
                              <w:t xml:space="preserve"> shows the conrod safety factor against crank angle and rpm range.</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E36B9" id="_x0000_s1042" type="#_x0000_t202" style="position:absolute;margin-left:67.2pt;margin-top:207.05pt;width:316.9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DVwGgIAAEAEAAAOAAAAZHJzL2Uyb0RvYy54bWysU8Fu2zAMvQ/YPwi6L07SLhi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Lydzm8XNxSSFFvcfIw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" stroked="f">
                <v:textbox style="mso-fit-shape-to-text:t" inset="0,0,0,0">
                  <w:txbxContent>
                    <w:p w14:paraId="3D7E9E1D" w14:textId="36B57C09" w:rsidR="009248F7" w:rsidRPr="00B1482D" w:rsidRDefault="009248F7" w:rsidP="009248F7">
                      <w:pPr>
                        <w:pStyle w:val="Caption"/>
                        <w:rPr>
                          <w:sz w:val="22"/>
                          <w:szCs w:val="22"/>
                        </w:rPr>
                      </w:pPr>
                      <w:bookmarkStart w:id="94" w:name="_Toc225107129"/>
                      <w:r>
                        <w:t xml:space="preserve">Figure </w:t>
                      </w:r>
                      <w:r>
                        <w:fldChar w:fldCharType="begin"/>
                      </w:r>
                      <w:r>
                        <w:instrText xml:space="preserve"> SEQ Figure \* ARABIC </w:instrText>
                      </w:r>
                      <w:r>
                        <w:fldChar w:fldCharType="separate"/>
                      </w:r>
                      <w:r w:rsidR="00DA3E67">
                        <w:rPr>
                          <w:noProof/>
                        </w:rPr>
                        <w:t>20</w:t>
                      </w:r>
                      <w:r>
                        <w:fldChar w:fldCharType="end"/>
                      </w:r>
                      <w:r>
                        <w:t xml:space="preserve"> shows the conrod safety factor against crank angle and rpm range.</w:t>
                      </w:r>
                      <w:bookmarkEnd w:id="94"/>
                    </w:p>
                  </w:txbxContent>
                </v:textbox>
                <w10:wrap type="topAndBottom"/>
              </v:shape>
            </w:pict>
          </mc:Fallback>
        </mc:AlternateContent>
      </w:r>
      <w:r w:rsidRPr="009248F7">
        <w:rPr>
          <w:noProof/>
        </w:rPr>
        <w:drawing>
          <wp:anchor distT="0" distB="0" distL="114300" distR="114300" simplePos="0" relativeHeight="251705344" behindDoc="0" locked="0" layoutInCell="1" allowOverlap="1" wp14:anchorId="4E4AAB17" wp14:editId="5D84C9B0">
            <wp:simplePos x="0" y="0"/>
            <wp:positionH relativeFrom="margin">
              <wp:align>center</wp:align>
            </wp:positionH>
            <wp:positionV relativeFrom="paragraph">
              <wp:posOffset>0</wp:posOffset>
            </wp:positionV>
            <wp:extent cx="4025016" cy="2572603"/>
            <wp:effectExtent l="0" t="0" r="0" b="0"/>
            <wp:wrapTopAndBottom/>
            <wp:docPr id="155601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16480" name=""/>
                    <pic:cNvPicPr/>
                  </pic:nvPicPr>
                  <pic:blipFill>
                    <a:blip r:embed="rId30">
                      <a:extLst>
                        <a:ext uri="{28A0092B-C50C-407E-A947-70E740481C1C}">
                          <a14:useLocalDpi xmlns:a14="http://schemas.microsoft.com/office/drawing/2010/main" val="0"/>
                        </a:ext>
                      </a:extLst>
                    </a:blip>
                    <a:stretch>
                      <a:fillRect/>
                    </a:stretch>
                  </pic:blipFill>
                  <pic:spPr>
                    <a:xfrm>
                      <a:off x="0" y="0"/>
                      <a:ext cx="4025016" cy="2572603"/>
                    </a:xfrm>
                    <a:prstGeom prst="rect">
                      <a:avLst/>
                    </a:prstGeom>
                  </pic:spPr>
                </pic:pic>
              </a:graphicData>
            </a:graphic>
          </wp:anchor>
        </w:drawing>
      </w:r>
    </w:p>
    <w:p w14:paraId="2A29DEA5" w14:textId="0CC9707A" w:rsidR="00B57429" w:rsidRDefault="005B26D8" w:rsidP="00F05CF6">
      <w:pPr>
        <w:pStyle w:val="Heading2"/>
        <w:numPr>
          <w:ilvl w:val="0"/>
          <w:numId w:val="0"/>
        </w:numPr>
        <w:ind w:left="576" w:hanging="576"/>
      </w:pPr>
      <w:bookmarkStart w:id="95" w:name="_Toc225003695"/>
      <w:r>
        <w:t>4</w:t>
      </w:r>
      <w:r w:rsidR="00F05CF6">
        <w:t>.</w:t>
      </w:r>
      <w:r w:rsidR="004150FC">
        <w:t>4</w:t>
      </w:r>
      <w:r w:rsidR="00F05CF6">
        <w:t xml:space="preserve"> Engineering Implications</w:t>
      </w:r>
      <w:bookmarkEnd w:id="95"/>
      <w:r w:rsidR="00F05CF6">
        <w:t xml:space="preserve"> </w:t>
      </w:r>
    </w:p>
    <w:p w14:paraId="2E71A179" w14:textId="62D6EC2B" w:rsidR="00B57429" w:rsidRDefault="009248F7" w:rsidP="00B57429">
      <w:pPr>
        <w:rPr>
          <w:rFonts w:eastAsiaTheme="majorEastAsia" w:cstheme="minorHAnsi"/>
        </w:rPr>
      </w:pPr>
      <w:r>
        <w:rPr>
          <w:rFonts w:eastAsiaTheme="majorEastAsia" w:cstheme="minorHAnsi"/>
        </w:rPr>
        <w:t xml:space="preserve">These results demonstrate that increasing engine speed has a significant impact on the component durability, primarily due to the dominance of inertial forces. The connecting rod bolts are again identified as the limiting factor, dropping below a value of 1 part 8000 rpm resulting in failure of the component. </w:t>
      </w:r>
    </w:p>
    <w:p w14:paraId="2B09F6D9" w14:textId="47C73222" w:rsidR="009248F7" w:rsidRDefault="009248F7" w:rsidP="00B57429">
      <w:pPr>
        <w:rPr>
          <w:rFonts w:eastAsiaTheme="majorEastAsia" w:cstheme="minorHAnsi"/>
        </w:rPr>
      </w:pPr>
      <w:r>
        <w:rPr>
          <w:rFonts w:eastAsiaTheme="majorEastAsia" w:cstheme="minorHAnsi"/>
        </w:rPr>
        <w:t xml:space="preserve">This has important implications for high performance engines and applications where engines are frequently operated at elevated rpm. To ensure reliability modifications may be required such as increasing bolt cross sectional area or using higher strength materials. </w:t>
      </w:r>
    </w:p>
    <w:p w14:paraId="0502E6FB" w14:textId="71E357DE" w:rsidR="00B57429" w:rsidRPr="009248F7" w:rsidRDefault="009248F7" w:rsidP="009248F7">
      <w:pPr>
        <w:pStyle w:val="Heading2"/>
        <w:numPr>
          <w:ilvl w:val="0"/>
          <w:numId w:val="0"/>
        </w:numPr>
        <w:ind w:left="576" w:hanging="576"/>
      </w:pPr>
      <w:r w:rsidRPr="009248F7">
        <w:t xml:space="preserve">4.5 Summary </w:t>
      </w:r>
    </w:p>
    <w:p w14:paraId="0B39ED3E" w14:textId="16F64995" w:rsidR="00441B5B" w:rsidRDefault="009248F7" w:rsidP="00B57429">
      <w:pPr>
        <w:rPr>
          <w:rFonts w:eastAsiaTheme="majorEastAsia" w:cstheme="minorHAnsi"/>
        </w:rPr>
      </w:pPr>
      <w:r>
        <w:rPr>
          <w:rFonts w:eastAsiaTheme="majorEastAsia" w:cstheme="minorHAnsi"/>
        </w:rPr>
        <w:t xml:space="preserve">This extension to 9000 rpm confirms that: </w:t>
      </w:r>
    </w:p>
    <w:p w14:paraId="2E0BB310" w14:textId="1C52AF44" w:rsidR="009248F7" w:rsidRDefault="009248F7" w:rsidP="009248F7">
      <w:pPr>
        <w:pStyle w:val="ListParagraph"/>
        <w:numPr>
          <w:ilvl w:val="0"/>
          <w:numId w:val="24"/>
        </w:numPr>
        <w:rPr>
          <w:rFonts w:eastAsiaTheme="majorEastAsia" w:cstheme="minorHAnsi"/>
        </w:rPr>
      </w:pPr>
      <w:r>
        <w:rPr>
          <w:rFonts w:eastAsiaTheme="majorEastAsia" w:cstheme="minorHAnsi"/>
        </w:rPr>
        <w:t xml:space="preserve">Inertial forces dominate at higher engine speeds. </w:t>
      </w:r>
    </w:p>
    <w:p w14:paraId="31BF8CDC" w14:textId="6D952D97" w:rsidR="009248F7" w:rsidRDefault="009248F7" w:rsidP="009248F7">
      <w:pPr>
        <w:pStyle w:val="ListParagraph"/>
        <w:numPr>
          <w:ilvl w:val="0"/>
          <w:numId w:val="24"/>
        </w:numPr>
        <w:rPr>
          <w:rFonts w:eastAsiaTheme="majorEastAsia" w:cstheme="minorHAnsi"/>
        </w:rPr>
      </w:pPr>
      <w:r>
        <w:rPr>
          <w:rFonts w:eastAsiaTheme="majorEastAsia" w:cstheme="minorHAnsi"/>
        </w:rPr>
        <w:t>Stress amplitudes increase significantly.</w:t>
      </w:r>
    </w:p>
    <w:p w14:paraId="75D7FEE9" w14:textId="6EEF4E21" w:rsidR="009248F7" w:rsidRDefault="009248F7" w:rsidP="009248F7">
      <w:pPr>
        <w:pStyle w:val="ListParagraph"/>
        <w:numPr>
          <w:ilvl w:val="0"/>
          <w:numId w:val="24"/>
        </w:numPr>
        <w:rPr>
          <w:rFonts w:eastAsiaTheme="majorEastAsia" w:cstheme="minorHAnsi"/>
        </w:rPr>
      </w:pPr>
      <w:r>
        <w:rPr>
          <w:rFonts w:eastAsiaTheme="majorEastAsia" w:cstheme="minorHAnsi"/>
        </w:rPr>
        <w:t xml:space="preserve">Fatigue safety factors decrease significantly especially for the connecting rod bolt. </w:t>
      </w:r>
    </w:p>
    <w:p w14:paraId="7FB5E966" w14:textId="5253421E" w:rsidR="009248F7" w:rsidRPr="009248F7" w:rsidRDefault="009248F7" w:rsidP="009248F7">
      <w:pPr>
        <w:rPr>
          <w:rFonts w:eastAsiaTheme="majorEastAsia" w:cstheme="minorHAnsi"/>
        </w:rPr>
      </w:pPr>
      <w:r>
        <w:rPr>
          <w:rFonts w:eastAsiaTheme="majorEastAsia" w:cstheme="minorHAnsi"/>
        </w:rPr>
        <w:t xml:space="preserve">These results highlight the importance of considering high speed operation during the design phase and provide the basis for targeted component optimisation. </w:t>
      </w:r>
    </w:p>
    <w:p w14:paraId="209E53DD" w14:textId="77777777" w:rsidR="00B57429" w:rsidRDefault="00B57429" w:rsidP="00B57429">
      <w:pPr>
        <w:rPr>
          <w:rFonts w:eastAsiaTheme="majorEastAsia" w:cstheme="minorHAnsi"/>
        </w:rPr>
      </w:pPr>
    </w:p>
    <w:p w14:paraId="361A4F1D" w14:textId="77777777" w:rsidR="00B57429" w:rsidRDefault="00B57429" w:rsidP="00B57429">
      <w:pPr>
        <w:rPr>
          <w:rFonts w:eastAsiaTheme="majorEastAsia" w:cstheme="minorHAnsi"/>
        </w:rPr>
      </w:pPr>
    </w:p>
    <w:p w14:paraId="602B4577" w14:textId="77777777" w:rsidR="009248F7" w:rsidRDefault="009248F7" w:rsidP="00B57429">
      <w:pPr>
        <w:rPr>
          <w:rFonts w:eastAsiaTheme="majorEastAsia" w:cstheme="minorHAnsi"/>
        </w:rPr>
      </w:pPr>
    </w:p>
    <w:p w14:paraId="7493A2FB" w14:textId="77777777" w:rsidR="0071642A" w:rsidRDefault="0071642A" w:rsidP="00B57429">
      <w:pPr>
        <w:rPr>
          <w:rFonts w:eastAsiaTheme="majorEastAsia" w:cstheme="minorHAnsi"/>
        </w:rPr>
      </w:pPr>
    </w:p>
    <w:p w14:paraId="60D8AABF" w14:textId="77777777" w:rsidR="0071642A" w:rsidRDefault="0071642A" w:rsidP="00B57429">
      <w:pPr>
        <w:rPr>
          <w:rFonts w:eastAsiaTheme="majorEastAsia" w:cstheme="minorHAnsi"/>
        </w:rPr>
      </w:pPr>
    </w:p>
    <w:p w14:paraId="79DDEDA8" w14:textId="77777777" w:rsidR="0071642A" w:rsidRDefault="0071642A" w:rsidP="00B57429">
      <w:pPr>
        <w:rPr>
          <w:rFonts w:eastAsiaTheme="majorEastAsia" w:cstheme="minorHAnsi"/>
        </w:rPr>
      </w:pPr>
    </w:p>
    <w:p w14:paraId="4F07F07D" w14:textId="77777777" w:rsidR="009248F7" w:rsidRDefault="009248F7" w:rsidP="00B57429">
      <w:pPr>
        <w:rPr>
          <w:rFonts w:eastAsiaTheme="majorEastAsia" w:cstheme="minorHAnsi"/>
        </w:rPr>
      </w:pPr>
    </w:p>
    <w:p w14:paraId="07A82A1C" w14:textId="0BFFFB3A" w:rsidR="0071642A" w:rsidRPr="0071642A" w:rsidRDefault="00BC0447" w:rsidP="0071642A">
      <w:pPr>
        <w:pStyle w:val="Heading1"/>
        <w:numPr>
          <w:ilvl w:val="0"/>
          <w:numId w:val="0"/>
        </w:numPr>
        <w:ind w:left="432" w:hanging="432"/>
      </w:pPr>
      <w:r>
        <w:lastRenderedPageBreak/>
        <w:t xml:space="preserve">5 </w:t>
      </w:r>
      <w:r w:rsidR="00441B5B" w:rsidRPr="00441B5B">
        <w:t xml:space="preserve">Redesign of Conrod Bolts </w:t>
      </w:r>
    </w:p>
    <w:p w14:paraId="2E692F3F" w14:textId="6B028534" w:rsidR="00BC0447" w:rsidRDefault="00BC0447" w:rsidP="00E87A19">
      <w:pPr>
        <w:pStyle w:val="Heading2"/>
        <w:numPr>
          <w:ilvl w:val="0"/>
          <w:numId w:val="0"/>
        </w:numPr>
        <w:ind w:left="576" w:hanging="576"/>
      </w:pPr>
      <w:r>
        <w:t xml:space="preserve">5.1 Design Objective </w:t>
      </w:r>
    </w:p>
    <w:p w14:paraId="2F7ABBA4" w14:textId="5992BADF" w:rsidR="0071642A" w:rsidRPr="0071642A" w:rsidRDefault="0071642A" w:rsidP="0071642A">
      <w:r>
        <w:t>Following the analysis conducted in part 1 and 2, the connecting rod bolts were identified as the critical component due to their consistently lower Fatigue safety factor, particularly at elevated engine speeds. At 9000rpm the safety factor falls below the acceptable limit indicating a high risk of failure under sustained operation. The objective of this red</w:t>
      </w:r>
      <w:r w:rsidR="007C5B87">
        <w:t xml:space="preserve">esign is to modify the bolt geometry to achieve a minimum fatigue safety factor of 1 at 9000 rpm ensuring reliable performance. </w:t>
      </w:r>
    </w:p>
    <w:p w14:paraId="223F49D0" w14:textId="57861EE4" w:rsidR="00BC0447" w:rsidRDefault="00BC0447" w:rsidP="00E87A19">
      <w:pPr>
        <w:pStyle w:val="Heading2"/>
        <w:numPr>
          <w:ilvl w:val="0"/>
          <w:numId w:val="0"/>
        </w:numPr>
        <w:ind w:left="576" w:hanging="576"/>
      </w:pPr>
      <w:r>
        <w:t xml:space="preserve">5.2 Proposed </w:t>
      </w:r>
      <w:r w:rsidR="00E87A19">
        <w:t>Modifications</w:t>
      </w:r>
      <w:r>
        <w:t xml:space="preserve"> </w:t>
      </w:r>
    </w:p>
    <w:p w14:paraId="3E9BD0D1" w14:textId="6BF2F19A" w:rsidR="007C5B87" w:rsidRPr="007C5B87" w:rsidRDefault="007C5B87" w:rsidP="007C5B87">
      <w:r>
        <w:t xml:space="preserve">To improve fatigue performance, the bolt cross-sectional area was increased, this approached reduces the stress experienced by the bolt according to the below equation: </w:t>
      </w:r>
    </w:p>
    <w:p w14:paraId="48C7E1C7" w14:textId="20BACC9D" w:rsidR="007C5B87" w:rsidRDefault="007C5B87" w:rsidP="007C5B87">
      <w:pPr>
        <w:pStyle w:val="Caption"/>
        <w:jc w:val="center"/>
      </w:pPr>
      <w:bookmarkStart w:id="96" w:name="_Toc225107143"/>
      <m:oMathPara>
        <m:oMath>
          <m:r>
            <w:rPr>
              <w:rFonts w:ascii="Cambria Math" w:hAnsi="Cambria Math"/>
            </w:rPr>
            <m:t>σ=</m:t>
          </m:r>
          <m:f>
            <m:fPr>
              <m:ctrlPr>
                <w:rPr>
                  <w:rFonts w:ascii="Cambria Math" w:hAnsi="Cambria Math"/>
                </w:rPr>
              </m:ctrlPr>
            </m:fPr>
            <m:num>
              <m:r>
                <w:rPr>
                  <w:rFonts w:ascii="Cambria Math" w:hAnsi="Cambria Math"/>
                </w:rPr>
                <m:t>F</m:t>
              </m:r>
            </m:num>
            <m:den>
              <m:r>
                <w:rPr>
                  <w:rFonts w:ascii="Cambria Math" w:hAnsi="Cambria Math"/>
                </w:rPr>
                <m:t>A</m:t>
              </m:r>
            </m:den>
          </m:f>
          <m:r>
            <w:br/>
          </m:r>
        </m:oMath>
      </m:oMathPara>
      <w:r>
        <w:t xml:space="preserve">Equation </w:t>
      </w:r>
      <w:r>
        <w:fldChar w:fldCharType="begin"/>
      </w:r>
      <w:r>
        <w:instrText xml:space="preserve"> SEQ Equation \* ARABIC </w:instrText>
      </w:r>
      <w:r>
        <w:fldChar w:fldCharType="separate"/>
      </w:r>
      <w:r>
        <w:rPr>
          <w:noProof/>
        </w:rPr>
        <w:t>9</w:t>
      </w:r>
      <w:r>
        <w:fldChar w:fldCharType="end"/>
      </w:r>
      <w:r>
        <w:t xml:space="preserve"> shows the relationship between stress and the force applied to the area.</w:t>
      </w:r>
      <w:bookmarkEnd w:id="96"/>
    </w:p>
    <w:p w14:paraId="131702C5" w14:textId="0DBD9485" w:rsidR="007C5B87" w:rsidRDefault="00A933D0" w:rsidP="007C5B87">
      <w:r>
        <w:rPr>
          <w:noProof/>
        </w:rPr>
        <mc:AlternateContent>
          <mc:Choice Requires="wps">
            <w:drawing>
              <wp:anchor distT="0" distB="0" distL="114300" distR="114300" simplePos="0" relativeHeight="251711488" behindDoc="0" locked="0" layoutInCell="1" allowOverlap="1" wp14:anchorId="3CF76498" wp14:editId="2D188066">
                <wp:simplePos x="0" y="0"/>
                <wp:positionH relativeFrom="column">
                  <wp:posOffset>836930</wp:posOffset>
                </wp:positionH>
                <wp:positionV relativeFrom="paragraph">
                  <wp:posOffset>3382645</wp:posOffset>
                </wp:positionV>
                <wp:extent cx="4053205" cy="635"/>
                <wp:effectExtent l="0" t="0" r="0" b="0"/>
                <wp:wrapTopAndBottom/>
                <wp:docPr id="924700701" name="Text Box 1"/>
                <wp:cNvGraphicFramePr/>
                <a:graphic xmlns:a="http://schemas.openxmlformats.org/drawingml/2006/main">
                  <a:graphicData uri="http://schemas.microsoft.com/office/word/2010/wordprocessingShape">
                    <wps:wsp>
                      <wps:cNvSpPr txBox="1"/>
                      <wps:spPr>
                        <a:xfrm>
                          <a:off x="0" y="0"/>
                          <a:ext cx="4053205" cy="635"/>
                        </a:xfrm>
                        <a:prstGeom prst="rect">
                          <a:avLst/>
                        </a:prstGeom>
                        <a:solidFill>
                          <a:prstClr val="white"/>
                        </a:solidFill>
                        <a:ln>
                          <a:noFill/>
                        </a:ln>
                      </wps:spPr>
                      <wps:txbx>
                        <w:txbxContent>
                          <w:p w14:paraId="101E80CB" w14:textId="5EAFDC91" w:rsidR="00A933D0" w:rsidRPr="00601C4F" w:rsidRDefault="00A933D0" w:rsidP="00A933D0">
                            <w:pPr>
                              <w:pStyle w:val="Caption"/>
                              <w:jc w:val="center"/>
                              <w:rPr>
                                <w:sz w:val="22"/>
                                <w:szCs w:val="22"/>
                              </w:rPr>
                            </w:pPr>
                            <w:bookmarkStart w:id="97" w:name="_Toc225107130"/>
                            <w:r>
                              <w:t xml:space="preserve">Figure </w:t>
                            </w:r>
                            <w:r>
                              <w:fldChar w:fldCharType="begin"/>
                            </w:r>
                            <w:r>
                              <w:instrText xml:space="preserve"> SEQ Figure \* ARABIC </w:instrText>
                            </w:r>
                            <w:r>
                              <w:fldChar w:fldCharType="separate"/>
                            </w:r>
                            <w:r w:rsidR="00DA3E67">
                              <w:rPr>
                                <w:noProof/>
                              </w:rPr>
                              <w:t>21</w:t>
                            </w:r>
                            <w:r>
                              <w:fldChar w:fldCharType="end"/>
                            </w:r>
                            <w:r>
                              <w:t xml:space="preserve"> shows the fatigue safety factor of the improved conrod bolt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76498" id="_x0000_s1043" type="#_x0000_t202" style="position:absolute;margin-left:65.9pt;margin-top:266.35pt;width:319.1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" stroked="f">
                <v:textbox style="mso-fit-shape-to-text:t" inset="0,0,0,0">
                  <w:txbxContent>
                    <w:p w14:paraId="101E80CB" w14:textId="5EAFDC91" w:rsidR="00A933D0" w:rsidRPr="00601C4F" w:rsidRDefault="00A933D0" w:rsidP="00A933D0">
                      <w:pPr>
                        <w:pStyle w:val="Caption"/>
                        <w:jc w:val="center"/>
                        <w:rPr>
                          <w:sz w:val="22"/>
                          <w:szCs w:val="22"/>
                        </w:rPr>
                      </w:pPr>
                      <w:bookmarkStart w:id="98" w:name="_Toc225107130"/>
                      <w:r>
                        <w:t xml:space="preserve">Figure </w:t>
                      </w:r>
                      <w:r>
                        <w:fldChar w:fldCharType="begin"/>
                      </w:r>
                      <w:r>
                        <w:instrText xml:space="preserve"> SEQ Figure \* ARABIC </w:instrText>
                      </w:r>
                      <w:r>
                        <w:fldChar w:fldCharType="separate"/>
                      </w:r>
                      <w:r w:rsidR="00DA3E67">
                        <w:rPr>
                          <w:noProof/>
                        </w:rPr>
                        <w:t>21</w:t>
                      </w:r>
                      <w:r>
                        <w:fldChar w:fldCharType="end"/>
                      </w:r>
                      <w:r>
                        <w:t xml:space="preserve"> shows the fatigue safety factor of the improved conrod bolt</w:t>
                      </w:r>
                      <w:bookmarkEnd w:id="98"/>
                    </w:p>
                  </w:txbxContent>
                </v:textbox>
                <w10:wrap type="topAndBottom"/>
              </v:shape>
            </w:pict>
          </mc:Fallback>
        </mc:AlternateContent>
      </w:r>
      <w:r w:rsidRPr="00A933D0">
        <w:rPr>
          <w:noProof/>
        </w:rPr>
        <w:drawing>
          <wp:anchor distT="0" distB="0" distL="114300" distR="114300" simplePos="0" relativeHeight="251709440" behindDoc="0" locked="0" layoutInCell="1" allowOverlap="1" wp14:anchorId="54301665" wp14:editId="64763D77">
            <wp:simplePos x="0" y="0"/>
            <wp:positionH relativeFrom="margin">
              <wp:align>center</wp:align>
            </wp:positionH>
            <wp:positionV relativeFrom="paragraph">
              <wp:posOffset>608444</wp:posOffset>
            </wp:positionV>
            <wp:extent cx="4053205" cy="2717165"/>
            <wp:effectExtent l="0" t="0" r="4445" b="6985"/>
            <wp:wrapTopAndBottom/>
            <wp:docPr id="183058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80198" name=""/>
                    <pic:cNvPicPr/>
                  </pic:nvPicPr>
                  <pic:blipFill>
                    <a:blip r:embed="rId31">
                      <a:extLst>
                        <a:ext uri="{28A0092B-C50C-407E-A947-70E740481C1C}">
                          <a14:useLocalDpi xmlns:a14="http://schemas.microsoft.com/office/drawing/2010/main" val="0"/>
                        </a:ext>
                      </a:extLst>
                    </a:blip>
                    <a:stretch>
                      <a:fillRect/>
                    </a:stretch>
                  </pic:blipFill>
                  <pic:spPr>
                    <a:xfrm>
                      <a:off x="0" y="0"/>
                      <a:ext cx="4053205" cy="2717165"/>
                    </a:xfrm>
                    <a:prstGeom prst="rect">
                      <a:avLst/>
                    </a:prstGeom>
                  </pic:spPr>
                </pic:pic>
              </a:graphicData>
            </a:graphic>
            <wp14:sizeRelH relativeFrom="margin">
              <wp14:pctWidth>0</wp14:pctWidth>
            </wp14:sizeRelH>
            <wp14:sizeRelV relativeFrom="margin">
              <wp14:pctHeight>0</wp14:pctHeight>
            </wp14:sizeRelV>
          </wp:anchor>
        </w:drawing>
      </w:r>
      <w:r>
        <w:t xml:space="preserve">The calculated results show that the original cross-sectional area of 42.43mm^2 was insufficient for safe operation past 6000 rpm. The redesigned bolt was calculated to require 46mm^2 cross sectional area in order to achieve a fatigue safety factor of 1.01 minimum. </w:t>
      </w:r>
    </w:p>
    <w:p w14:paraId="7E0E25CF" w14:textId="0FABB49E" w:rsidR="00A933D0" w:rsidRPr="00A933D0" w:rsidRDefault="00A933D0" w:rsidP="00A933D0">
      <w:r w:rsidRPr="00A933D0">
        <w:t>Using the updated bolt geometry, the fatigue safety factor was recalculated under 9000 RPM conditions. The results show that the redesigned bolt achieves a safety factor greater than 1.5, satisfying the design requirement.</w:t>
      </w:r>
      <w:r>
        <w:t xml:space="preserve"> </w:t>
      </w:r>
      <w:r w:rsidRPr="00A933D0">
        <w:t>The increase in diameter effectively reduces stress amplitude and mean stress, shifting the operating point further away from the failure boundary</w:t>
      </w:r>
      <w:r>
        <w:t>.</w:t>
      </w:r>
    </w:p>
    <w:p w14:paraId="6E0C92AC" w14:textId="77777777" w:rsidR="00E87A19" w:rsidRPr="00BC0447" w:rsidRDefault="00E87A19" w:rsidP="00BC0447"/>
    <w:p w14:paraId="3D35EF76" w14:textId="77777777" w:rsidR="00441B5B" w:rsidRPr="00441B5B" w:rsidRDefault="00441B5B" w:rsidP="00441B5B">
      <w:pPr>
        <w:ind w:left="360"/>
        <w:rPr>
          <w:rFonts w:eastAsiaTheme="majorEastAsia" w:cstheme="minorHAnsi"/>
        </w:rPr>
      </w:pPr>
    </w:p>
    <w:p w14:paraId="202DA980" w14:textId="77777777" w:rsidR="00B57429" w:rsidRDefault="00B57429" w:rsidP="00B57429">
      <w:pPr>
        <w:rPr>
          <w:rFonts w:eastAsiaTheme="majorEastAsia" w:cstheme="minorHAnsi"/>
        </w:rPr>
      </w:pPr>
    </w:p>
    <w:p w14:paraId="44B714DE" w14:textId="77777777" w:rsidR="00B57429" w:rsidRDefault="00B57429" w:rsidP="00B57429">
      <w:pPr>
        <w:rPr>
          <w:rFonts w:eastAsiaTheme="majorEastAsia" w:cstheme="minorHAnsi"/>
        </w:rPr>
      </w:pPr>
    </w:p>
    <w:p w14:paraId="5D2D6333" w14:textId="77777777" w:rsidR="00B57429" w:rsidRDefault="00B57429" w:rsidP="00B57429">
      <w:pPr>
        <w:rPr>
          <w:rFonts w:eastAsiaTheme="majorEastAsia" w:cstheme="minorHAnsi"/>
        </w:rPr>
      </w:pPr>
    </w:p>
    <w:p w14:paraId="09E22262" w14:textId="77777777" w:rsidR="00B57429" w:rsidRPr="00B57429" w:rsidRDefault="00B57429" w:rsidP="00B57429">
      <w:pPr>
        <w:rPr>
          <w:rFonts w:eastAsiaTheme="majorEastAsia" w:cstheme="minorHAnsi"/>
        </w:rPr>
      </w:pPr>
    </w:p>
    <w:p w14:paraId="7A0D66D1" w14:textId="2C4794C4" w:rsidR="007340D0" w:rsidRPr="007340D0" w:rsidRDefault="006D6886" w:rsidP="00B57429">
      <w:pPr>
        <w:pStyle w:val="Heading1"/>
        <w:numPr>
          <w:ilvl w:val="0"/>
          <w:numId w:val="0"/>
        </w:numPr>
        <w:ind w:left="432" w:hanging="432"/>
      </w:pPr>
      <w:bookmarkStart w:id="99" w:name="_Toc216266672"/>
      <w:bookmarkStart w:id="100" w:name="_Toc225003696"/>
      <w:r>
        <w:lastRenderedPageBreak/>
        <w:t>6</w:t>
      </w:r>
      <w:r w:rsidR="007340D0" w:rsidRPr="007340D0">
        <w:t xml:space="preserve">. </w:t>
      </w:r>
      <w:bookmarkEnd w:id="99"/>
      <w:r w:rsidR="00D269F7">
        <w:t>Crankshaft Torque Comparison</w:t>
      </w:r>
      <w:bookmarkEnd w:id="100"/>
      <w:r w:rsidR="00D269F7">
        <w:t xml:space="preserve"> </w:t>
      </w:r>
    </w:p>
    <w:p w14:paraId="6F2E496C" w14:textId="4461170B" w:rsidR="007340D0" w:rsidRPr="007340D0" w:rsidRDefault="006D6886" w:rsidP="00B57429">
      <w:pPr>
        <w:pStyle w:val="Heading2"/>
        <w:numPr>
          <w:ilvl w:val="0"/>
          <w:numId w:val="0"/>
        </w:numPr>
        <w:ind w:left="576" w:hanging="576"/>
      </w:pPr>
      <w:bookmarkStart w:id="101" w:name="_Toc216266673"/>
      <w:bookmarkStart w:id="102" w:name="_Toc225003697"/>
      <w:r>
        <w:t>6</w:t>
      </w:r>
      <w:r w:rsidR="007340D0" w:rsidRPr="007340D0">
        <w:t xml:space="preserve">.1 </w:t>
      </w:r>
      <w:bookmarkEnd w:id="101"/>
      <w:r w:rsidR="002B26CB">
        <w:t>Standard Crankshaft Configuration</w:t>
      </w:r>
      <w:bookmarkEnd w:id="102"/>
      <w:r w:rsidR="002B26CB">
        <w:t xml:space="preserve"> </w:t>
      </w:r>
    </w:p>
    <w:p w14:paraId="3046B4A6" w14:textId="0412BB59" w:rsidR="00F130E0" w:rsidRPr="007340D0" w:rsidRDefault="00F130E0" w:rsidP="007340D0">
      <w:pPr>
        <w:tabs>
          <w:tab w:val="left" w:pos="1560"/>
        </w:tabs>
        <w:rPr>
          <w:rFonts w:eastAsiaTheme="majorEastAsia" w:cstheme="minorHAnsi"/>
        </w:rPr>
      </w:pPr>
      <w:r>
        <w:rPr>
          <w:noProof/>
        </w:rPr>
        <mc:AlternateContent>
          <mc:Choice Requires="wps">
            <w:drawing>
              <wp:anchor distT="0" distB="0" distL="114300" distR="114300" simplePos="0" relativeHeight="251714560" behindDoc="0" locked="0" layoutInCell="1" allowOverlap="1" wp14:anchorId="75863112" wp14:editId="42138C1A">
                <wp:simplePos x="0" y="0"/>
                <wp:positionH relativeFrom="column">
                  <wp:posOffset>627380</wp:posOffset>
                </wp:positionH>
                <wp:positionV relativeFrom="paragraph">
                  <wp:posOffset>4152900</wp:posOffset>
                </wp:positionV>
                <wp:extent cx="4476115" cy="635"/>
                <wp:effectExtent l="0" t="0" r="0" b="0"/>
                <wp:wrapTopAndBottom/>
                <wp:docPr id="1580010794" name="Text Box 1"/>
                <wp:cNvGraphicFramePr/>
                <a:graphic xmlns:a="http://schemas.openxmlformats.org/drawingml/2006/main">
                  <a:graphicData uri="http://schemas.microsoft.com/office/word/2010/wordprocessingShape">
                    <wps:wsp>
                      <wps:cNvSpPr txBox="1"/>
                      <wps:spPr>
                        <a:xfrm>
                          <a:off x="0" y="0"/>
                          <a:ext cx="4476115" cy="635"/>
                        </a:xfrm>
                        <a:prstGeom prst="rect">
                          <a:avLst/>
                        </a:prstGeom>
                        <a:solidFill>
                          <a:prstClr val="white"/>
                        </a:solidFill>
                        <a:ln>
                          <a:noFill/>
                        </a:ln>
                      </wps:spPr>
                      <wps:txbx>
                        <w:txbxContent>
                          <w:p w14:paraId="3AE6223C" w14:textId="486DD208" w:rsidR="00F130E0" w:rsidRPr="00CB0556" w:rsidRDefault="00F130E0" w:rsidP="00F130E0">
                            <w:pPr>
                              <w:pStyle w:val="Caption"/>
                              <w:jc w:val="center"/>
                              <w:rPr>
                                <w:noProof/>
                                <w:sz w:val="22"/>
                                <w:szCs w:val="22"/>
                              </w:rPr>
                            </w:pPr>
                            <w:bookmarkStart w:id="103" w:name="_Toc225107131"/>
                            <w:r>
                              <w:t xml:space="preserve">Figure </w:t>
                            </w:r>
                            <w:r>
                              <w:fldChar w:fldCharType="begin"/>
                            </w:r>
                            <w:r>
                              <w:instrText xml:space="preserve"> SEQ Figure \* ARABIC </w:instrText>
                            </w:r>
                            <w:r>
                              <w:fldChar w:fldCharType="separate"/>
                            </w:r>
                            <w:r w:rsidR="00DA3E67">
                              <w:rPr>
                                <w:noProof/>
                              </w:rPr>
                              <w:t>22</w:t>
                            </w:r>
                            <w:r>
                              <w:fldChar w:fldCharType="end"/>
                            </w:r>
                            <w:r>
                              <w:t xml:space="preserve"> shows the crankshaft torque on the flat plane crankshaft.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63112" id="_x0000_s1044" type="#_x0000_t202" style="position:absolute;margin-left:49.4pt;margin-top:327pt;width:352.4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uxtGwIAAEAEAAAOAAAAZHJzL2Uyb0RvYy54bWysU8Fu2zAMvQ/YPwi6L066Ni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" stroked="f">
                <v:textbox style="mso-fit-shape-to-text:t" inset="0,0,0,0">
                  <w:txbxContent>
                    <w:p w14:paraId="3AE6223C" w14:textId="486DD208" w:rsidR="00F130E0" w:rsidRPr="00CB0556" w:rsidRDefault="00F130E0" w:rsidP="00F130E0">
                      <w:pPr>
                        <w:pStyle w:val="Caption"/>
                        <w:jc w:val="center"/>
                        <w:rPr>
                          <w:noProof/>
                          <w:sz w:val="22"/>
                          <w:szCs w:val="22"/>
                        </w:rPr>
                      </w:pPr>
                      <w:bookmarkStart w:id="104" w:name="_Toc225107131"/>
                      <w:r>
                        <w:t xml:space="preserve">Figure </w:t>
                      </w:r>
                      <w:r>
                        <w:fldChar w:fldCharType="begin"/>
                      </w:r>
                      <w:r>
                        <w:instrText xml:space="preserve"> SEQ Figure \* ARABIC </w:instrText>
                      </w:r>
                      <w:r>
                        <w:fldChar w:fldCharType="separate"/>
                      </w:r>
                      <w:r w:rsidR="00DA3E67">
                        <w:rPr>
                          <w:noProof/>
                        </w:rPr>
                        <w:t>22</w:t>
                      </w:r>
                      <w:r>
                        <w:fldChar w:fldCharType="end"/>
                      </w:r>
                      <w:r>
                        <w:t xml:space="preserve"> shows the crankshaft torque on the flat plane crankshaft.</w:t>
                      </w:r>
                      <w:bookmarkEnd w:id="104"/>
                    </w:p>
                  </w:txbxContent>
                </v:textbox>
                <w10:wrap type="topAndBottom"/>
              </v:shape>
            </w:pict>
          </mc:Fallback>
        </mc:AlternateContent>
      </w:r>
      <w:r>
        <w:rPr>
          <w:noProof/>
        </w:rPr>
        <w:drawing>
          <wp:anchor distT="0" distB="0" distL="114300" distR="114300" simplePos="0" relativeHeight="251712512" behindDoc="0" locked="0" layoutInCell="1" allowOverlap="1" wp14:anchorId="00FBE75C" wp14:editId="5E0B3FBD">
            <wp:simplePos x="0" y="0"/>
            <wp:positionH relativeFrom="margin">
              <wp:align>center</wp:align>
            </wp:positionH>
            <wp:positionV relativeFrom="paragraph">
              <wp:posOffset>1168097</wp:posOffset>
            </wp:positionV>
            <wp:extent cx="4476115" cy="2927985"/>
            <wp:effectExtent l="0" t="0" r="635" b="5715"/>
            <wp:wrapTopAndBottom/>
            <wp:docPr id="278766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66113" name=""/>
                    <pic:cNvPicPr/>
                  </pic:nvPicPr>
                  <pic:blipFill>
                    <a:blip r:embed="rId32">
                      <a:extLst>
                        <a:ext uri="{28A0092B-C50C-407E-A947-70E740481C1C}">
                          <a14:useLocalDpi xmlns:a14="http://schemas.microsoft.com/office/drawing/2010/main" val="0"/>
                        </a:ext>
                      </a:extLst>
                    </a:blip>
                    <a:stretch>
                      <a:fillRect/>
                    </a:stretch>
                  </pic:blipFill>
                  <pic:spPr>
                    <a:xfrm>
                      <a:off x="0" y="0"/>
                      <a:ext cx="4476115" cy="2927985"/>
                    </a:xfrm>
                    <a:prstGeom prst="rect">
                      <a:avLst/>
                    </a:prstGeom>
                  </pic:spPr>
                </pic:pic>
              </a:graphicData>
            </a:graphic>
            <wp14:sizeRelH relativeFrom="margin">
              <wp14:pctWidth>0</wp14:pctWidth>
            </wp14:sizeRelH>
            <wp14:sizeRelV relativeFrom="margin">
              <wp14:pctHeight>0</wp14:pctHeight>
            </wp14:sizeRelV>
          </wp:anchor>
        </w:drawing>
      </w:r>
      <w:r w:rsidR="00574AB1">
        <w:rPr>
          <w:rFonts w:eastAsiaTheme="majorEastAsia" w:cstheme="minorHAnsi"/>
        </w:rPr>
        <w:t xml:space="preserve">The instantaneous crankshaft torque was calculated from the total force </w:t>
      </w:r>
      <w:r w:rsidR="00B7388A">
        <w:rPr>
          <w:rFonts w:eastAsiaTheme="majorEastAsia" w:cstheme="minorHAnsi"/>
        </w:rPr>
        <w:t xml:space="preserve">using the crank slider kinematics, accounting for both motion effects. </w:t>
      </w:r>
      <w:r w:rsidR="000258AD">
        <w:rPr>
          <w:rFonts w:eastAsiaTheme="majorEastAsia" w:cstheme="minorHAnsi"/>
        </w:rPr>
        <w:t>The resulting torque profile varies over the cycle with peak torque occurring just after top dead centre</w:t>
      </w:r>
      <w:r w:rsidR="005259F0">
        <w:rPr>
          <w:rFonts w:eastAsiaTheme="majorEastAsia" w:cstheme="minorHAnsi"/>
        </w:rPr>
        <w:t xml:space="preserve"> during the expansion stroke and the negative torque is present during compression</w:t>
      </w:r>
      <w:r w:rsidR="00484B9B">
        <w:rPr>
          <w:rFonts w:eastAsiaTheme="majorEastAsia" w:cstheme="minorHAnsi"/>
        </w:rPr>
        <w:t xml:space="preserve"> where energy is required to compress the air fuel mixture. </w:t>
      </w:r>
      <w:r w:rsidR="000214FA">
        <w:rPr>
          <w:rFonts w:eastAsiaTheme="majorEastAsia" w:cstheme="minorHAnsi"/>
        </w:rPr>
        <w:t>When</w:t>
      </w:r>
      <w:r w:rsidR="00484B9B">
        <w:rPr>
          <w:rFonts w:eastAsiaTheme="majorEastAsia" w:cstheme="minorHAnsi"/>
        </w:rPr>
        <w:t xml:space="preserve"> this is phased over a multi cylinder configuration</w:t>
      </w:r>
      <w:r w:rsidR="000214FA">
        <w:rPr>
          <w:rFonts w:eastAsiaTheme="majorEastAsia" w:cstheme="minorHAnsi"/>
        </w:rPr>
        <w:t>, the combined torque output becomes smoother but still exhibits noticeable fluctuations.</w:t>
      </w:r>
    </w:p>
    <w:p w14:paraId="506591B9" w14:textId="3F2575F3" w:rsidR="007340D0" w:rsidRDefault="006D6886" w:rsidP="00B57429">
      <w:pPr>
        <w:pStyle w:val="Heading2"/>
        <w:numPr>
          <w:ilvl w:val="0"/>
          <w:numId w:val="0"/>
        </w:numPr>
        <w:ind w:left="576" w:hanging="576"/>
      </w:pPr>
      <w:bookmarkStart w:id="105" w:name="_Toc216266674"/>
      <w:bookmarkStart w:id="106" w:name="_Toc225003698"/>
      <w:r>
        <w:t>6</w:t>
      </w:r>
      <w:r w:rsidR="007340D0" w:rsidRPr="007340D0">
        <w:t xml:space="preserve">.2 </w:t>
      </w:r>
      <w:bookmarkEnd w:id="105"/>
      <w:r w:rsidR="00A264F5">
        <w:t>Cross-Plane Configuration</w:t>
      </w:r>
      <w:bookmarkEnd w:id="106"/>
      <w:r w:rsidR="00A264F5">
        <w:t xml:space="preserve"> </w:t>
      </w:r>
      <w:r w:rsidR="00A85F81">
        <w:t>(2632)</w:t>
      </w:r>
    </w:p>
    <w:p w14:paraId="12C0D652" w14:textId="6D46C781" w:rsidR="007340D0" w:rsidRPr="00DA7F9E" w:rsidRDefault="00DA7F9E" w:rsidP="00DA7F9E">
      <w:r>
        <w:rPr>
          <w:noProof/>
        </w:rPr>
        <mc:AlternateContent>
          <mc:Choice Requires="wps">
            <w:drawing>
              <wp:anchor distT="0" distB="0" distL="114300" distR="114300" simplePos="0" relativeHeight="251717632" behindDoc="0" locked="0" layoutInCell="1" allowOverlap="1" wp14:anchorId="7C6EDFCF" wp14:editId="6095A596">
                <wp:simplePos x="0" y="0"/>
                <wp:positionH relativeFrom="column">
                  <wp:posOffset>1084580</wp:posOffset>
                </wp:positionH>
                <wp:positionV relativeFrom="paragraph">
                  <wp:posOffset>3373120</wp:posOffset>
                </wp:positionV>
                <wp:extent cx="3554730" cy="635"/>
                <wp:effectExtent l="0" t="0" r="0" b="0"/>
                <wp:wrapTopAndBottom/>
                <wp:docPr id="2020258844" name="Text Box 1"/>
                <wp:cNvGraphicFramePr/>
                <a:graphic xmlns:a="http://schemas.openxmlformats.org/drawingml/2006/main">
                  <a:graphicData uri="http://schemas.microsoft.com/office/word/2010/wordprocessingShape">
                    <wps:wsp>
                      <wps:cNvSpPr txBox="1"/>
                      <wps:spPr>
                        <a:xfrm>
                          <a:off x="0" y="0"/>
                          <a:ext cx="3554730" cy="635"/>
                        </a:xfrm>
                        <a:prstGeom prst="rect">
                          <a:avLst/>
                        </a:prstGeom>
                        <a:solidFill>
                          <a:prstClr val="white"/>
                        </a:solidFill>
                        <a:ln>
                          <a:noFill/>
                        </a:ln>
                      </wps:spPr>
                      <wps:txbx>
                        <w:txbxContent>
                          <w:p w14:paraId="549A68EE" w14:textId="21FE49C6" w:rsidR="00DA7F9E" w:rsidRPr="00635DC3" w:rsidRDefault="00DA7F9E" w:rsidP="00DA7F9E">
                            <w:pPr>
                              <w:pStyle w:val="Caption"/>
                              <w:rPr>
                                <w:sz w:val="22"/>
                                <w:szCs w:val="22"/>
                              </w:rPr>
                            </w:pPr>
                            <w:bookmarkStart w:id="107" w:name="_Toc225107132"/>
                            <w:r>
                              <w:t xml:space="preserve">Figure </w:t>
                            </w:r>
                            <w:r>
                              <w:fldChar w:fldCharType="begin"/>
                            </w:r>
                            <w:r>
                              <w:instrText xml:space="preserve"> SEQ Figure \* ARABIC </w:instrText>
                            </w:r>
                            <w:r>
                              <w:fldChar w:fldCharType="separate"/>
                            </w:r>
                            <w:r w:rsidR="00DA3E67">
                              <w:rPr>
                                <w:noProof/>
                              </w:rPr>
                              <w:t>23</w:t>
                            </w:r>
                            <w:r>
                              <w:fldChar w:fldCharType="end"/>
                            </w:r>
                            <w:r>
                              <w:t xml:space="preserve"> shows the cross-plane torque figures across the crank angle cycle.</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EDFCF" id="_x0000_s1045" type="#_x0000_t202" style="position:absolute;margin-left:85.4pt;margin-top:265.6pt;width:279.9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" stroked="f">
                <v:textbox style="mso-fit-shape-to-text:t" inset="0,0,0,0">
                  <w:txbxContent>
                    <w:p w14:paraId="549A68EE" w14:textId="21FE49C6" w:rsidR="00DA7F9E" w:rsidRPr="00635DC3" w:rsidRDefault="00DA7F9E" w:rsidP="00DA7F9E">
                      <w:pPr>
                        <w:pStyle w:val="Caption"/>
                        <w:rPr>
                          <w:sz w:val="22"/>
                          <w:szCs w:val="22"/>
                        </w:rPr>
                      </w:pPr>
                      <w:bookmarkStart w:id="108" w:name="_Toc225107132"/>
                      <w:r>
                        <w:t xml:space="preserve">Figure </w:t>
                      </w:r>
                      <w:r>
                        <w:fldChar w:fldCharType="begin"/>
                      </w:r>
                      <w:r>
                        <w:instrText xml:space="preserve"> SEQ Figure \* ARABIC </w:instrText>
                      </w:r>
                      <w:r>
                        <w:fldChar w:fldCharType="separate"/>
                      </w:r>
                      <w:r w:rsidR="00DA3E67">
                        <w:rPr>
                          <w:noProof/>
                        </w:rPr>
                        <w:t>23</w:t>
                      </w:r>
                      <w:r>
                        <w:fldChar w:fldCharType="end"/>
                      </w:r>
                      <w:r>
                        <w:t xml:space="preserve"> shows the cross-plane torque figures across the crank angle cycle.</w:t>
                      </w:r>
                      <w:bookmarkEnd w:id="108"/>
                    </w:p>
                  </w:txbxContent>
                </v:textbox>
                <w10:wrap type="topAndBottom"/>
              </v:shape>
            </w:pict>
          </mc:Fallback>
        </mc:AlternateContent>
      </w:r>
      <w:r w:rsidRPr="00DA7F9E">
        <w:rPr>
          <w:noProof/>
        </w:rPr>
        <w:drawing>
          <wp:anchor distT="0" distB="0" distL="114300" distR="114300" simplePos="0" relativeHeight="251715584" behindDoc="0" locked="0" layoutInCell="1" allowOverlap="1" wp14:anchorId="232D7393" wp14:editId="6C3E37F4">
            <wp:simplePos x="0" y="0"/>
            <wp:positionH relativeFrom="margin">
              <wp:align>center</wp:align>
            </wp:positionH>
            <wp:positionV relativeFrom="paragraph">
              <wp:posOffset>991055</wp:posOffset>
            </wp:positionV>
            <wp:extent cx="3555242" cy="2325521"/>
            <wp:effectExtent l="0" t="0" r="7620" b="0"/>
            <wp:wrapTopAndBottom/>
            <wp:docPr id="936501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501806" name=""/>
                    <pic:cNvPicPr/>
                  </pic:nvPicPr>
                  <pic:blipFill>
                    <a:blip r:embed="rId33">
                      <a:extLst>
                        <a:ext uri="{28A0092B-C50C-407E-A947-70E740481C1C}">
                          <a14:useLocalDpi xmlns:a14="http://schemas.microsoft.com/office/drawing/2010/main" val="0"/>
                        </a:ext>
                      </a:extLst>
                    </a:blip>
                    <a:stretch>
                      <a:fillRect/>
                    </a:stretch>
                  </pic:blipFill>
                  <pic:spPr>
                    <a:xfrm>
                      <a:off x="0" y="0"/>
                      <a:ext cx="3555242" cy="2325521"/>
                    </a:xfrm>
                    <a:prstGeom prst="rect">
                      <a:avLst/>
                    </a:prstGeom>
                  </pic:spPr>
                </pic:pic>
              </a:graphicData>
            </a:graphic>
          </wp:anchor>
        </w:drawing>
      </w:r>
      <w:r w:rsidR="00A85F81">
        <w:t>The cross</w:t>
      </w:r>
      <w:r w:rsidR="006333EE">
        <w:t>-</w:t>
      </w:r>
      <w:r w:rsidR="00A85F81">
        <w:t xml:space="preserve">plane configuration </w:t>
      </w:r>
      <w:r w:rsidR="00C52CF8">
        <w:t>was modelled by introducing 90° phase shifts between cylinder contributions. This redistributes torqu</w:t>
      </w:r>
      <w:r w:rsidR="006333EE">
        <w:t>e evenly across the cycle. Although peak torque remains similar</w:t>
      </w:r>
      <w:r w:rsidR="008E4533">
        <w:t>, the overall fluctuation is reduced and the torque ripple amplitude decreases.</w:t>
      </w:r>
      <w:r w:rsidR="00BC7E0D">
        <w:t xml:space="preserve"> This results in smoother torque delivery but introduces higher rotational inertia and increased mechanical complexity.</w:t>
      </w:r>
    </w:p>
    <w:p w14:paraId="0AEAD498" w14:textId="07F31561" w:rsidR="007340D0" w:rsidRPr="007340D0" w:rsidRDefault="006D6886" w:rsidP="00B57429">
      <w:pPr>
        <w:pStyle w:val="Heading2"/>
        <w:numPr>
          <w:ilvl w:val="0"/>
          <w:numId w:val="0"/>
        </w:numPr>
        <w:ind w:left="576" w:hanging="576"/>
      </w:pPr>
      <w:bookmarkStart w:id="109" w:name="_Toc216266675"/>
      <w:bookmarkStart w:id="110" w:name="_Toc225003699"/>
      <w:r>
        <w:lastRenderedPageBreak/>
        <w:t>6</w:t>
      </w:r>
      <w:r w:rsidR="007340D0" w:rsidRPr="007340D0">
        <w:t xml:space="preserve">.3 </w:t>
      </w:r>
      <w:bookmarkEnd w:id="109"/>
      <w:r w:rsidR="00A264F5">
        <w:t>Comparative Discussion</w:t>
      </w:r>
      <w:bookmarkEnd w:id="110"/>
      <w:r w:rsidR="00A264F5">
        <w:t xml:space="preserve"> </w:t>
      </w:r>
    </w:p>
    <w:p w14:paraId="3E0955E0" w14:textId="5872643C" w:rsidR="0007707F" w:rsidRPr="0007707F" w:rsidRDefault="00D94C9D" w:rsidP="0007707F">
      <w:pPr>
        <w:tabs>
          <w:tab w:val="left" w:pos="1560"/>
        </w:tabs>
        <w:rPr>
          <w:rFonts w:eastAsiaTheme="majorEastAsia" w:cstheme="minorHAnsi"/>
        </w:rPr>
      </w:pPr>
      <w:r w:rsidRPr="00DA3E67">
        <w:rPr>
          <w:noProof/>
        </w:rPr>
        <w:drawing>
          <wp:anchor distT="0" distB="0" distL="114300" distR="114300" simplePos="0" relativeHeight="251721728" behindDoc="0" locked="0" layoutInCell="1" allowOverlap="1" wp14:anchorId="2D3D9B66" wp14:editId="377C3F6B">
            <wp:simplePos x="0" y="0"/>
            <wp:positionH relativeFrom="margin">
              <wp:align>center</wp:align>
            </wp:positionH>
            <wp:positionV relativeFrom="paragraph">
              <wp:posOffset>3457215</wp:posOffset>
            </wp:positionV>
            <wp:extent cx="3650615" cy="2387600"/>
            <wp:effectExtent l="0" t="0" r="6985" b="0"/>
            <wp:wrapTopAndBottom/>
            <wp:docPr id="615811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11014" name=""/>
                    <pic:cNvPicPr/>
                  </pic:nvPicPr>
                  <pic:blipFill>
                    <a:blip r:embed="rId34">
                      <a:extLst>
                        <a:ext uri="{28A0092B-C50C-407E-A947-70E740481C1C}">
                          <a14:useLocalDpi xmlns:a14="http://schemas.microsoft.com/office/drawing/2010/main" val="0"/>
                        </a:ext>
                      </a:extLst>
                    </a:blip>
                    <a:stretch>
                      <a:fillRect/>
                    </a:stretch>
                  </pic:blipFill>
                  <pic:spPr>
                    <a:xfrm>
                      <a:off x="0" y="0"/>
                      <a:ext cx="3650615" cy="23876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0704" behindDoc="0" locked="0" layoutInCell="1" allowOverlap="1" wp14:anchorId="3075B312" wp14:editId="5A21D1D1">
                <wp:simplePos x="0" y="0"/>
                <wp:positionH relativeFrom="margin">
                  <wp:align>center</wp:align>
                </wp:positionH>
                <wp:positionV relativeFrom="paragraph">
                  <wp:posOffset>3053184</wp:posOffset>
                </wp:positionV>
                <wp:extent cx="3602990" cy="635"/>
                <wp:effectExtent l="0" t="0" r="0" b="0"/>
                <wp:wrapTopAndBottom/>
                <wp:docPr id="192399591" name="Text Box 1"/>
                <wp:cNvGraphicFramePr/>
                <a:graphic xmlns:a="http://schemas.openxmlformats.org/drawingml/2006/main">
                  <a:graphicData uri="http://schemas.microsoft.com/office/word/2010/wordprocessingShape">
                    <wps:wsp>
                      <wps:cNvSpPr txBox="1"/>
                      <wps:spPr>
                        <a:xfrm>
                          <a:off x="0" y="0"/>
                          <a:ext cx="3602990" cy="635"/>
                        </a:xfrm>
                        <a:prstGeom prst="rect">
                          <a:avLst/>
                        </a:prstGeom>
                        <a:solidFill>
                          <a:prstClr val="white"/>
                        </a:solidFill>
                        <a:ln>
                          <a:noFill/>
                        </a:ln>
                      </wps:spPr>
                      <wps:txbx>
                        <w:txbxContent>
                          <w:p w14:paraId="486BE0EF" w14:textId="63960BA8" w:rsidR="00F41515" w:rsidRPr="00121D90" w:rsidRDefault="00F41515" w:rsidP="00F41515">
                            <w:pPr>
                              <w:pStyle w:val="Caption"/>
                              <w:rPr>
                                <w:noProof/>
                                <w:sz w:val="22"/>
                                <w:szCs w:val="22"/>
                              </w:rPr>
                            </w:pPr>
                            <w:bookmarkStart w:id="111" w:name="_Toc225107133"/>
                            <w:r>
                              <w:t xml:space="preserve">Figure </w:t>
                            </w:r>
                            <w:r>
                              <w:fldChar w:fldCharType="begin"/>
                            </w:r>
                            <w:r>
                              <w:instrText xml:space="preserve"> SEQ Figure \* ARABIC </w:instrText>
                            </w:r>
                            <w:r>
                              <w:fldChar w:fldCharType="separate"/>
                            </w:r>
                            <w:r w:rsidR="00DA3E67">
                              <w:rPr>
                                <w:noProof/>
                              </w:rPr>
                              <w:t>24</w:t>
                            </w:r>
                            <w:r>
                              <w:fldChar w:fldCharType="end"/>
                            </w:r>
                            <w:r>
                              <w:t xml:space="preserve"> shows the torque comparison between the flat-plane and cross-plane crankshafts.</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75B312" id="_x0000_s1046" type="#_x0000_t202" style="position:absolute;margin-left:0;margin-top:240.4pt;width:283.7pt;height:.05pt;z-index:2517207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4GQIAAEAEAAAOAAAAZHJzL2Uyb0RvYy54bWysU8Fu2zAMvQ/YPwi6L05SLFiN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XR+e0shSbHFzce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" stroked="f">
                <v:textbox style="mso-fit-shape-to-text:t" inset="0,0,0,0">
                  <w:txbxContent>
                    <w:p w14:paraId="486BE0EF" w14:textId="63960BA8" w:rsidR="00F41515" w:rsidRPr="00121D90" w:rsidRDefault="00F41515" w:rsidP="00F41515">
                      <w:pPr>
                        <w:pStyle w:val="Caption"/>
                        <w:rPr>
                          <w:noProof/>
                          <w:sz w:val="22"/>
                          <w:szCs w:val="22"/>
                        </w:rPr>
                      </w:pPr>
                      <w:bookmarkStart w:id="112" w:name="_Toc225107133"/>
                      <w:r>
                        <w:t xml:space="preserve">Figure </w:t>
                      </w:r>
                      <w:r>
                        <w:fldChar w:fldCharType="begin"/>
                      </w:r>
                      <w:r>
                        <w:instrText xml:space="preserve"> SEQ Figure \* ARABIC </w:instrText>
                      </w:r>
                      <w:r>
                        <w:fldChar w:fldCharType="separate"/>
                      </w:r>
                      <w:r w:rsidR="00DA3E67">
                        <w:rPr>
                          <w:noProof/>
                        </w:rPr>
                        <w:t>24</w:t>
                      </w:r>
                      <w:r>
                        <w:fldChar w:fldCharType="end"/>
                      </w:r>
                      <w:r>
                        <w:t xml:space="preserve"> shows the torque comparison between the flat-plane and cross-plane crankshafts.</w:t>
                      </w:r>
                      <w:bookmarkEnd w:id="112"/>
                    </w:p>
                  </w:txbxContent>
                </v:textbox>
                <w10:wrap type="topAndBottom" anchorx="margin"/>
              </v:shape>
            </w:pict>
          </mc:Fallback>
        </mc:AlternateContent>
      </w:r>
      <w:r>
        <w:rPr>
          <w:noProof/>
        </w:rPr>
        <w:drawing>
          <wp:anchor distT="0" distB="0" distL="114300" distR="114300" simplePos="0" relativeHeight="251718656" behindDoc="0" locked="0" layoutInCell="1" allowOverlap="1" wp14:anchorId="48BDC103" wp14:editId="34E9C726">
            <wp:simplePos x="0" y="0"/>
            <wp:positionH relativeFrom="margin">
              <wp:align>center</wp:align>
            </wp:positionH>
            <wp:positionV relativeFrom="paragraph">
              <wp:posOffset>601914</wp:posOffset>
            </wp:positionV>
            <wp:extent cx="3602990" cy="2356485"/>
            <wp:effectExtent l="0" t="0" r="0" b="5715"/>
            <wp:wrapTopAndBottom/>
            <wp:docPr id="11592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4232" name=""/>
                    <pic:cNvPicPr/>
                  </pic:nvPicPr>
                  <pic:blipFill>
                    <a:blip r:embed="rId35">
                      <a:extLst>
                        <a:ext uri="{28A0092B-C50C-407E-A947-70E740481C1C}">
                          <a14:useLocalDpi xmlns:a14="http://schemas.microsoft.com/office/drawing/2010/main" val="0"/>
                        </a:ext>
                      </a:extLst>
                    </a:blip>
                    <a:stretch>
                      <a:fillRect/>
                    </a:stretch>
                  </pic:blipFill>
                  <pic:spPr>
                    <a:xfrm>
                      <a:off x="0" y="0"/>
                      <a:ext cx="3602990" cy="23564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3776" behindDoc="0" locked="0" layoutInCell="1" allowOverlap="1" wp14:anchorId="3A8454AF" wp14:editId="2A9AD922">
                <wp:simplePos x="0" y="0"/>
                <wp:positionH relativeFrom="margin">
                  <wp:align>center</wp:align>
                </wp:positionH>
                <wp:positionV relativeFrom="paragraph">
                  <wp:posOffset>5919887</wp:posOffset>
                </wp:positionV>
                <wp:extent cx="3650615" cy="635"/>
                <wp:effectExtent l="0" t="0" r="6985" b="0"/>
                <wp:wrapTopAndBottom/>
                <wp:docPr id="1207143692" name="Text Box 1"/>
                <wp:cNvGraphicFramePr/>
                <a:graphic xmlns:a="http://schemas.openxmlformats.org/drawingml/2006/main">
                  <a:graphicData uri="http://schemas.microsoft.com/office/word/2010/wordprocessingShape">
                    <wps:wsp>
                      <wps:cNvSpPr txBox="1"/>
                      <wps:spPr>
                        <a:xfrm>
                          <a:off x="0" y="0"/>
                          <a:ext cx="3650615" cy="635"/>
                        </a:xfrm>
                        <a:prstGeom prst="rect">
                          <a:avLst/>
                        </a:prstGeom>
                        <a:solidFill>
                          <a:prstClr val="white"/>
                        </a:solidFill>
                        <a:ln>
                          <a:noFill/>
                        </a:ln>
                      </wps:spPr>
                      <wps:txbx>
                        <w:txbxContent>
                          <w:p w14:paraId="4F1C3D58" w14:textId="43BA3E8B" w:rsidR="00DA3E67" w:rsidRPr="00BF1CD5" w:rsidRDefault="00DA3E67" w:rsidP="00DA3E67">
                            <w:pPr>
                              <w:pStyle w:val="Caption"/>
                              <w:rPr>
                                <w:noProof/>
                                <w:sz w:val="22"/>
                                <w:szCs w:val="22"/>
                              </w:rPr>
                            </w:pPr>
                            <w:bookmarkStart w:id="113" w:name="_Toc225107134"/>
                            <w:r>
                              <w:t xml:space="preserve">Figure </w:t>
                            </w:r>
                            <w:r>
                              <w:fldChar w:fldCharType="begin"/>
                            </w:r>
                            <w:r>
                              <w:instrText xml:space="preserve"> SEQ Figure \* ARABIC </w:instrText>
                            </w:r>
                            <w:r>
                              <w:fldChar w:fldCharType="separate"/>
                            </w:r>
                            <w:r>
                              <w:rPr>
                                <w:noProof/>
                              </w:rPr>
                              <w:t>25</w:t>
                            </w:r>
                            <w:r>
                              <w:fldChar w:fldCharType="end"/>
                            </w:r>
                            <w:r>
                              <w:t xml:space="preserve"> shows the torque ripple comparison between the two crankshafts.</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454AF" id="_x0000_s1047" type="#_x0000_t202" style="position:absolute;margin-left:0;margin-top:466.15pt;width:287.45pt;height:.05pt;z-index:2517237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iZeGgIAAEA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" stroked="f">
                <v:textbox style="mso-fit-shape-to-text:t" inset="0,0,0,0">
                  <w:txbxContent>
                    <w:p w14:paraId="4F1C3D58" w14:textId="43BA3E8B" w:rsidR="00DA3E67" w:rsidRPr="00BF1CD5" w:rsidRDefault="00DA3E67" w:rsidP="00DA3E67">
                      <w:pPr>
                        <w:pStyle w:val="Caption"/>
                        <w:rPr>
                          <w:noProof/>
                          <w:sz w:val="22"/>
                          <w:szCs w:val="22"/>
                        </w:rPr>
                      </w:pPr>
                      <w:bookmarkStart w:id="114" w:name="_Toc225107134"/>
                      <w:r>
                        <w:t xml:space="preserve">Figure </w:t>
                      </w:r>
                      <w:r>
                        <w:fldChar w:fldCharType="begin"/>
                      </w:r>
                      <w:r>
                        <w:instrText xml:space="preserve"> SEQ Figure \* ARABIC </w:instrText>
                      </w:r>
                      <w:r>
                        <w:fldChar w:fldCharType="separate"/>
                      </w:r>
                      <w:r>
                        <w:rPr>
                          <w:noProof/>
                        </w:rPr>
                        <w:t>25</w:t>
                      </w:r>
                      <w:r>
                        <w:fldChar w:fldCharType="end"/>
                      </w:r>
                      <w:r>
                        <w:t xml:space="preserve"> shows the torque ripple comparison between the two crankshafts.</w:t>
                      </w:r>
                      <w:bookmarkEnd w:id="114"/>
                    </w:p>
                  </w:txbxContent>
                </v:textbox>
                <w10:wrap type="topAndBottom" anchorx="margin"/>
              </v:shape>
            </w:pict>
          </mc:Fallback>
        </mc:AlternateContent>
      </w:r>
      <w:r w:rsidR="0007707F" w:rsidRPr="0007707F">
        <w:rPr>
          <w:rFonts w:eastAsiaTheme="majorEastAsia" w:cstheme="minorHAnsi"/>
        </w:rPr>
        <w:t>The standard crankshaft provides higher responsiveness but produces greater torque fluctuation, leading to increased vibration. In contrast, the cross-plane configuration significantly improves torque smoothness by reducing ripple, enhancing durability and drivability.</w:t>
      </w:r>
    </w:p>
    <w:p w14:paraId="52DDE88A" w14:textId="10D6AA2B" w:rsidR="007340D0" w:rsidRPr="007340D0" w:rsidRDefault="00DA3E67" w:rsidP="007340D0">
      <w:pPr>
        <w:tabs>
          <w:tab w:val="left" w:pos="1560"/>
        </w:tabs>
        <w:rPr>
          <w:rFonts w:eastAsiaTheme="majorEastAsia" w:cstheme="minorHAnsi"/>
        </w:rPr>
      </w:pPr>
      <w:r>
        <w:rPr>
          <w:rFonts w:eastAsiaTheme="majorEastAsia" w:cstheme="minorHAnsi"/>
        </w:rPr>
        <w:t>Overall</w:t>
      </w:r>
      <w:r w:rsidR="00137552">
        <w:rPr>
          <w:rFonts w:eastAsiaTheme="majorEastAsia" w:cstheme="minorHAnsi"/>
        </w:rPr>
        <w:t>,</w:t>
      </w:r>
      <w:r>
        <w:rPr>
          <w:rFonts w:eastAsiaTheme="majorEastAsia" w:cstheme="minorHAnsi"/>
        </w:rPr>
        <w:t xml:space="preserve"> the cross</w:t>
      </w:r>
      <w:r w:rsidR="0048654C">
        <w:rPr>
          <w:rFonts w:eastAsiaTheme="majorEastAsia" w:cstheme="minorHAnsi"/>
        </w:rPr>
        <w:t>-</w:t>
      </w:r>
      <w:r>
        <w:rPr>
          <w:rFonts w:eastAsiaTheme="majorEastAsia" w:cstheme="minorHAnsi"/>
        </w:rPr>
        <w:t>plane crank shaft</w:t>
      </w:r>
      <w:r w:rsidR="0048654C">
        <w:rPr>
          <w:rFonts w:eastAsiaTheme="majorEastAsia" w:cstheme="minorHAnsi"/>
        </w:rPr>
        <w:t xml:space="preserve"> reduces the torque variation by 16.9% compared to the flat plane crank</w:t>
      </w:r>
      <w:r w:rsidR="001F651F">
        <w:rPr>
          <w:rFonts w:eastAsiaTheme="majorEastAsia" w:cstheme="minorHAnsi"/>
        </w:rPr>
        <w:t xml:space="preserve"> improving smoothness of the engine and allowing for better reliability. </w:t>
      </w:r>
    </w:p>
    <w:p w14:paraId="1FB86F5C" w14:textId="687A74C3" w:rsidR="00B57429" w:rsidRDefault="00B57429" w:rsidP="007340D0">
      <w:pPr>
        <w:tabs>
          <w:tab w:val="left" w:pos="1560"/>
        </w:tabs>
        <w:rPr>
          <w:rFonts w:eastAsiaTheme="majorEastAsia" w:cstheme="minorHAnsi"/>
        </w:rPr>
      </w:pPr>
    </w:p>
    <w:p w14:paraId="3535AA1A" w14:textId="53DFB2B9" w:rsidR="00F41515" w:rsidRDefault="00F41515" w:rsidP="007340D0">
      <w:pPr>
        <w:tabs>
          <w:tab w:val="left" w:pos="1560"/>
        </w:tabs>
        <w:rPr>
          <w:rFonts w:eastAsiaTheme="majorEastAsia" w:cstheme="minorHAnsi"/>
        </w:rPr>
      </w:pPr>
    </w:p>
    <w:p w14:paraId="248E08D6" w14:textId="77777777" w:rsidR="00F41515" w:rsidRDefault="00F41515" w:rsidP="007340D0">
      <w:pPr>
        <w:tabs>
          <w:tab w:val="left" w:pos="1560"/>
        </w:tabs>
        <w:rPr>
          <w:rFonts w:eastAsiaTheme="majorEastAsia" w:cstheme="minorHAnsi"/>
        </w:rPr>
      </w:pPr>
    </w:p>
    <w:p w14:paraId="2A55E8BD" w14:textId="77777777" w:rsidR="00F41515" w:rsidRDefault="00F41515" w:rsidP="007340D0">
      <w:pPr>
        <w:tabs>
          <w:tab w:val="left" w:pos="1560"/>
        </w:tabs>
        <w:rPr>
          <w:rFonts w:eastAsiaTheme="majorEastAsia" w:cstheme="minorHAnsi"/>
        </w:rPr>
      </w:pPr>
    </w:p>
    <w:p w14:paraId="17E2F00F" w14:textId="3246F0E6" w:rsidR="00A264F5" w:rsidRPr="007340D0" w:rsidRDefault="00A264F5" w:rsidP="00B57429">
      <w:pPr>
        <w:rPr>
          <w:rFonts w:eastAsiaTheme="majorEastAsia" w:cstheme="minorHAnsi"/>
        </w:rPr>
      </w:pPr>
    </w:p>
    <w:p w14:paraId="235D94D7" w14:textId="700A5F28" w:rsidR="007340D0" w:rsidRPr="007340D0" w:rsidRDefault="00A933D0" w:rsidP="00B57429">
      <w:pPr>
        <w:pStyle w:val="Heading1"/>
        <w:numPr>
          <w:ilvl w:val="0"/>
          <w:numId w:val="0"/>
        </w:numPr>
        <w:ind w:left="432" w:hanging="432"/>
      </w:pPr>
      <w:bookmarkStart w:id="115" w:name="_Toc216266677"/>
      <w:bookmarkStart w:id="116" w:name="_Toc225003700"/>
      <w:r>
        <w:lastRenderedPageBreak/>
        <w:t>7</w:t>
      </w:r>
      <w:r w:rsidR="007340D0" w:rsidRPr="007340D0">
        <w:t xml:space="preserve">. </w:t>
      </w:r>
      <w:bookmarkEnd w:id="115"/>
      <w:r w:rsidR="00A264F5">
        <w:t>Conclusion</w:t>
      </w:r>
      <w:bookmarkEnd w:id="116"/>
      <w:r w:rsidR="00A264F5">
        <w:t xml:space="preserve"> </w:t>
      </w:r>
    </w:p>
    <w:p w14:paraId="1BFD01FD" w14:textId="5BAB03EA" w:rsidR="00424641" w:rsidRPr="00424641" w:rsidRDefault="005B562E" w:rsidP="00424641">
      <w:pPr>
        <w:rPr>
          <w:rFonts w:eastAsiaTheme="majorEastAsia" w:cstheme="minorHAnsi"/>
        </w:rPr>
      </w:pPr>
      <w:r>
        <w:rPr>
          <w:rFonts w:eastAsiaTheme="majorEastAsia" w:cstheme="minorHAnsi"/>
        </w:rPr>
        <w:t xml:space="preserve">This study analysed the dynamic behaviour of engine components using cylinder pressures and piston kinematics. Gas forces </w:t>
      </w:r>
      <w:r w:rsidR="00B01AA6">
        <w:rPr>
          <w:rFonts w:eastAsiaTheme="majorEastAsia" w:cstheme="minorHAnsi"/>
        </w:rPr>
        <w:t xml:space="preserve">dominate during combustion whereas inertial forces increase with engine speed. Stress analysis showed the connecting rod experience higher loads; </w:t>
      </w:r>
      <w:r w:rsidR="00424641">
        <w:rPr>
          <w:rFonts w:eastAsiaTheme="majorEastAsia" w:cstheme="minorHAnsi"/>
        </w:rPr>
        <w:t>however,</w:t>
      </w:r>
      <w:r w:rsidR="00B01AA6">
        <w:rPr>
          <w:rFonts w:eastAsiaTheme="majorEastAsia" w:cstheme="minorHAnsi"/>
        </w:rPr>
        <w:t xml:space="preserve"> </w:t>
      </w:r>
      <w:r w:rsidR="0097318C">
        <w:rPr>
          <w:rFonts w:eastAsiaTheme="majorEastAsia" w:cstheme="minorHAnsi"/>
        </w:rPr>
        <w:t xml:space="preserve">the fatigue analysis determined the conrod bolts as the most critical component due to preload and fluctuating tensile stress. The goodman </w:t>
      </w:r>
      <w:r w:rsidR="00424641" w:rsidRPr="00424641">
        <w:rPr>
          <w:rFonts w:eastAsiaTheme="majorEastAsia" w:cstheme="minorHAnsi"/>
        </w:rPr>
        <w:t>criterion showed that fatigue safety factors decrease with increasing speed, particularly at 9000 rpm where inertial effects dominate.</w:t>
      </w:r>
    </w:p>
    <w:p w14:paraId="544214AF" w14:textId="77777777" w:rsidR="00424641" w:rsidRPr="00424641" w:rsidRDefault="00424641" w:rsidP="00424641">
      <w:pPr>
        <w:rPr>
          <w:rFonts w:eastAsiaTheme="majorEastAsia" w:cstheme="minorHAnsi"/>
        </w:rPr>
      </w:pPr>
      <w:r w:rsidRPr="00424641">
        <w:rPr>
          <w:rFonts w:eastAsiaTheme="majorEastAsia" w:cstheme="minorHAnsi"/>
        </w:rPr>
        <w:t>Torque analysis demonstrated that crankshaft configuration significantly affects performance. The standard configuration produced greater torque fluctuations, while the cross-plane setup reduced torque ripple and improved smoothness, highlighting a trade-off between performance and refinement.</w:t>
      </w:r>
    </w:p>
    <w:p w14:paraId="06206C3F" w14:textId="77777777" w:rsidR="00424641" w:rsidRPr="00424641" w:rsidRDefault="00424641" w:rsidP="00424641">
      <w:pPr>
        <w:rPr>
          <w:rFonts w:eastAsiaTheme="majorEastAsia" w:cstheme="minorHAnsi"/>
        </w:rPr>
      </w:pPr>
      <w:r w:rsidRPr="00424641">
        <w:rPr>
          <w:rFonts w:eastAsiaTheme="majorEastAsia" w:cstheme="minorHAnsi"/>
        </w:rPr>
        <w:t>Overall, the results emphasise the importance of dynamic loading and fatigue in engine design. Although simplifying assumptions such as neglecting thermal effects and friction may affect accuracy, the analysis identifies critical components and operating limits, providing useful insight into engine durability and performance.</w:t>
      </w:r>
    </w:p>
    <w:p w14:paraId="14E60D70" w14:textId="24E56B3B" w:rsidR="00B57429" w:rsidRDefault="00B57429" w:rsidP="00B57429">
      <w:pPr>
        <w:rPr>
          <w:rFonts w:eastAsiaTheme="majorEastAsia" w:cstheme="minorHAnsi"/>
        </w:rPr>
      </w:pPr>
    </w:p>
    <w:p w14:paraId="4AB4C38C" w14:textId="5019381D" w:rsidR="00B57429" w:rsidRDefault="00B57429" w:rsidP="00B57429">
      <w:pPr>
        <w:rPr>
          <w:rFonts w:eastAsiaTheme="majorEastAsia" w:cstheme="minorHAnsi"/>
        </w:rPr>
      </w:pPr>
    </w:p>
    <w:p w14:paraId="3AF1DA5E" w14:textId="781E0596" w:rsidR="00B57429" w:rsidRDefault="00B57429" w:rsidP="00B57429">
      <w:pPr>
        <w:rPr>
          <w:rFonts w:eastAsiaTheme="majorEastAsia" w:cstheme="minorHAnsi"/>
        </w:rPr>
      </w:pPr>
    </w:p>
    <w:p w14:paraId="70FDC50D" w14:textId="74AEC5D2" w:rsidR="00B57429" w:rsidRDefault="00B57429" w:rsidP="00B57429">
      <w:pPr>
        <w:rPr>
          <w:rFonts w:eastAsiaTheme="majorEastAsia" w:cstheme="minorHAnsi"/>
        </w:rPr>
      </w:pPr>
    </w:p>
    <w:p w14:paraId="32E7BC1B" w14:textId="19141429" w:rsidR="00B57429" w:rsidRDefault="00B57429" w:rsidP="00B57429">
      <w:pPr>
        <w:rPr>
          <w:rFonts w:eastAsiaTheme="majorEastAsia" w:cstheme="minorHAnsi"/>
        </w:rPr>
      </w:pPr>
    </w:p>
    <w:p w14:paraId="43226932" w14:textId="46B1B212" w:rsidR="00B57429" w:rsidRDefault="00B57429" w:rsidP="00B57429">
      <w:pPr>
        <w:rPr>
          <w:rFonts w:eastAsiaTheme="majorEastAsia" w:cstheme="minorHAnsi"/>
        </w:rPr>
      </w:pPr>
    </w:p>
    <w:p w14:paraId="680803B1" w14:textId="7E843192" w:rsidR="00B57429" w:rsidRDefault="00B57429" w:rsidP="00B57429">
      <w:pPr>
        <w:rPr>
          <w:rFonts w:eastAsiaTheme="majorEastAsia" w:cstheme="minorHAnsi"/>
        </w:rPr>
      </w:pPr>
    </w:p>
    <w:p w14:paraId="2A997E48" w14:textId="69A2B17D" w:rsidR="00B57429" w:rsidRDefault="00B57429" w:rsidP="00B57429">
      <w:pPr>
        <w:rPr>
          <w:rFonts w:eastAsiaTheme="majorEastAsia" w:cstheme="minorHAnsi"/>
        </w:rPr>
      </w:pPr>
    </w:p>
    <w:p w14:paraId="371E6001" w14:textId="77777777" w:rsidR="00B57429" w:rsidRDefault="00B57429" w:rsidP="00B57429">
      <w:pPr>
        <w:rPr>
          <w:rFonts w:eastAsiaTheme="majorEastAsia" w:cstheme="minorHAnsi"/>
        </w:rPr>
      </w:pPr>
    </w:p>
    <w:p w14:paraId="3116B619" w14:textId="7C5D59DB" w:rsidR="00B57429" w:rsidRDefault="00B57429" w:rsidP="00B57429">
      <w:pPr>
        <w:rPr>
          <w:rFonts w:eastAsiaTheme="majorEastAsia" w:cstheme="minorHAnsi"/>
        </w:rPr>
      </w:pPr>
    </w:p>
    <w:p w14:paraId="7DC6E6C0" w14:textId="77777777" w:rsidR="00B57429" w:rsidRDefault="00B57429" w:rsidP="00B57429">
      <w:pPr>
        <w:rPr>
          <w:rFonts w:eastAsiaTheme="majorEastAsia" w:cstheme="minorHAnsi"/>
        </w:rPr>
      </w:pPr>
    </w:p>
    <w:p w14:paraId="5FD3C68A" w14:textId="77777777" w:rsidR="00B57429" w:rsidRDefault="00B57429" w:rsidP="00B57429">
      <w:pPr>
        <w:rPr>
          <w:rFonts w:eastAsiaTheme="majorEastAsia" w:cstheme="minorHAnsi"/>
        </w:rPr>
      </w:pPr>
    </w:p>
    <w:p w14:paraId="4581CDB8" w14:textId="77777777" w:rsidR="00B57429" w:rsidRDefault="00B57429" w:rsidP="00B57429">
      <w:pPr>
        <w:rPr>
          <w:rFonts w:eastAsiaTheme="majorEastAsia" w:cstheme="minorHAnsi"/>
        </w:rPr>
      </w:pPr>
    </w:p>
    <w:p w14:paraId="50F67535" w14:textId="77777777" w:rsidR="00B57429" w:rsidRDefault="00B57429" w:rsidP="00B57429">
      <w:pPr>
        <w:rPr>
          <w:rFonts w:eastAsiaTheme="majorEastAsia" w:cstheme="minorHAnsi"/>
        </w:rPr>
      </w:pPr>
    </w:p>
    <w:p w14:paraId="5707F8E2" w14:textId="77777777" w:rsidR="00B57429" w:rsidRDefault="00B57429" w:rsidP="00B57429">
      <w:pPr>
        <w:rPr>
          <w:rFonts w:eastAsiaTheme="majorEastAsia" w:cstheme="minorHAnsi"/>
        </w:rPr>
      </w:pPr>
    </w:p>
    <w:p w14:paraId="6AE97099" w14:textId="77777777" w:rsidR="0073040A" w:rsidRDefault="0073040A" w:rsidP="00B57429"/>
    <w:p w14:paraId="3373F9E6" w14:textId="77777777" w:rsidR="001F651F" w:rsidRDefault="001F651F" w:rsidP="00B57429"/>
    <w:p w14:paraId="48CF150F" w14:textId="77777777" w:rsidR="001F651F" w:rsidRPr="00B57429" w:rsidRDefault="001F651F" w:rsidP="00B57429"/>
    <w:bookmarkStart w:id="117" w:name="_Toc216266679" w:displacedByCustomXml="next"/>
    <w:bookmarkStart w:id="118" w:name="_Toc225003702" w:displacedByCustomXml="next"/>
    <w:sdt>
      <w:sdtPr>
        <w:rPr>
          <w:rFonts w:asciiTheme="minorHAnsi" w:eastAsiaTheme="minorHAnsi" w:hAnsiTheme="minorHAnsi" w:cstheme="minorBidi"/>
          <w:color w:val="auto"/>
          <w:sz w:val="22"/>
          <w:szCs w:val="22"/>
        </w:rPr>
        <w:id w:val="2139762546"/>
        <w:docPartObj>
          <w:docPartGallery w:val="Bibliographies"/>
          <w:docPartUnique/>
        </w:docPartObj>
      </w:sdtPr>
      <w:sdtEndPr/>
      <w:sdtContent>
        <w:p w14:paraId="4A137809" w14:textId="419106AF" w:rsidR="001F651F" w:rsidRDefault="001F651F" w:rsidP="001F651F">
          <w:pPr>
            <w:pStyle w:val="Heading1"/>
            <w:numPr>
              <w:ilvl w:val="0"/>
              <w:numId w:val="0"/>
            </w:numPr>
            <w:ind w:left="432" w:hanging="432"/>
          </w:pPr>
          <w:r>
            <w:t>8 References</w:t>
          </w:r>
        </w:p>
        <w:sdt>
          <w:sdtPr>
            <w:id w:val="-573587230"/>
            <w:bibliography/>
          </w:sdtPr>
          <w:sdtEndPr/>
          <w:sdtContent>
            <w:p w14:paraId="64E63436" w14:textId="77777777" w:rsidR="00F23937" w:rsidRDefault="001F651F" w:rsidP="00F23937">
              <w:pPr>
                <w:pStyle w:val="Bibliography"/>
                <w:rPr>
                  <w:noProof/>
                  <w:sz w:val="24"/>
                  <w:szCs w:val="24"/>
                </w:rPr>
              </w:pPr>
              <w:r>
                <w:fldChar w:fldCharType="begin"/>
              </w:r>
              <w:r>
                <w:instrText>BIBLIOGRAPHY</w:instrText>
              </w:r>
              <w:r>
                <w:fldChar w:fldCharType="separate"/>
              </w:r>
              <w:r w:rsidR="00F23937">
                <w:rPr>
                  <w:noProof/>
                </w:rPr>
                <w:t xml:space="preserve">A. Weinert, P. G., 2011. Fatigue–Strength Surface: basis for structural analysis under dynamic loads. </w:t>
              </w:r>
              <w:r w:rsidR="00F23937">
                <w:rPr>
                  <w:i/>
                  <w:iCs/>
                  <w:noProof/>
                </w:rPr>
                <w:t xml:space="preserve">CEAS Aeronautical, </w:t>
              </w:r>
              <w:r w:rsidR="00F23937">
                <w:rPr>
                  <w:noProof/>
                </w:rPr>
                <w:t>Volume 2, pp. 243-252.</w:t>
              </w:r>
            </w:p>
            <w:p w14:paraId="6E6DFA78" w14:textId="77777777" w:rsidR="00F23937" w:rsidRDefault="00F23937" w:rsidP="00F23937">
              <w:pPr>
                <w:pStyle w:val="Bibliography"/>
                <w:rPr>
                  <w:noProof/>
                </w:rPr>
              </w:pPr>
              <w:r>
                <w:rPr>
                  <w:noProof/>
                </w:rPr>
                <w:t xml:space="preserve">Henrik Peterson, D. L. M. T. R. E., 2026. Physics Informed Modelling of Fatigue Safety Factors. </w:t>
              </w:r>
              <w:r>
                <w:rPr>
                  <w:i/>
                  <w:iCs/>
                  <w:noProof/>
                </w:rPr>
                <w:t xml:space="preserve">Procedia Structural Integrity, </w:t>
              </w:r>
              <w:r>
                <w:rPr>
                  <w:noProof/>
                </w:rPr>
                <w:t>Volume 79, pp. 298-305.</w:t>
              </w:r>
            </w:p>
            <w:p w14:paraId="0C2EBB4B" w14:textId="77777777" w:rsidR="00F23937" w:rsidRDefault="00F23937" w:rsidP="00F23937">
              <w:pPr>
                <w:pStyle w:val="Bibliography"/>
                <w:rPr>
                  <w:noProof/>
                </w:rPr>
              </w:pPr>
              <w:r>
                <w:rPr>
                  <w:noProof/>
                </w:rPr>
                <w:t xml:space="preserve">Heywood, J., 2018. </w:t>
              </w:r>
              <w:r>
                <w:rPr>
                  <w:i/>
                  <w:iCs/>
                  <w:noProof/>
                </w:rPr>
                <w:t xml:space="preserve">Internal combustion engine fundamentals. </w:t>
              </w:r>
              <w:r>
                <w:rPr>
                  <w:noProof/>
                </w:rPr>
                <w:t>Second ed. New York : Mcgraw-Hill .</w:t>
              </w:r>
            </w:p>
            <w:p w14:paraId="77D3DCB9" w14:textId="77777777" w:rsidR="00F23937" w:rsidRDefault="00F23937" w:rsidP="00F23937">
              <w:pPr>
                <w:pStyle w:val="Bibliography"/>
                <w:rPr>
                  <w:noProof/>
                </w:rPr>
              </w:pPr>
              <w:r>
                <w:rPr>
                  <w:noProof/>
                </w:rPr>
                <w:t xml:space="preserve">J. Leon, D. S. O. M. C. L. J. F. I. P. R. L., 2015. </w:t>
              </w:r>
              <w:r>
                <w:rPr>
                  <w:i/>
                  <w:iCs/>
                  <w:noProof/>
                </w:rPr>
                <w:t xml:space="preserve">Mechanical Properties Analysis of an Al-Mg Alloy Connecting Rod with Submicrometric Structure, </w:t>
              </w:r>
              <w:r>
                <w:rPr>
                  <w:noProof/>
                </w:rPr>
                <w:t>Pamplona: Mechanical, Energetics and Materials Engineering Department.</w:t>
              </w:r>
            </w:p>
            <w:p w14:paraId="15C7930E" w14:textId="77777777" w:rsidR="00F23937" w:rsidRDefault="00F23937" w:rsidP="00F23937">
              <w:pPr>
                <w:pStyle w:val="Bibliography"/>
                <w:rPr>
                  <w:noProof/>
                </w:rPr>
              </w:pPr>
              <w:r>
                <w:rPr>
                  <w:noProof/>
                </w:rPr>
                <w:t xml:space="preserve">P. Date, R. K. A. K., 2017. On the lightweighting of automobile engine components : forming sheet metal connecting rod. </w:t>
              </w:r>
              <w:r>
                <w:rPr>
                  <w:i/>
                  <w:iCs/>
                  <w:noProof/>
                </w:rPr>
                <w:t xml:space="preserve">Journal of Physics: Conference series, </w:t>
              </w:r>
              <w:r>
                <w:rPr>
                  <w:noProof/>
                </w:rPr>
                <w:t>896(1).</w:t>
              </w:r>
            </w:p>
            <w:p w14:paraId="24613EA7" w14:textId="77777777" w:rsidR="00F23937" w:rsidRDefault="00F23937" w:rsidP="00F23937">
              <w:pPr>
                <w:pStyle w:val="Bibliography"/>
                <w:rPr>
                  <w:noProof/>
                </w:rPr>
              </w:pPr>
              <w:r>
                <w:rPr>
                  <w:noProof/>
                </w:rPr>
                <w:t xml:space="preserve">Pulkrabek, W. W., 2014. </w:t>
              </w:r>
              <w:r>
                <w:rPr>
                  <w:i/>
                  <w:iCs/>
                  <w:noProof/>
                </w:rPr>
                <w:t xml:space="preserve">Engineering Fundamentals of The Internal Combustion Engine. </w:t>
              </w:r>
              <w:r>
                <w:rPr>
                  <w:noProof/>
                </w:rPr>
                <w:t>2nd ed. Harlow: Pearson Education .</w:t>
              </w:r>
            </w:p>
            <w:p w14:paraId="41AD59D8" w14:textId="77777777" w:rsidR="00F23937" w:rsidRDefault="00F23937" w:rsidP="00F23937">
              <w:pPr>
                <w:pStyle w:val="Bibliography"/>
                <w:rPr>
                  <w:noProof/>
                </w:rPr>
              </w:pPr>
              <w:r>
                <w:rPr>
                  <w:noProof/>
                </w:rPr>
                <w:t xml:space="preserve">R. Budynas, J. N., 2015. </w:t>
              </w:r>
              <w:r>
                <w:rPr>
                  <w:i/>
                  <w:iCs/>
                  <w:noProof/>
                </w:rPr>
                <w:t xml:space="preserve">Shigley's Mechanical Engineering Design. </w:t>
              </w:r>
              <w:r>
                <w:rPr>
                  <w:noProof/>
                </w:rPr>
                <w:t>10th ed. New York: Mcgraw-Hill .</w:t>
              </w:r>
            </w:p>
            <w:p w14:paraId="325C90C1" w14:textId="77777777" w:rsidR="00F23937" w:rsidRDefault="00F23937" w:rsidP="00F23937">
              <w:pPr>
                <w:pStyle w:val="Bibliography"/>
                <w:rPr>
                  <w:noProof/>
                </w:rPr>
              </w:pPr>
              <w:r>
                <w:rPr>
                  <w:noProof/>
                </w:rPr>
                <w:t xml:space="preserve">Tawil, E., 1997. </w:t>
              </w:r>
              <w:r>
                <w:rPr>
                  <w:i/>
                  <w:iCs/>
                  <w:noProof/>
                </w:rPr>
                <w:t xml:space="preserve">Internal Combustion Engine , </w:t>
              </w:r>
              <w:r>
                <w:rPr>
                  <w:noProof/>
                </w:rPr>
                <w:t>New York : CED Engineering.</w:t>
              </w:r>
            </w:p>
            <w:p w14:paraId="242A1B6D" w14:textId="77777777" w:rsidR="00F23937" w:rsidRDefault="00F23937" w:rsidP="00F23937">
              <w:pPr>
                <w:pStyle w:val="Bibliography"/>
                <w:rPr>
                  <w:noProof/>
                </w:rPr>
              </w:pPr>
              <w:r>
                <w:rPr>
                  <w:noProof/>
                </w:rPr>
                <w:t xml:space="preserve">Taylor, C. F., 1985. </w:t>
              </w:r>
              <w:r>
                <w:rPr>
                  <w:i/>
                  <w:iCs/>
                  <w:noProof/>
                </w:rPr>
                <w:t xml:space="preserve">The Internal Combustion Engine in Theory and Practice. </w:t>
              </w:r>
              <w:r>
                <w:rPr>
                  <w:noProof/>
                </w:rPr>
                <w:t>2nd ed. Massachusetts: The M.I.T. Press.</w:t>
              </w:r>
            </w:p>
            <w:p w14:paraId="67F0D5AC" w14:textId="3079A3F2" w:rsidR="001F651F" w:rsidRDefault="001F651F" w:rsidP="00F23937">
              <w:r>
                <w:rPr>
                  <w:b/>
                  <w:bCs/>
                </w:rPr>
                <w:fldChar w:fldCharType="end"/>
              </w:r>
            </w:p>
          </w:sdtContent>
        </w:sdt>
      </w:sdtContent>
    </w:sdt>
    <w:bookmarkEnd w:id="118"/>
    <w:bookmarkEnd w:id="117"/>
    <w:p w14:paraId="6E086D5C" w14:textId="73BA47A1" w:rsidR="009248F7" w:rsidRDefault="009248F7" w:rsidP="001F651F">
      <w:pPr>
        <w:pStyle w:val="Heading1"/>
        <w:numPr>
          <w:ilvl w:val="0"/>
          <w:numId w:val="0"/>
        </w:numPr>
      </w:pPr>
    </w:p>
    <w:sectPr w:rsidR="009248F7" w:rsidSect="00102CB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3104F" w14:textId="77777777" w:rsidR="00406644" w:rsidRDefault="00406644" w:rsidP="00962E5F">
      <w:pPr>
        <w:spacing w:after="0" w:line="240" w:lineRule="auto"/>
      </w:pPr>
      <w:r>
        <w:separator/>
      </w:r>
    </w:p>
  </w:endnote>
  <w:endnote w:type="continuationSeparator" w:id="0">
    <w:p w14:paraId="659492E1" w14:textId="77777777" w:rsidR="00406644" w:rsidRDefault="00406644"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C4900" w14:textId="77777777" w:rsidR="00406644" w:rsidRDefault="00406644" w:rsidP="00962E5F">
      <w:pPr>
        <w:spacing w:after="0" w:line="240" w:lineRule="auto"/>
      </w:pPr>
      <w:r>
        <w:separator/>
      </w:r>
    </w:p>
  </w:footnote>
  <w:footnote w:type="continuationSeparator" w:id="0">
    <w:p w14:paraId="094E9329" w14:textId="77777777" w:rsidR="00406644" w:rsidRDefault="00406644"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6E62D6CF" w:rsidR="000D61BC" w:rsidRDefault="00DA6D64">
    <w:pPr>
      <w:pStyle w:val="Header"/>
    </w:pPr>
    <w:r>
      <w:t>Scott Holden</w:t>
    </w:r>
    <w:r w:rsidR="000D61BC">
      <w:ptab w:relativeTo="margin" w:alignment="center" w:leader="none"/>
    </w:r>
    <w:r w:rsidR="00293EB2">
      <w:t xml:space="preserve">Engine Performance characteristics </w:t>
    </w:r>
    <w:r>
      <w:t xml:space="preserve"> </w:t>
    </w:r>
    <w:r w:rsidR="000D61BC">
      <w:ptab w:relativeTo="margin" w:alignment="right" w:leader="none"/>
    </w:r>
    <w:r>
      <w:t>2200027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664AC5CE"/>
    <w:lvl w:ilvl="0">
      <w:start w:val="1"/>
      <w:numFmt w:val="decimal"/>
      <w:pStyle w:val="Heading1"/>
      <w:lvlText w:val="%1"/>
      <w:lvlJc w:val="left"/>
      <w:pPr>
        <w:ind w:left="432" w:hanging="432"/>
      </w:pPr>
      <w:rPr>
        <w:b w:val="0"/>
        <w:bCs w: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5A3257"/>
    <w:multiLevelType w:val="hybridMultilevel"/>
    <w:tmpl w:val="3092A8F8"/>
    <w:lvl w:ilvl="0" w:tplc="7EE4833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0D1FB0"/>
    <w:multiLevelType w:val="hybridMultilevel"/>
    <w:tmpl w:val="41E69102"/>
    <w:lvl w:ilvl="0" w:tplc="9AA2A39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ED76F8"/>
    <w:multiLevelType w:val="multilevel"/>
    <w:tmpl w:val="A6D0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363BF6"/>
    <w:multiLevelType w:val="multilevel"/>
    <w:tmpl w:val="026E7C22"/>
    <w:lvl w:ilvl="0">
      <w:start w:val="2"/>
      <w:numFmt w:val="decimal"/>
      <w:lvlText w:val="%1"/>
      <w:lvlJc w:val="left"/>
      <w:pPr>
        <w:ind w:left="516" w:hanging="516"/>
      </w:pPr>
      <w:rPr>
        <w:rFonts w:hint="default"/>
      </w:rPr>
    </w:lvl>
    <w:lvl w:ilvl="1">
      <w:start w:val="1"/>
      <w:numFmt w:val="decimal"/>
      <w:lvlText w:val="%1.%2"/>
      <w:lvlJc w:val="left"/>
      <w:pPr>
        <w:ind w:left="516" w:hanging="516"/>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5321F6B"/>
    <w:multiLevelType w:val="hybridMultilevel"/>
    <w:tmpl w:val="253E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F64FA"/>
    <w:multiLevelType w:val="hybridMultilevel"/>
    <w:tmpl w:val="C9A8B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EF47F6"/>
    <w:multiLevelType w:val="hybridMultilevel"/>
    <w:tmpl w:val="CFE6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D689B"/>
    <w:multiLevelType w:val="multilevel"/>
    <w:tmpl w:val="9A7873A2"/>
    <w:lvl w:ilvl="0">
      <w:start w:val="2"/>
      <w:numFmt w:val="decimal"/>
      <w:lvlText w:val="%1"/>
      <w:lvlJc w:val="left"/>
      <w:pPr>
        <w:ind w:left="516" w:hanging="516"/>
      </w:pPr>
      <w:rPr>
        <w:rFonts w:hint="default"/>
      </w:rPr>
    </w:lvl>
    <w:lvl w:ilvl="1">
      <w:start w:val="1"/>
      <w:numFmt w:val="decimal"/>
      <w:lvlText w:val="%1.%2"/>
      <w:lvlJc w:val="left"/>
      <w:pPr>
        <w:ind w:left="516" w:hanging="516"/>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57C7A77"/>
    <w:multiLevelType w:val="multilevel"/>
    <w:tmpl w:val="156E6724"/>
    <w:lvl w:ilvl="0">
      <w:start w:val="2"/>
      <w:numFmt w:val="decimal"/>
      <w:lvlText w:val="%1"/>
      <w:lvlJc w:val="left"/>
      <w:pPr>
        <w:ind w:left="516" w:hanging="516"/>
      </w:pPr>
      <w:rPr>
        <w:rFonts w:hint="default"/>
      </w:rPr>
    </w:lvl>
    <w:lvl w:ilvl="1">
      <w:start w:val="1"/>
      <w:numFmt w:val="decimal"/>
      <w:lvlText w:val="%1.%2"/>
      <w:lvlJc w:val="left"/>
      <w:pPr>
        <w:ind w:left="696" w:hanging="516"/>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46950E35"/>
    <w:multiLevelType w:val="multilevel"/>
    <w:tmpl w:val="0E7E657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val="0"/>
      </w:rPr>
    </w:lvl>
    <w:lvl w:ilvl="2">
      <w:start w:val="3"/>
      <w:numFmt w:val="decimal"/>
      <w:lvlText w:val="%3."/>
      <w:lvlJc w:val="left"/>
      <w:pPr>
        <w:ind w:left="2160" w:hanging="360"/>
      </w:pPr>
      <w:rPr>
        <w:rFonts w:hint="default"/>
        <w:b w:val="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64F89"/>
    <w:multiLevelType w:val="multilevel"/>
    <w:tmpl w:val="12B89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110BED"/>
    <w:multiLevelType w:val="multilevel"/>
    <w:tmpl w:val="509024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1C7124"/>
    <w:multiLevelType w:val="multilevel"/>
    <w:tmpl w:val="2C1EFEA6"/>
    <w:lvl w:ilvl="0">
      <w:start w:val="1"/>
      <w:numFmt w:val="decimal"/>
      <w:lvlText w:val="%1."/>
      <w:lvlJc w:val="left"/>
      <w:pPr>
        <w:ind w:left="720" w:hanging="360"/>
      </w:pPr>
      <w:rPr>
        <w:rFonts w:hint="default"/>
      </w:rPr>
    </w:lvl>
    <w:lvl w:ilvl="1">
      <w:start w:val="1"/>
      <w:numFmt w:val="decimal"/>
      <w:isLgl/>
      <w:lvlText w:val="%1.%2"/>
      <w:lvlJc w:val="left"/>
      <w:pPr>
        <w:ind w:left="852" w:hanging="492"/>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5E482CE4"/>
    <w:multiLevelType w:val="hybridMultilevel"/>
    <w:tmpl w:val="2B4E948A"/>
    <w:lvl w:ilvl="0" w:tplc="DE620F1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9644D0"/>
    <w:multiLevelType w:val="hybridMultilevel"/>
    <w:tmpl w:val="5C80F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346BF3"/>
    <w:multiLevelType w:val="multilevel"/>
    <w:tmpl w:val="00E486F2"/>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63BF6D65"/>
    <w:multiLevelType w:val="multilevel"/>
    <w:tmpl w:val="C6EE4B0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64920F64"/>
    <w:multiLevelType w:val="multilevel"/>
    <w:tmpl w:val="49B40E1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DE6933"/>
    <w:multiLevelType w:val="multilevel"/>
    <w:tmpl w:val="4BE64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FB28D5"/>
    <w:multiLevelType w:val="multilevel"/>
    <w:tmpl w:val="3D2E706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D2577A3"/>
    <w:multiLevelType w:val="multilevel"/>
    <w:tmpl w:val="0E02BC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6678393">
    <w:abstractNumId w:val="0"/>
  </w:num>
  <w:num w:numId="2" w16cid:durableId="1274439898">
    <w:abstractNumId w:val="0"/>
    <w:lvlOverride w:ilvl="0">
      <w:startOverride w:val="7"/>
    </w:lvlOverride>
  </w:num>
  <w:num w:numId="3" w16cid:durableId="739837370">
    <w:abstractNumId w:val="10"/>
  </w:num>
  <w:num w:numId="4" w16cid:durableId="1168324091">
    <w:abstractNumId w:val="11"/>
  </w:num>
  <w:num w:numId="5" w16cid:durableId="1124079708">
    <w:abstractNumId w:val="1"/>
  </w:num>
  <w:num w:numId="6" w16cid:durableId="1846244470">
    <w:abstractNumId w:val="20"/>
  </w:num>
  <w:num w:numId="7" w16cid:durableId="1691032371">
    <w:abstractNumId w:val="16"/>
  </w:num>
  <w:num w:numId="8" w16cid:durableId="408501141">
    <w:abstractNumId w:val="18"/>
  </w:num>
  <w:num w:numId="9" w16cid:durableId="1947079083">
    <w:abstractNumId w:val="14"/>
  </w:num>
  <w:num w:numId="10" w16cid:durableId="891964035">
    <w:abstractNumId w:val="17"/>
  </w:num>
  <w:num w:numId="11" w16cid:durableId="47463774">
    <w:abstractNumId w:val="13"/>
  </w:num>
  <w:num w:numId="12" w16cid:durableId="194511705">
    <w:abstractNumId w:val="19"/>
  </w:num>
  <w:num w:numId="13" w16cid:durableId="1566377539">
    <w:abstractNumId w:val="12"/>
  </w:num>
  <w:num w:numId="14" w16cid:durableId="1188909705">
    <w:abstractNumId w:val="21"/>
  </w:num>
  <w:num w:numId="15" w16cid:durableId="714887662">
    <w:abstractNumId w:val="9"/>
  </w:num>
  <w:num w:numId="16" w16cid:durableId="1420446784">
    <w:abstractNumId w:val="4"/>
  </w:num>
  <w:num w:numId="17" w16cid:durableId="982541013">
    <w:abstractNumId w:val="8"/>
  </w:num>
  <w:num w:numId="18" w16cid:durableId="1713994243">
    <w:abstractNumId w:val="5"/>
  </w:num>
  <w:num w:numId="19" w16cid:durableId="825898463">
    <w:abstractNumId w:val="0"/>
  </w:num>
  <w:num w:numId="20" w16cid:durableId="1503818756">
    <w:abstractNumId w:val="3"/>
  </w:num>
  <w:num w:numId="21" w16cid:durableId="1432050681">
    <w:abstractNumId w:val="7"/>
  </w:num>
  <w:num w:numId="22" w16cid:durableId="434522117">
    <w:abstractNumId w:val="6"/>
  </w:num>
  <w:num w:numId="23" w16cid:durableId="1435780959">
    <w:abstractNumId w:val="0"/>
  </w:num>
  <w:num w:numId="24" w16cid:durableId="190344811">
    <w:abstractNumId w:val="15"/>
  </w:num>
  <w:num w:numId="25" w16cid:durableId="21029878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2A96"/>
    <w:rsid w:val="00003CCD"/>
    <w:rsid w:val="00006204"/>
    <w:rsid w:val="00012FDF"/>
    <w:rsid w:val="00015F1C"/>
    <w:rsid w:val="0001782A"/>
    <w:rsid w:val="000214FA"/>
    <w:rsid w:val="000238B5"/>
    <w:rsid w:val="000258AD"/>
    <w:rsid w:val="000260A4"/>
    <w:rsid w:val="00043C8C"/>
    <w:rsid w:val="0004542F"/>
    <w:rsid w:val="000467A3"/>
    <w:rsid w:val="00047F24"/>
    <w:rsid w:val="00051432"/>
    <w:rsid w:val="00053625"/>
    <w:rsid w:val="00060EC0"/>
    <w:rsid w:val="00066763"/>
    <w:rsid w:val="000701DB"/>
    <w:rsid w:val="000718A8"/>
    <w:rsid w:val="00074EF7"/>
    <w:rsid w:val="0007707F"/>
    <w:rsid w:val="0007754C"/>
    <w:rsid w:val="00081CFD"/>
    <w:rsid w:val="00081EF7"/>
    <w:rsid w:val="000A22B8"/>
    <w:rsid w:val="000A436B"/>
    <w:rsid w:val="000C2DFA"/>
    <w:rsid w:val="000D292F"/>
    <w:rsid w:val="000D491F"/>
    <w:rsid w:val="000D61BC"/>
    <w:rsid w:val="000E11A3"/>
    <w:rsid w:val="000E138E"/>
    <w:rsid w:val="000E3976"/>
    <w:rsid w:val="000E3BB4"/>
    <w:rsid w:val="000F0D22"/>
    <w:rsid w:val="000F6D8B"/>
    <w:rsid w:val="00102CB1"/>
    <w:rsid w:val="00107B2E"/>
    <w:rsid w:val="00110407"/>
    <w:rsid w:val="0012151B"/>
    <w:rsid w:val="00137552"/>
    <w:rsid w:val="001450D6"/>
    <w:rsid w:val="00146CB6"/>
    <w:rsid w:val="00150612"/>
    <w:rsid w:val="00173821"/>
    <w:rsid w:val="0019332E"/>
    <w:rsid w:val="00193E0D"/>
    <w:rsid w:val="00194904"/>
    <w:rsid w:val="001A2419"/>
    <w:rsid w:val="001A38B5"/>
    <w:rsid w:val="001A4EB7"/>
    <w:rsid w:val="001B3717"/>
    <w:rsid w:val="001B4A48"/>
    <w:rsid w:val="001C6A5A"/>
    <w:rsid w:val="001D21CD"/>
    <w:rsid w:val="001D2F95"/>
    <w:rsid w:val="001D5BA5"/>
    <w:rsid w:val="001E7DD5"/>
    <w:rsid w:val="001F3D35"/>
    <w:rsid w:val="001F651F"/>
    <w:rsid w:val="00201A61"/>
    <w:rsid w:val="00203670"/>
    <w:rsid w:val="00205065"/>
    <w:rsid w:val="002135B7"/>
    <w:rsid w:val="00223060"/>
    <w:rsid w:val="00232B13"/>
    <w:rsid w:val="00236525"/>
    <w:rsid w:val="0025202E"/>
    <w:rsid w:val="002566E0"/>
    <w:rsid w:val="0026031D"/>
    <w:rsid w:val="00267C24"/>
    <w:rsid w:val="00276FF9"/>
    <w:rsid w:val="00293EB2"/>
    <w:rsid w:val="002A400B"/>
    <w:rsid w:val="002A56C7"/>
    <w:rsid w:val="002B26CB"/>
    <w:rsid w:val="002C2808"/>
    <w:rsid w:val="002D1420"/>
    <w:rsid w:val="002D5662"/>
    <w:rsid w:val="002E4894"/>
    <w:rsid w:val="002F132F"/>
    <w:rsid w:val="002F1862"/>
    <w:rsid w:val="00301299"/>
    <w:rsid w:val="003017EC"/>
    <w:rsid w:val="003147F0"/>
    <w:rsid w:val="00324D41"/>
    <w:rsid w:val="00324EDD"/>
    <w:rsid w:val="00330118"/>
    <w:rsid w:val="00337E35"/>
    <w:rsid w:val="003659A3"/>
    <w:rsid w:val="00373E80"/>
    <w:rsid w:val="0037417D"/>
    <w:rsid w:val="00377201"/>
    <w:rsid w:val="003866BC"/>
    <w:rsid w:val="00395053"/>
    <w:rsid w:val="00397004"/>
    <w:rsid w:val="003A02C3"/>
    <w:rsid w:val="003B6C1E"/>
    <w:rsid w:val="003E29F5"/>
    <w:rsid w:val="00400DC7"/>
    <w:rsid w:val="00406644"/>
    <w:rsid w:val="00406D56"/>
    <w:rsid w:val="004128D2"/>
    <w:rsid w:val="004150FC"/>
    <w:rsid w:val="00424641"/>
    <w:rsid w:val="00441B5B"/>
    <w:rsid w:val="0044350A"/>
    <w:rsid w:val="00454D15"/>
    <w:rsid w:val="00474AF6"/>
    <w:rsid w:val="0048027B"/>
    <w:rsid w:val="00484B9B"/>
    <w:rsid w:val="0048654C"/>
    <w:rsid w:val="004D04E6"/>
    <w:rsid w:val="004E2E7C"/>
    <w:rsid w:val="004F6789"/>
    <w:rsid w:val="005013E8"/>
    <w:rsid w:val="0050456F"/>
    <w:rsid w:val="00507291"/>
    <w:rsid w:val="00510048"/>
    <w:rsid w:val="00522AB8"/>
    <w:rsid w:val="005259F0"/>
    <w:rsid w:val="005356C3"/>
    <w:rsid w:val="0054034E"/>
    <w:rsid w:val="00542685"/>
    <w:rsid w:val="00543246"/>
    <w:rsid w:val="0055195B"/>
    <w:rsid w:val="00557744"/>
    <w:rsid w:val="00572EC1"/>
    <w:rsid w:val="00574AB1"/>
    <w:rsid w:val="005B26D8"/>
    <w:rsid w:val="005B4DEC"/>
    <w:rsid w:val="005B562E"/>
    <w:rsid w:val="005C2DA7"/>
    <w:rsid w:val="005C6110"/>
    <w:rsid w:val="005C7F28"/>
    <w:rsid w:val="005D0BB5"/>
    <w:rsid w:val="005D62C6"/>
    <w:rsid w:val="005E4F7B"/>
    <w:rsid w:val="005F785F"/>
    <w:rsid w:val="0060675A"/>
    <w:rsid w:val="00613347"/>
    <w:rsid w:val="006153F0"/>
    <w:rsid w:val="0062323E"/>
    <w:rsid w:val="00627E75"/>
    <w:rsid w:val="006333EE"/>
    <w:rsid w:val="0064715D"/>
    <w:rsid w:val="00647B3D"/>
    <w:rsid w:val="00650F12"/>
    <w:rsid w:val="00664834"/>
    <w:rsid w:val="0066554A"/>
    <w:rsid w:val="00670BF5"/>
    <w:rsid w:val="00677A56"/>
    <w:rsid w:val="006913FE"/>
    <w:rsid w:val="0069150D"/>
    <w:rsid w:val="006A327F"/>
    <w:rsid w:val="006B3D1C"/>
    <w:rsid w:val="006C2A36"/>
    <w:rsid w:val="006D08AF"/>
    <w:rsid w:val="006D25E8"/>
    <w:rsid w:val="006D623D"/>
    <w:rsid w:val="006D6886"/>
    <w:rsid w:val="006D6CF4"/>
    <w:rsid w:val="006E075F"/>
    <w:rsid w:val="006E650A"/>
    <w:rsid w:val="00700175"/>
    <w:rsid w:val="00705064"/>
    <w:rsid w:val="007147B5"/>
    <w:rsid w:val="0071642A"/>
    <w:rsid w:val="00716543"/>
    <w:rsid w:val="007176EE"/>
    <w:rsid w:val="0073040A"/>
    <w:rsid w:val="0073341A"/>
    <w:rsid w:val="007340D0"/>
    <w:rsid w:val="0074362A"/>
    <w:rsid w:val="007457AF"/>
    <w:rsid w:val="00746710"/>
    <w:rsid w:val="0074758A"/>
    <w:rsid w:val="0075047F"/>
    <w:rsid w:val="00763DE9"/>
    <w:rsid w:val="007667CB"/>
    <w:rsid w:val="0077109B"/>
    <w:rsid w:val="00776E92"/>
    <w:rsid w:val="00782F9D"/>
    <w:rsid w:val="00785337"/>
    <w:rsid w:val="007861CC"/>
    <w:rsid w:val="007A1541"/>
    <w:rsid w:val="007C32E8"/>
    <w:rsid w:val="007C5B87"/>
    <w:rsid w:val="007E1A72"/>
    <w:rsid w:val="007E472B"/>
    <w:rsid w:val="008043EA"/>
    <w:rsid w:val="00807E72"/>
    <w:rsid w:val="008108D8"/>
    <w:rsid w:val="0082023B"/>
    <w:rsid w:val="0082645D"/>
    <w:rsid w:val="00831967"/>
    <w:rsid w:val="00833C3E"/>
    <w:rsid w:val="00840ED3"/>
    <w:rsid w:val="008521E3"/>
    <w:rsid w:val="00855CA4"/>
    <w:rsid w:val="00860E94"/>
    <w:rsid w:val="00881702"/>
    <w:rsid w:val="008845C9"/>
    <w:rsid w:val="008A403B"/>
    <w:rsid w:val="008B0B51"/>
    <w:rsid w:val="008B1373"/>
    <w:rsid w:val="008C306B"/>
    <w:rsid w:val="008C754A"/>
    <w:rsid w:val="008D0836"/>
    <w:rsid w:val="008E4533"/>
    <w:rsid w:val="008E6D09"/>
    <w:rsid w:val="008F7C98"/>
    <w:rsid w:val="00904288"/>
    <w:rsid w:val="00906F16"/>
    <w:rsid w:val="00906F75"/>
    <w:rsid w:val="00920D2E"/>
    <w:rsid w:val="009217A9"/>
    <w:rsid w:val="009248F7"/>
    <w:rsid w:val="00925AE5"/>
    <w:rsid w:val="00941114"/>
    <w:rsid w:val="0094594C"/>
    <w:rsid w:val="00954528"/>
    <w:rsid w:val="00954A1F"/>
    <w:rsid w:val="00962192"/>
    <w:rsid w:val="00962E5F"/>
    <w:rsid w:val="0096317E"/>
    <w:rsid w:val="00970092"/>
    <w:rsid w:val="00970551"/>
    <w:rsid w:val="0097318C"/>
    <w:rsid w:val="009A168A"/>
    <w:rsid w:val="009A1EC0"/>
    <w:rsid w:val="009A3030"/>
    <w:rsid w:val="009B26B0"/>
    <w:rsid w:val="009C5C71"/>
    <w:rsid w:val="009D6AE3"/>
    <w:rsid w:val="009E2198"/>
    <w:rsid w:val="009F4A77"/>
    <w:rsid w:val="009F65B2"/>
    <w:rsid w:val="009F795E"/>
    <w:rsid w:val="00A042A6"/>
    <w:rsid w:val="00A109B6"/>
    <w:rsid w:val="00A22703"/>
    <w:rsid w:val="00A264F5"/>
    <w:rsid w:val="00A31A03"/>
    <w:rsid w:val="00A4263F"/>
    <w:rsid w:val="00A528EC"/>
    <w:rsid w:val="00A55F62"/>
    <w:rsid w:val="00A76B1B"/>
    <w:rsid w:val="00A85F81"/>
    <w:rsid w:val="00A933D0"/>
    <w:rsid w:val="00AA1EC4"/>
    <w:rsid w:val="00AA6B6A"/>
    <w:rsid w:val="00AC0289"/>
    <w:rsid w:val="00AC0D88"/>
    <w:rsid w:val="00AC1FFE"/>
    <w:rsid w:val="00AD5AD8"/>
    <w:rsid w:val="00AD6C67"/>
    <w:rsid w:val="00AE0F5E"/>
    <w:rsid w:val="00AE2E3D"/>
    <w:rsid w:val="00AE3CEE"/>
    <w:rsid w:val="00B01AA6"/>
    <w:rsid w:val="00B146B9"/>
    <w:rsid w:val="00B14C99"/>
    <w:rsid w:val="00B17E85"/>
    <w:rsid w:val="00B25D24"/>
    <w:rsid w:val="00B27256"/>
    <w:rsid w:val="00B44170"/>
    <w:rsid w:val="00B567DE"/>
    <w:rsid w:val="00B57429"/>
    <w:rsid w:val="00B7388A"/>
    <w:rsid w:val="00B76BB6"/>
    <w:rsid w:val="00B77D46"/>
    <w:rsid w:val="00B824AA"/>
    <w:rsid w:val="00B97D13"/>
    <w:rsid w:val="00BA2D0D"/>
    <w:rsid w:val="00BA3A50"/>
    <w:rsid w:val="00BA4DAA"/>
    <w:rsid w:val="00BA4E2D"/>
    <w:rsid w:val="00BB1897"/>
    <w:rsid w:val="00BC0447"/>
    <w:rsid w:val="00BC3B40"/>
    <w:rsid w:val="00BC4153"/>
    <w:rsid w:val="00BC7E0D"/>
    <w:rsid w:val="00BD1D26"/>
    <w:rsid w:val="00BD5633"/>
    <w:rsid w:val="00BF0072"/>
    <w:rsid w:val="00BF43C9"/>
    <w:rsid w:val="00BF5618"/>
    <w:rsid w:val="00C02615"/>
    <w:rsid w:val="00C0387F"/>
    <w:rsid w:val="00C167B1"/>
    <w:rsid w:val="00C270C8"/>
    <w:rsid w:val="00C35DE9"/>
    <w:rsid w:val="00C431CE"/>
    <w:rsid w:val="00C52CF8"/>
    <w:rsid w:val="00C664CD"/>
    <w:rsid w:val="00C675BB"/>
    <w:rsid w:val="00C75C67"/>
    <w:rsid w:val="00C87889"/>
    <w:rsid w:val="00C91A4C"/>
    <w:rsid w:val="00C93094"/>
    <w:rsid w:val="00CA5993"/>
    <w:rsid w:val="00CA5F1C"/>
    <w:rsid w:val="00CC29FB"/>
    <w:rsid w:val="00CC5F26"/>
    <w:rsid w:val="00CC6311"/>
    <w:rsid w:val="00CD63BF"/>
    <w:rsid w:val="00CD640B"/>
    <w:rsid w:val="00CE0826"/>
    <w:rsid w:val="00CE51D4"/>
    <w:rsid w:val="00D061A5"/>
    <w:rsid w:val="00D071C5"/>
    <w:rsid w:val="00D1313E"/>
    <w:rsid w:val="00D17E70"/>
    <w:rsid w:val="00D214BA"/>
    <w:rsid w:val="00D269F7"/>
    <w:rsid w:val="00D3766C"/>
    <w:rsid w:val="00D44B4C"/>
    <w:rsid w:val="00D50006"/>
    <w:rsid w:val="00D7404E"/>
    <w:rsid w:val="00D86712"/>
    <w:rsid w:val="00D94C9D"/>
    <w:rsid w:val="00D95D78"/>
    <w:rsid w:val="00D963CC"/>
    <w:rsid w:val="00DA096F"/>
    <w:rsid w:val="00DA3E67"/>
    <w:rsid w:val="00DA6D64"/>
    <w:rsid w:val="00DA7F9E"/>
    <w:rsid w:val="00DD0731"/>
    <w:rsid w:val="00DE2D66"/>
    <w:rsid w:val="00DE561D"/>
    <w:rsid w:val="00E01CDE"/>
    <w:rsid w:val="00E031D5"/>
    <w:rsid w:val="00E07240"/>
    <w:rsid w:val="00E0780C"/>
    <w:rsid w:val="00E17649"/>
    <w:rsid w:val="00E31C52"/>
    <w:rsid w:val="00E44D60"/>
    <w:rsid w:val="00E454E9"/>
    <w:rsid w:val="00E6347A"/>
    <w:rsid w:val="00E738A4"/>
    <w:rsid w:val="00E825C5"/>
    <w:rsid w:val="00E853E0"/>
    <w:rsid w:val="00E87A19"/>
    <w:rsid w:val="00EA504C"/>
    <w:rsid w:val="00EA77C3"/>
    <w:rsid w:val="00EE3A8C"/>
    <w:rsid w:val="00EE4D35"/>
    <w:rsid w:val="00EE786F"/>
    <w:rsid w:val="00F0195B"/>
    <w:rsid w:val="00F05CF6"/>
    <w:rsid w:val="00F100FE"/>
    <w:rsid w:val="00F11F03"/>
    <w:rsid w:val="00F130E0"/>
    <w:rsid w:val="00F176FC"/>
    <w:rsid w:val="00F23937"/>
    <w:rsid w:val="00F2640F"/>
    <w:rsid w:val="00F32D0B"/>
    <w:rsid w:val="00F33035"/>
    <w:rsid w:val="00F41515"/>
    <w:rsid w:val="00F421EF"/>
    <w:rsid w:val="00F42BD0"/>
    <w:rsid w:val="00F63948"/>
    <w:rsid w:val="00F83035"/>
    <w:rsid w:val="00F83E3F"/>
    <w:rsid w:val="00F9468C"/>
    <w:rsid w:val="00F95135"/>
    <w:rsid w:val="00FA11A3"/>
    <w:rsid w:val="00FA17AD"/>
    <w:rsid w:val="00FB7938"/>
    <w:rsid w:val="00FC0B0A"/>
    <w:rsid w:val="00FD310A"/>
    <w:rsid w:val="00FE4077"/>
    <w:rsid w:val="00FF3F3C"/>
    <w:rsid w:val="00FF4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205065"/>
    <w:pPr>
      <w:ind w:left="720"/>
      <w:contextualSpacing/>
    </w:pPr>
  </w:style>
  <w:style w:type="character" w:styleId="Strong">
    <w:name w:val="Strong"/>
    <w:basedOn w:val="DefaultParagraphFont"/>
    <w:uiPriority w:val="22"/>
    <w:qFormat/>
    <w:rsid w:val="00831967"/>
    <w:rPr>
      <w:b/>
      <w:bCs/>
    </w:rPr>
  </w:style>
  <w:style w:type="paragraph" w:styleId="NormalWeb">
    <w:name w:val="Normal (Web)"/>
    <w:basedOn w:val="Normal"/>
    <w:uiPriority w:val="99"/>
    <w:semiHidden/>
    <w:unhideWhenUsed/>
    <w:rsid w:val="003147F0"/>
    <w:rPr>
      <w:rFonts w:ascii="Times New Roman" w:hAnsi="Times New Roman" w:cs="Times New Roman"/>
      <w:sz w:val="24"/>
      <w:szCs w:val="24"/>
    </w:rPr>
  </w:style>
  <w:style w:type="character" w:styleId="PlaceholderText">
    <w:name w:val="Placeholder Text"/>
    <w:basedOn w:val="DefaultParagraphFont"/>
    <w:uiPriority w:val="99"/>
    <w:semiHidden/>
    <w:rsid w:val="00860E94"/>
    <w:rPr>
      <w:color w:val="666666"/>
    </w:rPr>
  </w:style>
  <w:style w:type="paragraph" w:styleId="Bibliography">
    <w:name w:val="Bibliography"/>
    <w:basedOn w:val="Normal"/>
    <w:next w:val="Normal"/>
    <w:uiPriority w:val="37"/>
    <w:unhideWhenUsed/>
    <w:rsid w:val="00924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6968">
      <w:bodyDiv w:val="1"/>
      <w:marLeft w:val="0"/>
      <w:marRight w:val="0"/>
      <w:marTop w:val="0"/>
      <w:marBottom w:val="0"/>
      <w:divBdr>
        <w:top w:val="none" w:sz="0" w:space="0" w:color="auto"/>
        <w:left w:val="none" w:sz="0" w:space="0" w:color="auto"/>
        <w:bottom w:val="none" w:sz="0" w:space="0" w:color="auto"/>
        <w:right w:val="none" w:sz="0" w:space="0" w:color="auto"/>
      </w:divBdr>
    </w:div>
    <w:div w:id="18481612">
      <w:bodyDiv w:val="1"/>
      <w:marLeft w:val="0"/>
      <w:marRight w:val="0"/>
      <w:marTop w:val="0"/>
      <w:marBottom w:val="0"/>
      <w:divBdr>
        <w:top w:val="none" w:sz="0" w:space="0" w:color="auto"/>
        <w:left w:val="none" w:sz="0" w:space="0" w:color="auto"/>
        <w:bottom w:val="none" w:sz="0" w:space="0" w:color="auto"/>
        <w:right w:val="none" w:sz="0" w:space="0" w:color="auto"/>
      </w:divBdr>
    </w:div>
    <w:div w:id="24525630">
      <w:bodyDiv w:val="1"/>
      <w:marLeft w:val="0"/>
      <w:marRight w:val="0"/>
      <w:marTop w:val="0"/>
      <w:marBottom w:val="0"/>
      <w:divBdr>
        <w:top w:val="none" w:sz="0" w:space="0" w:color="auto"/>
        <w:left w:val="none" w:sz="0" w:space="0" w:color="auto"/>
        <w:bottom w:val="none" w:sz="0" w:space="0" w:color="auto"/>
        <w:right w:val="none" w:sz="0" w:space="0" w:color="auto"/>
      </w:divBdr>
    </w:div>
    <w:div w:id="105391459">
      <w:bodyDiv w:val="1"/>
      <w:marLeft w:val="0"/>
      <w:marRight w:val="0"/>
      <w:marTop w:val="0"/>
      <w:marBottom w:val="0"/>
      <w:divBdr>
        <w:top w:val="none" w:sz="0" w:space="0" w:color="auto"/>
        <w:left w:val="none" w:sz="0" w:space="0" w:color="auto"/>
        <w:bottom w:val="none" w:sz="0" w:space="0" w:color="auto"/>
        <w:right w:val="none" w:sz="0" w:space="0" w:color="auto"/>
      </w:divBdr>
    </w:div>
    <w:div w:id="280691928">
      <w:bodyDiv w:val="1"/>
      <w:marLeft w:val="0"/>
      <w:marRight w:val="0"/>
      <w:marTop w:val="0"/>
      <w:marBottom w:val="0"/>
      <w:divBdr>
        <w:top w:val="none" w:sz="0" w:space="0" w:color="auto"/>
        <w:left w:val="none" w:sz="0" w:space="0" w:color="auto"/>
        <w:bottom w:val="none" w:sz="0" w:space="0" w:color="auto"/>
        <w:right w:val="none" w:sz="0" w:space="0" w:color="auto"/>
      </w:divBdr>
    </w:div>
    <w:div w:id="314072657">
      <w:bodyDiv w:val="1"/>
      <w:marLeft w:val="0"/>
      <w:marRight w:val="0"/>
      <w:marTop w:val="0"/>
      <w:marBottom w:val="0"/>
      <w:divBdr>
        <w:top w:val="none" w:sz="0" w:space="0" w:color="auto"/>
        <w:left w:val="none" w:sz="0" w:space="0" w:color="auto"/>
        <w:bottom w:val="none" w:sz="0" w:space="0" w:color="auto"/>
        <w:right w:val="none" w:sz="0" w:space="0" w:color="auto"/>
      </w:divBdr>
    </w:div>
    <w:div w:id="380717642">
      <w:bodyDiv w:val="1"/>
      <w:marLeft w:val="0"/>
      <w:marRight w:val="0"/>
      <w:marTop w:val="0"/>
      <w:marBottom w:val="0"/>
      <w:divBdr>
        <w:top w:val="none" w:sz="0" w:space="0" w:color="auto"/>
        <w:left w:val="none" w:sz="0" w:space="0" w:color="auto"/>
        <w:bottom w:val="none" w:sz="0" w:space="0" w:color="auto"/>
        <w:right w:val="none" w:sz="0" w:space="0" w:color="auto"/>
      </w:divBdr>
    </w:div>
    <w:div w:id="441992869">
      <w:bodyDiv w:val="1"/>
      <w:marLeft w:val="0"/>
      <w:marRight w:val="0"/>
      <w:marTop w:val="0"/>
      <w:marBottom w:val="0"/>
      <w:divBdr>
        <w:top w:val="none" w:sz="0" w:space="0" w:color="auto"/>
        <w:left w:val="none" w:sz="0" w:space="0" w:color="auto"/>
        <w:bottom w:val="none" w:sz="0" w:space="0" w:color="auto"/>
        <w:right w:val="none" w:sz="0" w:space="0" w:color="auto"/>
      </w:divBdr>
    </w:div>
    <w:div w:id="503783972">
      <w:bodyDiv w:val="1"/>
      <w:marLeft w:val="0"/>
      <w:marRight w:val="0"/>
      <w:marTop w:val="0"/>
      <w:marBottom w:val="0"/>
      <w:divBdr>
        <w:top w:val="none" w:sz="0" w:space="0" w:color="auto"/>
        <w:left w:val="none" w:sz="0" w:space="0" w:color="auto"/>
        <w:bottom w:val="none" w:sz="0" w:space="0" w:color="auto"/>
        <w:right w:val="none" w:sz="0" w:space="0" w:color="auto"/>
      </w:divBdr>
    </w:div>
    <w:div w:id="815145196">
      <w:bodyDiv w:val="1"/>
      <w:marLeft w:val="0"/>
      <w:marRight w:val="0"/>
      <w:marTop w:val="0"/>
      <w:marBottom w:val="0"/>
      <w:divBdr>
        <w:top w:val="none" w:sz="0" w:space="0" w:color="auto"/>
        <w:left w:val="none" w:sz="0" w:space="0" w:color="auto"/>
        <w:bottom w:val="none" w:sz="0" w:space="0" w:color="auto"/>
        <w:right w:val="none" w:sz="0" w:space="0" w:color="auto"/>
      </w:divBdr>
    </w:div>
    <w:div w:id="824975302">
      <w:bodyDiv w:val="1"/>
      <w:marLeft w:val="0"/>
      <w:marRight w:val="0"/>
      <w:marTop w:val="0"/>
      <w:marBottom w:val="0"/>
      <w:divBdr>
        <w:top w:val="none" w:sz="0" w:space="0" w:color="auto"/>
        <w:left w:val="none" w:sz="0" w:space="0" w:color="auto"/>
        <w:bottom w:val="none" w:sz="0" w:space="0" w:color="auto"/>
        <w:right w:val="none" w:sz="0" w:space="0" w:color="auto"/>
      </w:divBdr>
    </w:div>
    <w:div w:id="842889744">
      <w:bodyDiv w:val="1"/>
      <w:marLeft w:val="0"/>
      <w:marRight w:val="0"/>
      <w:marTop w:val="0"/>
      <w:marBottom w:val="0"/>
      <w:divBdr>
        <w:top w:val="none" w:sz="0" w:space="0" w:color="auto"/>
        <w:left w:val="none" w:sz="0" w:space="0" w:color="auto"/>
        <w:bottom w:val="none" w:sz="0" w:space="0" w:color="auto"/>
        <w:right w:val="none" w:sz="0" w:space="0" w:color="auto"/>
      </w:divBdr>
    </w:div>
    <w:div w:id="994527675">
      <w:bodyDiv w:val="1"/>
      <w:marLeft w:val="0"/>
      <w:marRight w:val="0"/>
      <w:marTop w:val="0"/>
      <w:marBottom w:val="0"/>
      <w:divBdr>
        <w:top w:val="none" w:sz="0" w:space="0" w:color="auto"/>
        <w:left w:val="none" w:sz="0" w:space="0" w:color="auto"/>
        <w:bottom w:val="none" w:sz="0" w:space="0" w:color="auto"/>
        <w:right w:val="none" w:sz="0" w:space="0" w:color="auto"/>
      </w:divBdr>
    </w:div>
    <w:div w:id="1087652876">
      <w:bodyDiv w:val="1"/>
      <w:marLeft w:val="0"/>
      <w:marRight w:val="0"/>
      <w:marTop w:val="0"/>
      <w:marBottom w:val="0"/>
      <w:divBdr>
        <w:top w:val="none" w:sz="0" w:space="0" w:color="auto"/>
        <w:left w:val="none" w:sz="0" w:space="0" w:color="auto"/>
        <w:bottom w:val="none" w:sz="0" w:space="0" w:color="auto"/>
        <w:right w:val="none" w:sz="0" w:space="0" w:color="auto"/>
      </w:divBdr>
    </w:div>
    <w:div w:id="1171990877">
      <w:bodyDiv w:val="1"/>
      <w:marLeft w:val="0"/>
      <w:marRight w:val="0"/>
      <w:marTop w:val="0"/>
      <w:marBottom w:val="0"/>
      <w:divBdr>
        <w:top w:val="none" w:sz="0" w:space="0" w:color="auto"/>
        <w:left w:val="none" w:sz="0" w:space="0" w:color="auto"/>
        <w:bottom w:val="none" w:sz="0" w:space="0" w:color="auto"/>
        <w:right w:val="none" w:sz="0" w:space="0" w:color="auto"/>
      </w:divBdr>
    </w:div>
    <w:div w:id="1188637703">
      <w:bodyDiv w:val="1"/>
      <w:marLeft w:val="0"/>
      <w:marRight w:val="0"/>
      <w:marTop w:val="0"/>
      <w:marBottom w:val="0"/>
      <w:divBdr>
        <w:top w:val="none" w:sz="0" w:space="0" w:color="auto"/>
        <w:left w:val="none" w:sz="0" w:space="0" w:color="auto"/>
        <w:bottom w:val="none" w:sz="0" w:space="0" w:color="auto"/>
        <w:right w:val="none" w:sz="0" w:space="0" w:color="auto"/>
      </w:divBdr>
    </w:div>
    <w:div w:id="1215656886">
      <w:bodyDiv w:val="1"/>
      <w:marLeft w:val="0"/>
      <w:marRight w:val="0"/>
      <w:marTop w:val="0"/>
      <w:marBottom w:val="0"/>
      <w:divBdr>
        <w:top w:val="none" w:sz="0" w:space="0" w:color="auto"/>
        <w:left w:val="none" w:sz="0" w:space="0" w:color="auto"/>
        <w:bottom w:val="none" w:sz="0" w:space="0" w:color="auto"/>
        <w:right w:val="none" w:sz="0" w:space="0" w:color="auto"/>
      </w:divBdr>
    </w:div>
    <w:div w:id="1368606722">
      <w:bodyDiv w:val="1"/>
      <w:marLeft w:val="0"/>
      <w:marRight w:val="0"/>
      <w:marTop w:val="0"/>
      <w:marBottom w:val="0"/>
      <w:divBdr>
        <w:top w:val="none" w:sz="0" w:space="0" w:color="auto"/>
        <w:left w:val="none" w:sz="0" w:space="0" w:color="auto"/>
        <w:bottom w:val="none" w:sz="0" w:space="0" w:color="auto"/>
        <w:right w:val="none" w:sz="0" w:space="0" w:color="auto"/>
      </w:divBdr>
    </w:div>
    <w:div w:id="1388871276">
      <w:bodyDiv w:val="1"/>
      <w:marLeft w:val="0"/>
      <w:marRight w:val="0"/>
      <w:marTop w:val="0"/>
      <w:marBottom w:val="0"/>
      <w:divBdr>
        <w:top w:val="none" w:sz="0" w:space="0" w:color="auto"/>
        <w:left w:val="none" w:sz="0" w:space="0" w:color="auto"/>
        <w:bottom w:val="none" w:sz="0" w:space="0" w:color="auto"/>
        <w:right w:val="none" w:sz="0" w:space="0" w:color="auto"/>
      </w:divBdr>
    </w:div>
    <w:div w:id="1514144471">
      <w:bodyDiv w:val="1"/>
      <w:marLeft w:val="0"/>
      <w:marRight w:val="0"/>
      <w:marTop w:val="0"/>
      <w:marBottom w:val="0"/>
      <w:divBdr>
        <w:top w:val="none" w:sz="0" w:space="0" w:color="auto"/>
        <w:left w:val="none" w:sz="0" w:space="0" w:color="auto"/>
        <w:bottom w:val="none" w:sz="0" w:space="0" w:color="auto"/>
        <w:right w:val="none" w:sz="0" w:space="0" w:color="auto"/>
      </w:divBdr>
    </w:div>
    <w:div w:id="210260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Eli97</b:Tag>
    <b:SourceType>Report</b:SourceType>
    <b:Guid>{98DF8D44-6BBA-4C26-83F2-1B71A11E0DF3}</b:Guid>
    <b:Title>Internal Combustion Engine </b:Title>
    <b:Year>1997</b:Year>
    <b:City>New York </b:City>
    <b:Publisher>CED Engineering</b:Publisher>
    <b:Author>
      <b:Author>
        <b:NameList>
          <b:Person>
            <b:Last>Tawil</b:Last>
            <b:First>Elie</b:First>
          </b:Person>
        </b:NameList>
      </b:Author>
    </b:Author>
    <b:RefOrder>1</b:RefOrder>
  </b:Source>
  <b:Source>
    <b:Tag>Hen26</b:Tag>
    <b:SourceType>JournalArticle</b:SourceType>
    <b:Guid>{3D6CE6F8-9F5D-4BFA-ADB5-4DFE5EA31F8E}</b:Guid>
    <b:Title>Physics Informed Modelling of Fatigue Safety Factors</b:Title>
    <b:Year>2026</b:Year>
    <b:Author>
      <b:Author>
        <b:NameList>
          <b:Person>
            <b:Last>Henrik Peterson</b:Last>
            <b:First>Daniel</b:First>
            <b:Middle>Leidermark, Mattias Tiger, Robert Eriksson</b:Middle>
          </b:Person>
        </b:NameList>
      </b:Author>
    </b:Author>
    <b:JournalName>Procedia Structural Integrity</b:JournalName>
    <b:Pages>298-305</b:Pages>
    <b:Volume>79</b:Volume>
    <b:RefOrder>2</b:RefOrder>
  </b:Source>
  <b:Source>
    <b:Tag>AWe11</b:Tag>
    <b:SourceType>JournalArticle</b:SourceType>
    <b:Guid>{FEA9000A-4EB6-4DB8-A5FF-D89FA7E945DC}</b:Guid>
    <b:Title>Fatigue–Strength Surface: basis for structural analysis under dynamic loads</b:Title>
    <b:JournalName>CEAS Aeronautical</b:JournalName>
    <b:Year>2011</b:Year>
    <b:Pages>243-252</b:Pages>
    <b:Volume>2</b:Volume>
    <b:Author>
      <b:Author>
        <b:NameList>
          <b:Person>
            <b:Last>A. Weinert</b:Last>
            <b:First>P.</b:First>
            <b:Middle>Gergely</b:Middle>
          </b:Person>
        </b:NameList>
      </b:Author>
    </b:Author>
    <b:RefOrder>6</b:RefOrder>
  </b:Source>
  <b:Source>
    <b:Tag>PDa17</b:Tag>
    <b:SourceType>JournalArticle</b:SourceType>
    <b:Guid>{BD66B674-84C2-4417-8330-6F1A9793A6E3}</b:Guid>
    <b:Author>
      <b:Author>
        <b:NameList>
          <b:Person>
            <b:Last>P. Date</b:Last>
            <b:First>R.</b:First>
            <b:Middle>Kasture, A. Kore</b:Middle>
          </b:Person>
        </b:NameList>
      </b:Author>
    </b:Author>
    <b:Title>On the lightweighting of automobile engine components : forming sheet metal connecting rod</b:Title>
    <b:JournalName>Journal of Physics: Conference series</b:JournalName>
    <b:Year>2017</b:Year>
    <b:Volume>896</b:Volume>
    <b:Issue>1</b:Issue>
    <b:RefOrder>7</b:RefOrder>
  </b:Source>
  <b:Source>
    <b:Tag>JHe18</b:Tag>
    <b:SourceType>Book</b:SourceType>
    <b:Guid>{10DFAC44-138A-4D2C-A7C2-83D2B6272D2B}</b:Guid>
    <b:Title>Internal combustion engine fundamentals</b:Title>
    <b:Year>2018</b:Year>
    <b:Author>
      <b:Author>
        <b:NameList>
          <b:Person>
            <b:Last>Heywood</b:Last>
            <b:First>J.</b:First>
          </b:Person>
        </b:NameList>
      </b:Author>
    </b:Author>
    <b:City>New York </b:City>
    <b:Publisher>Mcgraw-Hill </b:Publisher>
    <b:Edition>Second</b:Edition>
    <b:RefOrder>8</b:RefOrder>
  </b:Source>
  <b:Source>
    <b:Tag>JLe15</b:Tag>
    <b:SourceType>Report</b:SourceType>
    <b:Guid>{82BF0412-68FE-4282-8E0A-CEEBD36DE5B0}</b:Guid>
    <b:Author>
      <b:Author>
        <b:NameList>
          <b:Person>
            <b:Last>J. Leon</b:Last>
            <b:First>D.</b:First>
            <b:Middle>Salcedo, O. Murillo, C. Luis, J. Fuertes, I. Puertas, R. Luri</b:Middle>
          </b:Person>
        </b:NameList>
      </b:Author>
    </b:Author>
    <b:Title>Mechanical Properties Analysis of an Al-Mg Alloy Connecting Rod with Submicrometric Structure</b:Title>
    <b:Year>2015</b:Year>
    <b:City>Pamplona</b:City>
    <b:Publisher>Mechanical, Energetics and Materials Engineering Department</b:Publisher>
    <b:RefOrder>9</b:RefOrder>
  </b:Source>
  <b:Source>
    <b:Tag>RBu15</b:Tag>
    <b:SourceType>Book</b:SourceType>
    <b:Guid>{C1419FCC-79F6-40EF-B98D-1254E0755A04}</b:Guid>
    <b:Title>Shigley's Mechanical Engineering Design </b:Title>
    <b:Year>2015</b:Year>
    <b:Publisher>Mcgraw-Hill </b:Publisher>
    <b:City>New York</b:City>
    <b:Author>
      <b:Author>
        <b:NameList>
          <b:Person>
            <b:Last>R. Budynas</b:Last>
            <b:First>J.</b:First>
            <b:Middle>Nisbett</b:Middle>
          </b:Person>
        </b:NameList>
      </b:Author>
    </b:Author>
    <b:Edition>10th</b:Edition>
    <b:RefOrder>3</b:RefOrder>
  </b:Source>
  <b:Source>
    <b:Tag>Cha85</b:Tag>
    <b:SourceType>Book</b:SourceType>
    <b:Guid>{F138357D-5E82-453A-A812-68F2A623A776}</b:Guid>
    <b:Author>
      <b:Author>
        <b:NameList>
          <b:Person>
            <b:Last>Taylor</b:Last>
            <b:First>Charles</b:First>
            <b:Middle>Fayette</b:Middle>
          </b:Person>
        </b:NameList>
      </b:Author>
    </b:Author>
    <b:Title>The Internal Combustion Engine in Theory and Practice</b:Title>
    <b:Year>1985</b:Year>
    <b:City>Massachusetts</b:City>
    <b:Publisher>The M.I.T. Press</b:Publisher>
    <b:Edition>2nd</b:Edition>
    <b:RefOrder>4</b:RefOrder>
  </b:Source>
  <b:Source>
    <b:Tag>Wil14</b:Tag>
    <b:SourceType>Book</b:SourceType>
    <b:Guid>{A451E890-44AF-41B6-8E54-811D2DFFE886}</b:Guid>
    <b:Author>
      <b:Author>
        <b:NameList>
          <b:Person>
            <b:Last>Pulkrabek</b:Last>
            <b:First>Willard</b:First>
            <b:Middle>W.</b:Middle>
          </b:Person>
        </b:NameList>
      </b:Author>
    </b:Author>
    <b:Title>Engineering Fundamentals of The Internal Combustion Engine</b:Title>
    <b:Year>2014</b:Year>
    <b:City>Harlow</b:City>
    <b:Publisher>Pearson Education </b:Publisher>
    <b:Edition>2nd</b:Edition>
    <b:RefOrder>5</b:RefOrder>
  </b:Source>
</b:Sources>
</file>

<file path=customXml/itemProps1.xml><?xml version="1.0" encoding="utf-8"?>
<ds:datastoreItem xmlns:ds="http://schemas.openxmlformats.org/officeDocument/2006/customXml" ds:itemID="{2D5AC679-E72C-453F-B518-79450653D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24</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Holden (2200027)</dc:creator>
  <cp:keywords/>
  <dc:description/>
  <cp:lastModifiedBy>Scott Holden (2200027)</cp:lastModifiedBy>
  <cp:revision>40</cp:revision>
  <cp:lastPrinted>2021-09-30T11:07:00Z</cp:lastPrinted>
  <dcterms:created xsi:type="dcterms:W3CDTF">2026-03-22T20:06:00Z</dcterms:created>
  <dcterms:modified xsi:type="dcterms:W3CDTF">2026-03-22T21:35:00Z</dcterms:modified>
</cp:coreProperties>
</file>