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CE4C2" w14:textId="31A92648" w:rsidR="00556E09" w:rsidRPr="002C5E34" w:rsidRDefault="00556E09" w:rsidP="00F266C7">
      <w:pPr>
        <w:spacing w:before="240" w:line="480" w:lineRule="auto"/>
        <w:jc w:val="center"/>
        <w:rPr>
          <w:rFonts w:ascii="Arial" w:hAnsi="Arial" w:cs="Arial"/>
          <w:b/>
          <w:bCs/>
        </w:rPr>
      </w:pPr>
      <w:r w:rsidRPr="002C5E34">
        <w:rPr>
          <w:rFonts w:ascii="Arial" w:hAnsi="Arial" w:cs="Arial"/>
          <w:b/>
          <w:bCs/>
        </w:rPr>
        <w:t>AI Acknowledgement</w:t>
      </w:r>
    </w:p>
    <w:p w14:paraId="4CED0619" w14:textId="1E7991A7" w:rsidR="00BB2F82" w:rsidRDefault="00BB2F82" w:rsidP="00BB2F82">
      <w:pPr>
        <w:spacing w:line="480" w:lineRule="auto"/>
        <w:ind w:left="284" w:firstLine="720"/>
        <w:rPr>
          <w:rFonts w:ascii="Calibri" w:hAnsi="Calibri" w:cs="Calibri"/>
        </w:rPr>
      </w:pPr>
      <w:r w:rsidRPr="00CF5E1C">
        <w:rPr>
          <w:rFonts w:ascii="Calibri" w:hAnsi="Calibri" w:cs="Calibri"/>
        </w:rPr>
        <w:t xml:space="preserve">I acknowledge the use of </w:t>
      </w:r>
      <w:r w:rsidR="008A1226">
        <w:rPr>
          <w:rFonts w:ascii="Calibri" w:hAnsi="Calibri" w:cs="Calibri"/>
        </w:rPr>
        <w:t>Primo Research Assistant</w:t>
      </w:r>
      <w:r w:rsidRPr="00CF5E1C">
        <w:rPr>
          <w:rFonts w:ascii="Calibri" w:hAnsi="Calibri" w:cs="Calibri"/>
        </w:rPr>
        <w:t xml:space="preserve"> (</w:t>
      </w:r>
      <w:r w:rsidR="005E1223" w:rsidRPr="005E1223">
        <w:rPr>
          <w:rFonts w:ascii="Calibri" w:hAnsi="Calibri" w:cs="Calibri"/>
        </w:rPr>
        <w:t>https://librarysearch.uwtsd.ac.uk</w:t>
      </w:r>
      <w:r w:rsidR="00DB51E4">
        <w:rPr>
          <w:rFonts w:ascii="Calibri" w:hAnsi="Calibri" w:cs="Calibri"/>
        </w:rPr>
        <w:t>/</w:t>
      </w:r>
      <w:r w:rsidRPr="00CF5E1C">
        <w:rPr>
          <w:rFonts w:ascii="Calibri" w:hAnsi="Calibri" w:cs="Calibri"/>
        </w:rPr>
        <w:t xml:space="preserve">) on </w:t>
      </w:r>
      <w:r>
        <w:rPr>
          <w:rFonts w:ascii="Calibri" w:hAnsi="Calibri" w:cs="Calibri"/>
        </w:rPr>
        <w:t>0</w:t>
      </w:r>
      <w:r w:rsidR="008A1226">
        <w:rPr>
          <w:rFonts w:ascii="Calibri" w:hAnsi="Calibri" w:cs="Calibri"/>
        </w:rPr>
        <w:t>7</w:t>
      </w:r>
      <w:r>
        <w:rPr>
          <w:rFonts w:ascii="Calibri" w:hAnsi="Calibri" w:cs="Calibri"/>
        </w:rPr>
        <w:t xml:space="preserve"> </w:t>
      </w:r>
      <w:r w:rsidR="008A1226">
        <w:rPr>
          <w:rFonts w:ascii="Calibri" w:hAnsi="Calibri" w:cs="Calibri"/>
        </w:rPr>
        <w:t>May</w:t>
      </w:r>
      <w:r>
        <w:rPr>
          <w:rFonts w:ascii="Calibri" w:hAnsi="Calibri" w:cs="Calibri"/>
        </w:rPr>
        <w:t xml:space="preserve"> 202</w:t>
      </w:r>
      <w:r w:rsidR="008A1226">
        <w:rPr>
          <w:rFonts w:ascii="Calibri" w:hAnsi="Calibri" w:cs="Calibri"/>
        </w:rPr>
        <w:t>6</w:t>
      </w:r>
      <w:r w:rsidRPr="00CF5E1C">
        <w:rPr>
          <w:rFonts w:ascii="Calibri" w:hAnsi="Calibri" w:cs="Calibri"/>
        </w:rPr>
        <w:t xml:space="preserve"> to </w:t>
      </w:r>
      <w:r>
        <w:rPr>
          <w:rFonts w:ascii="Calibri" w:hAnsi="Calibri" w:cs="Calibri"/>
        </w:rPr>
        <w:t>find studies</w:t>
      </w:r>
      <w:r w:rsidRPr="00CF5E1C">
        <w:rPr>
          <w:rFonts w:ascii="Calibri" w:hAnsi="Calibri" w:cs="Calibri"/>
        </w:rPr>
        <w:t>. I used the prompt(s):</w:t>
      </w:r>
    </w:p>
    <w:p w14:paraId="53E35C97" w14:textId="0B01A48B" w:rsidR="007323C2" w:rsidRDefault="007323C2" w:rsidP="004A1CB6">
      <w:pPr>
        <w:pStyle w:val="ListParagraph"/>
        <w:numPr>
          <w:ilvl w:val="0"/>
          <w:numId w:val="1"/>
        </w:numPr>
        <w:spacing w:line="480" w:lineRule="auto"/>
        <w:rPr>
          <w:rFonts w:ascii="Calibri" w:hAnsi="Calibri" w:cs="Calibri"/>
          <w:lang w:val="en-GB"/>
        </w:rPr>
      </w:pPr>
      <w:r>
        <w:rPr>
          <w:rFonts w:ascii="Calibri" w:hAnsi="Calibri" w:cs="Calibri"/>
          <w:lang w:val="en-GB"/>
        </w:rPr>
        <w:t>Dual process</w:t>
      </w:r>
      <w:r w:rsidR="005D14C0">
        <w:rPr>
          <w:rFonts w:ascii="Calibri" w:hAnsi="Calibri" w:cs="Calibri"/>
          <w:lang w:val="en-GB"/>
        </w:rPr>
        <w:t xml:space="preserve"> theory</w:t>
      </w:r>
      <w:r>
        <w:rPr>
          <w:rFonts w:ascii="Calibri" w:hAnsi="Calibri" w:cs="Calibri"/>
          <w:lang w:val="en-GB"/>
        </w:rPr>
        <w:t xml:space="preserve"> and </w:t>
      </w:r>
      <w:r w:rsidR="005D14C0">
        <w:rPr>
          <w:rFonts w:ascii="Calibri" w:hAnsi="Calibri" w:cs="Calibri"/>
          <w:lang w:val="en-GB"/>
        </w:rPr>
        <w:t>nursing routines</w:t>
      </w:r>
    </w:p>
    <w:p w14:paraId="14B85668" w14:textId="6AC493A7" w:rsidR="004A1CB6" w:rsidRPr="004A1CB6" w:rsidRDefault="004A1CB6" w:rsidP="004A1CB6">
      <w:pPr>
        <w:pStyle w:val="ListParagraph"/>
        <w:numPr>
          <w:ilvl w:val="0"/>
          <w:numId w:val="1"/>
        </w:numPr>
        <w:spacing w:line="480" w:lineRule="auto"/>
        <w:rPr>
          <w:rFonts w:ascii="Calibri" w:hAnsi="Calibri" w:cs="Calibri"/>
          <w:lang w:val="en-GB"/>
        </w:rPr>
      </w:pPr>
      <w:r>
        <w:rPr>
          <w:rFonts w:ascii="Calibri" w:hAnsi="Calibri" w:cs="Calibri"/>
          <w:lang w:val="en-GB"/>
        </w:rPr>
        <w:t>D</w:t>
      </w:r>
      <w:r w:rsidRPr="004A1CB6">
        <w:rPr>
          <w:rFonts w:ascii="Calibri" w:hAnsi="Calibri" w:cs="Calibri"/>
          <w:lang w:val="en-GB"/>
        </w:rPr>
        <w:t>ual process theory and hand washing</w:t>
      </w:r>
    </w:p>
    <w:p w14:paraId="2989263D" w14:textId="542B071B" w:rsidR="00CF0C06" w:rsidRPr="00CF0C06" w:rsidRDefault="00CF0C06" w:rsidP="00CF0C06">
      <w:pPr>
        <w:pStyle w:val="ListParagraph"/>
        <w:numPr>
          <w:ilvl w:val="0"/>
          <w:numId w:val="1"/>
        </w:numPr>
        <w:spacing w:line="480" w:lineRule="auto"/>
        <w:rPr>
          <w:rFonts w:ascii="Calibri" w:hAnsi="Calibri" w:cs="Calibri"/>
          <w:lang w:val="en-GB"/>
        </w:rPr>
      </w:pPr>
      <w:r w:rsidRPr="00CF0C06">
        <w:rPr>
          <w:rFonts w:ascii="Calibri" w:hAnsi="Calibri" w:cs="Calibri"/>
          <w:lang w:val="en-GB"/>
        </w:rPr>
        <w:t>Dual process theory and healthcare hygiene</w:t>
      </w:r>
    </w:p>
    <w:p w14:paraId="51EB60BD" w14:textId="1B1EA909" w:rsidR="000E75DD" w:rsidRDefault="000E75DD" w:rsidP="000E75DD">
      <w:pPr>
        <w:pStyle w:val="ListParagraph"/>
        <w:numPr>
          <w:ilvl w:val="0"/>
          <w:numId w:val="1"/>
        </w:numPr>
        <w:spacing w:line="480" w:lineRule="auto"/>
        <w:rPr>
          <w:rFonts w:ascii="Calibri" w:hAnsi="Calibri" w:cs="Calibri"/>
          <w:lang w:val="en-GB"/>
        </w:rPr>
      </w:pPr>
      <w:r>
        <w:rPr>
          <w:rFonts w:ascii="Calibri" w:hAnsi="Calibri" w:cs="Calibri"/>
          <w:lang w:val="en-GB"/>
        </w:rPr>
        <w:t>Working memory and nursing routines</w:t>
      </w:r>
    </w:p>
    <w:p w14:paraId="4DEB242D" w14:textId="352A5B6A" w:rsidR="000E75DD" w:rsidRPr="004A1CB6" w:rsidRDefault="000E75DD" w:rsidP="000E75DD">
      <w:pPr>
        <w:pStyle w:val="ListParagraph"/>
        <w:numPr>
          <w:ilvl w:val="0"/>
          <w:numId w:val="1"/>
        </w:numPr>
        <w:spacing w:line="480" w:lineRule="auto"/>
        <w:rPr>
          <w:rFonts w:ascii="Calibri" w:hAnsi="Calibri" w:cs="Calibri"/>
          <w:lang w:val="en-GB"/>
        </w:rPr>
      </w:pPr>
      <w:r>
        <w:rPr>
          <w:rFonts w:ascii="Calibri" w:hAnsi="Calibri" w:cs="Calibri"/>
          <w:lang w:val="en-GB"/>
        </w:rPr>
        <w:t>Working memory</w:t>
      </w:r>
      <w:r w:rsidRPr="004A1CB6">
        <w:rPr>
          <w:rFonts w:ascii="Calibri" w:hAnsi="Calibri" w:cs="Calibri"/>
          <w:lang w:val="en-GB"/>
        </w:rPr>
        <w:t xml:space="preserve"> and hand washing</w:t>
      </w:r>
    </w:p>
    <w:p w14:paraId="0D6C6824" w14:textId="2F373E67" w:rsidR="00C2664D" w:rsidRPr="000E75DD" w:rsidRDefault="000E75DD" w:rsidP="000E75DD">
      <w:pPr>
        <w:pStyle w:val="ListParagraph"/>
        <w:numPr>
          <w:ilvl w:val="0"/>
          <w:numId w:val="1"/>
        </w:numPr>
        <w:spacing w:line="480" w:lineRule="auto"/>
        <w:rPr>
          <w:rFonts w:ascii="Calibri" w:hAnsi="Calibri" w:cs="Calibri"/>
          <w:lang w:val="en-GB"/>
        </w:rPr>
      </w:pPr>
      <w:r>
        <w:rPr>
          <w:rFonts w:ascii="Calibri" w:hAnsi="Calibri" w:cs="Calibri"/>
          <w:lang w:val="en-GB"/>
        </w:rPr>
        <w:t>Working memory</w:t>
      </w:r>
      <w:r w:rsidRPr="00CF0C06">
        <w:rPr>
          <w:rFonts w:ascii="Calibri" w:hAnsi="Calibri" w:cs="Calibri"/>
          <w:lang w:val="en-GB"/>
        </w:rPr>
        <w:t xml:space="preserve"> and healthcare hygiene</w:t>
      </w:r>
    </w:p>
    <w:p w14:paraId="0C5D6E0C" w14:textId="672EE74D" w:rsidR="00C2664D" w:rsidRPr="00C2664D" w:rsidRDefault="00C2664D" w:rsidP="008F3F3D">
      <w:pPr>
        <w:spacing w:line="480" w:lineRule="auto"/>
        <w:ind w:left="284" w:firstLine="720"/>
        <w:rPr>
          <w:rFonts w:ascii="Calibri" w:hAnsi="Calibri" w:cs="Calibri"/>
        </w:rPr>
      </w:pPr>
      <w:r w:rsidRPr="00C2664D">
        <w:rPr>
          <w:rFonts w:ascii="Calibri" w:hAnsi="Calibri" w:cs="Calibri"/>
        </w:rPr>
        <w:t>I confirm that I have not presented any AI generated text as my own work. I confirm I have copies of my drafts, notes, and other resources I used before, and after the use of AI tools which I may be asked to provide in evidence.</w:t>
      </w:r>
    </w:p>
    <w:p w14:paraId="3E1B8AAE" w14:textId="1FEC7263" w:rsidR="002C416F" w:rsidRDefault="002C416F" w:rsidP="00556E09">
      <w:pPr>
        <w:spacing w:line="480" w:lineRule="auto"/>
        <w:ind w:left="284" w:firstLine="720"/>
      </w:pPr>
      <w:r>
        <w:br w:type="page"/>
      </w:r>
    </w:p>
    <w:tbl>
      <w:tblPr>
        <w:tblW w:w="0" w:type="auto"/>
        <w:tblLayout w:type="fixed"/>
        <w:tblLook w:val="0600" w:firstRow="0" w:lastRow="0" w:firstColumn="0" w:lastColumn="0" w:noHBand="1" w:noVBand="1"/>
      </w:tblPr>
      <w:tblGrid>
        <w:gridCol w:w="5529"/>
        <w:gridCol w:w="5261"/>
      </w:tblGrid>
      <w:tr w:rsidR="00A81248" w:rsidRPr="003A798E" w14:paraId="6ECB5E4E" w14:textId="77777777" w:rsidTr="00766C02">
        <w:tc>
          <w:tcPr>
            <w:tcW w:w="5529" w:type="dxa"/>
          </w:tcPr>
          <w:p w14:paraId="2B575429" w14:textId="79E4158C" w:rsidR="00A81248" w:rsidRPr="003A798E" w:rsidRDefault="00A81248" w:rsidP="00A81248">
            <w:pPr>
              <w:pStyle w:val="GraphicAnchor"/>
            </w:pPr>
          </w:p>
        </w:tc>
        <w:tc>
          <w:tcPr>
            <w:tcW w:w="5261" w:type="dxa"/>
          </w:tcPr>
          <w:p w14:paraId="50447F10" w14:textId="77777777" w:rsidR="00A81248" w:rsidRPr="003A798E" w:rsidRDefault="00A81248" w:rsidP="00A81248">
            <w:pPr>
              <w:pStyle w:val="GraphicAnchor"/>
            </w:pPr>
          </w:p>
        </w:tc>
      </w:tr>
      <w:tr w:rsidR="00A81248" w:rsidRPr="003A798E" w14:paraId="4993751A" w14:textId="77777777" w:rsidTr="00766C02">
        <w:trPr>
          <w:trHeight w:val="2719"/>
        </w:trPr>
        <w:tc>
          <w:tcPr>
            <w:tcW w:w="5529" w:type="dxa"/>
          </w:tcPr>
          <w:p w14:paraId="0AEDB9D8" w14:textId="73122B83" w:rsidR="00A81248" w:rsidRPr="00766C02" w:rsidRDefault="00FF299E" w:rsidP="00C66528">
            <w:pPr>
              <w:pStyle w:val="Heading1"/>
              <w:rPr>
                <w:sz w:val="64"/>
                <w:szCs w:val="64"/>
              </w:rPr>
            </w:pPr>
            <w:r w:rsidRPr="00766C02">
              <w:rPr>
                <w:sz w:val="64"/>
                <w:szCs w:val="64"/>
              </w:rPr>
              <w:t>CASE REPORT</w:t>
            </w:r>
          </w:p>
        </w:tc>
        <w:tc>
          <w:tcPr>
            <w:tcW w:w="5261" w:type="dxa"/>
          </w:tcPr>
          <w:p w14:paraId="5CFF4F56" w14:textId="0F60C52D" w:rsidR="00A81248" w:rsidRPr="003A798E" w:rsidRDefault="00A81248"/>
        </w:tc>
      </w:tr>
      <w:tr w:rsidR="00FF299E" w:rsidRPr="003A798E" w14:paraId="2FE6D199" w14:textId="77777777" w:rsidTr="00766C02">
        <w:trPr>
          <w:trHeight w:val="5771"/>
        </w:trPr>
        <w:tc>
          <w:tcPr>
            <w:tcW w:w="5529" w:type="dxa"/>
            <w:vMerge w:val="restart"/>
          </w:tcPr>
          <w:p w14:paraId="39003EA3" w14:textId="072ED7B2" w:rsidR="00FF299E" w:rsidRPr="003A798E" w:rsidRDefault="00FF299E">
            <w:r w:rsidRPr="003A798E">
              <w:rPr>
                <w:noProof/>
                <w:lang w:eastAsia="en-AU"/>
              </w:rPr>
              <mc:AlternateContent>
                <mc:Choice Requires="wpg">
                  <w:drawing>
                    <wp:anchor distT="0" distB="0" distL="114300" distR="114300" simplePos="0" relativeHeight="251663360" behindDoc="1" locked="0" layoutInCell="1" allowOverlap="1" wp14:anchorId="5BECCFE1" wp14:editId="70EB73B7">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43587981" id="Group 1" o:spid="_x0000_s1026" alt="&quot;&quot;" style="position:absolute;margin-left:-35.1pt;margin-top:-176.6pt;width:612pt;height:791.7pt;z-index:-251653120;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61" w:type="dxa"/>
          </w:tcPr>
          <w:p w14:paraId="596FC509" w14:textId="438A7636" w:rsidR="00FF299E" w:rsidRPr="003A798E" w:rsidRDefault="00FF299E"/>
        </w:tc>
      </w:tr>
      <w:tr w:rsidR="00FF299E" w:rsidRPr="003A798E" w14:paraId="54D528D9" w14:textId="77777777" w:rsidTr="00766C02">
        <w:trPr>
          <w:trHeight w:val="4813"/>
        </w:trPr>
        <w:tc>
          <w:tcPr>
            <w:tcW w:w="5529" w:type="dxa"/>
            <w:vMerge/>
          </w:tcPr>
          <w:p w14:paraId="3CBFE97B" w14:textId="77777777" w:rsidR="00FF299E" w:rsidRPr="003A798E" w:rsidRDefault="00FF299E">
            <w:pPr>
              <w:rPr>
                <w:noProof/>
                <w:lang w:eastAsia="en-AU"/>
              </w:rPr>
            </w:pPr>
          </w:p>
        </w:tc>
        <w:tc>
          <w:tcPr>
            <w:tcW w:w="5261" w:type="dxa"/>
          </w:tcPr>
          <w:p w14:paraId="2DD39CC7" w14:textId="77777777" w:rsidR="00766C02" w:rsidRDefault="00766C02" w:rsidP="00FF299E">
            <w:pPr>
              <w:pStyle w:val="Heading2"/>
              <w:rPr>
                <w:sz w:val="28"/>
                <w:szCs w:val="18"/>
              </w:rPr>
            </w:pPr>
          </w:p>
          <w:p w14:paraId="63DFB666" w14:textId="77777777" w:rsidR="00766C02" w:rsidRDefault="00766C02" w:rsidP="00FF299E">
            <w:pPr>
              <w:pStyle w:val="Heading2"/>
              <w:rPr>
                <w:sz w:val="28"/>
                <w:szCs w:val="18"/>
              </w:rPr>
            </w:pPr>
          </w:p>
          <w:p w14:paraId="6604AB5F" w14:textId="77777777" w:rsidR="00766C02" w:rsidRDefault="00766C02" w:rsidP="00FF299E">
            <w:pPr>
              <w:pStyle w:val="Heading2"/>
              <w:rPr>
                <w:sz w:val="28"/>
                <w:szCs w:val="18"/>
              </w:rPr>
            </w:pPr>
          </w:p>
          <w:p w14:paraId="296CFA90" w14:textId="77777777" w:rsidR="00FF299E" w:rsidRPr="003A798E" w:rsidRDefault="00FF299E" w:rsidP="00F95970">
            <w:pPr>
              <w:pStyle w:val="Heading2"/>
            </w:pPr>
          </w:p>
        </w:tc>
      </w:tr>
    </w:tbl>
    <w:p w14:paraId="7FDB8637" w14:textId="14E5021D" w:rsidR="000C4ED1" w:rsidRPr="003A798E" w:rsidRDefault="000C4ED1"/>
    <w:tbl>
      <w:tblPr>
        <w:tblW w:w="10773" w:type="dxa"/>
        <w:shd w:val="clear" w:color="auto" w:fill="EDF0F4" w:themeFill="accent3"/>
        <w:tblLayout w:type="fixed"/>
        <w:tblCellMar>
          <w:left w:w="0" w:type="dxa"/>
          <w:right w:w="0" w:type="dxa"/>
        </w:tblCellMar>
        <w:tblLook w:val="0600" w:firstRow="0" w:lastRow="0" w:firstColumn="0" w:lastColumn="0" w:noHBand="1" w:noVBand="1"/>
      </w:tblPr>
      <w:tblGrid>
        <w:gridCol w:w="10773"/>
      </w:tblGrid>
      <w:tr w:rsidR="00766C02" w:rsidRPr="003A798E" w14:paraId="3B42F6A6" w14:textId="77777777" w:rsidTr="00FA38A4">
        <w:trPr>
          <w:trHeight w:val="5682"/>
        </w:trPr>
        <w:tc>
          <w:tcPr>
            <w:tcW w:w="10773" w:type="dxa"/>
            <w:shd w:val="clear" w:color="auto" w:fill="EDF0F4" w:themeFill="accent3"/>
          </w:tcPr>
          <w:p w14:paraId="1594F49B" w14:textId="070DEAFD" w:rsidR="00766C02" w:rsidRPr="003A798E" w:rsidRDefault="00766C02" w:rsidP="001205A1">
            <w:pPr>
              <w:pStyle w:val="Heading3"/>
            </w:pPr>
            <w:r>
              <w:lastRenderedPageBreak/>
              <w:t xml:space="preserve">BACKGROUND TO THE </w:t>
            </w:r>
            <w:r w:rsidR="00F95970">
              <w:t>RE</w:t>
            </w:r>
            <w:r>
              <w:t>PORT</w:t>
            </w:r>
          </w:p>
          <w:p w14:paraId="0E789157" w14:textId="77777777" w:rsidR="00766C02" w:rsidRPr="003A798E" w:rsidRDefault="00766C02" w:rsidP="001205A1">
            <w:pPr>
              <w:pStyle w:val="Heading4"/>
            </w:pPr>
          </w:p>
          <w:p w14:paraId="514E3B4F" w14:textId="6E421B3D" w:rsidR="00766C02" w:rsidRPr="009D17B8" w:rsidRDefault="009D17B8" w:rsidP="001E1D0C">
            <w:pPr>
              <w:spacing w:after="160" w:line="480" w:lineRule="auto"/>
              <w:ind w:left="284" w:firstLine="720"/>
              <w:rPr>
                <w:rFonts w:ascii="Arial" w:eastAsia="Aptos" w:hAnsi="Arial" w:cs="Arial"/>
                <w:kern w:val="2"/>
                <w:lang w:val="en-GB"/>
                <w14:ligatures w14:val="standardContextual"/>
              </w:rPr>
            </w:pPr>
            <w:r w:rsidRPr="009D17B8">
              <w:rPr>
                <w:rFonts w:ascii="Arial" w:eastAsia="Aptos" w:hAnsi="Arial" w:cs="Arial"/>
                <w:bCs/>
                <w:kern w:val="2"/>
                <w14:ligatures w14:val="standardContextual"/>
              </w:rPr>
              <w:t>This case report is being written in response to the case of Glynafonshire Health Board. Even though all the district nurses under this health board ha</w:t>
            </w:r>
            <w:r w:rsidR="0096111A">
              <w:rPr>
                <w:rFonts w:ascii="Arial" w:eastAsia="Aptos" w:hAnsi="Arial" w:cs="Arial"/>
                <w:bCs/>
                <w:kern w:val="2"/>
                <w14:ligatures w14:val="standardContextual"/>
              </w:rPr>
              <w:t>ve</w:t>
            </w:r>
            <w:r w:rsidRPr="009D17B8">
              <w:rPr>
                <w:rFonts w:ascii="Arial" w:eastAsia="Aptos" w:hAnsi="Arial" w:cs="Arial"/>
                <w:bCs/>
                <w:kern w:val="2"/>
                <w14:ligatures w14:val="standardContextual"/>
              </w:rPr>
              <w:t xml:space="preserve"> been educated on the board’s strict handwashing policy guidelines, including passing a written and practical test to demonstrate competence, the nurses still failed to consistently adhere to the </w:t>
            </w:r>
            <w:r w:rsidR="00CE4445">
              <w:rPr>
                <w:rFonts w:ascii="Arial" w:eastAsia="Aptos" w:hAnsi="Arial" w:cs="Arial"/>
                <w:bCs/>
                <w:kern w:val="2"/>
                <w14:ligatures w14:val="standardContextual"/>
              </w:rPr>
              <w:t xml:space="preserve">health </w:t>
            </w:r>
            <w:r w:rsidRPr="009D17B8">
              <w:rPr>
                <w:rFonts w:ascii="Arial" w:eastAsia="Aptos" w:hAnsi="Arial" w:cs="Arial"/>
                <w:bCs/>
                <w:kern w:val="2"/>
                <w14:ligatures w14:val="standardContextual"/>
              </w:rPr>
              <w:t xml:space="preserve">board’s handwashing policy. As a result, eight patients contracted a serious infection, with one leading to a fatality. This brought to the health board’s attention that some nurses had not been following the correct handwashing techniques, some had been rushing, and others had not been washing their hands before and after visiting </w:t>
            </w:r>
            <w:r w:rsidR="001D46E2">
              <w:rPr>
                <w:rFonts w:ascii="Arial" w:eastAsia="Aptos" w:hAnsi="Arial" w:cs="Arial"/>
                <w:bCs/>
                <w:kern w:val="2"/>
                <w14:ligatures w14:val="standardContextual"/>
              </w:rPr>
              <w:t>their</w:t>
            </w:r>
            <w:r w:rsidRPr="009D17B8">
              <w:rPr>
                <w:rFonts w:ascii="Arial" w:eastAsia="Aptos" w:hAnsi="Arial" w:cs="Arial"/>
                <w:bCs/>
                <w:kern w:val="2"/>
                <w14:ligatures w14:val="standardContextual"/>
              </w:rPr>
              <w:t xml:space="preserve"> patient’s property. Initial investigation of the incident noted that, in the months prior, the nurses </w:t>
            </w:r>
            <w:r w:rsidR="00480266">
              <w:rPr>
                <w:rFonts w:ascii="Arial" w:eastAsia="Aptos" w:hAnsi="Arial" w:cs="Arial"/>
                <w:bCs/>
                <w:kern w:val="2"/>
                <w14:ligatures w14:val="standardContextual"/>
              </w:rPr>
              <w:t>had been</w:t>
            </w:r>
            <w:r w:rsidRPr="009D17B8">
              <w:rPr>
                <w:rFonts w:ascii="Arial" w:eastAsia="Aptos" w:hAnsi="Arial" w:cs="Arial"/>
                <w:bCs/>
                <w:kern w:val="2"/>
                <w14:ligatures w14:val="standardContextual"/>
              </w:rPr>
              <w:t xml:space="preserve"> working increasingly long hours because of staff shortages and an increase in the number of patients in the community. They were working back-to-back shifts multiple times a week and needed to attend to double the number of patients they would normally. As can been seen in this case study, regular handwashing is a vital part of a healthcare professional’s routine because it prevents the spread of </w:t>
            </w:r>
            <w:r w:rsidR="0084614D">
              <w:rPr>
                <w:rFonts w:ascii="Arial" w:eastAsia="Aptos" w:hAnsi="Arial" w:cs="Arial"/>
                <w:bCs/>
                <w:kern w:val="2"/>
                <w14:ligatures w14:val="standardContextual"/>
              </w:rPr>
              <w:t>pathogens</w:t>
            </w:r>
            <w:r w:rsidRPr="009D17B8">
              <w:rPr>
                <w:rFonts w:ascii="Arial" w:eastAsia="Aptos" w:hAnsi="Arial" w:cs="Arial"/>
                <w:bCs/>
                <w:kern w:val="2"/>
                <w14:ligatures w14:val="standardContextual"/>
              </w:rPr>
              <w:t xml:space="preserve"> and </w:t>
            </w:r>
            <w:r w:rsidR="003A5E00">
              <w:rPr>
                <w:rFonts w:ascii="Arial" w:eastAsia="Aptos" w:hAnsi="Arial" w:cs="Arial"/>
                <w:bCs/>
                <w:kern w:val="2"/>
                <w14:ligatures w14:val="standardContextual"/>
              </w:rPr>
              <w:t xml:space="preserve">the </w:t>
            </w:r>
            <w:r w:rsidRPr="009D17B8">
              <w:rPr>
                <w:rFonts w:ascii="Arial" w:eastAsia="Aptos" w:hAnsi="Arial" w:cs="Arial"/>
                <w:bCs/>
                <w:kern w:val="2"/>
                <w14:ligatures w14:val="standardContextual"/>
              </w:rPr>
              <w:t>resulting fatalities (</w:t>
            </w:r>
            <w:r w:rsidRPr="009D17B8">
              <w:rPr>
                <w:rFonts w:ascii="Arial" w:eastAsia="Aptos" w:hAnsi="Arial" w:cs="Arial"/>
                <w:kern w:val="2"/>
                <w:lang w:val="en-GB"/>
                <w14:ligatures w14:val="standardContextual"/>
              </w:rPr>
              <w:t>Xun et al., 2021; Zhou et al., 2025). This case report is essential in understanding why the district nurses were not washing their hands properly, despite the risks, and how th</w:t>
            </w:r>
            <w:r w:rsidR="00970D9D">
              <w:rPr>
                <w:rFonts w:ascii="Arial" w:eastAsia="Aptos" w:hAnsi="Arial" w:cs="Arial"/>
                <w:kern w:val="2"/>
                <w:lang w:val="en-GB"/>
                <w14:ligatures w14:val="standardContextual"/>
              </w:rPr>
              <w:t>is</w:t>
            </w:r>
            <w:r w:rsidRPr="009D17B8">
              <w:rPr>
                <w:rFonts w:ascii="Arial" w:eastAsia="Aptos" w:hAnsi="Arial" w:cs="Arial"/>
                <w:kern w:val="2"/>
                <w:lang w:val="en-GB"/>
                <w14:ligatures w14:val="standardContextual"/>
              </w:rPr>
              <w:t xml:space="preserve"> incident </w:t>
            </w:r>
            <w:r w:rsidR="00970D9D">
              <w:rPr>
                <w:rFonts w:ascii="Arial" w:eastAsia="Aptos" w:hAnsi="Arial" w:cs="Arial"/>
                <w:kern w:val="2"/>
                <w:lang w:val="en-GB"/>
                <w14:ligatures w14:val="standardContextual"/>
              </w:rPr>
              <w:t xml:space="preserve">of infection </w:t>
            </w:r>
            <w:r w:rsidRPr="009D17B8">
              <w:rPr>
                <w:rFonts w:ascii="Arial" w:eastAsia="Aptos" w:hAnsi="Arial" w:cs="Arial"/>
                <w:kern w:val="2"/>
                <w:lang w:val="en-GB"/>
                <w14:ligatures w14:val="standardContextual"/>
              </w:rPr>
              <w:t xml:space="preserve">can be avoided in the future. </w:t>
            </w:r>
            <w:r w:rsidR="001C2656">
              <w:rPr>
                <w:rFonts w:ascii="Arial" w:eastAsia="Aptos" w:hAnsi="Arial" w:cs="Arial"/>
                <w:kern w:val="2"/>
                <w:lang w:val="en-GB"/>
                <w14:ligatures w14:val="standardContextual"/>
              </w:rPr>
              <w:t>I</w:t>
            </w:r>
            <w:r w:rsidR="00970D9D">
              <w:rPr>
                <w:rFonts w:ascii="Arial" w:eastAsia="Aptos" w:hAnsi="Arial" w:cs="Arial"/>
                <w:kern w:val="2"/>
                <w:lang w:val="en-GB"/>
                <w14:ligatures w14:val="standardContextual"/>
              </w:rPr>
              <w:t>n the case study</w:t>
            </w:r>
            <w:r w:rsidR="001C2656">
              <w:rPr>
                <w:rFonts w:ascii="Arial" w:eastAsia="Aptos" w:hAnsi="Arial" w:cs="Arial"/>
                <w:kern w:val="2"/>
                <w:lang w:val="en-GB"/>
                <w14:ligatures w14:val="standardContextual"/>
              </w:rPr>
              <w:t>, it is indicated</w:t>
            </w:r>
            <w:r w:rsidRPr="009D17B8">
              <w:rPr>
                <w:rFonts w:ascii="Arial" w:eastAsia="Aptos" w:hAnsi="Arial" w:cs="Arial"/>
                <w:kern w:val="2"/>
                <w:lang w:val="en-GB"/>
                <w14:ligatures w14:val="standardContextual"/>
              </w:rPr>
              <w:t xml:space="preserve"> that the nurses were not adhering to the handwashing policy because they were being overworked and were short on time. </w:t>
            </w:r>
            <w:r w:rsidR="00A91FAA">
              <w:rPr>
                <w:rFonts w:ascii="Arial" w:eastAsia="Aptos" w:hAnsi="Arial" w:cs="Arial"/>
                <w:kern w:val="2"/>
                <w:lang w:val="en-GB"/>
                <w14:ligatures w14:val="standardContextual"/>
              </w:rPr>
              <w:t xml:space="preserve">To understand the psychology </w:t>
            </w:r>
            <w:r w:rsidR="001C024C">
              <w:rPr>
                <w:rFonts w:ascii="Arial" w:eastAsia="Aptos" w:hAnsi="Arial" w:cs="Arial"/>
                <w:kern w:val="2"/>
                <w:lang w:val="en-GB"/>
                <w14:ligatures w14:val="standardContextual"/>
              </w:rPr>
              <w:t>behind</w:t>
            </w:r>
            <w:r w:rsidR="00CF2152">
              <w:rPr>
                <w:rFonts w:ascii="Arial" w:eastAsia="Aptos" w:hAnsi="Arial" w:cs="Arial"/>
                <w:kern w:val="2"/>
                <w:lang w:val="en-GB"/>
                <w14:ligatures w14:val="standardContextual"/>
              </w:rPr>
              <w:t xml:space="preserve"> </w:t>
            </w:r>
            <w:r w:rsidR="00E96CBF">
              <w:rPr>
                <w:rFonts w:ascii="Arial" w:eastAsia="Aptos" w:hAnsi="Arial" w:cs="Arial"/>
                <w:kern w:val="2"/>
                <w:lang w:val="en-GB"/>
                <w14:ligatures w14:val="standardContextual"/>
              </w:rPr>
              <w:t>these reasons</w:t>
            </w:r>
            <w:r w:rsidR="00A91FAA">
              <w:rPr>
                <w:rFonts w:ascii="Arial" w:eastAsia="Aptos" w:hAnsi="Arial" w:cs="Arial"/>
                <w:kern w:val="2"/>
                <w:lang w:val="en-GB"/>
                <w14:ligatures w14:val="standardContextual"/>
              </w:rPr>
              <w:t xml:space="preserve">, research theories can be applied to explain </w:t>
            </w:r>
            <w:r w:rsidR="001E1D0C">
              <w:rPr>
                <w:rFonts w:ascii="Arial" w:eastAsia="Aptos" w:hAnsi="Arial" w:cs="Arial"/>
                <w:kern w:val="2"/>
                <w:lang w:val="en-GB"/>
                <w14:ligatures w14:val="standardContextual"/>
              </w:rPr>
              <w:t>the</w:t>
            </w:r>
            <w:r w:rsidR="00AA3DB5">
              <w:rPr>
                <w:rFonts w:ascii="Arial" w:eastAsia="Aptos" w:hAnsi="Arial" w:cs="Arial"/>
                <w:kern w:val="2"/>
                <w:lang w:val="en-GB"/>
                <w14:ligatures w14:val="standardContextual"/>
              </w:rPr>
              <w:t xml:space="preserve"> nurses’</w:t>
            </w:r>
            <w:r w:rsidR="001E1D0C">
              <w:rPr>
                <w:rFonts w:ascii="Arial" w:eastAsia="Aptos" w:hAnsi="Arial" w:cs="Arial"/>
                <w:kern w:val="2"/>
                <w:lang w:val="en-GB"/>
                <w14:ligatures w14:val="standardContextual"/>
              </w:rPr>
              <w:t xml:space="preserve"> </w:t>
            </w:r>
            <w:r w:rsidR="004F34ED" w:rsidRPr="009D17B8">
              <w:rPr>
                <w:rFonts w:ascii="Arial" w:eastAsia="Aptos" w:hAnsi="Arial" w:cs="Arial"/>
                <w:kern w:val="2"/>
                <w:lang w:val="en-GB"/>
                <w14:ligatures w14:val="standardContextual"/>
              </w:rPr>
              <w:t>n</w:t>
            </w:r>
            <w:r w:rsidR="004F34ED">
              <w:rPr>
                <w:rFonts w:ascii="Arial" w:eastAsia="Aptos" w:hAnsi="Arial" w:cs="Arial"/>
                <w:kern w:val="2"/>
                <w:lang w:val="en-GB"/>
                <w14:ligatures w14:val="standardContextual"/>
              </w:rPr>
              <w:t>oncompliance</w:t>
            </w:r>
            <w:r w:rsidR="00AA3DB5">
              <w:rPr>
                <w:rFonts w:ascii="Arial" w:eastAsia="Aptos" w:hAnsi="Arial" w:cs="Arial"/>
                <w:kern w:val="2"/>
                <w:lang w:val="en-GB"/>
                <w14:ligatures w14:val="standardContextual"/>
              </w:rPr>
              <w:t xml:space="preserve">. For example, applying </w:t>
            </w:r>
            <w:r w:rsidRPr="009D17B8">
              <w:rPr>
                <w:rFonts w:ascii="Arial" w:eastAsia="Aptos" w:hAnsi="Arial" w:cs="Arial"/>
                <w:kern w:val="2"/>
                <w:lang w:val="en-GB"/>
                <w14:ligatures w14:val="standardContextual"/>
              </w:rPr>
              <w:t>the dual-process theory proposed by Tversky and Kahneman (1974)</w:t>
            </w:r>
            <w:r w:rsidR="00CF2152">
              <w:rPr>
                <w:rFonts w:ascii="Arial" w:eastAsia="Aptos" w:hAnsi="Arial" w:cs="Arial"/>
                <w:kern w:val="2"/>
                <w:lang w:val="en-GB"/>
                <w14:ligatures w14:val="standardContextual"/>
              </w:rPr>
              <w:t xml:space="preserve"> </w:t>
            </w:r>
            <w:r w:rsidR="003C36CB">
              <w:rPr>
                <w:rFonts w:ascii="Arial" w:eastAsia="Aptos" w:hAnsi="Arial" w:cs="Arial"/>
                <w:kern w:val="2"/>
                <w:lang w:val="en-GB"/>
                <w14:ligatures w14:val="standardContextual"/>
              </w:rPr>
              <w:t xml:space="preserve">can help in </w:t>
            </w:r>
            <w:r w:rsidR="00CF2152">
              <w:rPr>
                <w:rFonts w:ascii="Arial" w:eastAsia="Aptos" w:hAnsi="Arial" w:cs="Arial"/>
                <w:kern w:val="2"/>
                <w:lang w:val="en-GB"/>
                <w14:ligatures w14:val="standardContextual"/>
              </w:rPr>
              <w:t>understand</w:t>
            </w:r>
            <w:r w:rsidR="003C36CB">
              <w:rPr>
                <w:rFonts w:ascii="Arial" w:eastAsia="Aptos" w:hAnsi="Arial" w:cs="Arial"/>
                <w:kern w:val="2"/>
                <w:lang w:val="en-GB"/>
                <w14:ligatures w14:val="standardContextual"/>
              </w:rPr>
              <w:t>ing</w:t>
            </w:r>
            <w:r w:rsidR="00CF2152">
              <w:rPr>
                <w:rFonts w:ascii="Arial" w:eastAsia="Aptos" w:hAnsi="Arial" w:cs="Arial"/>
                <w:kern w:val="2"/>
                <w:lang w:val="en-GB"/>
                <w14:ligatures w14:val="standardContextual"/>
              </w:rPr>
              <w:t xml:space="preserve"> the noncompliance </w:t>
            </w:r>
            <w:r w:rsidR="00103207">
              <w:rPr>
                <w:rFonts w:ascii="Arial" w:eastAsia="Aptos" w:hAnsi="Arial" w:cs="Arial"/>
                <w:kern w:val="2"/>
                <w:lang w:val="en-GB"/>
                <w14:ligatures w14:val="standardContextual"/>
              </w:rPr>
              <w:t>with</w:t>
            </w:r>
            <w:r w:rsidR="00CF2152">
              <w:rPr>
                <w:rFonts w:ascii="Arial" w:eastAsia="Aptos" w:hAnsi="Arial" w:cs="Arial"/>
                <w:kern w:val="2"/>
                <w:lang w:val="en-GB"/>
                <w14:ligatures w14:val="standardContextual"/>
              </w:rPr>
              <w:t xml:space="preserve"> the</w:t>
            </w:r>
            <w:r w:rsidR="00047C4C">
              <w:rPr>
                <w:rFonts w:ascii="Arial" w:eastAsia="Aptos" w:hAnsi="Arial" w:cs="Arial"/>
                <w:kern w:val="2"/>
                <w:lang w:val="en-GB"/>
                <w14:ligatures w14:val="standardContextual"/>
              </w:rPr>
              <w:t xml:space="preserve"> health board’s</w:t>
            </w:r>
            <w:r w:rsidR="00CF2152">
              <w:rPr>
                <w:rFonts w:ascii="Arial" w:eastAsia="Aptos" w:hAnsi="Arial" w:cs="Arial"/>
                <w:kern w:val="2"/>
                <w:lang w:val="en-GB"/>
                <w14:ligatures w14:val="standardContextual"/>
              </w:rPr>
              <w:t xml:space="preserve"> hand</w:t>
            </w:r>
            <w:r w:rsidR="00103207">
              <w:rPr>
                <w:rFonts w:ascii="Arial" w:eastAsia="Aptos" w:hAnsi="Arial" w:cs="Arial"/>
                <w:kern w:val="2"/>
                <w:lang w:val="en-GB"/>
                <w14:ligatures w14:val="standardContextual"/>
              </w:rPr>
              <w:t>washing policy.</w:t>
            </w:r>
          </w:p>
        </w:tc>
      </w:tr>
      <w:tr w:rsidR="00766C02" w:rsidRPr="003A798E" w14:paraId="7720E703" w14:textId="77777777" w:rsidTr="00FA38A4">
        <w:trPr>
          <w:trHeight w:val="7629"/>
        </w:trPr>
        <w:tc>
          <w:tcPr>
            <w:tcW w:w="10773" w:type="dxa"/>
            <w:shd w:val="clear" w:color="auto" w:fill="EDF0F4" w:themeFill="accent3"/>
          </w:tcPr>
          <w:p w14:paraId="5B2807DB" w14:textId="7BB2D534" w:rsidR="00766C02" w:rsidRDefault="00766C02" w:rsidP="00766C02">
            <w:pPr>
              <w:pStyle w:val="Heading3"/>
            </w:pPr>
            <w:r>
              <w:lastRenderedPageBreak/>
              <w:t xml:space="preserve">THE </w:t>
            </w:r>
            <w:r w:rsidR="007F2F4E">
              <w:t>DUA</w:t>
            </w:r>
            <w:r w:rsidR="004F54DC">
              <w:t>L-P</w:t>
            </w:r>
            <w:r w:rsidR="001878D6">
              <w:t>ROCESS</w:t>
            </w:r>
            <w:r>
              <w:t xml:space="preserve"> THEORY</w:t>
            </w:r>
          </w:p>
          <w:p w14:paraId="7013626D" w14:textId="77777777" w:rsidR="00766C02" w:rsidRPr="00766C02" w:rsidRDefault="00766C02" w:rsidP="00766C02"/>
          <w:p w14:paraId="44D76B36" w14:textId="511C60F8" w:rsidR="006C48E7" w:rsidRPr="00401DEA" w:rsidRDefault="00266AAD" w:rsidP="00401DEA">
            <w:pPr>
              <w:spacing w:after="160" w:line="480" w:lineRule="auto"/>
              <w:ind w:left="284" w:firstLine="720"/>
              <w:rPr>
                <w:rFonts w:ascii="Arial" w:eastAsia="Aptos" w:hAnsi="Arial" w:cs="Arial"/>
                <w:kern w:val="2"/>
                <w:lang w:val="en-GB"/>
                <w14:ligatures w14:val="standardContextual"/>
              </w:rPr>
            </w:pPr>
            <w:r w:rsidRPr="00266AAD">
              <w:rPr>
                <w:rFonts w:ascii="Arial" w:eastAsia="Aptos" w:hAnsi="Arial" w:cs="Arial"/>
                <w:kern w:val="2"/>
                <w:lang w:val="en-GB"/>
                <w14:ligatures w14:val="standardContextual"/>
              </w:rPr>
              <w:t xml:space="preserve">Tversky and Kahneman (1974) proposed a dual-process theory of cognition to explain why human judgment and decision-making sometimes deviates from rationality. This theory is based in previous models of dual processing, such as the work of Posner and Snyder (1975) and Stanovich and West (2000). Kahneman (2003) outlined the theory’s two modes of thinking: intuition and reasoning. System 1 is the intuitive mode, in which thoughts are fast, automatic and emotional. </w:t>
            </w:r>
            <w:r w:rsidR="00AC2A6B">
              <w:rPr>
                <w:rFonts w:ascii="Arial" w:eastAsia="Aptos" w:hAnsi="Arial" w:cs="Arial"/>
                <w:kern w:val="2"/>
                <w:lang w:val="en-GB"/>
                <w14:ligatures w14:val="standardContextual"/>
              </w:rPr>
              <w:t xml:space="preserve">This style is often used for daily tasks and habit-driven behaviours. </w:t>
            </w:r>
            <w:r w:rsidRPr="00266AAD">
              <w:rPr>
                <w:rFonts w:ascii="Arial" w:eastAsia="Aptos" w:hAnsi="Arial" w:cs="Arial"/>
                <w:kern w:val="2"/>
                <w:lang w:val="en-GB"/>
                <w14:ligatures w14:val="standardContextual"/>
              </w:rPr>
              <w:t xml:space="preserve">System 2 is the reasoning mode, in which thoughts are slow, effortful and analytical. </w:t>
            </w:r>
            <w:r w:rsidR="00AC2A6B">
              <w:rPr>
                <w:rFonts w:ascii="Arial" w:eastAsia="Aptos" w:hAnsi="Arial" w:cs="Arial"/>
                <w:kern w:val="2"/>
                <w:lang w:val="en-GB"/>
                <w14:ligatures w14:val="standardContextual"/>
              </w:rPr>
              <w:t xml:space="preserve">This style is used for </w:t>
            </w:r>
            <w:r w:rsidR="00660A65">
              <w:rPr>
                <w:rFonts w:ascii="Arial" w:eastAsia="Aptos" w:hAnsi="Arial" w:cs="Arial"/>
                <w:kern w:val="2"/>
                <w:lang w:val="en-GB"/>
                <w14:ligatures w14:val="standardContextual"/>
              </w:rPr>
              <w:t xml:space="preserve">more complex tasks and decisions that require working memory. </w:t>
            </w:r>
            <w:r w:rsidRPr="00266AAD">
              <w:rPr>
                <w:rFonts w:ascii="Arial" w:eastAsia="Aptos" w:hAnsi="Arial" w:cs="Arial"/>
                <w:kern w:val="2"/>
                <w:lang w:val="en-GB"/>
                <w14:ligatures w14:val="standardContextual"/>
              </w:rPr>
              <w:t xml:space="preserve">System 2 </w:t>
            </w:r>
            <w:r w:rsidR="00A23DFE">
              <w:rPr>
                <w:rFonts w:ascii="Arial" w:eastAsia="Aptos" w:hAnsi="Arial" w:cs="Arial"/>
                <w:kern w:val="2"/>
                <w:lang w:val="en-GB"/>
                <w14:ligatures w14:val="standardContextual"/>
              </w:rPr>
              <w:t xml:space="preserve">is able to </w:t>
            </w:r>
            <w:r w:rsidRPr="00266AAD">
              <w:rPr>
                <w:rFonts w:ascii="Arial" w:eastAsia="Aptos" w:hAnsi="Arial" w:cs="Arial"/>
                <w:kern w:val="2"/>
                <w:lang w:val="en-GB"/>
                <w14:ligatures w14:val="standardContextual"/>
              </w:rPr>
              <w:t xml:space="preserve">monitor errors within </w:t>
            </w:r>
            <w:r w:rsidR="00A130E3">
              <w:rPr>
                <w:rFonts w:ascii="Arial" w:eastAsia="Aptos" w:hAnsi="Arial" w:cs="Arial"/>
                <w:kern w:val="2"/>
                <w:lang w:val="en-GB"/>
                <w14:ligatures w14:val="standardContextual"/>
              </w:rPr>
              <w:t>S</w:t>
            </w:r>
            <w:r w:rsidRPr="00266AAD">
              <w:rPr>
                <w:rFonts w:ascii="Arial" w:eastAsia="Aptos" w:hAnsi="Arial" w:cs="Arial"/>
                <w:kern w:val="2"/>
                <w:lang w:val="en-GB"/>
                <w14:ligatures w14:val="standardContextual"/>
              </w:rPr>
              <w:t xml:space="preserve">ystem 1, such as cognitive bias. The dual-process theory is supported by empirical evidence that demonstrates the distinction between </w:t>
            </w:r>
            <w:r w:rsidR="00A23DFE">
              <w:rPr>
                <w:rFonts w:ascii="Arial" w:eastAsia="Aptos" w:hAnsi="Arial" w:cs="Arial"/>
                <w:kern w:val="2"/>
                <w:lang w:val="en-GB"/>
                <w14:ligatures w14:val="standardContextual"/>
              </w:rPr>
              <w:t>S</w:t>
            </w:r>
            <w:r w:rsidRPr="00266AAD">
              <w:rPr>
                <w:rFonts w:ascii="Arial" w:eastAsia="Aptos" w:hAnsi="Arial" w:cs="Arial"/>
                <w:kern w:val="2"/>
                <w:lang w:val="en-GB"/>
                <w14:ligatures w14:val="standardContextual"/>
              </w:rPr>
              <w:t xml:space="preserve">ystem 1 and </w:t>
            </w:r>
            <w:r w:rsidR="00A23DFE">
              <w:rPr>
                <w:rFonts w:ascii="Arial" w:eastAsia="Aptos" w:hAnsi="Arial" w:cs="Arial"/>
                <w:kern w:val="2"/>
                <w:lang w:val="en-GB"/>
                <w14:ligatures w14:val="standardContextual"/>
              </w:rPr>
              <w:t>S</w:t>
            </w:r>
            <w:r w:rsidRPr="00266AAD">
              <w:rPr>
                <w:rFonts w:ascii="Arial" w:eastAsia="Aptos" w:hAnsi="Arial" w:cs="Arial"/>
                <w:kern w:val="2"/>
                <w:lang w:val="en-GB"/>
                <w14:ligatures w14:val="standardContextual"/>
              </w:rPr>
              <w:t xml:space="preserve">ystem 2. Indeed, Evans et al. (1983) investigated the belief bias effect which </w:t>
            </w:r>
            <w:r w:rsidR="00935E86">
              <w:rPr>
                <w:rFonts w:ascii="Arial" w:eastAsia="Aptos" w:hAnsi="Arial" w:cs="Arial"/>
                <w:kern w:val="2"/>
                <w:lang w:val="en-GB"/>
                <w14:ligatures w14:val="standardContextual"/>
              </w:rPr>
              <w:t>demonstrates</w:t>
            </w:r>
            <w:r w:rsidRPr="00266AAD">
              <w:rPr>
                <w:rFonts w:ascii="Arial" w:eastAsia="Aptos" w:hAnsi="Arial" w:cs="Arial"/>
                <w:kern w:val="2"/>
                <w:lang w:val="en-GB"/>
                <w14:ligatures w14:val="standardContextual"/>
              </w:rPr>
              <w:t xml:space="preserve"> dual processing. This is a cognitive bias where an individual judges the strength of an argument based on how consistent it is with their prior beliefs rather than the evidence supporting it. Evans and colleagues found significant effects of belief bias from the participant</w:t>
            </w:r>
            <w:r w:rsidR="00DE61F1">
              <w:rPr>
                <w:rFonts w:ascii="Arial" w:eastAsia="Aptos" w:hAnsi="Arial" w:cs="Arial"/>
                <w:kern w:val="2"/>
                <w:lang w:val="en-GB"/>
                <w14:ligatures w14:val="standardContextual"/>
              </w:rPr>
              <w:t>’</w:t>
            </w:r>
            <w:r w:rsidRPr="00266AAD">
              <w:rPr>
                <w:rFonts w:ascii="Arial" w:eastAsia="Aptos" w:hAnsi="Arial" w:cs="Arial"/>
                <w:kern w:val="2"/>
                <w:lang w:val="en-GB"/>
                <w14:ligatures w14:val="standardContextual"/>
              </w:rPr>
              <w:t>s responses. Participant’s tended to choose answers that were believable and invalid over answers that were unbelievable and valid. Moreover, De Neys (2006) found that by burdening executive functions with distractor tasks, System 2 was obstructed because of the lack of working memory space</w:t>
            </w:r>
            <w:r w:rsidR="00CE2331">
              <w:rPr>
                <w:rFonts w:ascii="Arial" w:eastAsia="Aptos" w:hAnsi="Arial" w:cs="Arial"/>
                <w:kern w:val="2"/>
                <w:lang w:val="en-GB"/>
                <w14:ligatures w14:val="standardContextual"/>
              </w:rPr>
              <w:t xml:space="preserve"> and fatigue</w:t>
            </w:r>
            <w:r w:rsidRPr="00266AAD">
              <w:rPr>
                <w:rFonts w:ascii="Arial" w:eastAsia="Aptos" w:hAnsi="Arial" w:cs="Arial"/>
                <w:kern w:val="2"/>
                <w:lang w:val="en-GB"/>
                <w14:ligatures w14:val="standardContextual"/>
              </w:rPr>
              <w:t xml:space="preserve">. The participants had to rely on System 1 to answer the syllogistic </w:t>
            </w:r>
            <w:r w:rsidR="00767538" w:rsidRPr="00266AAD">
              <w:rPr>
                <w:rFonts w:ascii="Arial" w:eastAsia="Aptos" w:hAnsi="Arial" w:cs="Arial"/>
                <w:kern w:val="2"/>
                <w:lang w:val="en-GB"/>
                <w14:ligatures w14:val="standardContextual"/>
              </w:rPr>
              <w:t>problems,</w:t>
            </w:r>
            <w:r w:rsidR="00767538">
              <w:rPr>
                <w:rFonts w:ascii="Arial" w:eastAsia="Aptos" w:hAnsi="Arial" w:cs="Arial"/>
                <w:kern w:val="2"/>
                <w:lang w:val="en-GB"/>
                <w14:ligatures w14:val="standardContextual"/>
              </w:rPr>
              <w:t xml:space="preserve"> </w:t>
            </w:r>
            <w:r w:rsidR="00972F08">
              <w:rPr>
                <w:rFonts w:ascii="Arial" w:eastAsia="Aptos" w:hAnsi="Arial" w:cs="Arial"/>
                <w:kern w:val="2"/>
                <w:lang w:val="en-GB"/>
                <w14:ligatures w14:val="standardContextual"/>
              </w:rPr>
              <w:t>which was evidenced as</w:t>
            </w:r>
            <w:r w:rsidR="00767538">
              <w:rPr>
                <w:rFonts w:ascii="Arial" w:eastAsia="Aptos" w:hAnsi="Arial" w:cs="Arial"/>
                <w:kern w:val="2"/>
                <w:lang w:val="en-GB"/>
                <w14:ligatures w14:val="standardContextual"/>
              </w:rPr>
              <w:t xml:space="preserve"> belief bias was identified</w:t>
            </w:r>
            <w:r w:rsidRPr="00266AAD">
              <w:rPr>
                <w:rFonts w:ascii="Arial" w:eastAsia="Aptos" w:hAnsi="Arial" w:cs="Arial"/>
                <w:kern w:val="2"/>
                <w:lang w:val="en-GB"/>
                <w14:ligatures w14:val="standardContextual"/>
              </w:rPr>
              <w:t>. Th</w:t>
            </w:r>
            <w:r w:rsidR="00767538">
              <w:rPr>
                <w:rFonts w:ascii="Arial" w:eastAsia="Aptos" w:hAnsi="Arial" w:cs="Arial"/>
                <w:kern w:val="2"/>
                <w:lang w:val="en-GB"/>
                <w14:ligatures w14:val="standardContextual"/>
              </w:rPr>
              <w:t>ese studies are</w:t>
            </w:r>
            <w:r w:rsidRPr="00266AAD">
              <w:rPr>
                <w:rFonts w:ascii="Arial" w:eastAsia="Aptos" w:hAnsi="Arial" w:cs="Arial"/>
                <w:kern w:val="2"/>
                <w:lang w:val="en-GB"/>
                <w14:ligatures w14:val="standardContextual"/>
              </w:rPr>
              <w:t xml:space="preserve"> consistent with Margittai et al. (2016), wh</w:t>
            </w:r>
            <w:r w:rsidR="00972F08">
              <w:rPr>
                <w:rFonts w:ascii="Arial" w:eastAsia="Aptos" w:hAnsi="Arial" w:cs="Arial"/>
                <w:kern w:val="2"/>
                <w:lang w:val="en-GB"/>
                <w14:ligatures w14:val="standardContextual"/>
              </w:rPr>
              <w:t>ich</w:t>
            </w:r>
            <w:r w:rsidRPr="00266AAD">
              <w:rPr>
                <w:rFonts w:ascii="Arial" w:eastAsia="Aptos" w:hAnsi="Arial" w:cs="Arial"/>
                <w:kern w:val="2"/>
                <w:lang w:val="en-GB"/>
                <w14:ligatures w14:val="standardContextual"/>
              </w:rPr>
              <w:t xml:space="preserve"> found that cortisol impaired cognitive reflection. The participants with elevated cortisol tended to respond with intuitive, incorrect answers over critically thinking the questions</w:t>
            </w:r>
            <w:r w:rsidR="00345CBC">
              <w:rPr>
                <w:rFonts w:ascii="Arial" w:eastAsia="Aptos" w:hAnsi="Arial" w:cs="Arial"/>
                <w:kern w:val="2"/>
                <w:lang w:val="en-GB"/>
                <w14:ligatures w14:val="standardContextual"/>
              </w:rPr>
              <w:t xml:space="preserve"> of the study</w:t>
            </w:r>
            <w:r w:rsidRPr="00266AAD">
              <w:rPr>
                <w:rFonts w:ascii="Arial" w:eastAsia="Aptos" w:hAnsi="Arial" w:cs="Arial"/>
                <w:kern w:val="2"/>
                <w:lang w:val="en-GB"/>
                <w14:ligatures w14:val="standardContextual"/>
              </w:rPr>
              <w:t xml:space="preserve"> through. Thus,</w:t>
            </w:r>
            <w:r w:rsidR="000645F8">
              <w:rPr>
                <w:rFonts w:ascii="Arial" w:eastAsia="Aptos" w:hAnsi="Arial" w:cs="Arial"/>
                <w:kern w:val="2"/>
                <w:lang w:val="en-GB"/>
                <w14:ligatures w14:val="standardContextual"/>
              </w:rPr>
              <w:t xml:space="preserve"> </w:t>
            </w:r>
            <w:r w:rsidRPr="00266AAD">
              <w:rPr>
                <w:rFonts w:ascii="Arial" w:eastAsia="Aptos" w:hAnsi="Arial" w:cs="Arial"/>
                <w:kern w:val="2"/>
                <w:lang w:val="en-GB"/>
                <w14:ligatures w14:val="standardContextual"/>
              </w:rPr>
              <w:t>stress</w:t>
            </w:r>
            <w:r w:rsidR="0003071A">
              <w:rPr>
                <w:rFonts w:ascii="Arial" w:eastAsia="Aptos" w:hAnsi="Arial" w:cs="Arial"/>
                <w:kern w:val="2"/>
                <w:lang w:val="en-GB"/>
                <w14:ligatures w14:val="standardContextual"/>
              </w:rPr>
              <w:t xml:space="preserve"> levels</w:t>
            </w:r>
            <w:r w:rsidRPr="00266AAD">
              <w:rPr>
                <w:rFonts w:ascii="Arial" w:eastAsia="Aptos" w:hAnsi="Arial" w:cs="Arial"/>
                <w:kern w:val="2"/>
                <w:lang w:val="en-GB"/>
                <w14:ligatures w14:val="standardContextual"/>
              </w:rPr>
              <w:t xml:space="preserve"> </w:t>
            </w:r>
            <w:r w:rsidR="0003071A" w:rsidRPr="00266AAD">
              <w:rPr>
                <w:rFonts w:ascii="Arial" w:eastAsia="Aptos" w:hAnsi="Arial" w:cs="Arial"/>
                <w:kern w:val="2"/>
                <w:lang w:val="en-GB"/>
                <w14:ligatures w14:val="standardContextual"/>
              </w:rPr>
              <w:t>are</w:t>
            </w:r>
            <w:r w:rsidRPr="00266AAD">
              <w:rPr>
                <w:rFonts w:ascii="Arial" w:eastAsia="Aptos" w:hAnsi="Arial" w:cs="Arial"/>
                <w:kern w:val="2"/>
                <w:lang w:val="en-GB"/>
                <w14:ligatures w14:val="standardContextual"/>
              </w:rPr>
              <w:t xml:space="preserve"> indicated to be involved in </w:t>
            </w:r>
            <w:r w:rsidR="00345CBC">
              <w:rPr>
                <w:rFonts w:ascii="Arial" w:eastAsia="Aptos" w:hAnsi="Arial" w:cs="Arial"/>
                <w:kern w:val="2"/>
                <w:lang w:val="en-GB"/>
                <w14:ligatures w14:val="standardContextual"/>
              </w:rPr>
              <w:t>whether</w:t>
            </w:r>
            <w:r w:rsidRPr="00266AAD">
              <w:rPr>
                <w:rFonts w:ascii="Arial" w:eastAsia="Aptos" w:hAnsi="Arial" w:cs="Arial"/>
                <w:kern w:val="2"/>
                <w:lang w:val="en-GB"/>
                <w14:ligatures w14:val="standardContextual"/>
              </w:rPr>
              <w:t xml:space="preserve"> </w:t>
            </w:r>
            <w:r w:rsidR="00C7713D">
              <w:rPr>
                <w:rFonts w:ascii="Arial" w:eastAsia="Aptos" w:hAnsi="Arial" w:cs="Arial"/>
                <w:kern w:val="2"/>
                <w:lang w:val="en-GB"/>
                <w14:ligatures w14:val="standardContextual"/>
              </w:rPr>
              <w:t xml:space="preserve">an individual is thinking via </w:t>
            </w:r>
            <w:r w:rsidR="000645F8">
              <w:rPr>
                <w:rFonts w:ascii="Arial" w:eastAsia="Aptos" w:hAnsi="Arial" w:cs="Arial"/>
                <w:kern w:val="2"/>
                <w:lang w:val="en-GB"/>
                <w14:ligatures w14:val="standardContextual"/>
              </w:rPr>
              <w:t>System 1 or System 2</w:t>
            </w:r>
            <w:r w:rsidR="00C7713D">
              <w:rPr>
                <w:rFonts w:ascii="Arial" w:eastAsia="Aptos" w:hAnsi="Arial" w:cs="Arial"/>
                <w:kern w:val="2"/>
                <w:lang w:val="en-GB"/>
                <w14:ligatures w14:val="standardContextual"/>
              </w:rPr>
              <w:t xml:space="preserve">. Considering the </w:t>
            </w:r>
            <w:r w:rsidR="00D360FE">
              <w:rPr>
                <w:rFonts w:ascii="Arial" w:eastAsia="Aptos" w:hAnsi="Arial" w:cs="Arial"/>
                <w:kern w:val="2"/>
                <w:lang w:val="en-GB"/>
                <w14:ligatures w14:val="standardContextual"/>
              </w:rPr>
              <w:lastRenderedPageBreak/>
              <w:t xml:space="preserve">empirical </w:t>
            </w:r>
            <w:r w:rsidR="00C7713D">
              <w:rPr>
                <w:rFonts w:ascii="Arial" w:eastAsia="Aptos" w:hAnsi="Arial" w:cs="Arial"/>
                <w:kern w:val="2"/>
                <w:lang w:val="en-GB"/>
                <w14:ligatures w14:val="standardContextual"/>
              </w:rPr>
              <w:t>evidence for dual-process theory,</w:t>
            </w:r>
            <w:r w:rsidR="00EC7337">
              <w:rPr>
                <w:rFonts w:ascii="Arial" w:eastAsia="Aptos" w:hAnsi="Arial" w:cs="Arial"/>
                <w:kern w:val="2"/>
                <w:lang w:val="en-GB"/>
                <w14:ligatures w14:val="standardContextual"/>
              </w:rPr>
              <w:t xml:space="preserve"> it </w:t>
            </w:r>
            <w:r w:rsidR="004B22DC">
              <w:rPr>
                <w:rFonts w:ascii="Arial" w:eastAsia="Aptos" w:hAnsi="Arial" w:cs="Arial"/>
                <w:kern w:val="2"/>
                <w:lang w:val="en-GB"/>
                <w14:ligatures w14:val="standardContextual"/>
              </w:rPr>
              <w:t xml:space="preserve">is reasonable to conclude that it can </w:t>
            </w:r>
            <w:r w:rsidR="00C653F6">
              <w:rPr>
                <w:rFonts w:ascii="Arial" w:eastAsia="Aptos" w:hAnsi="Arial" w:cs="Arial"/>
                <w:kern w:val="2"/>
                <w:lang w:val="en-GB"/>
                <w14:ligatures w14:val="standardContextual"/>
              </w:rPr>
              <w:t>offer valuable insights as to why the nurses in the current case study failed to adhere to the</w:t>
            </w:r>
            <w:r w:rsidR="00401DEA">
              <w:rPr>
                <w:rFonts w:ascii="Arial" w:eastAsia="Aptos" w:hAnsi="Arial" w:cs="Arial"/>
                <w:kern w:val="2"/>
                <w:lang w:val="en-GB"/>
                <w14:ligatures w14:val="standardContextual"/>
              </w:rPr>
              <w:t xml:space="preserve"> </w:t>
            </w:r>
            <w:r w:rsidR="00B67BFD">
              <w:rPr>
                <w:rFonts w:ascii="Arial" w:eastAsia="Aptos" w:hAnsi="Arial" w:cs="Arial"/>
                <w:kern w:val="2"/>
                <w:lang w:val="en-GB"/>
                <w14:ligatures w14:val="standardContextual"/>
              </w:rPr>
              <w:t>handwashing policy.</w:t>
            </w:r>
          </w:p>
        </w:tc>
      </w:tr>
    </w:tbl>
    <w:p w14:paraId="1A19D8D2" w14:textId="174C0BC7" w:rsidR="00A24793" w:rsidRPr="003A798E" w:rsidRDefault="00A24793" w:rsidP="00A24793"/>
    <w:tbl>
      <w:tblPr>
        <w:tblW w:w="12616" w:type="dxa"/>
        <w:tblInd w:w="-1701" w:type="dxa"/>
        <w:shd w:val="clear" w:color="auto" w:fill="ECFBFB" w:themeFill="accent4"/>
        <w:tblLayout w:type="fixed"/>
        <w:tblLook w:val="0600" w:firstRow="0" w:lastRow="0" w:firstColumn="0" w:lastColumn="0" w:noHBand="1" w:noVBand="1"/>
      </w:tblPr>
      <w:tblGrid>
        <w:gridCol w:w="1701"/>
        <w:gridCol w:w="3828"/>
        <w:gridCol w:w="6945"/>
        <w:gridCol w:w="142"/>
      </w:tblGrid>
      <w:tr w:rsidR="00FA38A4" w:rsidRPr="003A798E" w14:paraId="627C58CB" w14:textId="77777777" w:rsidTr="00FA38A4">
        <w:trPr>
          <w:trHeight w:val="547"/>
        </w:trPr>
        <w:tc>
          <w:tcPr>
            <w:tcW w:w="1701" w:type="dxa"/>
            <w:shd w:val="clear" w:color="auto" w:fill="ECFBFB" w:themeFill="accent4"/>
          </w:tcPr>
          <w:p w14:paraId="6C9FB5AC" w14:textId="77777777" w:rsidR="00FA38A4" w:rsidRPr="003A798E" w:rsidRDefault="00FA38A4" w:rsidP="00A24793"/>
        </w:tc>
        <w:tc>
          <w:tcPr>
            <w:tcW w:w="3828" w:type="dxa"/>
            <w:shd w:val="clear" w:color="auto" w:fill="ECFBFB" w:themeFill="accent4"/>
          </w:tcPr>
          <w:p w14:paraId="460968F7" w14:textId="77777777" w:rsidR="00FA38A4" w:rsidRPr="003A798E" w:rsidRDefault="00FA38A4" w:rsidP="00A24793"/>
        </w:tc>
        <w:tc>
          <w:tcPr>
            <w:tcW w:w="7087" w:type="dxa"/>
            <w:gridSpan w:val="2"/>
            <w:shd w:val="clear" w:color="auto" w:fill="ECFBFB" w:themeFill="accent4"/>
          </w:tcPr>
          <w:p w14:paraId="720CB1B5" w14:textId="77777777" w:rsidR="00FA38A4" w:rsidRPr="003A798E" w:rsidRDefault="00FA38A4" w:rsidP="00A24793"/>
        </w:tc>
      </w:tr>
      <w:tr w:rsidR="00FA38A4" w:rsidRPr="003A798E" w14:paraId="495652A6" w14:textId="77777777" w:rsidTr="00FA38A4">
        <w:trPr>
          <w:trHeight w:val="9513"/>
        </w:trPr>
        <w:tc>
          <w:tcPr>
            <w:tcW w:w="1701" w:type="dxa"/>
            <w:shd w:val="clear" w:color="auto" w:fill="ECFBFB" w:themeFill="accent4"/>
          </w:tcPr>
          <w:p w14:paraId="57674860" w14:textId="77777777" w:rsidR="00FA38A4" w:rsidRPr="003A798E" w:rsidRDefault="00FA38A4" w:rsidP="00D6375E"/>
        </w:tc>
        <w:tc>
          <w:tcPr>
            <w:tcW w:w="3828" w:type="dxa"/>
            <w:tcBorders>
              <w:bottom w:val="single" w:sz="18" w:space="0" w:color="00C1C7" w:themeColor="accent2"/>
            </w:tcBorders>
            <w:shd w:val="clear" w:color="auto" w:fill="ECFBFB" w:themeFill="accent4"/>
          </w:tcPr>
          <w:p w14:paraId="3050628B" w14:textId="08FFD756" w:rsidR="00FA38A4" w:rsidRPr="00F00899" w:rsidRDefault="00FA38A4" w:rsidP="00FC49AE">
            <w:pPr>
              <w:pStyle w:val="Heading5"/>
              <w:rPr>
                <w:sz w:val="36"/>
                <w:szCs w:val="10"/>
              </w:rPr>
            </w:pPr>
            <w:r w:rsidRPr="00F00899">
              <w:rPr>
                <w:sz w:val="36"/>
                <w:szCs w:val="10"/>
              </w:rPr>
              <w:t xml:space="preserve">HOW DOES THE THEORY RELATE TO THE </w:t>
            </w:r>
            <w:r w:rsidR="00605AF1">
              <w:rPr>
                <w:sz w:val="36"/>
                <w:szCs w:val="10"/>
              </w:rPr>
              <w:t>CASE STUDY</w:t>
            </w:r>
          </w:p>
        </w:tc>
        <w:tc>
          <w:tcPr>
            <w:tcW w:w="7087" w:type="dxa"/>
            <w:gridSpan w:val="2"/>
            <w:tcBorders>
              <w:bottom w:val="single" w:sz="18" w:space="0" w:color="00C1C7" w:themeColor="accent2"/>
            </w:tcBorders>
            <w:shd w:val="clear" w:color="auto" w:fill="ECFBFB" w:themeFill="accent4"/>
          </w:tcPr>
          <w:p w14:paraId="598C0222" w14:textId="3AD52C38" w:rsidR="00FA38A4" w:rsidRPr="00214895" w:rsidRDefault="008A6FF8" w:rsidP="00BC65ED">
            <w:pPr>
              <w:spacing w:after="160" w:line="480" w:lineRule="auto"/>
              <w:ind w:left="284" w:firstLine="720"/>
              <w:rPr>
                <w:rFonts w:ascii="Arial" w:eastAsia="Aptos" w:hAnsi="Arial" w:cs="Arial"/>
                <w:kern w:val="2"/>
                <w:lang w:val="en-GB"/>
                <w14:ligatures w14:val="standardContextual"/>
              </w:rPr>
            </w:pPr>
            <w:r>
              <w:rPr>
                <w:rFonts w:ascii="Arial" w:eastAsia="Aptos" w:hAnsi="Arial" w:cs="Arial"/>
                <w:kern w:val="2"/>
                <w:lang w:val="en-GB"/>
                <w14:ligatures w14:val="standardContextual"/>
              </w:rPr>
              <w:t>In the current case study, t</w:t>
            </w:r>
            <w:r w:rsidR="00D2593B" w:rsidRPr="00D2593B">
              <w:rPr>
                <w:rFonts w:ascii="Arial" w:eastAsia="Aptos" w:hAnsi="Arial" w:cs="Arial"/>
                <w:kern w:val="2"/>
                <w:lang w:val="en-GB"/>
                <w14:ligatures w14:val="standardContextual"/>
              </w:rPr>
              <w:t>he district nurses reported a staff shortage and an increase in the amount of patients</w:t>
            </w:r>
            <w:r w:rsidR="00622A65">
              <w:rPr>
                <w:rFonts w:ascii="Arial" w:eastAsia="Aptos" w:hAnsi="Arial" w:cs="Arial"/>
                <w:kern w:val="2"/>
                <w:lang w:val="en-GB"/>
                <w14:ligatures w14:val="standardContextual"/>
              </w:rPr>
              <w:t xml:space="preserve"> </w:t>
            </w:r>
            <w:r w:rsidR="00742A3A">
              <w:rPr>
                <w:rFonts w:ascii="Arial" w:eastAsia="Aptos" w:hAnsi="Arial" w:cs="Arial"/>
                <w:kern w:val="2"/>
                <w:lang w:val="en-GB"/>
                <w14:ligatures w14:val="standardContextual"/>
              </w:rPr>
              <w:t>under their care</w:t>
            </w:r>
            <w:r w:rsidR="006E7263">
              <w:rPr>
                <w:rFonts w:ascii="Arial" w:eastAsia="Aptos" w:hAnsi="Arial" w:cs="Arial"/>
                <w:kern w:val="2"/>
                <w:lang w:val="en-GB"/>
                <w14:ligatures w14:val="standardContextual"/>
              </w:rPr>
              <w:t>. This lead</w:t>
            </w:r>
            <w:r w:rsidR="00D2593B" w:rsidRPr="00D2593B">
              <w:rPr>
                <w:rFonts w:ascii="Arial" w:eastAsia="Aptos" w:hAnsi="Arial" w:cs="Arial"/>
                <w:kern w:val="2"/>
                <w:lang w:val="en-GB"/>
                <w14:ligatures w14:val="standardContextual"/>
              </w:rPr>
              <w:t xml:space="preserve"> to longer working hours prior to the incident. This suggests that the nurses were likely </w:t>
            </w:r>
            <w:r w:rsidR="000F37CD">
              <w:rPr>
                <w:rFonts w:ascii="Arial" w:eastAsia="Aptos" w:hAnsi="Arial" w:cs="Arial"/>
                <w:kern w:val="2"/>
                <w:lang w:val="en-GB"/>
                <w14:ligatures w14:val="standardContextual"/>
              </w:rPr>
              <w:t xml:space="preserve">fatigued and </w:t>
            </w:r>
            <w:r w:rsidR="00D2593B" w:rsidRPr="00D2593B">
              <w:rPr>
                <w:rFonts w:ascii="Arial" w:eastAsia="Aptos" w:hAnsi="Arial" w:cs="Arial"/>
                <w:kern w:val="2"/>
                <w:lang w:val="en-GB"/>
                <w14:ligatures w14:val="standardContextual"/>
              </w:rPr>
              <w:t xml:space="preserve">stressed as a result of their increased workload, resulting in elevated cortisol levels (Marchand et al., 2013). This elevation in cortisol interfered with their prefrontal cortex function, which is needed for </w:t>
            </w:r>
            <w:r w:rsidR="001E02FE">
              <w:rPr>
                <w:rFonts w:ascii="Arial" w:eastAsia="Aptos" w:hAnsi="Arial" w:cs="Arial"/>
                <w:kern w:val="2"/>
                <w:lang w:val="en-GB"/>
                <w14:ligatures w14:val="standardContextual"/>
              </w:rPr>
              <w:t>System 2</w:t>
            </w:r>
            <w:r w:rsidR="00D2593B" w:rsidRPr="00D2593B">
              <w:rPr>
                <w:rFonts w:ascii="Arial" w:eastAsia="Aptos" w:hAnsi="Arial" w:cs="Arial"/>
                <w:kern w:val="2"/>
                <w:lang w:val="en-GB"/>
                <w14:ligatures w14:val="standardContextual"/>
              </w:rPr>
              <w:t xml:space="preserve">. In turn, it increased the rate of emotional-driven areas like the amygdala, which increased the dominance of </w:t>
            </w:r>
            <w:r w:rsidR="001E02FE">
              <w:rPr>
                <w:rFonts w:ascii="Arial" w:eastAsia="Aptos" w:hAnsi="Arial" w:cs="Arial"/>
                <w:kern w:val="2"/>
                <w:lang w:val="en-GB"/>
                <w14:ligatures w14:val="standardContextual"/>
              </w:rPr>
              <w:t>System 1</w:t>
            </w:r>
            <w:r w:rsidR="00D2593B" w:rsidRPr="00D2593B">
              <w:rPr>
                <w:rFonts w:ascii="Arial" w:eastAsia="Aptos" w:hAnsi="Arial" w:cs="Arial"/>
                <w:kern w:val="2"/>
                <w:lang w:val="en-GB"/>
                <w14:ligatures w14:val="standardContextual"/>
              </w:rPr>
              <w:t xml:space="preserve"> (Hermans et al., 2014). </w:t>
            </w:r>
            <w:r w:rsidR="00CA13CF">
              <w:rPr>
                <w:rFonts w:ascii="Arial" w:eastAsia="Aptos" w:hAnsi="Arial" w:cs="Arial"/>
                <w:kern w:val="2"/>
                <w:lang w:val="en-GB"/>
                <w14:ligatures w14:val="standardContextual"/>
              </w:rPr>
              <w:t>E</w:t>
            </w:r>
            <w:r w:rsidR="00750A55">
              <w:rPr>
                <w:rFonts w:ascii="Arial" w:eastAsia="Aptos" w:hAnsi="Arial" w:cs="Arial"/>
                <w:kern w:val="2"/>
                <w:lang w:val="en-GB"/>
                <w14:ligatures w14:val="standardContextual"/>
              </w:rPr>
              <w:t>vidently</w:t>
            </w:r>
            <w:r w:rsidR="00CA13CF">
              <w:rPr>
                <w:rFonts w:ascii="Arial" w:eastAsia="Aptos" w:hAnsi="Arial" w:cs="Arial"/>
                <w:kern w:val="2"/>
                <w:lang w:val="en-GB"/>
                <w14:ligatures w14:val="standardContextual"/>
              </w:rPr>
              <w:t>, the nurses</w:t>
            </w:r>
            <w:r w:rsidR="00750A55">
              <w:rPr>
                <w:rFonts w:ascii="Arial" w:eastAsia="Aptos" w:hAnsi="Arial" w:cs="Arial"/>
                <w:kern w:val="2"/>
                <w:lang w:val="en-GB"/>
                <w14:ligatures w14:val="standardContextual"/>
              </w:rPr>
              <w:t xml:space="preserve"> </w:t>
            </w:r>
            <w:r w:rsidR="009653F3">
              <w:rPr>
                <w:rFonts w:ascii="Arial" w:eastAsia="Aptos" w:hAnsi="Arial" w:cs="Arial"/>
                <w:kern w:val="2"/>
                <w:lang w:val="en-GB"/>
                <w14:ligatures w14:val="standardContextual"/>
              </w:rPr>
              <w:t>had not</w:t>
            </w:r>
            <w:r w:rsidR="00D2593B" w:rsidRPr="00D2593B">
              <w:rPr>
                <w:rFonts w:ascii="Arial" w:eastAsia="Aptos" w:hAnsi="Arial" w:cs="Arial"/>
                <w:kern w:val="2"/>
                <w:lang w:val="en-GB"/>
                <w14:ligatures w14:val="standardContextual"/>
              </w:rPr>
              <w:t xml:space="preserve"> formed the habit of </w:t>
            </w:r>
            <w:r w:rsidR="00796E82">
              <w:rPr>
                <w:rFonts w:ascii="Arial" w:eastAsia="Aptos" w:hAnsi="Arial" w:cs="Arial"/>
                <w:kern w:val="2"/>
                <w:lang w:val="en-GB"/>
                <w14:ligatures w14:val="standardContextual"/>
              </w:rPr>
              <w:t xml:space="preserve">regularly </w:t>
            </w:r>
            <w:r w:rsidR="00D2593B" w:rsidRPr="00D2593B">
              <w:rPr>
                <w:rFonts w:ascii="Arial" w:eastAsia="Aptos" w:hAnsi="Arial" w:cs="Arial"/>
                <w:kern w:val="2"/>
                <w:lang w:val="en-GB"/>
                <w14:ligatures w14:val="standardContextual"/>
              </w:rPr>
              <w:t>washing their hands</w:t>
            </w:r>
            <w:r w:rsidR="00796E82">
              <w:rPr>
                <w:rFonts w:ascii="Arial" w:eastAsia="Aptos" w:hAnsi="Arial" w:cs="Arial"/>
                <w:kern w:val="2"/>
                <w:lang w:val="en-GB"/>
                <w14:ligatures w14:val="standardContextual"/>
              </w:rPr>
              <w:t xml:space="preserve"> </w:t>
            </w:r>
            <w:r w:rsidR="000D285A">
              <w:rPr>
                <w:rFonts w:ascii="Arial" w:eastAsia="Aptos" w:hAnsi="Arial" w:cs="Arial"/>
                <w:kern w:val="2"/>
                <w:lang w:val="en-GB"/>
                <w14:ligatures w14:val="standardContextual"/>
              </w:rPr>
              <w:t xml:space="preserve">properly </w:t>
            </w:r>
            <w:r w:rsidR="00D2593B" w:rsidRPr="00D2593B">
              <w:rPr>
                <w:rFonts w:ascii="Arial" w:eastAsia="Aptos" w:hAnsi="Arial" w:cs="Arial"/>
                <w:kern w:val="2"/>
                <w:lang w:val="en-GB"/>
                <w14:ligatures w14:val="standardContextual"/>
              </w:rPr>
              <w:t>and need</w:t>
            </w:r>
            <w:r w:rsidR="009653F3">
              <w:rPr>
                <w:rFonts w:ascii="Arial" w:eastAsia="Aptos" w:hAnsi="Arial" w:cs="Arial"/>
                <w:kern w:val="2"/>
                <w:lang w:val="en-GB"/>
                <w14:ligatures w14:val="standardContextual"/>
              </w:rPr>
              <w:t>ed</w:t>
            </w:r>
            <w:r w:rsidR="00D2593B" w:rsidRPr="00D2593B">
              <w:rPr>
                <w:rFonts w:ascii="Arial" w:eastAsia="Aptos" w:hAnsi="Arial" w:cs="Arial"/>
                <w:kern w:val="2"/>
                <w:lang w:val="en-GB"/>
                <w14:ligatures w14:val="standardContextual"/>
              </w:rPr>
              <w:t xml:space="preserve"> to deliberately think to perform the task</w:t>
            </w:r>
            <w:r w:rsidR="007F0CE6">
              <w:rPr>
                <w:rFonts w:ascii="Arial" w:eastAsia="Aptos" w:hAnsi="Arial" w:cs="Arial"/>
                <w:kern w:val="2"/>
                <w:lang w:val="en-GB"/>
                <w14:ligatures w14:val="standardContextual"/>
              </w:rPr>
              <w:t xml:space="preserve">. Consequently, </w:t>
            </w:r>
            <w:r w:rsidR="00D2593B" w:rsidRPr="00D2593B">
              <w:rPr>
                <w:rFonts w:ascii="Arial" w:eastAsia="Aptos" w:hAnsi="Arial" w:cs="Arial"/>
                <w:kern w:val="2"/>
                <w:lang w:val="en-GB"/>
                <w14:ligatures w14:val="standardContextual"/>
              </w:rPr>
              <w:t xml:space="preserve">the dominance of </w:t>
            </w:r>
            <w:r w:rsidR="001E02FE">
              <w:rPr>
                <w:rFonts w:ascii="Arial" w:eastAsia="Aptos" w:hAnsi="Arial" w:cs="Arial"/>
                <w:kern w:val="2"/>
                <w:lang w:val="en-GB"/>
                <w14:ligatures w14:val="standardContextual"/>
              </w:rPr>
              <w:t>System 1</w:t>
            </w:r>
            <w:r w:rsidR="00D2593B" w:rsidRPr="00D2593B">
              <w:rPr>
                <w:rFonts w:ascii="Arial" w:eastAsia="Aptos" w:hAnsi="Arial" w:cs="Arial"/>
                <w:kern w:val="2"/>
                <w:lang w:val="en-GB"/>
                <w14:ligatures w14:val="standardContextual"/>
              </w:rPr>
              <w:t xml:space="preserve"> </w:t>
            </w:r>
            <w:r w:rsidR="001A143D">
              <w:rPr>
                <w:rFonts w:ascii="Arial" w:eastAsia="Aptos" w:hAnsi="Arial" w:cs="Arial"/>
                <w:kern w:val="2"/>
                <w:lang w:val="en-GB"/>
                <w14:ligatures w14:val="standardContextual"/>
              </w:rPr>
              <w:t>would have been what</w:t>
            </w:r>
            <w:r w:rsidR="004C3E81">
              <w:rPr>
                <w:rFonts w:ascii="Arial" w:eastAsia="Aptos" w:hAnsi="Arial" w:cs="Arial"/>
                <w:kern w:val="2"/>
                <w:lang w:val="en-GB"/>
                <w14:ligatures w14:val="standardContextual"/>
              </w:rPr>
              <w:t xml:space="preserve"> </w:t>
            </w:r>
            <w:r w:rsidR="00D2593B" w:rsidRPr="00D2593B">
              <w:rPr>
                <w:rFonts w:ascii="Arial" w:eastAsia="Aptos" w:hAnsi="Arial" w:cs="Arial"/>
                <w:kern w:val="2"/>
                <w:lang w:val="en-GB"/>
                <w14:ligatures w14:val="standardContextual"/>
              </w:rPr>
              <w:t>cause</w:t>
            </w:r>
            <w:r w:rsidR="004C3E81">
              <w:rPr>
                <w:rFonts w:ascii="Arial" w:eastAsia="Aptos" w:hAnsi="Arial" w:cs="Arial"/>
                <w:kern w:val="2"/>
                <w:lang w:val="en-GB"/>
                <w14:ligatures w14:val="standardContextual"/>
              </w:rPr>
              <w:t>d the</w:t>
            </w:r>
            <w:r w:rsidR="00D2593B" w:rsidRPr="00D2593B">
              <w:rPr>
                <w:rFonts w:ascii="Arial" w:eastAsia="Aptos" w:hAnsi="Arial" w:cs="Arial"/>
                <w:kern w:val="2"/>
                <w:lang w:val="en-GB"/>
                <w14:ligatures w14:val="standardContextual"/>
              </w:rPr>
              <w:t xml:space="preserve"> neglect of </w:t>
            </w:r>
            <w:r w:rsidR="001A143D">
              <w:rPr>
                <w:rFonts w:ascii="Arial" w:eastAsia="Aptos" w:hAnsi="Arial" w:cs="Arial"/>
                <w:kern w:val="2"/>
                <w:lang w:val="en-GB"/>
                <w14:ligatures w14:val="standardContextual"/>
              </w:rPr>
              <w:t xml:space="preserve">their </w:t>
            </w:r>
            <w:r w:rsidR="00D2593B" w:rsidRPr="00D2593B">
              <w:rPr>
                <w:rFonts w:ascii="Arial" w:eastAsia="Aptos" w:hAnsi="Arial" w:cs="Arial"/>
                <w:kern w:val="2"/>
                <w:lang w:val="en-GB"/>
                <w14:ligatures w14:val="standardContextual"/>
              </w:rPr>
              <w:t>hand hygiene</w:t>
            </w:r>
            <w:r w:rsidR="001A143D">
              <w:rPr>
                <w:rFonts w:ascii="Arial" w:eastAsia="Aptos" w:hAnsi="Arial" w:cs="Arial"/>
                <w:kern w:val="2"/>
                <w:lang w:val="en-GB"/>
                <w14:ligatures w14:val="standardContextual"/>
              </w:rPr>
              <w:t xml:space="preserve"> </w:t>
            </w:r>
            <w:r w:rsidR="00D2593B" w:rsidRPr="00D2593B">
              <w:rPr>
                <w:rFonts w:ascii="Arial" w:eastAsia="Aptos" w:hAnsi="Arial" w:cs="Arial"/>
                <w:kern w:val="2"/>
                <w:lang w:val="en-GB"/>
                <w14:ligatures w14:val="standardContextual"/>
              </w:rPr>
              <w:t xml:space="preserve">(Sladek et al., 2008; Zhang et al., 2022). </w:t>
            </w:r>
            <w:r w:rsidR="00E66D50">
              <w:rPr>
                <w:rFonts w:ascii="Arial" w:eastAsia="Aptos" w:hAnsi="Arial" w:cs="Arial"/>
                <w:kern w:val="2"/>
                <w:lang w:val="en-GB"/>
                <w14:ligatures w14:val="standardContextual"/>
              </w:rPr>
              <w:t xml:space="preserve">As </w:t>
            </w:r>
            <w:r w:rsidR="004524A1">
              <w:rPr>
                <w:rFonts w:ascii="Arial" w:eastAsia="Aptos" w:hAnsi="Arial" w:cs="Arial"/>
                <w:kern w:val="2"/>
                <w:lang w:val="en-GB"/>
                <w14:ligatures w14:val="standardContextual"/>
              </w:rPr>
              <w:t xml:space="preserve">they </w:t>
            </w:r>
            <w:r w:rsidR="00E66D50">
              <w:rPr>
                <w:rFonts w:ascii="Arial" w:eastAsia="Aptos" w:hAnsi="Arial" w:cs="Arial"/>
                <w:kern w:val="2"/>
                <w:lang w:val="en-GB"/>
                <w14:ligatures w14:val="standardContextual"/>
              </w:rPr>
              <w:t>rel</w:t>
            </w:r>
            <w:r w:rsidR="00D2264D">
              <w:rPr>
                <w:rFonts w:ascii="Arial" w:eastAsia="Aptos" w:hAnsi="Arial" w:cs="Arial"/>
                <w:kern w:val="2"/>
                <w:lang w:val="en-GB"/>
                <w14:ligatures w14:val="standardContextual"/>
              </w:rPr>
              <w:t>ied</w:t>
            </w:r>
            <w:r w:rsidR="00E66D50">
              <w:rPr>
                <w:rFonts w:ascii="Arial" w:eastAsia="Aptos" w:hAnsi="Arial" w:cs="Arial"/>
                <w:kern w:val="2"/>
                <w:lang w:val="en-GB"/>
                <w14:ligatures w14:val="standardContextual"/>
              </w:rPr>
              <w:t xml:space="preserve"> on</w:t>
            </w:r>
            <w:r w:rsidR="00D2593B" w:rsidRPr="00D2593B">
              <w:rPr>
                <w:rFonts w:ascii="Arial" w:eastAsia="Aptos" w:hAnsi="Arial" w:cs="Arial"/>
                <w:kern w:val="2"/>
                <w:lang w:val="en-GB"/>
                <w14:ligatures w14:val="standardContextual"/>
              </w:rPr>
              <w:t xml:space="preserve"> </w:t>
            </w:r>
            <w:r w:rsidR="001E02FE">
              <w:rPr>
                <w:rFonts w:ascii="Arial" w:eastAsia="Aptos" w:hAnsi="Arial" w:cs="Arial"/>
                <w:kern w:val="2"/>
                <w:lang w:val="en-GB"/>
                <w14:ligatures w14:val="standardContextual"/>
              </w:rPr>
              <w:t>System 2</w:t>
            </w:r>
            <w:r w:rsidR="00D2593B" w:rsidRPr="00D2593B">
              <w:rPr>
                <w:rFonts w:ascii="Arial" w:eastAsia="Aptos" w:hAnsi="Arial" w:cs="Arial"/>
                <w:kern w:val="2"/>
                <w:lang w:val="en-GB"/>
                <w14:ligatures w14:val="standardContextual"/>
              </w:rPr>
              <w:t xml:space="preserve"> for handwashing</w:t>
            </w:r>
            <w:r w:rsidR="00E66D50">
              <w:rPr>
                <w:rFonts w:ascii="Arial" w:eastAsia="Aptos" w:hAnsi="Arial" w:cs="Arial"/>
                <w:kern w:val="2"/>
                <w:lang w:val="en-GB"/>
                <w14:ligatures w14:val="standardContextual"/>
              </w:rPr>
              <w:t>, the</w:t>
            </w:r>
            <w:r w:rsidR="00E331CB">
              <w:rPr>
                <w:rFonts w:ascii="Arial" w:eastAsia="Aptos" w:hAnsi="Arial" w:cs="Arial"/>
                <w:kern w:val="2"/>
                <w:lang w:val="en-GB"/>
                <w14:ligatures w14:val="standardContextual"/>
              </w:rPr>
              <w:t>ir cognition</w:t>
            </w:r>
            <w:r w:rsidR="00E66D50">
              <w:rPr>
                <w:rFonts w:ascii="Arial" w:eastAsia="Aptos" w:hAnsi="Arial" w:cs="Arial"/>
                <w:kern w:val="2"/>
                <w:lang w:val="en-GB"/>
                <w14:ligatures w14:val="standardContextual"/>
              </w:rPr>
              <w:t xml:space="preserve"> likely prioritised</w:t>
            </w:r>
            <w:r w:rsidR="00D2593B" w:rsidRPr="00D2593B">
              <w:rPr>
                <w:rFonts w:ascii="Arial" w:eastAsia="Aptos" w:hAnsi="Arial" w:cs="Arial"/>
                <w:kern w:val="2"/>
                <w:lang w:val="en-GB"/>
                <w14:ligatures w14:val="standardContextual"/>
              </w:rPr>
              <w:t xml:space="preserve"> time efficiency</w:t>
            </w:r>
            <w:r w:rsidR="002523C7">
              <w:rPr>
                <w:rFonts w:ascii="Arial" w:eastAsia="Aptos" w:hAnsi="Arial" w:cs="Arial"/>
                <w:kern w:val="2"/>
                <w:lang w:val="en-GB"/>
                <w14:ligatures w14:val="standardContextual"/>
              </w:rPr>
              <w:t xml:space="preserve"> </w:t>
            </w:r>
            <w:r w:rsidR="00D2593B" w:rsidRPr="00D2593B">
              <w:rPr>
                <w:rFonts w:ascii="Arial" w:eastAsia="Aptos" w:hAnsi="Arial" w:cs="Arial"/>
                <w:kern w:val="2"/>
                <w:lang w:val="en-GB"/>
                <w14:ligatures w14:val="standardContextual"/>
              </w:rPr>
              <w:t xml:space="preserve">over the effort of </w:t>
            </w:r>
            <w:r w:rsidR="00271775">
              <w:rPr>
                <w:rFonts w:ascii="Arial" w:eastAsia="Aptos" w:hAnsi="Arial" w:cs="Arial"/>
                <w:kern w:val="2"/>
                <w:lang w:val="en-GB"/>
                <w14:ligatures w14:val="standardContextual"/>
              </w:rPr>
              <w:t>hand hygiene</w:t>
            </w:r>
            <w:r w:rsidR="00D2593B" w:rsidRPr="00D2593B">
              <w:rPr>
                <w:rFonts w:ascii="Arial" w:eastAsia="Aptos" w:hAnsi="Arial" w:cs="Arial"/>
                <w:kern w:val="2"/>
                <w:lang w:val="en-GB"/>
                <w14:ligatures w14:val="standardContextual"/>
              </w:rPr>
              <w:t xml:space="preserve"> </w:t>
            </w:r>
            <w:r w:rsidR="00595D67">
              <w:rPr>
                <w:rFonts w:ascii="Arial" w:eastAsia="Aptos" w:hAnsi="Arial" w:cs="Arial"/>
                <w:kern w:val="2"/>
                <w:lang w:val="en-GB"/>
                <w14:ligatures w14:val="standardContextual"/>
              </w:rPr>
              <w:t>because</w:t>
            </w:r>
            <w:r w:rsidR="002F29ED">
              <w:rPr>
                <w:rFonts w:ascii="Arial" w:eastAsia="Aptos" w:hAnsi="Arial" w:cs="Arial"/>
                <w:kern w:val="2"/>
                <w:lang w:val="en-GB"/>
                <w14:ligatures w14:val="standardContextual"/>
              </w:rPr>
              <w:t xml:space="preserve"> </w:t>
            </w:r>
            <w:r w:rsidR="00595D67">
              <w:rPr>
                <w:rFonts w:ascii="Arial" w:eastAsia="Aptos" w:hAnsi="Arial" w:cs="Arial"/>
                <w:kern w:val="2"/>
                <w:lang w:val="en-GB"/>
                <w14:ligatures w14:val="standardContextual"/>
              </w:rPr>
              <w:t xml:space="preserve">they </w:t>
            </w:r>
            <w:r w:rsidR="00450829">
              <w:rPr>
                <w:rFonts w:ascii="Arial" w:eastAsia="Aptos" w:hAnsi="Arial" w:cs="Arial"/>
                <w:kern w:val="2"/>
                <w:lang w:val="en-GB"/>
                <w14:ligatures w14:val="standardContextual"/>
              </w:rPr>
              <w:t>w</w:t>
            </w:r>
            <w:r w:rsidR="00764669">
              <w:rPr>
                <w:rFonts w:ascii="Arial" w:eastAsia="Aptos" w:hAnsi="Arial" w:cs="Arial"/>
                <w:kern w:val="2"/>
                <w:lang w:val="en-GB"/>
                <w14:ligatures w14:val="standardContextual"/>
              </w:rPr>
              <w:t>ere</w:t>
            </w:r>
            <w:r w:rsidR="004158BF">
              <w:rPr>
                <w:rFonts w:ascii="Arial" w:eastAsia="Aptos" w:hAnsi="Arial" w:cs="Arial"/>
                <w:kern w:val="2"/>
                <w:lang w:val="en-GB"/>
                <w14:ligatures w14:val="standardContextual"/>
              </w:rPr>
              <w:t xml:space="preserve"> </w:t>
            </w:r>
            <w:r w:rsidR="001C63EB">
              <w:rPr>
                <w:rFonts w:ascii="Arial" w:eastAsia="Aptos" w:hAnsi="Arial" w:cs="Arial"/>
                <w:kern w:val="2"/>
                <w:lang w:val="en-GB"/>
                <w14:ligatures w14:val="standardContextual"/>
              </w:rPr>
              <w:t>under time pressure</w:t>
            </w:r>
            <w:r w:rsidR="005859E5">
              <w:rPr>
                <w:rFonts w:ascii="Arial" w:eastAsia="Aptos" w:hAnsi="Arial" w:cs="Arial"/>
                <w:kern w:val="2"/>
                <w:lang w:val="en-GB"/>
                <w14:ligatures w14:val="standardContextual"/>
              </w:rPr>
              <w:t xml:space="preserve">. </w:t>
            </w:r>
            <w:r w:rsidR="001E02FE">
              <w:rPr>
                <w:rFonts w:ascii="Arial" w:eastAsia="Aptos" w:hAnsi="Arial" w:cs="Arial"/>
                <w:kern w:val="2"/>
                <w:lang w:val="en-GB"/>
                <w14:ligatures w14:val="standardContextual"/>
              </w:rPr>
              <w:t>System 2 was at cognitive</w:t>
            </w:r>
            <w:r w:rsidR="004158BF">
              <w:rPr>
                <w:rFonts w:ascii="Arial" w:eastAsia="Aptos" w:hAnsi="Arial" w:cs="Arial"/>
                <w:kern w:val="2"/>
                <w:lang w:val="en-GB"/>
                <w14:ligatures w14:val="standardContextual"/>
              </w:rPr>
              <w:t xml:space="preserve"> capa</w:t>
            </w:r>
            <w:r w:rsidR="00681E92">
              <w:rPr>
                <w:rFonts w:ascii="Arial" w:eastAsia="Aptos" w:hAnsi="Arial" w:cs="Arial"/>
                <w:kern w:val="2"/>
                <w:lang w:val="en-GB"/>
                <w14:ligatures w14:val="standardContextual"/>
              </w:rPr>
              <w:t xml:space="preserve">city </w:t>
            </w:r>
            <w:r w:rsidR="00A2197A">
              <w:rPr>
                <w:rFonts w:ascii="Arial" w:eastAsia="Aptos" w:hAnsi="Arial" w:cs="Arial"/>
                <w:kern w:val="2"/>
                <w:lang w:val="en-GB"/>
                <w14:ligatures w14:val="standardContextual"/>
              </w:rPr>
              <w:t xml:space="preserve">due to </w:t>
            </w:r>
            <w:r w:rsidR="00BC65ED">
              <w:rPr>
                <w:rFonts w:ascii="Arial" w:eastAsia="Aptos" w:hAnsi="Arial" w:cs="Arial"/>
                <w:kern w:val="2"/>
                <w:lang w:val="en-GB"/>
                <w14:ligatures w14:val="standardContextual"/>
              </w:rPr>
              <w:t>the cognitive load</w:t>
            </w:r>
            <w:r w:rsidR="00871DDD">
              <w:rPr>
                <w:rFonts w:ascii="Arial" w:eastAsia="Aptos" w:hAnsi="Arial" w:cs="Arial"/>
                <w:kern w:val="2"/>
                <w:lang w:val="en-GB"/>
                <w14:ligatures w14:val="standardContextual"/>
              </w:rPr>
              <w:t xml:space="preserve"> </w:t>
            </w:r>
            <w:r w:rsidR="008B5FDB">
              <w:rPr>
                <w:rFonts w:ascii="Arial" w:eastAsia="Aptos" w:hAnsi="Arial" w:cs="Arial"/>
                <w:kern w:val="2"/>
                <w:lang w:val="en-GB"/>
                <w14:ligatures w14:val="standardContextual"/>
              </w:rPr>
              <w:t>and pressure</w:t>
            </w:r>
            <w:r w:rsidR="00BC65ED">
              <w:rPr>
                <w:rFonts w:ascii="Arial" w:eastAsia="Aptos" w:hAnsi="Arial" w:cs="Arial"/>
                <w:kern w:val="2"/>
                <w:lang w:val="en-GB"/>
                <w14:ligatures w14:val="standardContextual"/>
              </w:rPr>
              <w:t xml:space="preserve"> of performing their professional role</w:t>
            </w:r>
            <w:r w:rsidR="00EF3593">
              <w:rPr>
                <w:rFonts w:ascii="Arial" w:eastAsia="Aptos" w:hAnsi="Arial" w:cs="Arial"/>
                <w:kern w:val="2"/>
                <w:lang w:val="en-GB"/>
                <w14:ligatures w14:val="standardContextual"/>
              </w:rPr>
              <w:t xml:space="preserve"> </w:t>
            </w:r>
            <w:r w:rsidR="00E34F4F">
              <w:rPr>
                <w:rFonts w:ascii="Arial" w:eastAsia="Aptos" w:hAnsi="Arial" w:cs="Arial"/>
                <w:kern w:val="2"/>
                <w:lang w:val="en-GB"/>
                <w14:ligatures w14:val="standardContextual"/>
              </w:rPr>
              <w:t>(</w:t>
            </w:r>
            <w:r w:rsidR="00E34F4F" w:rsidRPr="000B63F1">
              <w:rPr>
                <w:rFonts w:ascii="Arial" w:hAnsi="Arial" w:cs="Arial"/>
              </w:rPr>
              <w:t>Zucchelli</w:t>
            </w:r>
            <w:r w:rsidR="00E34F4F">
              <w:rPr>
                <w:rFonts w:ascii="Arial" w:hAnsi="Arial" w:cs="Arial"/>
              </w:rPr>
              <w:t xml:space="preserve"> et al., </w:t>
            </w:r>
            <w:r w:rsidR="00E34F4F" w:rsidRPr="000B63F1">
              <w:rPr>
                <w:rFonts w:ascii="Arial" w:hAnsi="Arial" w:cs="Arial"/>
              </w:rPr>
              <w:t>2025).</w:t>
            </w:r>
            <w:r w:rsidR="00BC65ED">
              <w:rPr>
                <w:rFonts w:ascii="Arial" w:hAnsi="Arial" w:cs="Arial"/>
              </w:rPr>
              <w:t xml:space="preserve"> </w:t>
            </w:r>
            <w:r w:rsidR="00F77A83">
              <w:rPr>
                <w:rFonts w:ascii="Arial" w:hAnsi="Arial" w:cs="Arial"/>
              </w:rPr>
              <w:t>This explanation can be supported by the empirical literature</w:t>
            </w:r>
            <w:r w:rsidR="00975BFC">
              <w:rPr>
                <w:rFonts w:ascii="Arial" w:hAnsi="Arial" w:cs="Arial"/>
              </w:rPr>
              <w:t xml:space="preserve"> as can be seen in the next sub-section.</w:t>
            </w:r>
          </w:p>
        </w:tc>
      </w:tr>
      <w:tr w:rsidR="00FA38A4" w:rsidRPr="003A798E" w14:paraId="35DA261D" w14:textId="77777777" w:rsidTr="00FA38A4">
        <w:trPr>
          <w:trHeight w:val="3459"/>
        </w:trPr>
        <w:tc>
          <w:tcPr>
            <w:tcW w:w="1701" w:type="dxa"/>
            <w:shd w:val="clear" w:color="auto" w:fill="ECFBFB" w:themeFill="accent4"/>
          </w:tcPr>
          <w:p w14:paraId="0FAD7B75" w14:textId="77777777" w:rsidR="00FA38A4" w:rsidRPr="003A798E" w:rsidRDefault="00FA38A4" w:rsidP="00D6375E"/>
        </w:tc>
        <w:tc>
          <w:tcPr>
            <w:tcW w:w="10915" w:type="dxa"/>
            <w:gridSpan w:val="3"/>
            <w:tcBorders>
              <w:top w:val="single" w:sz="18" w:space="0" w:color="00C1C7" w:themeColor="accent2"/>
              <w:bottom w:val="single" w:sz="18" w:space="0" w:color="00C1C7" w:themeColor="accent2"/>
            </w:tcBorders>
            <w:shd w:val="clear" w:color="auto" w:fill="ECFBFB" w:themeFill="accent4"/>
            <w:vAlign w:val="center"/>
          </w:tcPr>
          <w:p w14:paraId="0D65E01E" w14:textId="2E79961F" w:rsidR="00FA38A4" w:rsidRPr="003A798E" w:rsidRDefault="00FA38A4" w:rsidP="00A24793">
            <w:pPr>
              <w:pStyle w:val="Heading3"/>
              <w:rPr>
                <w:rStyle w:val="Emphasis"/>
              </w:rPr>
            </w:pPr>
            <w:r>
              <w:rPr>
                <w:rStyle w:val="Emphasis"/>
              </w:rPr>
              <w:t>SUB-HEADING HERE TO DENOTE ANY EXAMPLES IN THE LITERATURE OF THIS LINK – EITHER FOR THIS SCENARIO OR OF ONE OF A SIMILAR NATURE</w:t>
            </w:r>
          </w:p>
          <w:p w14:paraId="1853A39C" w14:textId="77777777" w:rsidR="00FA38A4" w:rsidRPr="003A798E" w:rsidRDefault="00FA38A4" w:rsidP="00A24793">
            <w:pPr>
              <w:pStyle w:val="Text"/>
            </w:pPr>
          </w:p>
          <w:p w14:paraId="5BB860CD" w14:textId="374884B3" w:rsidR="00FA38A4" w:rsidRPr="00C6500E" w:rsidRDefault="00C6500E" w:rsidP="00C6500E">
            <w:pPr>
              <w:spacing w:after="160" w:line="480" w:lineRule="auto"/>
              <w:ind w:left="284" w:firstLine="720"/>
              <w:rPr>
                <w:rFonts w:ascii="Arial" w:eastAsia="Aptos" w:hAnsi="Arial" w:cs="Arial"/>
                <w:kern w:val="2"/>
                <w:lang w:val="en-GB"/>
                <w14:ligatures w14:val="standardContextual"/>
              </w:rPr>
            </w:pPr>
            <w:r w:rsidRPr="00C6500E">
              <w:rPr>
                <w:rFonts w:ascii="Arial" w:eastAsia="Aptos" w:hAnsi="Arial" w:cs="Arial"/>
                <w:iCs/>
                <w:kern w:val="2"/>
                <w:szCs w:val="22"/>
                <w:lang w:val="en-GB"/>
                <w14:ligatures w14:val="standardContextual"/>
              </w:rPr>
              <w:t>There are several examples of the link between dual-process theory and the current case study in the literature. Indeed</w:t>
            </w:r>
            <w:r w:rsidRPr="00C6500E">
              <w:rPr>
                <w:rFonts w:ascii="Arial" w:eastAsia="Aptos" w:hAnsi="Arial" w:cs="Arial"/>
                <w:kern w:val="2"/>
                <w:lang w:val="en-GB"/>
                <w14:ligatures w14:val="standardContextual"/>
              </w:rPr>
              <w:t xml:space="preserve">, Tay et al. (2016) found that the medical students in their study tended to rely on intuitive thinking over analytical thinking when solving mathematical problems, resulting in incorrect answers. This finding has potential implications for whether medical professionals also make mistakes when making clinical decisions. Sladek et al. (2008) conducted a study examining which thinking styles are associated with hand hygiene compliance in healthcare. The study found a positive correlation between automatic thinking and hand hygiene compliance, whilst no significant relationship was identified between </w:t>
            </w:r>
            <w:r w:rsidR="0056661E">
              <w:rPr>
                <w:rFonts w:ascii="Arial" w:eastAsia="Aptos" w:hAnsi="Arial" w:cs="Arial"/>
                <w:kern w:val="2"/>
                <w:lang w:val="en-GB"/>
                <w14:ligatures w14:val="standardContextual"/>
              </w:rPr>
              <w:t>analytical</w:t>
            </w:r>
            <w:r w:rsidRPr="00C6500E">
              <w:rPr>
                <w:rFonts w:ascii="Arial" w:eastAsia="Aptos" w:hAnsi="Arial" w:cs="Arial"/>
                <w:kern w:val="2"/>
                <w:lang w:val="en-GB"/>
                <w14:ligatures w14:val="standardContextual"/>
              </w:rPr>
              <w:t xml:space="preserve"> thinking and hand hygiene. This indicates that hand hygiene is driven by ingrained habits and environmental cues rather than a conscious, rational decision to wash hands. The findings of this study are supported by the fact that nurses have reported high workload, understaffing and difficulty accessing facilities to be some of the main reasons for under washing their hands (Mutshatshi &amp; Rasweswe, 2023; Sadule-Rios &amp; Aguilera, 2017). Increased mortality rate has also been positively associated with nurse understaffing, further indicating a lack of hand hygiene under these circumstances (Cho et al., 2015). This indicates that a lack of time is one of the main problems preventing handwashing adherence, which supports the dual-process theory as it associates time pressure with switching to the intuitive thinking style (</w:t>
            </w:r>
            <w:r w:rsidRPr="00C6500E">
              <w:rPr>
                <w:rFonts w:ascii="Arial" w:eastAsia="Aptos" w:hAnsi="Arial" w:cs="Arial"/>
                <w:kern w:val="2"/>
                <w14:ligatures w14:val="standardContextual"/>
              </w:rPr>
              <w:t xml:space="preserve">Zucchelli et al., 2025). </w:t>
            </w:r>
            <w:r w:rsidRPr="00C6500E">
              <w:rPr>
                <w:rFonts w:ascii="Arial" w:eastAsia="Aptos" w:hAnsi="Arial" w:cs="Arial"/>
                <w:kern w:val="2"/>
                <w:lang w:val="en-GB"/>
                <w14:ligatures w14:val="standardContextual"/>
              </w:rPr>
              <w:t>Redelmeier and Shafir (2015) have stated that because handwashing is so simple it is not allocated sufficient time and effort. Thus, treating patients is prioritised by emotional-driven biases</w:t>
            </w:r>
            <w:r w:rsidR="00D65442">
              <w:rPr>
                <w:rFonts w:ascii="Arial" w:eastAsia="Aptos" w:hAnsi="Arial" w:cs="Arial"/>
                <w:kern w:val="2"/>
                <w:lang w:val="en-GB"/>
                <w14:ligatures w14:val="standardContextual"/>
              </w:rPr>
              <w:t xml:space="preserve"> over hand hygiene</w:t>
            </w:r>
            <w:r w:rsidRPr="00C6500E">
              <w:rPr>
                <w:rFonts w:ascii="Arial" w:eastAsia="Aptos" w:hAnsi="Arial" w:cs="Arial"/>
                <w:kern w:val="2"/>
                <w:lang w:val="en-GB"/>
                <w14:ligatures w14:val="standardContextual"/>
              </w:rPr>
              <w:t xml:space="preserve"> as the</w:t>
            </w:r>
            <w:r w:rsidR="007C7927">
              <w:rPr>
                <w:rFonts w:ascii="Arial" w:eastAsia="Aptos" w:hAnsi="Arial" w:cs="Arial"/>
                <w:kern w:val="2"/>
                <w:lang w:val="en-GB"/>
                <w14:ligatures w14:val="standardContextual"/>
              </w:rPr>
              <w:t xml:space="preserve"> </w:t>
            </w:r>
            <w:r w:rsidR="00D65442">
              <w:rPr>
                <w:rFonts w:ascii="Arial" w:eastAsia="Aptos" w:hAnsi="Arial" w:cs="Arial"/>
                <w:kern w:val="2"/>
                <w:lang w:val="en-GB"/>
                <w14:ligatures w14:val="standardContextual"/>
              </w:rPr>
              <w:t>biases</w:t>
            </w:r>
            <w:r w:rsidRPr="00C6500E">
              <w:rPr>
                <w:rFonts w:ascii="Arial" w:eastAsia="Aptos" w:hAnsi="Arial" w:cs="Arial"/>
                <w:kern w:val="2"/>
                <w:lang w:val="en-GB"/>
                <w14:ligatures w14:val="standardContextual"/>
              </w:rPr>
              <w:t xml:space="preserve"> make immediate tasks appear more important.</w:t>
            </w:r>
            <w:r w:rsidR="003E1F96">
              <w:rPr>
                <w:rFonts w:ascii="Arial" w:eastAsia="Aptos" w:hAnsi="Arial" w:cs="Arial"/>
                <w:kern w:val="2"/>
                <w:lang w:val="en-GB"/>
                <w14:ligatures w14:val="standardContextual"/>
              </w:rPr>
              <w:t xml:space="preserve"> This theoretical understanding of why hand hygiene fails can be used to </w:t>
            </w:r>
            <w:r w:rsidR="00C53BEA">
              <w:rPr>
                <w:rFonts w:ascii="Arial" w:eastAsia="Aptos" w:hAnsi="Arial" w:cs="Arial"/>
                <w:kern w:val="2"/>
                <w:lang w:val="en-GB"/>
                <w14:ligatures w14:val="standardContextual"/>
              </w:rPr>
              <w:t xml:space="preserve">suggest interventions </w:t>
            </w:r>
            <w:r w:rsidR="00B42594">
              <w:rPr>
                <w:rFonts w:ascii="Arial" w:eastAsia="Aptos" w:hAnsi="Arial" w:cs="Arial"/>
                <w:kern w:val="2"/>
                <w:lang w:val="en-GB"/>
                <w14:ligatures w14:val="standardContextual"/>
              </w:rPr>
              <w:t>for the district nurses in the case study</w:t>
            </w:r>
            <w:r w:rsidR="009414F5">
              <w:rPr>
                <w:rFonts w:ascii="Arial" w:eastAsia="Aptos" w:hAnsi="Arial" w:cs="Arial"/>
                <w:kern w:val="2"/>
                <w:lang w:val="en-GB"/>
                <w14:ligatures w14:val="standardContextual"/>
              </w:rPr>
              <w:t>.</w:t>
            </w:r>
          </w:p>
        </w:tc>
      </w:tr>
      <w:tr w:rsidR="00FA38A4" w:rsidRPr="003A798E" w14:paraId="13661A8A" w14:textId="77777777" w:rsidTr="00FA38A4">
        <w:tblPrEx>
          <w:shd w:val="clear" w:color="auto" w:fill="EDF0F4" w:themeFill="accent3"/>
          <w:tblCellMar>
            <w:left w:w="0" w:type="dxa"/>
            <w:right w:w="0" w:type="dxa"/>
          </w:tblCellMar>
        </w:tblPrEx>
        <w:trPr>
          <w:gridBefore w:val="1"/>
          <w:gridAfter w:val="1"/>
          <w:wBefore w:w="1701" w:type="dxa"/>
          <w:wAfter w:w="142" w:type="dxa"/>
          <w:trHeight w:val="4599"/>
        </w:trPr>
        <w:tc>
          <w:tcPr>
            <w:tcW w:w="10773" w:type="dxa"/>
            <w:gridSpan w:val="2"/>
            <w:shd w:val="clear" w:color="auto" w:fill="EDF0F4" w:themeFill="accent3"/>
          </w:tcPr>
          <w:p w14:paraId="385A66C3" w14:textId="76A5B813" w:rsidR="00FA38A4" w:rsidRPr="003A798E" w:rsidRDefault="00FA38A4" w:rsidP="000751D2">
            <w:pPr>
              <w:pStyle w:val="Heading3"/>
            </w:pPr>
            <w:r>
              <w:lastRenderedPageBreak/>
              <w:t xml:space="preserve">SUGGESTIONS FOR NEW PROCEDURES BASED ON THE THEORY </w:t>
            </w:r>
          </w:p>
          <w:p w14:paraId="7F25076D" w14:textId="77777777" w:rsidR="00FA38A4" w:rsidRPr="003A798E" w:rsidRDefault="00FA38A4" w:rsidP="000751D2">
            <w:pPr>
              <w:pStyle w:val="Heading4"/>
            </w:pPr>
          </w:p>
          <w:p w14:paraId="37573423" w14:textId="5772772A" w:rsidR="00CF3CDC" w:rsidRPr="00CF3CDC" w:rsidRDefault="00CF3CDC" w:rsidP="008E1EC6">
            <w:pPr>
              <w:spacing w:after="160" w:line="480" w:lineRule="auto"/>
              <w:ind w:left="284" w:firstLine="720"/>
              <w:rPr>
                <w:rFonts w:ascii="Arial" w:eastAsia="Aptos" w:hAnsi="Arial" w:cs="Arial"/>
                <w:kern w:val="2"/>
                <w:lang w:val="en-GB"/>
                <w14:ligatures w14:val="standardContextual"/>
              </w:rPr>
            </w:pPr>
            <w:r w:rsidRPr="00CF3CDC">
              <w:rPr>
                <w:rFonts w:ascii="Arial" w:eastAsia="Aptos" w:hAnsi="Arial" w:cs="Arial"/>
                <w:kern w:val="2"/>
                <w:lang w:val="en-GB"/>
                <w14:ligatures w14:val="standardContextual"/>
              </w:rPr>
              <w:t xml:space="preserve">Based on dual-processing theory, it is reasonable to conclude that going beyond just educational strategies is needed to prevent the nurses from failing to adhere to the handwashing policy again. This is because the nurses’ understanding of why they need to wash their hands only addresses their reasoning but ignores </w:t>
            </w:r>
            <w:r w:rsidR="000876D9">
              <w:rPr>
                <w:rFonts w:ascii="Arial" w:eastAsia="Aptos" w:hAnsi="Arial" w:cs="Arial"/>
                <w:kern w:val="2"/>
                <w:lang w:val="en-GB"/>
                <w14:ligatures w14:val="standardContextual"/>
              </w:rPr>
              <w:t>cognitive</w:t>
            </w:r>
            <w:r w:rsidRPr="00CF3CDC">
              <w:rPr>
                <w:rFonts w:ascii="Arial" w:eastAsia="Aptos" w:hAnsi="Arial" w:cs="Arial"/>
                <w:kern w:val="2"/>
                <w:lang w:val="en-GB"/>
                <w14:ligatures w14:val="standardContextual"/>
              </w:rPr>
              <w:t xml:space="preserve"> biases. Procedures that address the nurses’ intuition should be implemented if the aim is to change the nurses hand hygiene behaviours. The most effective way to do that is to reduce the mental effort required for a nurse to</w:t>
            </w:r>
            <w:r w:rsidR="001C63EB">
              <w:rPr>
                <w:rFonts w:ascii="Arial" w:eastAsia="Aptos" w:hAnsi="Arial" w:cs="Arial"/>
                <w:kern w:val="2"/>
                <w:lang w:val="en-GB"/>
                <w14:ligatures w14:val="standardContextual"/>
              </w:rPr>
              <w:t xml:space="preserve"> properly</w:t>
            </w:r>
            <w:r w:rsidRPr="00CF3CDC">
              <w:rPr>
                <w:rFonts w:ascii="Arial" w:eastAsia="Aptos" w:hAnsi="Arial" w:cs="Arial"/>
                <w:kern w:val="2"/>
                <w:lang w:val="en-GB"/>
                <w14:ligatures w14:val="standardContextual"/>
              </w:rPr>
              <w:t xml:space="preserve"> wash their hands. For example, this may be achieved through placing environmental cues within the nurses’ work environment to gently remind them to wash their hands. For example, Iversen et al. (2023) examined a hand hygiene intervention called nudging which implements environmental cues. The cue implemented in the study was a built in light symbol on the hospital alcohol-based hand rub dispensers: a blue light would activate when professionals were near the dispenser, which would then turn green once the dispenser had been used. This created a habit loop of reminder and feedback. Participant’s hand hygiene improved significantly with this intervention. Moreover, Elia et al. (2022) implemented cues by placing antiseptic sanitizer dispensers in easily accessible locations, such as at the end of patient’s beds, with a brightly coloured visual reminder next to them. Posters were displayed around the work environment. Messages with benefits of handwashing rather than harm of not handwashing was more effective. Overall, these cues were associated with an improvement in hand hygiene compliance</w:t>
            </w:r>
            <w:r w:rsidR="008E1EC6">
              <w:rPr>
                <w:rFonts w:ascii="Arial" w:eastAsia="Aptos" w:hAnsi="Arial" w:cs="Arial"/>
                <w:kern w:val="2"/>
                <w:lang w:val="en-GB"/>
                <w14:ligatures w14:val="standardContextual"/>
              </w:rPr>
              <w:t xml:space="preserve">. </w:t>
            </w:r>
            <w:r w:rsidR="00DE51E3">
              <w:rPr>
                <w:rFonts w:ascii="Arial" w:eastAsia="Aptos" w:hAnsi="Arial" w:cs="Arial"/>
                <w:kern w:val="2"/>
                <w:lang w:val="en-GB"/>
                <w14:ligatures w14:val="standardContextual"/>
              </w:rPr>
              <w:t xml:space="preserve">For the district nurses </w:t>
            </w:r>
            <w:r w:rsidR="008E1EC6">
              <w:rPr>
                <w:rFonts w:ascii="Arial" w:eastAsia="Aptos" w:hAnsi="Arial" w:cs="Arial"/>
                <w:kern w:val="2"/>
                <w:lang w:val="en-GB"/>
                <w14:ligatures w14:val="standardContextual"/>
              </w:rPr>
              <w:t xml:space="preserve">under </w:t>
            </w:r>
            <w:r w:rsidR="00DE51E3" w:rsidRPr="00DE51E3">
              <w:rPr>
                <w:rFonts w:ascii="Arial" w:eastAsia="Aptos" w:hAnsi="Arial" w:cs="Arial"/>
                <w:bCs/>
                <w:kern w:val="2"/>
                <w14:ligatures w14:val="standardContextual"/>
              </w:rPr>
              <w:t>Glynafonshire Health Board</w:t>
            </w:r>
            <w:r w:rsidR="00DE51E3">
              <w:rPr>
                <w:rFonts w:ascii="Arial" w:eastAsia="Aptos" w:hAnsi="Arial" w:cs="Arial"/>
                <w:bCs/>
                <w:kern w:val="2"/>
                <w14:ligatures w14:val="standardContextual"/>
              </w:rPr>
              <w:t xml:space="preserve">, </w:t>
            </w:r>
            <w:r w:rsidR="004B4381">
              <w:rPr>
                <w:rFonts w:ascii="Arial" w:eastAsia="Aptos" w:hAnsi="Arial" w:cs="Arial"/>
                <w:bCs/>
                <w:kern w:val="2"/>
                <w14:ligatures w14:val="standardContextual"/>
              </w:rPr>
              <w:t xml:space="preserve">they could be given </w:t>
            </w:r>
            <w:r w:rsidR="00547A2E">
              <w:rPr>
                <w:rFonts w:ascii="Arial" w:eastAsia="Aptos" w:hAnsi="Arial" w:cs="Arial"/>
                <w:bCs/>
                <w:kern w:val="2"/>
                <w14:ligatures w14:val="standardContextual"/>
              </w:rPr>
              <w:t xml:space="preserve">smart badges to </w:t>
            </w:r>
            <w:r w:rsidR="00C758F6">
              <w:rPr>
                <w:rFonts w:ascii="Arial" w:eastAsia="Aptos" w:hAnsi="Arial" w:cs="Arial"/>
                <w:bCs/>
                <w:kern w:val="2"/>
                <w14:ligatures w14:val="standardContextual"/>
              </w:rPr>
              <w:t>alert them</w:t>
            </w:r>
            <w:r w:rsidR="008E1EC6">
              <w:rPr>
                <w:rFonts w:ascii="Arial" w:eastAsia="Aptos" w:hAnsi="Arial" w:cs="Arial"/>
                <w:bCs/>
                <w:kern w:val="2"/>
                <w14:ligatures w14:val="standardContextual"/>
              </w:rPr>
              <w:t xml:space="preserve"> of</w:t>
            </w:r>
            <w:r w:rsidR="00C758F6">
              <w:rPr>
                <w:rFonts w:ascii="Arial" w:eastAsia="Aptos" w:hAnsi="Arial" w:cs="Arial"/>
                <w:bCs/>
                <w:kern w:val="2"/>
                <w14:ligatures w14:val="standardContextual"/>
              </w:rPr>
              <w:t xml:space="preserve"> when</w:t>
            </w:r>
            <w:r w:rsidR="00547A2E">
              <w:rPr>
                <w:rFonts w:ascii="Arial" w:eastAsia="Aptos" w:hAnsi="Arial" w:cs="Arial"/>
                <w:bCs/>
                <w:kern w:val="2"/>
                <w14:ligatures w14:val="standardContextual"/>
              </w:rPr>
              <w:t xml:space="preserve"> </w:t>
            </w:r>
            <w:r w:rsidR="00C758F6">
              <w:rPr>
                <w:rFonts w:ascii="Arial" w:eastAsia="Aptos" w:hAnsi="Arial" w:cs="Arial"/>
                <w:bCs/>
                <w:kern w:val="2"/>
                <w14:ligatures w14:val="standardContextual"/>
              </w:rPr>
              <w:t>they need to</w:t>
            </w:r>
            <w:r w:rsidR="00547A2E">
              <w:rPr>
                <w:rFonts w:ascii="Arial" w:eastAsia="Aptos" w:hAnsi="Arial" w:cs="Arial"/>
                <w:bCs/>
                <w:kern w:val="2"/>
                <w14:ligatures w14:val="standardContextual"/>
              </w:rPr>
              <w:t xml:space="preserve"> </w:t>
            </w:r>
            <w:r w:rsidR="00D34D3F">
              <w:rPr>
                <w:rFonts w:ascii="Arial" w:eastAsia="Aptos" w:hAnsi="Arial" w:cs="Arial"/>
                <w:bCs/>
                <w:kern w:val="2"/>
                <w14:ligatures w14:val="standardContextual"/>
              </w:rPr>
              <w:t>practice hand hygiene</w:t>
            </w:r>
            <w:r w:rsidR="00572136">
              <w:rPr>
                <w:rFonts w:ascii="Arial" w:eastAsia="Aptos" w:hAnsi="Arial" w:cs="Arial"/>
                <w:bCs/>
                <w:kern w:val="2"/>
                <w14:ligatures w14:val="standardContextual"/>
              </w:rPr>
              <w:t xml:space="preserve"> </w:t>
            </w:r>
            <w:r w:rsidR="00C94AE5">
              <w:rPr>
                <w:rFonts w:ascii="Arial" w:eastAsia="Aptos" w:hAnsi="Arial" w:cs="Arial"/>
                <w:bCs/>
                <w:kern w:val="2"/>
                <w14:ligatures w14:val="standardContextual"/>
              </w:rPr>
              <w:t>before and after</w:t>
            </w:r>
            <w:r w:rsidR="001C1C2B">
              <w:rPr>
                <w:rFonts w:ascii="Arial" w:eastAsia="Aptos" w:hAnsi="Arial" w:cs="Arial"/>
                <w:bCs/>
                <w:kern w:val="2"/>
                <w14:ligatures w14:val="standardContextual"/>
              </w:rPr>
              <w:t xml:space="preserve"> visiting</w:t>
            </w:r>
            <w:r w:rsidR="00572136">
              <w:rPr>
                <w:rFonts w:ascii="Arial" w:eastAsia="Aptos" w:hAnsi="Arial" w:cs="Arial"/>
                <w:bCs/>
                <w:kern w:val="2"/>
                <w14:ligatures w14:val="standardContextual"/>
              </w:rPr>
              <w:t xml:space="preserve"> the</w:t>
            </w:r>
            <w:r w:rsidR="001C1C2B">
              <w:rPr>
                <w:rFonts w:ascii="Arial" w:eastAsia="Aptos" w:hAnsi="Arial" w:cs="Arial"/>
                <w:bCs/>
                <w:kern w:val="2"/>
                <w14:ligatures w14:val="standardContextual"/>
              </w:rPr>
              <w:t xml:space="preserve"> patients’ homes</w:t>
            </w:r>
            <w:r w:rsidR="00C94AE5">
              <w:rPr>
                <w:rFonts w:ascii="Arial" w:eastAsia="Aptos" w:hAnsi="Arial" w:cs="Arial"/>
                <w:bCs/>
                <w:kern w:val="2"/>
                <w14:ligatures w14:val="standardContextual"/>
              </w:rPr>
              <w:t xml:space="preserve"> </w:t>
            </w:r>
            <w:r w:rsidR="001D3AB6">
              <w:rPr>
                <w:rFonts w:ascii="Arial" w:eastAsia="Aptos" w:hAnsi="Arial" w:cs="Arial"/>
                <w:bCs/>
                <w:kern w:val="2"/>
                <w14:ligatures w14:val="standardContextual"/>
              </w:rPr>
              <w:t>(</w:t>
            </w:r>
            <w:r w:rsidR="001D3AB6" w:rsidRPr="001D3AB6">
              <w:rPr>
                <w:rFonts w:ascii="Arial" w:eastAsia="Aptos" w:hAnsi="Arial" w:cs="Arial"/>
                <w:bCs/>
                <w:kern w:val="2"/>
                <w:lang w:val="en-GB"/>
                <w14:ligatures w14:val="standardContextual"/>
              </w:rPr>
              <w:t>Patel</w:t>
            </w:r>
            <w:r w:rsidR="001D3AB6">
              <w:rPr>
                <w:rFonts w:ascii="Arial" w:eastAsia="Aptos" w:hAnsi="Arial" w:cs="Arial"/>
                <w:bCs/>
                <w:kern w:val="2"/>
                <w:lang w:val="en-GB"/>
                <w14:ligatures w14:val="standardContextual"/>
              </w:rPr>
              <w:t xml:space="preserve"> et al., </w:t>
            </w:r>
            <w:r w:rsidR="001D3AB6" w:rsidRPr="001D3AB6">
              <w:rPr>
                <w:rFonts w:ascii="Arial" w:eastAsia="Aptos" w:hAnsi="Arial" w:cs="Arial"/>
                <w:bCs/>
                <w:kern w:val="2"/>
                <w:lang w:val="en-GB"/>
                <w14:ligatures w14:val="standardContextual"/>
              </w:rPr>
              <w:t>2025).</w:t>
            </w:r>
            <w:r w:rsidR="001D3AB6">
              <w:rPr>
                <w:rFonts w:ascii="Arial" w:eastAsia="Aptos" w:hAnsi="Arial" w:cs="Arial"/>
                <w:bCs/>
                <w:kern w:val="2"/>
                <w:lang w:val="en-GB"/>
                <w14:ligatures w14:val="standardContextual"/>
              </w:rPr>
              <w:t xml:space="preserve"> These</w:t>
            </w:r>
            <w:r w:rsidR="00CE1C08">
              <w:rPr>
                <w:rFonts w:ascii="Arial" w:eastAsia="Aptos" w:hAnsi="Arial" w:cs="Arial"/>
                <w:bCs/>
                <w:kern w:val="2"/>
                <w:lang w:val="en-GB"/>
                <w14:ligatures w14:val="standardContextual"/>
              </w:rPr>
              <w:t xml:space="preserve"> badges</w:t>
            </w:r>
            <w:r w:rsidR="001D3AB6">
              <w:rPr>
                <w:rFonts w:ascii="Arial" w:eastAsia="Aptos" w:hAnsi="Arial" w:cs="Arial"/>
                <w:bCs/>
                <w:kern w:val="2"/>
                <w:lang w:val="en-GB"/>
                <w14:ligatures w14:val="standardContextual"/>
              </w:rPr>
              <w:t xml:space="preserve"> </w:t>
            </w:r>
            <w:r w:rsidR="005F1E07">
              <w:rPr>
                <w:rFonts w:ascii="Arial" w:eastAsia="Aptos" w:hAnsi="Arial" w:cs="Arial"/>
                <w:bCs/>
                <w:kern w:val="2"/>
                <w:lang w:val="en-GB"/>
                <w14:ligatures w14:val="standardContextual"/>
              </w:rPr>
              <w:t>c</w:t>
            </w:r>
            <w:r w:rsidR="009A259D">
              <w:rPr>
                <w:rFonts w:ascii="Arial" w:eastAsia="Aptos" w:hAnsi="Arial" w:cs="Arial"/>
                <w:bCs/>
                <w:kern w:val="2"/>
                <w:lang w:val="en-GB"/>
                <w14:ligatures w14:val="standardContextual"/>
              </w:rPr>
              <w:t>ould</w:t>
            </w:r>
            <w:r w:rsidR="001D3AB6">
              <w:rPr>
                <w:rFonts w:ascii="Arial" w:eastAsia="Aptos" w:hAnsi="Arial" w:cs="Arial"/>
                <w:bCs/>
                <w:kern w:val="2"/>
                <w:lang w:val="en-GB"/>
                <w14:ligatures w14:val="standardContextual"/>
              </w:rPr>
              <w:t xml:space="preserve"> provide feedback on </w:t>
            </w:r>
            <w:r w:rsidR="00DA61E0">
              <w:rPr>
                <w:rFonts w:ascii="Arial" w:eastAsia="Aptos" w:hAnsi="Arial" w:cs="Arial"/>
                <w:bCs/>
                <w:kern w:val="2"/>
                <w:lang w:val="en-GB"/>
                <w14:ligatures w14:val="standardContextual"/>
              </w:rPr>
              <w:t>their</w:t>
            </w:r>
            <w:r w:rsidR="009A259D">
              <w:rPr>
                <w:rFonts w:ascii="Arial" w:eastAsia="Aptos" w:hAnsi="Arial" w:cs="Arial"/>
                <w:bCs/>
                <w:kern w:val="2"/>
                <w:lang w:val="en-GB"/>
                <w14:ligatures w14:val="standardContextual"/>
              </w:rPr>
              <w:t xml:space="preserve"> handwashing</w:t>
            </w:r>
            <w:r w:rsidR="00DA61E0">
              <w:rPr>
                <w:rFonts w:ascii="Arial" w:eastAsia="Aptos" w:hAnsi="Arial" w:cs="Arial"/>
                <w:bCs/>
                <w:kern w:val="2"/>
                <w:lang w:val="en-GB"/>
                <w14:ligatures w14:val="standardContextual"/>
              </w:rPr>
              <w:t xml:space="preserve"> </w:t>
            </w:r>
            <w:r w:rsidR="001D3AB6">
              <w:rPr>
                <w:rFonts w:ascii="Arial" w:eastAsia="Aptos" w:hAnsi="Arial" w:cs="Arial"/>
                <w:bCs/>
                <w:kern w:val="2"/>
                <w:lang w:val="en-GB"/>
                <w14:ligatures w14:val="standardContextual"/>
              </w:rPr>
              <w:t>performance.</w:t>
            </w:r>
            <w:r w:rsidR="005F1E07">
              <w:rPr>
                <w:rFonts w:ascii="Arial" w:eastAsia="Aptos" w:hAnsi="Arial" w:cs="Arial"/>
                <w:bCs/>
                <w:kern w:val="2"/>
                <w:lang w:val="en-GB"/>
                <w14:ligatures w14:val="standardContextual"/>
              </w:rPr>
              <w:t xml:space="preserve"> </w:t>
            </w:r>
            <w:r w:rsidR="00295487">
              <w:rPr>
                <w:rFonts w:ascii="Arial" w:eastAsia="Aptos" w:hAnsi="Arial" w:cs="Arial"/>
                <w:bCs/>
                <w:kern w:val="2"/>
                <w:lang w:val="en-GB"/>
                <w14:ligatures w14:val="standardContextual"/>
              </w:rPr>
              <w:t>Nurses should also be provided with portable</w:t>
            </w:r>
            <w:r w:rsidR="009553B7">
              <w:rPr>
                <w:rFonts w:ascii="Arial" w:eastAsia="Aptos" w:hAnsi="Arial" w:cs="Arial"/>
                <w:bCs/>
                <w:kern w:val="2"/>
                <w:lang w:val="en-GB"/>
                <w14:ligatures w14:val="standardContextual"/>
              </w:rPr>
              <w:t>,</w:t>
            </w:r>
            <w:r w:rsidR="00295487">
              <w:rPr>
                <w:rFonts w:ascii="Arial" w:eastAsia="Aptos" w:hAnsi="Arial" w:cs="Arial"/>
                <w:bCs/>
                <w:kern w:val="2"/>
                <w:lang w:val="en-GB"/>
                <w14:ligatures w14:val="standardContextual"/>
              </w:rPr>
              <w:t xml:space="preserve"> alcohol-based hand rub</w:t>
            </w:r>
            <w:r w:rsidR="003D7DF7">
              <w:rPr>
                <w:rFonts w:ascii="Arial" w:eastAsia="Aptos" w:hAnsi="Arial" w:cs="Arial"/>
                <w:bCs/>
                <w:kern w:val="2"/>
                <w:lang w:val="en-GB"/>
                <w14:ligatures w14:val="standardContextual"/>
              </w:rPr>
              <w:t xml:space="preserve"> </w:t>
            </w:r>
            <w:r w:rsidR="00F37214">
              <w:rPr>
                <w:rFonts w:ascii="Arial" w:eastAsia="Aptos" w:hAnsi="Arial" w:cs="Arial"/>
                <w:bCs/>
                <w:kern w:val="2"/>
                <w:lang w:val="en-GB"/>
                <w14:ligatures w14:val="standardContextual"/>
              </w:rPr>
              <w:t xml:space="preserve">that </w:t>
            </w:r>
            <w:r w:rsidR="003D7DF7">
              <w:rPr>
                <w:rFonts w:ascii="Arial" w:eastAsia="Aptos" w:hAnsi="Arial" w:cs="Arial"/>
                <w:bCs/>
                <w:kern w:val="2"/>
                <w:lang w:val="en-GB"/>
                <w14:ligatures w14:val="standardContextual"/>
              </w:rPr>
              <w:t>is</w:t>
            </w:r>
            <w:r w:rsidR="00F37214">
              <w:rPr>
                <w:rFonts w:ascii="Arial" w:eastAsia="Aptos" w:hAnsi="Arial" w:cs="Arial"/>
                <w:bCs/>
                <w:kern w:val="2"/>
                <w:lang w:val="en-GB"/>
                <w14:ligatures w14:val="standardContextual"/>
              </w:rPr>
              <w:t xml:space="preserve"> regularly replenished so they always ha</w:t>
            </w:r>
            <w:r w:rsidR="003766F4">
              <w:rPr>
                <w:rFonts w:ascii="Arial" w:eastAsia="Aptos" w:hAnsi="Arial" w:cs="Arial"/>
                <w:bCs/>
                <w:kern w:val="2"/>
                <w:lang w:val="en-GB"/>
                <w14:ligatures w14:val="standardContextual"/>
              </w:rPr>
              <w:t xml:space="preserve">ve </w:t>
            </w:r>
            <w:r w:rsidR="003766F4">
              <w:rPr>
                <w:rFonts w:ascii="Arial" w:eastAsia="Aptos" w:hAnsi="Arial" w:cs="Arial"/>
                <w:bCs/>
                <w:kern w:val="2"/>
                <w:lang w:val="en-GB"/>
                <w14:ligatures w14:val="standardContextual"/>
              </w:rPr>
              <w:lastRenderedPageBreak/>
              <w:t xml:space="preserve">access to </w:t>
            </w:r>
            <w:r w:rsidR="00602A25">
              <w:rPr>
                <w:rFonts w:ascii="Arial" w:eastAsia="Aptos" w:hAnsi="Arial" w:cs="Arial"/>
                <w:bCs/>
                <w:kern w:val="2"/>
                <w:lang w:val="en-GB"/>
                <w14:ligatures w14:val="standardContextual"/>
              </w:rPr>
              <w:t>a hand hygiene product</w:t>
            </w:r>
            <w:r w:rsidR="003D7DF7">
              <w:rPr>
                <w:rFonts w:ascii="Arial" w:eastAsia="Aptos" w:hAnsi="Arial" w:cs="Arial"/>
                <w:bCs/>
                <w:kern w:val="2"/>
                <w:lang w:val="en-GB"/>
                <w14:ligatures w14:val="standardContextual"/>
              </w:rPr>
              <w:t>. They could also</w:t>
            </w:r>
            <w:r w:rsidR="00F4087F">
              <w:rPr>
                <w:rFonts w:ascii="Arial" w:eastAsia="Aptos" w:hAnsi="Arial" w:cs="Arial"/>
                <w:bCs/>
                <w:kern w:val="2"/>
                <w:lang w:val="en-GB"/>
                <w14:ligatures w14:val="standardContextual"/>
              </w:rPr>
              <w:t xml:space="preserve"> </w:t>
            </w:r>
            <w:r w:rsidR="00266099">
              <w:rPr>
                <w:rFonts w:ascii="Arial" w:eastAsia="Aptos" w:hAnsi="Arial" w:cs="Arial"/>
                <w:bCs/>
                <w:kern w:val="2"/>
                <w:lang w:val="en-GB"/>
                <w14:ligatures w14:val="standardContextual"/>
              </w:rPr>
              <w:t xml:space="preserve">have </w:t>
            </w:r>
            <w:r w:rsidR="00F4087F">
              <w:rPr>
                <w:rFonts w:ascii="Arial" w:eastAsia="Aptos" w:hAnsi="Arial" w:cs="Arial"/>
                <w:bCs/>
                <w:kern w:val="2"/>
                <w:lang w:val="en-GB"/>
                <w14:ligatures w14:val="standardContextual"/>
              </w:rPr>
              <w:t xml:space="preserve">stickers </w:t>
            </w:r>
            <w:r w:rsidR="009A259D">
              <w:rPr>
                <w:rFonts w:ascii="Arial" w:eastAsia="Aptos" w:hAnsi="Arial" w:cs="Arial"/>
                <w:bCs/>
                <w:kern w:val="2"/>
                <w:lang w:val="en-GB"/>
                <w14:ligatures w14:val="standardContextual"/>
              </w:rPr>
              <w:t>on</w:t>
            </w:r>
            <w:r w:rsidR="00F4087F">
              <w:rPr>
                <w:rFonts w:ascii="Arial" w:eastAsia="Aptos" w:hAnsi="Arial" w:cs="Arial"/>
                <w:bCs/>
                <w:kern w:val="2"/>
                <w:lang w:val="en-GB"/>
                <w14:ligatures w14:val="standardContextual"/>
              </w:rPr>
              <w:t xml:space="preserve"> their nursing bags as visual reminder</w:t>
            </w:r>
            <w:r w:rsidR="003D7DF7">
              <w:rPr>
                <w:rFonts w:ascii="Arial" w:eastAsia="Aptos" w:hAnsi="Arial" w:cs="Arial"/>
                <w:bCs/>
                <w:kern w:val="2"/>
                <w:lang w:val="en-GB"/>
                <w14:ligatures w14:val="standardContextual"/>
              </w:rPr>
              <w:t xml:space="preserve"> to clean their hands.</w:t>
            </w:r>
          </w:p>
          <w:p w14:paraId="303C466A" w14:textId="45F2118B" w:rsidR="00FA38A4" w:rsidRPr="00CF3CDC" w:rsidRDefault="00CF3CDC" w:rsidP="00E14566">
            <w:pPr>
              <w:spacing w:after="160" w:line="480" w:lineRule="auto"/>
              <w:ind w:left="284" w:firstLine="720"/>
              <w:rPr>
                <w:rFonts w:ascii="Arial" w:eastAsia="Aptos" w:hAnsi="Arial" w:cs="Arial"/>
                <w:kern w:val="2"/>
                <w:lang w:val="en-GB"/>
                <w14:ligatures w14:val="standardContextual"/>
              </w:rPr>
            </w:pPr>
            <w:r w:rsidRPr="00CF3CDC">
              <w:rPr>
                <w:rFonts w:ascii="Arial" w:eastAsia="Aptos" w:hAnsi="Arial" w:cs="Arial"/>
                <w:kern w:val="2"/>
                <w:lang w:val="en-GB"/>
                <w14:ligatures w14:val="standardContextual"/>
              </w:rPr>
              <w:t>Alongside intervention</w:t>
            </w:r>
            <w:r>
              <w:rPr>
                <w:rFonts w:ascii="Arial" w:eastAsia="Aptos" w:hAnsi="Arial" w:cs="Arial"/>
                <w:kern w:val="2"/>
                <w:lang w:val="en-GB"/>
                <w14:ligatures w14:val="standardContextual"/>
              </w:rPr>
              <w:t>s</w:t>
            </w:r>
            <w:r w:rsidRPr="00CF3CDC">
              <w:rPr>
                <w:rFonts w:ascii="Arial" w:eastAsia="Aptos" w:hAnsi="Arial" w:cs="Arial"/>
                <w:kern w:val="2"/>
                <w:lang w:val="en-GB"/>
                <w14:ligatures w14:val="standardContextual"/>
              </w:rPr>
              <w:t xml:space="preserve"> designed to address intuition, interventions designed to address reasoning are still equally important. The World Health Organisation recommends a multimodal strategy to hand hygiene intervention (Kilpatrick et al., 2024). Therefore, encouraging the engagement of both thinking systems through strategies such as simulation-based training would also be beneficial to increasing the likelihood of the nurses adhering to the handwashing policy (Nakamura et al., 2019)</w:t>
            </w:r>
            <w:r w:rsidR="00065098">
              <w:rPr>
                <w:rFonts w:ascii="Arial" w:eastAsia="Aptos" w:hAnsi="Arial" w:cs="Arial"/>
                <w:kern w:val="2"/>
                <w:lang w:val="en-GB"/>
                <w14:ligatures w14:val="standardContextual"/>
              </w:rPr>
              <w:t xml:space="preserve">. </w:t>
            </w:r>
            <w:r w:rsidR="000D4EFF">
              <w:rPr>
                <w:rFonts w:ascii="Arial" w:eastAsia="Aptos" w:hAnsi="Arial" w:cs="Arial"/>
                <w:kern w:val="2"/>
                <w:lang w:val="en-GB"/>
                <w14:ligatures w14:val="standardContextual"/>
              </w:rPr>
              <w:t xml:space="preserve">This would involve using UV-light technology to see how well they are actually washing their </w:t>
            </w:r>
            <w:r w:rsidR="00E418F8">
              <w:rPr>
                <w:rFonts w:ascii="Arial" w:eastAsia="Aptos" w:hAnsi="Arial" w:cs="Arial"/>
                <w:kern w:val="2"/>
                <w:lang w:val="en-GB"/>
                <w14:ligatures w14:val="standardContextual"/>
              </w:rPr>
              <w:t>hands;</w:t>
            </w:r>
            <w:r w:rsidR="00C5513D">
              <w:rPr>
                <w:rFonts w:ascii="Arial" w:eastAsia="Aptos" w:hAnsi="Arial" w:cs="Arial"/>
                <w:kern w:val="2"/>
                <w:lang w:val="en-GB"/>
                <w14:ligatures w14:val="standardContextual"/>
              </w:rPr>
              <w:t xml:space="preserve"> interactive feedback and </w:t>
            </w:r>
            <w:r w:rsidR="00E418F8">
              <w:rPr>
                <w:rFonts w:ascii="Arial" w:eastAsia="Aptos" w:hAnsi="Arial" w:cs="Arial"/>
                <w:kern w:val="2"/>
                <w:lang w:val="en-GB"/>
                <w14:ligatures w14:val="standardContextual"/>
              </w:rPr>
              <w:t>a</w:t>
            </w:r>
            <w:r w:rsidR="00C5513D">
              <w:rPr>
                <w:rFonts w:ascii="Arial" w:eastAsia="Aptos" w:hAnsi="Arial" w:cs="Arial"/>
                <w:kern w:val="2"/>
                <w:lang w:val="en-GB"/>
                <w14:ligatures w14:val="standardContextual"/>
              </w:rPr>
              <w:t xml:space="preserve"> </w:t>
            </w:r>
            <w:r w:rsidR="00E418F8">
              <w:rPr>
                <w:rFonts w:ascii="Arial" w:eastAsia="Aptos" w:hAnsi="Arial" w:cs="Arial"/>
                <w:kern w:val="2"/>
                <w:lang w:val="en-GB"/>
                <w14:ligatures w14:val="standardContextual"/>
              </w:rPr>
              <w:t>practical</w:t>
            </w:r>
            <w:r w:rsidR="00C5513D">
              <w:rPr>
                <w:rFonts w:ascii="Arial" w:eastAsia="Aptos" w:hAnsi="Arial" w:cs="Arial"/>
                <w:kern w:val="2"/>
                <w:lang w:val="en-GB"/>
                <w14:ligatures w14:val="standardContextual"/>
              </w:rPr>
              <w:t xml:space="preserve"> approach would hopefully help </w:t>
            </w:r>
            <w:r w:rsidR="00E14566">
              <w:rPr>
                <w:rFonts w:ascii="Arial" w:eastAsia="Aptos" w:hAnsi="Arial" w:cs="Arial"/>
                <w:kern w:val="2"/>
                <w:lang w:val="en-GB"/>
                <w14:ligatures w14:val="standardContextual"/>
              </w:rPr>
              <w:t xml:space="preserve">begin to form correct handwashing techniques as habits. </w:t>
            </w:r>
            <w:r w:rsidRPr="00CF3CDC">
              <w:rPr>
                <w:rFonts w:ascii="Arial" w:eastAsia="Aptos" w:hAnsi="Arial" w:cs="Arial"/>
                <w:kern w:val="2"/>
                <w:lang w:val="en-GB"/>
                <w14:ligatures w14:val="standardContextual"/>
              </w:rPr>
              <w:t>Using these interventions together alongside the education that the health board already has in place offers a balanced approach to tackling noncompliance with the handwashing policy. However, it should be noted that effectiveness of cues may lose effect over time if the nurses get too familiar with the same cues and the health board should be ca</w:t>
            </w:r>
            <w:r w:rsidR="004319DB">
              <w:rPr>
                <w:rFonts w:ascii="Arial" w:eastAsia="Aptos" w:hAnsi="Arial" w:cs="Arial"/>
                <w:kern w:val="2"/>
                <w:lang w:val="en-GB"/>
                <w14:ligatures w14:val="standardContextual"/>
              </w:rPr>
              <w:t>reful</w:t>
            </w:r>
            <w:r w:rsidRPr="00CF3CDC">
              <w:rPr>
                <w:rFonts w:ascii="Arial" w:eastAsia="Aptos" w:hAnsi="Arial" w:cs="Arial"/>
                <w:kern w:val="2"/>
                <w:lang w:val="en-GB"/>
                <w14:ligatures w14:val="standardContextual"/>
              </w:rPr>
              <w:t xml:space="preserve"> not to cause stress </w:t>
            </w:r>
            <w:r w:rsidR="0068124F">
              <w:rPr>
                <w:rFonts w:ascii="Arial" w:eastAsia="Aptos" w:hAnsi="Arial" w:cs="Arial"/>
                <w:kern w:val="2"/>
                <w:lang w:val="en-GB"/>
                <w14:ligatures w14:val="standardContextual"/>
              </w:rPr>
              <w:t>to</w:t>
            </w:r>
            <w:r w:rsidRPr="00CF3CDC">
              <w:rPr>
                <w:rFonts w:ascii="Arial" w:eastAsia="Aptos" w:hAnsi="Arial" w:cs="Arial"/>
                <w:kern w:val="2"/>
                <w:lang w:val="en-GB"/>
                <w14:ligatures w14:val="standardContextual"/>
              </w:rPr>
              <w:t xml:space="preserve"> the nurses because of increased monitoring (Sands et al., 2020). Regarding ethics, nurses should be informed of what interventions are being put in place to avoid the risk of them believing they have been tricked or manipulated into compliance (Dung, 2025).</w:t>
            </w:r>
            <w:r w:rsidR="00240AA6">
              <w:rPr>
                <w:rFonts w:ascii="Arial" w:eastAsia="Aptos" w:hAnsi="Arial" w:cs="Arial"/>
                <w:kern w:val="2"/>
                <w:lang w:val="en-GB"/>
                <w14:ligatures w14:val="standardContextual"/>
              </w:rPr>
              <w:t xml:space="preserve"> </w:t>
            </w:r>
            <w:r w:rsidR="00A1638F">
              <w:rPr>
                <w:rFonts w:ascii="Arial" w:eastAsia="Aptos" w:hAnsi="Arial" w:cs="Arial"/>
                <w:kern w:val="2"/>
                <w:lang w:val="en-GB"/>
                <w14:ligatures w14:val="standardContextual"/>
              </w:rPr>
              <w:t>Furthermore, smart devices should be used with caution as the</w:t>
            </w:r>
            <w:r w:rsidR="00C51577">
              <w:rPr>
                <w:rFonts w:ascii="Arial" w:eastAsia="Aptos" w:hAnsi="Arial" w:cs="Arial"/>
                <w:kern w:val="2"/>
                <w:lang w:val="en-GB"/>
                <w14:ligatures w14:val="standardContextual"/>
              </w:rPr>
              <w:t xml:space="preserve">y </w:t>
            </w:r>
            <w:r w:rsidR="00FF20CD">
              <w:rPr>
                <w:rFonts w:ascii="Arial" w:eastAsia="Aptos" w:hAnsi="Arial" w:cs="Arial"/>
                <w:kern w:val="2"/>
                <w:lang w:val="en-GB"/>
                <w14:ligatures w14:val="standardContextual"/>
              </w:rPr>
              <w:t>have the</w:t>
            </w:r>
            <w:r w:rsidR="00C51577">
              <w:rPr>
                <w:rFonts w:ascii="Arial" w:eastAsia="Aptos" w:hAnsi="Arial" w:cs="Arial"/>
                <w:kern w:val="2"/>
                <w:lang w:val="en-GB"/>
                <w14:ligatures w14:val="standardContextual"/>
              </w:rPr>
              <w:t xml:space="preserve"> </w:t>
            </w:r>
            <w:r w:rsidR="007A123E">
              <w:rPr>
                <w:rFonts w:ascii="Arial" w:eastAsia="Aptos" w:hAnsi="Arial" w:cs="Arial"/>
                <w:kern w:val="2"/>
                <w:lang w:val="en-GB"/>
                <w14:ligatures w14:val="standardContextual"/>
              </w:rPr>
              <w:t>potential</w:t>
            </w:r>
            <w:r w:rsidR="00FF20CD">
              <w:rPr>
                <w:rFonts w:ascii="Arial" w:eastAsia="Aptos" w:hAnsi="Arial" w:cs="Arial"/>
                <w:kern w:val="2"/>
                <w:lang w:val="en-GB"/>
                <w14:ligatures w14:val="standardContextual"/>
              </w:rPr>
              <w:t xml:space="preserve"> of</w:t>
            </w:r>
            <w:r w:rsidR="007A123E">
              <w:rPr>
                <w:rFonts w:ascii="Arial" w:eastAsia="Aptos" w:hAnsi="Arial" w:cs="Arial"/>
                <w:kern w:val="2"/>
                <w:lang w:val="en-GB"/>
                <w14:ligatures w14:val="standardContextual"/>
              </w:rPr>
              <w:t xml:space="preserve"> be</w:t>
            </w:r>
            <w:r w:rsidR="00FF20CD">
              <w:rPr>
                <w:rFonts w:ascii="Arial" w:eastAsia="Aptos" w:hAnsi="Arial" w:cs="Arial"/>
                <w:kern w:val="2"/>
                <w:lang w:val="en-GB"/>
                <w14:ligatures w14:val="standardContextual"/>
              </w:rPr>
              <w:t>ing</w:t>
            </w:r>
            <w:r w:rsidR="00C51577">
              <w:rPr>
                <w:rFonts w:ascii="Arial" w:eastAsia="Aptos" w:hAnsi="Arial" w:cs="Arial"/>
                <w:kern w:val="2"/>
                <w:lang w:val="en-GB"/>
                <w14:ligatures w14:val="standardContextual"/>
              </w:rPr>
              <w:t xml:space="preserve"> </w:t>
            </w:r>
            <w:r w:rsidR="007A123E">
              <w:rPr>
                <w:rFonts w:ascii="Arial" w:eastAsia="Aptos" w:hAnsi="Arial" w:cs="Arial"/>
                <w:kern w:val="2"/>
                <w:lang w:val="en-GB"/>
                <w14:ligatures w14:val="standardContextual"/>
              </w:rPr>
              <w:t>inaccurat</w:t>
            </w:r>
            <w:r w:rsidR="00CD3EFF">
              <w:rPr>
                <w:rFonts w:ascii="Arial" w:eastAsia="Aptos" w:hAnsi="Arial" w:cs="Arial"/>
                <w:kern w:val="2"/>
                <w:lang w:val="en-GB"/>
                <w14:ligatures w14:val="standardContextual"/>
              </w:rPr>
              <w:t xml:space="preserve">e </w:t>
            </w:r>
            <w:r w:rsidR="00463D52">
              <w:rPr>
                <w:rFonts w:ascii="Arial" w:eastAsia="Aptos" w:hAnsi="Arial" w:cs="Arial"/>
                <w:kern w:val="2"/>
                <w:lang w:val="en-GB"/>
                <w14:ligatures w14:val="standardContextual"/>
              </w:rPr>
              <w:t>when it comes to</w:t>
            </w:r>
            <w:r w:rsidR="00CD3EFF">
              <w:rPr>
                <w:rFonts w:ascii="Arial" w:eastAsia="Aptos" w:hAnsi="Arial" w:cs="Arial"/>
                <w:kern w:val="2"/>
                <w:lang w:val="en-GB"/>
                <w14:ligatures w14:val="standardContextual"/>
              </w:rPr>
              <w:t xml:space="preserve"> </w:t>
            </w:r>
            <w:r w:rsidR="00B90A90">
              <w:rPr>
                <w:rFonts w:ascii="Arial" w:eastAsia="Aptos" w:hAnsi="Arial" w:cs="Arial"/>
                <w:kern w:val="2"/>
                <w:lang w:val="en-GB"/>
                <w14:ligatures w14:val="standardContextual"/>
              </w:rPr>
              <w:t xml:space="preserve">their </w:t>
            </w:r>
            <w:r w:rsidR="00AB4EDD">
              <w:rPr>
                <w:rFonts w:ascii="Arial" w:eastAsia="Aptos" w:hAnsi="Arial" w:cs="Arial"/>
                <w:kern w:val="2"/>
                <w:lang w:val="en-GB"/>
                <w14:ligatures w14:val="standardContextual"/>
              </w:rPr>
              <w:t>monitoring</w:t>
            </w:r>
            <w:r w:rsidR="00B90A90">
              <w:rPr>
                <w:rFonts w:ascii="Arial" w:eastAsia="Aptos" w:hAnsi="Arial" w:cs="Arial"/>
                <w:kern w:val="2"/>
                <w:lang w:val="en-GB"/>
                <w14:ligatures w14:val="standardContextual"/>
              </w:rPr>
              <w:t xml:space="preserve"> data</w:t>
            </w:r>
            <w:r w:rsidR="007A123E">
              <w:rPr>
                <w:rFonts w:ascii="Arial" w:eastAsia="Aptos" w:hAnsi="Arial" w:cs="Arial"/>
                <w:kern w:val="2"/>
                <w:lang w:val="en-GB"/>
                <w14:ligatures w14:val="standardContextual"/>
              </w:rPr>
              <w:t xml:space="preserve"> and </w:t>
            </w:r>
            <w:r w:rsidR="00C51577">
              <w:rPr>
                <w:rFonts w:ascii="Arial" w:eastAsia="Aptos" w:hAnsi="Arial" w:cs="Arial"/>
                <w:kern w:val="2"/>
                <w:lang w:val="en-GB"/>
                <w14:ligatures w14:val="standardContextual"/>
              </w:rPr>
              <w:t xml:space="preserve">there is an </w:t>
            </w:r>
            <w:r w:rsidR="007A123E">
              <w:rPr>
                <w:rFonts w:ascii="Arial" w:eastAsia="Aptos" w:hAnsi="Arial" w:cs="Arial"/>
                <w:kern w:val="2"/>
                <w:lang w:val="en-GB"/>
                <w14:ligatures w14:val="standardContextual"/>
              </w:rPr>
              <w:t>ethical debate surrounding the use of Artificial Intelligence</w:t>
            </w:r>
            <w:r w:rsidR="00F93714">
              <w:rPr>
                <w:rFonts w:ascii="Arial" w:eastAsia="Aptos" w:hAnsi="Arial" w:cs="Arial"/>
                <w:kern w:val="2"/>
                <w:lang w:val="en-GB"/>
                <w14:ligatures w14:val="standardContextual"/>
              </w:rPr>
              <w:t xml:space="preserve"> </w:t>
            </w:r>
            <w:r w:rsidR="00494D40">
              <w:rPr>
                <w:rFonts w:ascii="Arial" w:eastAsia="Aptos" w:hAnsi="Arial" w:cs="Arial"/>
                <w:kern w:val="2"/>
                <w:lang w:val="en-GB"/>
                <w14:ligatures w14:val="standardContextual"/>
              </w:rPr>
              <w:t>(</w:t>
            </w:r>
            <w:r w:rsidR="0043595B" w:rsidRPr="00950D26">
              <w:rPr>
                <w:rFonts w:ascii="Arial" w:hAnsi="Arial" w:cs="Arial"/>
              </w:rPr>
              <w:t>Gould</w:t>
            </w:r>
            <w:r w:rsidR="0043595B">
              <w:rPr>
                <w:rFonts w:ascii="Arial" w:hAnsi="Arial" w:cs="Arial"/>
              </w:rPr>
              <w:t xml:space="preserve"> et al., </w:t>
            </w:r>
            <w:r w:rsidR="0043595B" w:rsidRPr="00950D26">
              <w:rPr>
                <w:rFonts w:ascii="Arial" w:hAnsi="Arial" w:cs="Arial"/>
              </w:rPr>
              <w:t>2024</w:t>
            </w:r>
            <w:r w:rsidR="0043595B">
              <w:rPr>
                <w:rFonts w:ascii="Arial" w:hAnsi="Arial" w:cs="Arial"/>
              </w:rPr>
              <w:t xml:space="preserve">; </w:t>
            </w:r>
            <w:r w:rsidR="00F93714" w:rsidRPr="00F93714">
              <w:rPr>
                <w:rFonts w:ascii="Arial" w:eastAsia="Aptos" w:hAnsi="Arial" w:cs="Arial"/>
                <w:kern w:val="2"/>
                <w:lang w:val="en-GB"/>
                <w14:ligatures w14:val="standardContextual"/>
              </w:rPr>
              <w:t>Tseng</w:t>
            </w:r>
            <w:r w:rsidR="00494D40">
              <w:rPr>
                <w:rFonts w:ascii="Arial" w:eastAsia="Aptos" w:hAnsi="Arial" w:cs="Arial"/>
                <w:kern w:val="2"/>
                <w:lang w:val="en-GB"/>
                <w14:ligatures w14:val="standardContextual"/>
              </w:rPr>
              <w:t xml:space="preserve"> et al., </w:t>
            </w:r>
            <w:r w:rsidR="00F93714" w:rsidRPr="00F93714">
              <w:rPr>
                <w:rFonts w:ascii="Arial" w:eastAsia="Aptos" w:hAnsi="Arial" w:cs="Arial"/>
                <w:kern w:val="2"/>
                <w:lang w:val="en-GB"/>
                <w14:ligatures w14:val="standardContextual"/>
              </w:rPr>
              <w:t>2022).</w:t>
            </w:r>
            <w:r w:rsidR="00CA7A5E">
              <w:rPr>
                <w:rFonts w:ascii="Arial" w:eastAsia="Aptos" w:hAnsi="Arial" w:cs="Arial"/>
                <w:kern w:val="2"/>
                <w:lang w:val="en-GB"/>
                <w14:ligatures w14:val="standardContextual"/>
              </w:rPr>
              <w:t xml:space="preserve"> For example, </w:t>
            </w:r>
            <w:r w:rsidR="00437DC5">
              <w:rPr>
                <w:rFonts w:ascii="Arial" w:eastAsia="Aptos" w:hAnsi="Arial" w:cs="Arial"/>
                <w:kern w:val="2"/>
                <w:lang w:val="en-GB"/>
                <w14:ligatures w14:val="standardContextual"/>
              </w:rPr>
              <w:t xml:space="preserve">the </w:t>
            </w:r>
            <w:r w:rsidR="00437DC5" w:rsidRPr="00437DC5">
              <w:rPr>
                <w:rFonts w:ascii="Arial" w:eastAsia="Aptos" w:hAnsi="Arial" w:cs="Arial"/>
                <w:kern w:val="2"/>
                <w14:ligatures w14:val="standardContextual"/>
              </w:rPr>
              <w:t>General Data Protection Regulation</w:t>
            </w:r>
            <w:r w:rsidR="00437DC5">
              <w:rPr>
                <w:rFonts w:ascii="Arial" w:eastAsia="Aptos" w:hAnsi="Arial" w:cs="Arial"/>
                <w:kern w:val="2"/>
                <w14:ligatures w14:val="standardContextual"/>
              </w:rPr>
              <w:t xml:space="preserve"> </w:t>
            </w:r>
            <w:r w:rsidR="00445D9E">
              <w:rPr>
                <w:rFonts w:ascii="Arial" w:eastAsia="Aptos" w:hAnsi="Arial" w:cs="Arial"/>
                <w:kern w:val="2"/>
                <w14:ligatures w14:val="standardContextual"/>
              </w:rPr>
              <w:t>(2018) should be strictly adhered to when using Artificial Intelligence technology.</w:t>
            </w:r>
            <w:r w:rsidR="000F6DE4">
              <w:rPr>
                <w:rFonts w:ascii="Arial" w:eastAsia="Aptos" w:hAnsi="Arial" w:cs="Arial"/>
                <w:kern w:val="2"/>
                <w14:ligatures w14:val="standardContextual"/>
              </w:rPr>
              <w:t xml:space="preserve"> As useful as dual-processing theory has been in informing these interventions, it is not a perfect theory</w:t>
            </w:r>
            <w:r w:rsidR="00CA673D">
              <w:rPr>
                <w:rFonts w:ascii="Arial" w:eastAsia="Aptos" w:hAnsi="Arial" w:cs="Arial"/>
                <w:kern w:val="2"/>
                <w14:ligatures w14:val="standardContextual"/>
              </w:rPr>
              <w:t xml:space="preserve"> and has room for criticism.</w:t>
            </w:r>
          </w:p>
        </w:tc>
      </w:tr>
      <w:tr w:rsidR="00FA38A4" w:rsidRPr="003A798E" w14:paraId="0B43E723" w14:textId="77777777" w:rsidTr="00FA38A4">
        <w:tblPrEx>
          <w:shd w:val="clear" w:color="auto" w:fill="EDF0F4" w:themeFill="accent3"/>
          <w:tblCellMar>
            <w:left w:w="0" w:type="dxa"/>
            <w:right w:w="0" w:type="dxa"/>
          </w:tblCellMar>
        </w:tblPrEx>
        <w:trPr>
          <w:gridBefore w:val="1"/>
          <w:gridAfter w:val="1"/>
          <w:wBefore w:w="1701" w:type="dxa"/>
          <w:wAfter w:w="142" w:type="dxa"/>
          <w:trHeight w:val="8879"/>
        </w:trPr>
        <w:tc>
          <w:tcPr>
            <w:tcW w:w="10773" w:type="dxa"/>
            <w:gridSpan w:val="2"/>
            <w:shd w:val="clear" w:color="auto" w:fill="EDF0F4" w:themeFill="accent3"/>
          </w:tcPr>
          <w:p w14:paraId="63B67C8E" w14:textId="4B903E6F" w:rsidR="00FA38A4" w:rsidRDefault="0098239A" w:rsidP="000751D2">
            <w:pPr>
              <w:pStyle w:val="Heading3"/>
            </w:pPr>
            <w:r>
              <w:lastRenderedPageBreak/>
              <w:t>EVALUATION AND CRITIQUE OF</w:t>
            </w:r>
            <w:r w:rsidR="00FA38A4">
              <w:t xml:space="preserve"> THEORY</w:t>
            </w:r>
          </w:p>
          <w:p w14:paraId="6AD52D93" w14:textId="77777777" w:rsidR="00FA38A4" w:rsidRPr="00766C02" w:rsidRDefault="00FA38A4" w:rsidP="000751D2"/>
          <w:p w14:paraId="5987F4E6" w14:textId="6831DD68" w:rsidR="00DB67BA" w:rsidRPr="00DB67BA" w:rsidRDefault="00DB67BA" w:rsidP="00DB67BA">
            <w:pPr>
              <w:spacing w:after="160" w:line="480" w:lineRule="auto"/>
              <w:ind w:left="284" w:firstLine="720"/>
              <w:rPr>
                <w:rFonts w:ascii="Arial" w:eastAsia="Aptos" w:hAnsi="Arial" w:cs="Arial"/>
                <w:kern w:val="2"/>
                <w:lang w:val="en-GB"/>
                <w14:ligatures w14:val="standardContextual"/>
              </w:rPr>
            </w:pPr>
            <w:r w:rsidRPr="00DB67BA">
              <w:rPr>
                <w:rFonts w:ascii="Arial" w:eastAsia="Aptos" w:hAnsi="Arial" w:cs="Arial"/>
                <w:kern w:val="2"/>
                <w:lang w:val="en-GB"/>
                <w14:ligatures w14:val="standardContextual"/>
              </w:rPr>
              <w:t xml:space="preserve">The main strength of the dual-process theory is that it offers a comprehensive explanation of how humans think and make decisions </w:t>
            </w:r>
            <w:r w:rsidR="00B40428">
              <w:rPr>
                <w:rFonts w:ascii="Arial" w:eastAsia="Aptos" w:hAnsi="Arial" w:cs="Arial"/>
                <w:kern w:val="2"/>
                <w:lang w:val="en-GB"/>
                <w14:ligatures w14:val="standardContextual"/>
              </w:rPr>
              <w:t>under</w:t>
            </w:r>
            <w:r w:rsidRPr="00DB67BA">
              <w:rPr>
                <w:rFonts w:ascii="Arial" w:eastAsia="Aptos" w:hAnsi="Arial" w:cs="Arial"/>
                <w:kern w:val="2"/>
                <w:lang w:val="en-GB"/>
                <w14:ligatures w14:val="standardContextual"/>
              </w:rPr>
              <w:t xml:space="preserve"> different </w:t>
            </w:r>
            <w:r w:rsidR="00B40428">
              <w:rPr>
                <w:rFonts w:ascii="Arial" w:eastAsia="Aptos" w:hAnsi="Arial" w:cs="Arial"/>
                <w:kern w:val="2"/>
                <w:lang w:val="en-GB"/>
                <w14:ligatures w14:val="standardContextual"/>
              </w:rPr>
              <w:t>conditions</w:t>
            </w:r>
            <w:r w:rsidRPr="00DB67BA">
              <w:rPr>
                <w:rFonts w:ascii="Arial" w:eastAsia="Aptos" w:hAnsi="Arial" w:cs="Arial"/>
                <w:kern w:val="2"/>
                <w:lang w:val="en-GB"/>
                <w14:ligatures w14:val="standardContextual"/>
              </w:rPr>
              <w:t xml:space="preserve"> (Tversky &amp; Kahneman, 1974). It effectively explains why people make irrational decisions through the presence of cognitive bias in </w:t>
            </w:r>
            <w:r w:rsidR="002270B6">
              <w:rPr>
                <w:rFonts w:ascii="Arial" w:eastAsia="Aptos" w:hAnsi="Arial" w:cs="Arial"/>
                <w:kern w:val="2"/>
                <w:lang w:val="en-GB"/>
                <w14:ligatures w14:val="standardContextual"/>
              </w:rPr>
              <w:t>S</w:t>
            </w:r>
            <w:r w:rsidRPr="00DB67BA">
              <w:rPr>
                <w:rFonts w:ascii="Arial" w:eastAsia="Aptos" w:hAnsi="Arial" w:cs="Arial"/>
                <w:kern w:val="2"/>
                <w:lang w:val="en-GB"/>
                <w14:ligatures w14:val="standardContextual"/>
              </w:rPr>
              <w:t xml:space="preserve">ystem 1, which can override the </w:t>
            </w:r>
            <w:r w:rsidR="00F139D5">
              <w:rPr>
                <w:rFonts w:ascii="Arial" w:eastAsia="Aptos" w:hAnsi="Arial" w:cs="Arial"/>
                <w:kern w:val="2"/>
                <w:lang w:val="en-GB"/>
                <w14:ligatures w14:val="standardContextual"/>
              </w:rPr>
              <w:t>analytical</w:t>
            </w:r>
            <w:r w:rsidRPr="00DB67BA">
              <w:rPr>
                <w:rFonts w:ascii="Arial" w:eastAsia="Aptos" w:hAnsi="Arial" w:cs="Arial"/>
                <w:kern w:val="2"/>
                <w:lang w:val="en-GB"/>
                <w14:ligatures w14:val="standardContextual"/>
              </w:rPr>
              <w:t xml:space="preserve"> reasoning of </w:t>
            </w:r>
            <w:r w:rsidR="002270B6">
              <w:rPr>
                <w:rFonts w:ascii="Arial" w:eastAsia="Aptos" w:hAnsi="Arial" w:cs="Arial"/>
                <w:kern w:val="2"/>
                <w:lang w:val="en-GB"/>
                <w14:ligatures w14:val="standardContextual"/>
              </w:rPr>
              <w:t>S</w:t>
            </w:r>
            <w:r w:rsidRPr="00DB67BA">
              <w:rPr>
                <w:rFonts w:ascii="Arial" w:eastAsia="Aptos" w:hAnsi="Arial" w:cs="Arial"/>
                <w:kern w:val="2"/>
                <w:lang w:val="en-GB"/>
                <w14:ligatures w14:val="standardContextual"/>
              </w:rPr>
              <w:t xml:space="preserve">ystem 2 (Bronstein et al., 2019). It also explains how we use our cognitive resources, such as not expending as much cognitive effort on routine tasks or switching to </w:t>
            </w:r>
            <w:r w:rsidR="002270B6">
              <w:rPr>
                <w:rFonts w:ascii="Arial" w:eastAsia="Aptos" w:hAnsi="Arial" w:cs="Arial"/>
                <w:kern w:val="2"/>
                <w:lang w:val="en-GB"/>
                <w14:ligatures w14:val="standardContextual"/>
              </w:rPr>
              <w:t>S</w:t>
            </w:r>
            <w:r w:rsidRPr="00DB67BA">
              <w:rPr>
                <w:rFonts w:ascii="Arial" w:eastAsia="Aptos" w:hAnsi="Arial" w:cs="Arial"/>
                <w:kern w:val="2"/>
                <w:lang w:val="en-GB"/>
                <w14:ligatures w14:val="standardContextual"/>
              </w:rPr>
              <w:t>ystem 1 under specific circumstances; for example, when under time pressure</w:t>
            </w:r>
            <w:r w:rsidR="001C7A13">
              <w:rPr>
                <w:rFonts w:ascii="Arial" w:eastAsia="Aptos" w:hAnsi="Arial" w:cs="Arial"/>
                <w:kern w:val="2"/>
                <w:lang w:val="en-GB"/>
                <w14:ligatures w14:val="standardContextual"/>
              </w:rPr>
              <w:t xml:space="preserve">, when fatigued or when </w:t>
            </w:r>
            <w:r w:rsidRPr="00DB67BA">
              <w:rPr>
                <w:rFonts w:ascii="Arial" w:eastAsia="Aptos" w:hAnsi="Arial" w:cs="Arial"/>
                <w:kern w:val="2"/>
                <w:lang w:val="en-GB"/>
                <w14:ligatures w14:val="standardContextual"/>
              </w:rPr>
              <w:t>stress</w:t>
            </w:r>
            <w:r w:rsidR="001C7A13">
              <w:rPr>
                <w:rFonts w:ascii="Arial" w:eastAsia="Aptos" w:hAnsi="Arial" w:cs="Arial"/>
                <w:kern w:val="2"/>
                <w:lang w:val="en-GB"/>
                <w14:ligatures w14:val="standardContextual"/>
              </w:rPr>
              <w:t>ed</w:t>
            </w:r>
            <w:r w:rsidRPr="00DB67BA">
              <w:rPr>
                <w:rFonts w:ascii="Arial" w:eastAsia="Aptos" w:hAnsi="Arial" w:cs="Arial"/>
                <w:kern w:val="2"/>
                <w:lang w:val="en-GB"/>
                <w14:ligatures w14:val="standardContextual"/>
              </w:rPr>
              <w:t xml:space="preserve"> (Tversky &amp; Kahneman, 1974; Wu et al., 2022</w:t>
            </w:r>
            <w:r w:rsidRPr="00744EEE">
              <w:rPr>
                <w:rFonts w:ascii="Arial" w:eastAsia="Aptos" w:hAnsi="Arial" w:cs="Arial"/>
                <w:kern w:val="2"/>
                <w:lang w:val="en-GB"/>
                <w14:ligatures w14:val="standardContextual"/>
              </w:rPr>
              <w:t>). This d</w:t>
            </w:r>
            <w:r w:rsidR="008D3223" w:rsidRPr="00744EEE">
              <w:rPr>
                <w:rFonts w:ascii="Arial" w:eastAsia="Aptos" w:hAnsi="Arial" w:cs="Arial"/>
                <w:kern w:val="2"/>
                <w:lang w:val="en-GB"/>
                <w14:ligatures w14:val="standardContextual"/>
              </w:rPr>
              <w:t>istinction</w:t>
            </w:r>
            <w:r w:rsidRPr="00744EEE">
              <w:rPr>
                <w:rFonts w:ascii="Arial" w:eastAsia="Aptos" w:hAnsi="Arial" w:cs="Arial"/>
                <w:kern w:val="2"/>
                <w:lang w:val="en-GB"/>
                <w14:ligatures w14:val="standardContextual"/>
              </w:rPr>
              <w:t xml:space="preserve"> in thinking is supported by the empirical literature (</w:t>
            </w:r>
            <w:r w:rsidR="00744EEE" w:rsidRPr="00744EEE">
              <w:rPr>
                <w:rFonts w:ascii="Arial" w:eastAsia="Aptos" w:hAnsi="Arial" w:cs="Arial"/>
                <w:kern w:val="2"/>
                <w:lang w:val="en-GB"/>
                <w14:ligatures w14:val="standardContextual"/>
              </w:rPr>
              <w:t xml:space="preserve">De Neys, 2006; </w:t>
            </w:r>
            <w:r w:rsidR="008D3223" w:rsidRPr="00744EEE">
              <w:rPr>
                <w:rFonts w:ascii="Arial" w:eastAsia="Aptos" w:hAnsi="Arial" w:cs="Arial"/>
                <w:kern w:val="2"/>
                <w:lang w:val="en-GB"/>
                <w14:ligatures w14:val="standardContextual"/>
              </w:rPr>
              <w:t>Evans et al.</w:t>
            </w:r>
            <w:r w:rsidR="00744EEE" w:rsidRPr="00744EEE">
              <w:rPr>
                <w:rFonts w:ascii="Arial" w:eastAsia="Aptos" w:hAnsi="Arial" w:cs="Arial"/>
                <w:kern w:val="2"/>
                <w:lang w:val="en-GB"/>
                <w14:ligatures w14:val="standardContextual"/>
              </w:rPr>
              <w:t xml:space="preserve">, </w:t>
            </w:r>
            <w:r w:rsidR="008D3223" w:rsidRPr="00744EEE">
              <w:rPr>
                <w:rFonts w:ascii="Arial" w:eastAsia="Aptos" w:hAnsi="Arial" w:cs="Arial"/>
                <w:kern w:val="2"/>
                <w:lang w:val="en-GB"/>
                <w14:ligatures w14:val="standardContextual"/>
              </w:rPr>
              <w:t>1983</w:t>
            </w:r>
            <w:r w:rsidR="00744EEE" w:rsidRPr="00744EEE">
              <w:rPr>
                <w:rFonts w:ascii="Arial" w:eastAsia="Aptos" w:hAnsi="Arial" w:cs="Arial"/>
                <w:kern w:val="2"/>
                <w:lang w:val="en-GB"/>
                <w14:ligatures w14:val="standardContextual"/>
              </w:rPr>
              <w:t>; Margittai et al., 2016</w:t>
            </w:r>
            <w:r w:rsidRPr="00744EEE">
              <w:rPr>
                <w:rFonts w:ascii="Arial" w:eastAsia="Aptos" w:hAnsi="Arial" w:cs="Arial"/>
                <w:kern w:val="2"/>
                <w:lang w:val="en-GB"/>
                <w14:ligatures w14:val="standardContextual"/>
              </w:rPr>
              <w:t>).</w:t>
            </w:r>
            <w:r w:rsidRPr="00DB67BA">
              <w:rPr>
                <w:rFonts w:ascii="Arial" w:eastAsia="Aptos" w:hAnsi="Arial" w:cs="Arial"/>
                <w:kern w:val="2"/>
                <w:lang w:val="en-GB"/>
                <w14:ligatures w14:val="standardContextual"/>
              </w:rPr>
              <w:t xml:space="preserve"> However, a criticism of dual-process theory is that the evidence for a the dual-process system is limited to laboratory settings (Grayot, 2020). Examining </w:t>
            </w:r>
            <w:r w:rsidR="00345BC9">
              <w:rPr>
                <w:rFonts w:ascii="Arial" w:eastAsia="Aptos" w:hAnsi="Arial" w:cs="Arial"/>
                <w:kern w:val="2"/>
                <w:lang w:val="en-GB"/>
                <w14:ligatures w14:val="standardContextual"/>
              </w:rPr>
              <w:t xml:space="preserve">a person’s </w:t>
            </w:r>
            <w:r w:rsidRPr="00DB67BA">
              <w:rPr>
                <w:rFonts w:ascii="Arial" w:eastAsia="Aptos" w:hAnsi="Arial" w:cs="Arial"/>
                <w:kern w:val="2"/>
                <w:lang w:val="en-GB"/>
                <w14:ligatures w14:val="standardContextual"/>
              </w:rPr>
              <w:t>abilities to solve puzzles and perform computational tasks in an artificial setting like a laboratory may not reflect people’s day-to-day reasoning patterns and abilities (Gigerenzer &amp; Regier, 1996; Kruglanski &amp; Gigerenzer, 2011). Thus, there is an argument for people having a more overlapping</w:t>
            </w:r>
            <w:r w:rsidR="00DA3C9F">
              <w:rPr>
                <w:rFonts w:ascii="Arial" w:eastAsia="Aptos" w:hAnsi="Arial" w:cs="Arial"/>
                <w:kern w:val="2"/>
                <w:lang w:val="en-GB"/>
                <w14:ligatures w14:val="standardContextual"/>
              </w:rPr>
              <w:t>,</w:t>
            </w:r>
            <w:r w:rsidRPr="00DB67BA">
              <w:rPr>
                <w:rFonts w:ascii="Arial" w:eastAsia="Aptos" w:hAnsi="Arial" w:cs="Arial"/>
                <w:kern w:val="2"/>
                <w:lang w:val="en-GB"/>
                <w14:ligatures w14:val="standardContextual"/>
              </w:rPr>
              <w:t xml:space="preserve"> fluid</w:t>
            </w:r>
            <w:r w:rsidR="00DA3C9F">
              <w:rPr>
                <w:rFonts w:ascii="Arial" w:eastAsia="Aptos" w:hAnsi="Arial" w:cs="Arial"/>
                <w:kern w:val="2"/>
                <w:lang w:val="en-GB"/>
                <w14:ligatures w14:val="standardContextual"/>
              </w:rPr>
              <w:t xml:space="preserve"> or complex</w:t>
            </w:r>
            <w:r w:rsidRPr="00DB67BA">
              <w:rPr>
                <w:rFonts w:ascii="Arial" w:eastAsia="Aptos" w:hAnsi="Arial" w:cs="Arial"/>
                <w:kern w:val="2"/>
                <w:lang w:val="en-GB"/>
                <w14:ligatures w14:val="standardContextual"/>
              </w:rPr>
              <w:t xml:space="preserve"> way of thinking in real life tha</w:t>
            </w:r>
            <w:r w:rsidR="00FD710B">
              <w:rPr>
                <w:rFonts w:ascii="Arial" w:eastAsia="Aptos" w:hAnsi="Arial" w:cs="Arial"/>
                <w:kern w:val="2"/>
                <w:lang w:val="en-GB"/>
                <w14:ligatures w14:val="standardContextual"/>
              </w:rPr>
              <w:t>n</w:t>
            </w:r>
            <w:r w:rsidRPr="00DB67BA">
              <w:rPr>
                <w:rFonts w:ascii="Arial" w:eastAsia="Aptos" w:hAnsi="Arial" w:cs="Arial"/>
                <w:kern w:val="2"/>
                <w:lang w:val="en-GB"/>
                <w14:ligatures w14:val="standardContextual"/>
              </w:rPr>
              <w:t xml:space="preserve"> </w:t>
            </w:r>
            <w:r w:rsidR="00111861">
              <w:rPr>
                <w:rFonts w:ascii="Arial" w:eastAsia="Aptos" w:hAnsi="Arial" w:cs="Arial"/>
                <w:kern w:val="2"/>
                <w:lang w:val="en-GB"/>
                <w14:ligatures w14:val="standardContextual"/>
              </w:rPr>
              <w:t xml:space="preserve">the </w:t>
            </w:r>
            <w:r w:rsidRPr="00DB67BA">
              <w:rPr>
                <w:rFonts w:ascii="Arial" w:eastAsia="Aptos" w:hAnsi="Arial" w:cs="Arial"/>
                <w:kern w:val="2"/>
                <w:lang w:val="en-GB"/>
                <w14:ligatures w14:val="standardContextual"/>
              </w:rPr>
              <w:t>studies on a dual-process style would suggest.</w:t>
            </w:r>
          </w:p>
          <w:p w14:paraId="7B9E843C" w14:textId="3A2BA659" w:rsidR="00FA38A4" w:rsidRPr="00DB67BA" w:rsidRDefault="00DB67BA" w:rsidP="007857E3">
            <w:pPr>
              <w:spacing w:after="160" w:line="480" w:lineRule="auto"/>
              <w:ind w:left="284" w:firstLine="720"/>
              <w:rPr>
                <w:rFonts w:ascii="Arial" w:eastAsia="Aptos" w:hAnsi="Arial" w:cs="Arial"/>
                <w:kern w:val="2"/>
                <w:lang w:val="en-GB"/>
                <w14:ligatures w14:val="standardContextual"/>
              </w:rPr>
            </w:pPr>
            <w:r w:rsidRPr="00DB67BA">
              <w:rPr>
                <w:rFonts w:ascii="Arial" w:eastAsia="Aptos" w:hAnsi="Arial" w:cs="Arial"/>
                <w:kern w:val="2"/>
                <w:lang w:val="en-GB"/>
                <w14:ligatures w14:val="standardContextual"/>
              </w:rPr>
              <w:t xml:space="preserve">When it comes to applying the theory to the case study, a strength is </w:t>
            </w:r>
            <w:r w:rsidR="00EB3D38">
              <w:rPr>
                <w:rFonts w:ascii="Arial" w:eastAsia="Aptos" w:hAnsi="Arial" w:cs="Arial"/>
                <w:kern w:val="2"/>
                <w:lang w:val="en-GB"/>
                <w14:ligatures w14:val="standardContextual"/>
              </w:rPr>
              <w:t>the theory</w:t>
            </w:r>
            <w:r w:rsidRPr="00DB67BA">
              <w:rPr>
                <w:rFonts w:ascii="Arial" w:eastAsia="Aptos" w:hAnsi="Arial" w:cs="Arial"/>
                <w:kern w:val="2"/>
                <w:lang w:val="en-GB"/>
                <w14:ligatures w14:val="standardContextual"/>
              </w:rPr>
              <w:t xml:space="preserve"> is able to explain why the district nurses were not washing their hands properly</w:t>
            </w:r>
            <w:r w:rsidR="006C2543">
              <w:rPr>
                <w:rFonts w:ascii="Arial" w:eastAsia="Aptos" w:hAnsi="Arial" w:cs="Arial"/>
                <w:kern w:val="2"/>
                <w:lang w:val="en-GB"/>
                <w14:ligatures w14:val="standardContextual"/>
              </w:rPr>
              <w:t xml:space="preserve">. </w:t>
            </w:r>
            <w:r w:rsidR="00B34E7D">
              <w:rPr>
                <w:rFonts w:ascii="Arial" w:eastAsia="Aptos" w:hAnsi="Arial" w:cs="Arial"/>
                <w:kern w:val="2"/>
                <w:lang w:val="en-GB"/>
                <w14:ligatures w14:val="standardContextual"/>
              </w:rPr>
              <w:t>F</w:t>
            </w:r>
            <w:r w:rsidRPr="00DB67BA">
              <w:rPr>
                <w:rFonts w:ascii="Arial" w:eastAsia="Aptos" w:hAnsi="Arial" w:cs="Arial"/>
                <w:kern w:val="2"/>
                <w:lang w:val="en-GB"/>
                <w14:ligatures w14:val="standardContextual"/>
              </w:rPr>
              <w:t>actors</w:t>
            </w:r>
            <w:r w:rsidR="00B34E7D">
              <w:rPr>
                <w:rFonts w:ascii="Arial" w:eastAsia="Aptos" w:hAnsi="Arial" w:cs="Arial"/>
                <w:kern w:val="2"/>
                <w:lang w:val="en-GB"/>
                <w14:ligatures w14:val="standardContextual"/>
              </w:rPr>
              <w:t xml:space="preserve"> including </w:t>
            </w:r>
            <w:r w:rsidR="00B34E7D" w:rsidRPr="00DB67BA">
              <w:rPr>
                <w:rFonts w:ascii="Arial" w:eastAsia="Aptos" w:hAnsi="Arial" w:cs="Arial"/>
                <w:kern w:val="2"/>
                <w:lang w:val="en-GB"/>
                <w14:ligatures w14:val="standardContextual"/>
              </w:rPr>
              <w:t>understaffing, higher workload and longer working hours</w:t>
            </w:r>
            <w:r w:rsidR="00B34E7D">
              <w:rPr>
                <w:rFonts w:ascii="Arial" w:eastAsia="Aptos" w:hAnsi="Arial" w:cs="Arial"/>
                <w:kern w:val="2"/>
                <w:lang w:val="en-GB"/>
                <w14:ligatures w14:val="standardContextual"/>
              </w:rPr>
              <w:t xml:space="preserve"> </w:t>
            </w:r>
            <w:r w:rsidRPr="00DB67BA">
              <w:rPr>
                <w:rFonts w:ascii="Arial" w:eastAsia="Aptos" w:hAnsi="Arial" w:cs="Arial"/>
                <w:kern w:val="2"/>
                <w:lang w:val="en-GB"/>
                <w14:ligatures w14:val="standardContextual"/>
              </w:rPr>
              <w:t xml:space="preserve">caused the nurses to switch to their </w:t>
            </w:r>
            <w:r w:rsidR="00F94FDC">
              <w:rPr>
                <w:rFonts w:ascii="Arial" w:eastAsia="Aptos" w:hAnsi="Arial" w:cs="Arial"/>
                <w:kern w:val="2"/>
                <w:lang w:val="en-GB"/>
                <w14:ligatures w14:val="standardContextual"/>
              </w:rPr>
              <w:t>S</w:t>
            </w:r>
            <w:r w:rsidRPr="00DB67BA">
              <w:rPr>
                <w:rFonts w:ascii="Arial" w:eastAsia="Aptos" w:hAnsi="Arial" w:cs="Arial"/>
                <w:kern w:val="2"/>
                <w:lang w:val="en-GB"/>
                <w14:ligatures w14:val="standardContextual"/>
              </w:rPr>
              <w:t>ystem 1 style of thinking</w:t>
            </w:r>
            <w:r w:rsidR="006C2543">
              <w:rPr>
                <w:rFonts w:ascii="Arial" w:eastAsia="Aptos" w:hAnsi="Arial" w:cs="Arial"/>
                <w:kern w:val="2"/>
                <w:lang w:val="en-GB"/>
                <w14:ligatures w14:val="standardContextual"/>
              </w:rPr>
              <w:t>,</w:t>
            </w:r>
            <w:r w:rsidRPr="00DB67BA">
              <w:rPr>
                <w:rFonts w:ascii="Arial" w:eastAsia="Aptos" w:hAnsi="Arial" w:cs="Arial"/>
                <w:kern w:val="2"/>
                <w:lang w:val="en-GB"/>
                <w14:ligatures w14:val="standardContextual"/>
              </w:rPr>
              <w:t xml:space="preserve"> in which efficiency was prioritised over following the proper hand hygiene guidelines (Hermans et al., 2014; Sladek et al., 2008). This is supported by the fact that some of the nurses were rushing, not following </w:t>
            </w:r>
            <w:r w:rsidR="005F0E75">
              <w:rPr>
                <w:rFonts w:ascii="Arial" w:eastAsia="Aptos" w:hAnsi="Arial" w:cs="Arial"/>
                <w:kern w:val="2"/>
                <w:lang w:val="en-GB"/>
                <w14:ligatures w14:val="standardContextual"/>
              </w:rPr>
              <w:t xml:space="preserve">the </w:t>
            </w:r>
            <w:r w:rsidRPr="00DB67BA">
              <w:rPr>
                <w:rFonts w:ascii="Arial" w:eastAsia="Aptos" w:hAnsi="Arial" w:cs="Arial"/>
                <w:kern w:val="2"/>
                <w:lang w:val="en-GB"/>
                <w14:ligatures w14:val="standardContextual"/>
              </w:rPr>
              <w:t>correct techniques, and</w:t>
            </w:r>
            <w:r w:rsidR="006C77B9">
              <w:rPr>
                <w:rFonts w:ascii="Arial" w:eastAsia="Aptos" w:hAnsi="Arial" w:cs="Arial"/>
                <w:kern w:val="2"/>
                <w:lang w:val="en-GB"/>
                <w14:ligatures w14:val="standardContextual"/>
              </w:rPr>
              <w:t xml:space="preserve"> some</w:t>
            </w:r>
            <w:r w:rsidRPr="00DB67BA">
              <w:rPr>
                <w:rFonts w:ascii="Arial" w:eastAsia="Aptos" w:hAnsi="Arial" w:cs="Arial"/>
                <w:kern w:val="2"/>
                <w:lang w:val="en-GB"/>
                <w14:ligatures w14:val="standardContextual"/>
              </w:rPr>
              <w:t xml:space="preserve"> </w:t>
            </w:r>
            <w:r w:rsidR="006C77B9">
              <w:rPr>
                <w:rFonts w:ascii="Arial" w:eastAsia="Aptos" w:hAnsi="Arial" w:cs="Arial"/>
                <w:kern w:val="2"/>
                <w:lang w:val="en-GB"/>
                <w14:ligatures w14:val="standardContextual"/>
              </w:rPr>
              <w:t>appeared</w:t>
            </w:r>
            <w:r w:rsidRPr="00DB67BA">
              <w:rPr>
                <w:rFonts w:ascii="Arial" w:eastAsia="Aptos" w:hAnsi="Arial" w:cs="Arial"/>
                <w:kern w:val="2"/>
                <w:lang w:val="en-GB"/>
                <w14:ligatures w14:val="standardContextual"/>
              </w:rPr>
              <w:t xml:space="preserve"> </w:t>
            </w:r>
            <w:r w:rsidR="006C77B9">
              <w:rPr>
                <w:rFonts w:ascii="Arial" w:eastAsia="Aptos" w:hAnsi="Arial" w:cs="Arial"/>
                <w:kern w:val="2"/>
                <w:lang w:val="en-GB"/>
                <w14:ligatures w14:val="standardContextual"/>
              </w:rPr>
              <w:t xml:space="preserve">to have </w:t>
            </w:r>
            <w:r w:rsidRPr="00DB67BA">
              <w:rPr>
                <w:rFonts w:ascii="Arial" w:eastAsia="Aptos" w:hAnsi="Arial" w:cs="Arial"/>
                <w:kern w:val="2"/>
                <w:lang w:val="en-GB"/>
                <w14:ligatures w14:val="standardContextual"/>
              </w:rPr>
              <w:t xml:space="preserve">decided </w:t>
            </w:r>
            <w:r w:rsidR="00830B56">
              <w:rPr>
                <w:rFonts w:ascii="Arial" w:eastAsia="Aptos" w:hAnsi="Arial" w:cs="Arial"/>
                <w:kern w:val="2"/>
                <w:lang w:val="en-GB"/>
                <w14:ligatures w14:val="standardContextual"/>
              </w:rPr>
              <w:t xml:space="preserve">not to wash </w:t>
            </w:r>
            <w:r w:rsidRPr="00DB67BA">
              <w:rPr>
                <w:rFonts w:ascii="Arial" w:eastAsia="Aptos" w:hAnsi="Arial" w:cs="Arial"/>
                <w:kern w:val="2"/>
                <w:lang w:val="en-GB"/>
                <w14:ligatures w14:val="standardContextual"/>
              </w:rPr>
              <w:t>their hands altogether. On the other hand, the dual-process theory is not the only explanation for</w:t>
            </w:r>
            <w:r w:rsidR="00F478F4">
              <w:rPr>
                <w:rFonts w:ascii="Arial" w:eastAsia="Aptos" w:hAnsi="Arial" w:cs="Arial"/>
                <w:kern w:val="2"/>
                <w:lang w:val="en-GB"/>
                <w14:ligatures w14:val="standardContextual"/>
              </w:rPr>
              <w:t xml:space="preserve"> the nurses</w:t>
            </w:r>
            <w:r w:rsidR="00FC3DF5">
              <w:rPr>
                <w:rFonts w:ascii="Arial" w:eastAsia="Aptos" w:hAnsi="Arial" w:cs="Arial"/>
                <w:kern w:val="2"/>
                <w:lang w:val="en-GB"/>
                <w14:ligatures w14:val="standardContextual"/>
              </w:rPr>
              <w:t>’</w:t>
            </w:r>
            <w:r w:rsidR="00F478F4">
              <w:rPr>
                <w:rFonts w:ascii="Arial" w:eastAsia="Aptos" w:hAnsi="Arial" w:cs="Arial"/>
                <w:kern w:val="2"/>
                <w:lang w:val="en-GB"/>
                <w14:ligatures w14:val="standardContextual"/>
              </w:rPr>
              <w:t xml:space="preserve"> lack of hand hygiene</w:t>
            </w:r>
            <w:r w:rsidRPr="00DB67BA">
              <w:rPr>
                <w:rFonts w:ascii="Arial" w:eastAsia="Aptos" w:hAnsi="Arial" w:cs="Arial"/>
                <w:kern w:val="2"/>
                <w:lang w:val="en-GB"/>
                <w14:ligatures w14:val="standardContextual"/>
              </w:rPr>
              <w:t xml:space="preserve">. </w:t>
            </w:r>
            <w:r w:rsidR="007857E3">
              <w:rPr>
                <w:rFonts w:ascii="Arial" w:eastAsia="Aptos" w:hAnsi="Arial" w:cs="Arial"/>
                <w:kern w:val="2"/>
                <w:lang w:val="en-GB"/>
                <w14:ligatures w14:val="standardContextual"/>
              </w:rPr>
              <w:t xml:space="preserve">In the </w:t>
            </w:r>
            <w:r w:rsidR="0003344A">
              <w:rPr>
                <w:rFonts w:ascii="Arial" w:eastAsia="Aptos" w:hAnsi="Arial" w:cs="Arial"/>
                <w:kern w:val="2"/>
                <w:lang w:val="en-GB"/>
                <w14:ligatures w14:val="standardContextual"/>
              </w:rPr>
              <w:t xml:space="preserve">scenario </w:t>
            </w:r>
            <w:r w:rsidR="000B6713">
              <w:rPr>
                <w:rFonts w:ascii="Arial" w:eastAsia="Aptos" w:hAnsi="Arial" w:cs="Arial"/>
                <w:kern w:val="2"/>
                <w:lang w:val="en-GB"/>
                <w14:ligatures w14:val="standardContextual"/>
              </w:rPr>
              <w:t>that</w:t>
            </w:r>
            <w:r w:rsidR="007857E3">
              <w:rPr>
                <w:rFonts w:ascii="Arial" w:eastAsia="Aptos" w:hAnsi="Arial" w:cs="Arial"/>
                <w:kern w:val="2"/>
                <w:lang w:val="en-GB"/>
                <w14:ligatures w14:val="standardContextual"/>
              </w:rPr>
              <w:t xml:space="preserve"> the nurses genuinely forgot to wash their hands, t</w:t>
            </w:r>
            <w:r w:rsidRPr="00DB67BA">
              <w:rPr>
                <w:rFonts w:ascii="Arial" w:eastAsia="Aptos" w:hAnsi="Arial" w:cs="Arial"/>
                <w:kern w:val="2"/>
                <w:lang w:val="en-GB"/>
                <w14:ligatures w14:val="standardContextual"/>
              </w:rPr>
              <w:t xml:space="preserve">he theory is limited in its ability to explain </w:t>
            </w:r>
            <w:r w:rsidR="00684D3D">
              <w:rPr>
                <w:rFonts w:ascii="Arial" w:eastAsia="Aptos" w:hAnsi="Arial" w:cs="Arial"/>
                <w:kern w:val="2"/>
                <w:lang w:val="en-GB"/>
                <w14:ligatures w14:val="standardContextual"/>
              </w:rPr>
              <w:t>forgetting</w:t>
            </w:r>
            <w:r w:rsidR="002A7A13">
              <w:rPr>
                <w:rFonts w:ascii="Arial" w:eastAsia="Aptos" w:hAnsi="Arial" w:cs="Arial"/>
                <w:kern w:val="2"/>
                <w:lang w:val="en-GB"/>
                <w14:ligatures w14:val="standardContextual"/>
              </w:rPr>
              <w:t xml:space="preserve"> </w:t>
            </w:r>
            <w:r w:rsidR="002678CC">
              <w:rPr>
                <w:rFonts w:ascii="Arial" w:eastAsia="Aptos" w:hAnsi="Arial" w:cs="Arial"/>
                <w:kern w:val="2"/>
                <w:lang w:val="en-GB"/>
                <w14:ligatures w14:val="standardContextual"/>
              </w:rPr>
              <w:t xml:space="preserve">compared to </w:t>
            </w:r>
            <w:r w:rsidR="00D40087">
              <w:rPr>
                <w:rFonts w:ascii="Arial" w:eastAsia="Aptos" w:hAnsi="Arial" w:cs="Arial"/>
                <w:kern w:val="2"/>
                <w:lang w:val="en-GB"/>
                <w14:ligatures w14:val="standardContextual"/>
              </w:rPr>
              <w:t xml:space="preserve">if </w:t>
            </w:r>
            <w:r w:rsidR="002678CC">
              <w:rPr>
                <w:rFonts w:ascii="Arial" w:eastAsia="Aptos" w:hAnsi="Arial" w:cs="Arial"/>
                <w:kern w:val="2"/>
                <w:lang w:val="en-GB"/>
                <w14:ligatures w14:val="standardContextual"/>
              </w:rPr>
              <w:t xml:space="preserve">the </w:t>
            </w:r>
            <w:r w:rsidR="002678CC">
              <w:rPr>
                <w:rFonts w:ascii="Arial" w:eastAsia="Aptos" w:hAnsi="Arial" w:cs="Arial"/>
                <w:kern w:val="2"/>
                <w:lang w:val="en-GB"/>
                <w14:ligatures w14:val="standardContextual"/>
              </w:rPr>
              <w:lastRenderedPageBreak/>
              <w:t>nurses</w:t>
            </w:r>
            <w:r w:rsidRPr="00DB67BA">
              <w:rPr>
                <w:rFonts w:ascii="Arial" w:eastAsia="Aptos" w:hAnsi="Arial" w:cs="Arial"/>
                <w:kern w:val="2"/>
                <w:lang w:val="en-GB"/>
                <w14:ligatures w14:val="standardContextual"/>
              </w:rPr>
              <w:t xml:space="preserve"> </w:t>
            </w:r>
            <w:r w:rsidR="001D21D8">
              <w:rPr>
                <w:rFonts w:ascii="Arial" w:eastAsia="Aptos" w:hAnsi="Arial" w:cs="Arial"/>
                <w:kern w:val="2"/>
                <w:lang w:val="en-GB"/>
                <w14:ligatures w14:val="standardContextual"/>
              </w:rPr>
              <w:t xml:space="preserve">had </w:t>
            </w:r>
            <w:r w:rsidR="00FA7FD1">
              <w:rPr>
                <w:rFonts w:ascii="Arial" w:eastAsia="Aptos" w:hAnsi="Arial" w:cs="Arial"/>
                <w:kern w:val="2"/>
                <w:lang w:val="en-GB"/>
                <w14:ligatures w14:val="standardContextual"/>
              </w:rPr>
              <w:t>simply</w:t>
            </w:r>
            <w:r w:rsidRPr="00DB67BA">
              <w:rPr>
                <w:rFonts w:ascii="Arial" w:eastAsia="Aptos" w:hAnsi="Arial" w:cs="Arial"/>
                <w:kern w:val="2"/>
                <w:lang w:val="en-GB"/>
                <w14:ligatures w14:val="standardContextual"/>
              </w:rPr>
              <w:t xml:space="preserve"> </w:t>
            </w:r>
            <w:r w:rsidR="00344D44">
              <w:rPr>
                <w:rFonts w:ascii="Arial" w:eastAsia="Aptos" w:hAnsi="Arial" w:cs="Arial"/>
                <w:kern w:val="2"/>
                <w:lang w:val="en-GB"/>
                <w14:ligatures w14:val="standardContextual"/>
              </w:rPr>
              <w:t>not ha</w:t>
            </w:r>
            <w:r w:rsidR="001D21D8">
              <w:rPr>
                <w:rFonts w:ascii="Arial" w:eastAsia="Aptos" w:hAnsi="Arial" w:cs="Arial"/>
                <w:kern w:val="2"/>
                <w:lang w:val="en-GB"/>
                <w14:ligatures w14:val="standardContextual"/>
              </w:rPr>
              <w:t>d</w:t>
            </w:r>
            <w:r w:rsidR="00344D44">
              <w:rPr>
                <w:rFonts w:ascii="Arial" w:eastAsia="Aptos" w:hAnsi="Arial" w:cs="Arial"/>
                <w:kern w:val="2"/>
                <w:lang w:val="en-GB"/>
                <w14:ligatures w14:val="standardContextual"/>
              </w:rPr>
              <w:t xml:space="preserve"> the cognitive effort available</w:t>
            </w:r>
            <w:r w:rsidRPr="00DB67BA">
              <w:rPr>
                <w:rFonts w:ascii="Arial" w:eastAsia="Aptos" w:hAnsi="Arial" w:cs="Arial"/>
                <w:kern w:val="2"/>
                <w:lang w:val="en-GB"/>
                <w14:ligatures w14:val="standardContextual"/>
              </w:rPr>
              <w:t xml:space="preserve">. An alternative theory that can better explain </w:t>
            </w:r>
            <w:r w:rsidR="00F31314">
              <w:rPr>
                <w:rFonts w:ascii="Arial" w:eastAsia="Aptos" w:hAnsi="Arial" w:cs="Arial"/>
                <w:kern w:val="2"/>
                <w:lang w:val="en-GB"/>
                <w14:ligatures w14:val="standardContextual"/>
              </w:rPr>
              <w:t>forgetfulness</w:t>
            </w:r>
            <w:r w:rsidRPr="00DB67BA">
              <w:rPr>
                <w:rFonts w:ascii="Arial" w:eastAsia="Aptos" w:hAnsi="Arial" w:cs="Arial"/>
                <w:kern w:val="2"/>
                <w:lang w:val="en-GB"/>
                <w14:ligatures w14:val="standardContextual"/>
              </w:rPr>
              <w:t xml:space="preserve"> is the working memory model proposed by Baddeley &amp; Hitch (1994). This theory suggests that, whilst some of the nurses may have consciously decided to wash their hands, the high cognitive load caused by their busy work schedule could have caused them to forget about the task altogether rather than simply prioritisin</w:t>
            </w:r>
            <w:r w:rsidR="00F31314">
              <w:rPr>
                <w:rFonts w:ascii="Arial" w:eastAsia="Aptos" w:hAnsi="Arial" w:cs="Arial"/>
                <w:kern w:val="2"/>
                <w:lang w:val="en-GB"/>
                <w14:ligatures w14:val="standardContextual"/>
              </w:rPr>
              <w:t>g other tasks</w:t>
            </w:r>
            <w:r w:rsidRPr="00DB67BA">
              <w:rPr>
                <w:rFonts w:ascii="Arial" w:eastAsia="Aptos" w:hAnsi="Arial" w:cs="Arial"/>
                <w:kern w:val="2"/>
                <w:lang w:val="en-GB"/>
                <w14:ligatures w14:val="standardContextual"/>
              </w:rPr>
              <w:t>. This would apply to the nurses who did not wash their hands before and after visits and nurses wh</w:t>
            </w:r>
            <w:r w:rsidR="008E0B84">
              <w:rPr>
                <w:rFonts w:ascii="Arial" w:eastAsia="Aptos" w:hAnsi="Arial" w:cs="Arial"/>
                <w:kern w:val="2"/>
                <w:lang w:val="en-GB"/>
                <w14:ligatures w14:val="standardContextual"/>
              </w:rPr>
              <w:t xml:space="preserve">o </w:t>
            </w:r>
            <w:r w:rsidR="00453CF3">
              <w:rPr>
                <w:rFonts w:ascii="Arial" w:eastAsia="Aptos" w:hAnsi="Arial" w:cs="Arial"/>
                <w:kern w:val="2"/>
                <w:lang w:val="en-GB"/>
                <w14:ligatures w14:val="standardContextual"/>
              </w:rPr>
              <w:t>may have forgotten the</w:t>
            </w:r>
            <w:r w:rsidRPr="00DB67BA">
              <w:rPr>
                <w:rFonts w:ascii="Arial" w:eastAsia="Aptos" w:hAnsi="Arial" w:cs="Arial"/>
                <w:kern w:val="2"/>
                <w:lang w:val="en-GB"/>
                <w14:ligatures w14:val="standardContextual"/>
              </w:rPr>
              <w:t xml:space="preserve"> correct techniques. The hand washing goal is replaced in working memory, implying that knowledge on hand washing is irrelevant because it is forgotten </w:t>
            </w:r>
            <w:r w:rsidR="0040273B">
              <w:rPr>
                <w:rFonts w:ascii="Arial" w:eastAsia="Aptos" w:hAnsi="Arial" w:cs="Arial"/>
                <w:kern w:val="2"/>
                <w:lang w:val="en-GB"/>
                <w14:ligatures w14:val="standardContextual"/>
              </w:rPr>
              <w:t>rather than</w:t>
            </w:r>
            <w:r w:rsidRPr="00DB67BA">
              <w:rPr>
                <w:rFonts w:ascii="Arial" w:eastAsia="Aptos" w:hAnsi="Arial" w:cs="Arial"/>
                <w:kern w:val="2"/>
                <w:lang w:val="en-GB"/>
                <w14:ligatures w14:val="standardContextual"/>
              </w:rPr>
              <w:t xml:space="preserve"> ignored (Fuller et al., 2014). This is supported by studies where forgetting is listed as the reason for professionals not washing their hands (Cole, 2009; Redelmeier &amp; Shafir, 2015).</w:t>
            </w:r>
          </w:p>
        </w:tc>
      </w:tr>
    </w:tbl>
    <w:p w14:paraId="0CF4EDF2" w14:textId="77777777" w:rsidR="00A24793" w:rsidRPr="003A798E" w:rsidRDefault="00A24793"/>
    <w:tbl>
      <w:tblPr>
        <w:tblW w:w="10508" w:type="dxa"/>
        <w:shd w:val="clear" w:color="auto" w:fill="00C1C7" w:themeFill="accent2"/>
        <w:tblLayout w:type="fixed"/>
        <w:tblLook w:val="0600" w:firstRow="0" w:lastRow="0" w:firstColumn="0" w:lastColumn="0" w:noHBand="1" w:noVBand="1"/>
      </w:tblPr>
      <w:tblGrid>
        <w:gridCol w:w="851"/>
        <w:gridCol w:w="8690"/>
        <w:gridCol w:w="967"/>
      </w:tblGrid>
      <w:tr w:rsidR="0031055C" w:rsidRPr="003A798E" w14:paraId="24F1484D" w14:textId="77777777" w:rsidTr="0098239A">
        <w:trPr>
          <w:trHeight w:val="373"/>
        </w:trPr>
        <w:tc>
          <w:tcPr>
            <w:tcW w:w="851" w:type="dxa"/>
            <w:vMerge w:val="restart"/>
            <w:shd w:val="clear" w:color="auto" w:fill="00C1C7" w:themeFill="accent2"/>
          </w:tcPr>
          <w:p w14:paraId="2B59145D" w14:textId="77777777" w:rsidR="0031055C" w:rsidRPr="003A798E" w:rsidRDefault="0031055C" w:rsidP="0031055C">
            <w:pPr>
              <w:pStyle w:val="GraphicAnchor"/>
            </w:pPr>
          </w:p>
        </w:tc>
        <w:tc>
          <w:tcPr>
            <w:tcW w:w="8690" w:type="dxa"/>
            <w:tcBorders>
              <w:bottom w:val="single" w:sz="36" w:space="0" w:color="123869" w:themeColor="accent1"/>
            </w:tcBorders>
            <w:shd w:val="clear" w:color="auto" w:fill="00C1C7" w:themeFill="accent2"/>
          </w:tcPr>
          <w:p w14:paraId="136EF726" w14:textId="77777777" w:rsidR="0031055C" w:rsidRPr="003A798E" w:rsidRDefault="0031055C" w:rsidP="0031055C"/>
        </w:tc>
        <w:tc>
          <w:tcPr>
            <w:tcW w:w="967" w:type="dxa"/>
            <w:vMerge w:val="restart"/>
            <w:shd w:val="clear" w:color="auto" w:fill="00C1C7" w:themeFill="accent2"/>
          </w:tcPr>
          <w:p w14:paraId="230C2B99" w14:textId="77777777" w:rsidR="0031055C" w:rsidRPr="003A798E" w:rsidRDefault="0031055C" w:rsidP="00D6375E"/>
        </w:tc>
      </w:tr>
      <w:tr w:rsidR="0031055C" w:rsidRPr="003A798E" w14:paraId="248C2EAF" w14:textId="77777777" w:rsidTr="0098239A">
        <w:trPr>
          <w:trHeight w:val="3502"/>
        </w:trPr>
        <w:tc>
          <w:tcPr>
            <w:tcW w:w="851" w:type="dxa"/>
            <w:vMerge/>
            <w:shd w:val="clear" w:color="auto" w:fill="00C1C7" w:themeFill="accent2"/>
          </w:tcPr>
          <w:p w14:paraId="576F82E5" w14:textId="77777777" w:rsidR="0031055C" w:rsidRPr="003A798E" w:rsidRDefault="0031055C" w:rsidP="00D6375E"/>
        </w:tc>
        <w:tc>
          <w:tcPr>
            <w:tcW w:w="8690" w:type="dxa"/>
            <w:tcBorders>
              <w:top w:val="single" w:sz="36" w:space="0" w:color="123869" w:themeColor="accent1"/>
              <w:bottom w:val="single" w:sz="36" w:space="0" w:color="123869" w:themeColor="accent1"/>
            </w:tcBorders>
            <w:shd w:val="clear" w:color="auto" w:fill="FFFFFF" w:themeFill="background1"/>
            <w:vAlign w:val="center"/>
          </w:tcPr>
          <w:p w14:paraId="6BFD6B9F" w14:textId="27387AFE" w:rsidR="0031055C" w:rsidRPr="0098239A" w:rsidRDefault="0098239A" w:rsidP="00A24793">
            <w:pPr>
              <w:pStyle w:val="Quote"/>
              <w:rPr>
                <w:sz w:val="72"/>
                <w:szCs w:val="22"/>
              </w:rPr>
            </w:pPr>
            <w:r w:rsidRPr="0098239A">
              <w:rPr>
                <w:sz w:val="72"/>
                <w:szCs w:val="22"/>
              </w:rPr>
              <w:t>CONCLUSION AND RECOMMENDATIONS</w:t>
            </w:r>
          </w:p>
        </w:tc>
        <w:tc>
          <w:tcPr>
            <w:tcW w:w="967" w:type="dxa"/>
            <w:vMerge/>
            <w:shd w:val="clear" w:color="auto" w:fill="00C1C7" w:themeFill="accent2"/>
          </w:tcPr>
          <w:p w14:paraId="7416AA32" w14:textId="77777777" w:rsidR="0031055C" w:rsidRPr="003A798E" w:rsidRDefault="0031055C" w:rsidP="00D6375E"/>
        </w:tc>
      </w:tr>
      <w:tr w:rsidR="0031055C" w:rsidRPr="003A798E" w14:paraId="5680728F" w14:textId="77777777" w:rsidTr="0098239A">
        <w:trPr>
          <w:trHeight w:val="9648"/>
        </w:trPr>
        <w:tc>
          <w:tcPr>
            <w:tcW w:w="851" w:type="dxa"/>
            <w:vMerge/>
            <w:shd w:val="clear" w:color="auto" w:fill="00C1C7" w:themeFill="accent2"/>
          </w:tcPr>
          <w:p w14:paraId="30E7C66B" w14:textId="77777777" w:rsidR="0031055C" w:rsidRPr="003A798E" w:rsidRDefault="0031055C" w:rsidP="00D6375E"/>
        </w:tc>
        <w:tc>
          <w:tcPr>
            <w:tcW w:w="8690" w:type="dxa"/>
            <w:tcBorders>
              <w:top w:val="single" w:sz="36" w:space="0" w:color="123869" w:themeColor="accent1"/>
            </w:tcBorders>
            <w:shd w:val="clear" w:color="auto" w:fill="00C1C7" w:themeFill="accent2"/>
          </w:tcPr>
          <w:p w14:paraId="46B3BE5A" w14:textId="720FA117" w:rsidR="0031055C" w:rsidRPr="003A798E" w:rsidRDefault="00154FB5" w:rsidP="00154FB5">
            <w:pPr>
              <w:spacing w:line="480" w:lineRule="auto"/>
              <w:ind w:left="284" w:firstLine="720"/>
            </w:pPr>
            <w:r w:rsidRPr="00154FB5">
              <w:rPr>
                <w:rFonts w:ascii="Arial" w:eastAsia="Aptos" w:hAnsi="Arial" w:cs="Arial"/>
                <w:kern w:val="2"/>
                <w:lang w:val="en-GB"/>
                <w14:ligatures w14:val="standardContextual"/>
              </w:rPr>
              <w:t xml:space="preserve">To conclude, the dual-process theory is a valuable theory in understanding why the district nurses under the </w:t>
            </w:r>
            <w:r w:rsidRPr="00154FB5">
              <w:rPr>
                <w:rFonts w:ascii="Arial" w:eastAsia="Aptos" w:hAnsi="Arial" w:cs="Arial"/>
                <w:bCs/>
                <w:kern w:val="2"/>
                <w14:ligatures w14:val="standardContextual"/>
              </w:rPr>
              <w:t>Glynafonshire Health Board</w:t>
            </w:r>
            <w:r w:rsidRPr="00154FB5">
              <w:rPr>
                <w:rFonts w:ascii="Arial" w:eastAsia="Aptos" w:hAnsi="Arial" w:cs="Arial"/>
                <w:kern w:val="2"/>
                <w:lang w:val="en-GB"/>
                <w14:ligatures w14:val="standardContextual"/>
              </w:rPr>
              <w:t xml:space="preserve"> failed to adhere to the handwashing policy and caused the infection of eight patients. It highlights how the increased workload and longer working hours experienced by the nurses resulted in them making decisions out of intuition rather than critical thinking. Hence, to avoid the risks posed by this incident in the future, it is recommended that the health board implement new procedures </w:t>
            </w:r>
            <w:r w:rsidR="00853C0F">
              <w:rPr>
                <w:rFonts w:ascii="Arial" w:eastAsia="Aptos" w:hAnsi="Arial" w:cs="Arial"/>
                <w:kern w:val="2"/>
                <w:lang w:val="en-GB"/>
                <w14:ligatures w14:val="standardContextual"/>
              </w:rPr>
              <w:t>including</w:t>
            </w:r>
            <w:r w:rsidRPr="00154FB5">
              <w:rPr>
                <w:rFonts w:ascii="Arial" w:eastAsia="Aptos" w:hAnsi="Arial" w:cs="Arial"/>
                <w:kern w:val="2"/>
                <w:lang w:val="en-GB"/>
                <w14:ligatures w14:val="standardContextual"/>
              </w:rPr>
              <w:t xml:space="preserve"> smart badges</w:t>
            </w:r>
            <w:r w:rsidR="0041191B">
              <w:rPr>
                <w:rFonts w:ascii="Arial" w:eastAsia="Aptos" w:hAnsi="Arial" w:cs="Arial"/>
                <w:kern w:val="2"/>
                <w:lang w:val="en-GB"/>
                <w14:ligatures w14:val="standardContextual"/>
              </w:rPr>
              <w:t xml:space="preserve">, </w:t>
            </w:r>
            <w:r w:rsidR="007808FE">
              <w:rPr>
                <w:rFonts w:ascii="Arial" w:eastAsia="Aptos" w:hAnsi="Arial" w:cs="Arial"/>
                <w:kern w:val="2"/>
                <w:lang w:val="en-GB"/>
                <w14:ligatures w14:val="standardContextual"/>
              </w:rPr>
              <w:t>portable hand rubs</w:t>
            </w:r>
            <w:r w:rsidR="0050589C">
              <w:rPr>
                <w:rFonts w:ascii="Arial" w:eastAsia="Aptos" w:hAnsi="Arial" w:cs="Arial"/>
                <w:kern w:val="2"/>
                <w:lang w:val="en-GB"/>
                <w14:ligatures w14:val="standardContextual"/>
              </w:rPr>
              <w:t>, reminder stickers</w:t>
            </w:r>
            <w:r w:rsidR="007808FE">
              <w:rPr>
                <w:rFonts w:ascii="Arial" w:eastAsia="Aptos" w:hAnsi="Arial" w:cs="Arial"/>
                <w:kern w:val="2"/>
                <w:lang w:val="en-GB"/>
                <w14:ligatures w14:val="standardContextual"/>
              </w:rPr>
              <w:t xml:space="preserve"> </w:t>
            </w:r>
            <w:r w:rsidRPr="00154FB5">
              <w:rPr>
                <w:rFonts w:ascii="Arial" w:eastAsia="Aptos" w:hAnsi="Arial" w:cs="Arial"/>
                <w:kern w:val="2"/>
                <w:lang w:val="en-GB"/>
                <w14:ligatures w14:val="standardContextual"/>
              </w:rPr>
              <w:t xml:space="preserve">and simulation-based training to encourage handwashing. These interventions </w:t>
            </w:r>
            <w:r w:rsidR="00E60A1E">
              <w:rPr>
                <w:rFonts w:ascii="Arial" w:eastAsia="Aptos" w:hAnsi="Arial" w:cs="Arial"/>
                <w:kern w:val="2"/>
                <w:lang w:val="en-GB"/>
                <w14:ligatures w14:val="standardContextual"/>
              </w:rPr>
              <w:t>can</w:t>
            </w:r>
            <w:r w:rsidRPr="00154FB5">
              <w:rPr>
                <w:rFonts w:ascii="Arial" w:eastAsia="Aptos" w:hAnsi="Arial" w:cs="Arial"/>
                <w:kern w:val="2"/>
                <w:lang w:val="en-GB"/>
                <w14:ligatures w14:val="standardContextual"/>
              </w:rPr>
              <w:t xml:space="preserve"> enhance adherence to the handwashing policy by ingraining handwashing as a habit rather than a task the nurses have to intentionally think about</w:t>
            </w:r>
            <w:r w:rsidR="00271525">
              <w:rPr>
                <w:rFonts w:ascii="Arial" w:eastAsia="Aptos" w:hAnsi="Arial" w:cs="Arial"/>
                <w:kern w:val="2"/>
                <w:lang w:val="en-GB"/>
                <w14:ligatures w14:val="standardContextual"/>
              </w:rPr>
              <w:t xml:space="preserve"> every time</w:t>
            </w:r>
            <w:r w:rsidRPr="00154FB5">
              <w:rPr>
                <w:rFonts w:ascii="Arial" w:eastAsia="Aptos" w:hAnsi="Arial" w:cs="Arial"/>
                <w:kern w:val="2"/>
                <w:lang w:val="en-GB"/>
                <w14:ligatures w14:val="standardContextual"/>
              </w:rPr>
              <w:t xml:space="preserve">. It is important for the health board to be aware, however, of the ethical considerations surrounding the implementation of these procedures. For example, informing the nurses of the new procedures and </w:t>
            </w:r>
            <w:r w:rsidR="00C10079">
              <w:rPr>
                <w:rFonts w:ascii="Arial" w:eastAsia="Aptos" w:hAnsi="Arial" w:cs="Arial"/>
                <w:kern w:val="2"/>
                <w:lang w:val="en-GB"/>
                <w14:ligatures w14:val="standardContextual"/>
              </w:rPr>
              <w:t>being cautious when implementing</w:t>
            </w:r>
            <w:r w:rsidRPr="00154FB5">
              <w:rPr>
                <w:rFonts w:ascii="Arial" w:eastAsia="Aptos" w:hAnsi="Arial" w:cs="Arial"/>
                <w:kern w:val="2"/>
                <w:lang w:val="en-GB"/>
                <w14:ligatures w14:val="standardContextual"/>
              </w:rPr>
              <w:t xml:space="preserve"> Artificial Intelligence</w:t>
            </w:r>
            <w:r w:rsidR="00271525">
              <w:rPr>
                <w:rFonts w:ascii="Arial" w:eastAsia="Aptos" w:hAnsi="Arial" w:cs="Arial"/>
                <w:kern w:val="2"/>
                <w:lang w:val="en-GB"/>
                <w14:ligatures w14:val="standardContextual"/>
              </w:rPr>
              <w:t xml:space="preserve"> in healthcare</w:t>
            </w:r>
            <w:r w:rsidRPr="00154FB5">
              <w:rPr>
                <w:rFonts w:ascii="Arial" w:eastAsia="Aptos" w:hAnsi="Arial" w:cs="Arial"/>
                <w:kern w:val="2"/>
                <w:lang w:val="en-GB"/>
                <w14:ligatures w14:val="standardContextual"/>
              </w:rPr>
              <w:t xml:space="preserve">. Thus, whilst the dual-process theory can’t explain everything </w:t>
            </w:r>
            <w:r w:rsidR="000E2E7A">
              <w:rPr>
                <w:rFonts w:ascii="Arial" w:eastAsia="Aptos" w:hAnsi="Arial" w:cs="Arial"/>
                <w:kern w:val="2"/>
                <w:lang w:val="en-GB"/>
                <w14:ligatures w14:val="standardContextual"/>
              </w:rPr>
              <w:t>concerning</w:t>
            </w:r>
            <w:r w:rsidRPr="00154FB5">
              <w:rPr>
                <w:rFonts w:ascii="Arial" w:eastAsia="Aptos" w:hAnsi="Arial" w:cs="Arial"/>
                <w:kern w:val="2"/>
                <w:lang w:val="en-GB"/>
                <w14:ligatures w14:val="standardContextual"/>
              </w:rPr>
              <w:t xml:space="preserve"> the lack of hand hygiene adherence, it has effectively informed this case report </w:t>
            </w:r>
            <w:r w:rsidR="00FC5D5D">
              <w:rPr>
                <w:rFonts w:ascii="Arial" w:eastAsia="Aptos" w:hAnsi="Arial" w:cs="Arial"/>
                <w:kern w:val="2"/>
                <w:lang w:val="en-GB"/>
                <w14:ligatures w14:val="standardContextual"/>
              </w:rPr>
              <w:t xml:space="preserve">which aims </w:t>
            </w:r>
            <w:r w:rsidRPr="00154FB5">
              <w:rPr>
                <w:rFonts w:ascii="Arial" w:eastAsia="Aptos" w:hAnsi="Arial" w:cs="Arial"/>
                <w:kern w:val="2"/>
                <w:lang w:val="en-GB"/>
                <w14:ligatures w14:val="standardContextual"/>
              </w:rPr>
              <w:t xml:space="preserve">to benefit the </w:t>
            </w:r>
            <w:r w:rsidRPr="00154FB5">
              <w:rPr>
                <w:rFonts w:ascii="Arial" w:eastAsia="Aptos" w:hAnsi="Arial" w:cs="Arial"/>
                <w:bCs/>
                <w:kern w:val="2"/>
                <w14:ligatures w14:val="standardContextual"/>
              </w:rPr>
              <w:t>Glynafonshire Health Board</w:t>
            </w:r>
            <w:r w:rsidR="00080CC8">
              <w:rPr>
                <w:rFonts w:ascii="Arial" w:eastAsia="Aptos" w:hAnsi="Arial" w:cs="Arial"/>
                <w:bCs/>
                <w:kern w:val="2"/>
                <w14:ligatures w14:val="standardContextual"/>
              </w:rPr>
              <w:t xml:space="preserve"> and the </w:t>
            </w:r>
            <w:r w:rsidR="00E47BBD">
              <w:rPr>
                <w:rFonts w:ascii="Arial" w:eastAsia="Aptos" w:hAnsi="Arial" w:cs="Arial"/>
                <w:bCs/>
                <w:kern w:val="2"/>
                <w14:ligatures w14:val="standardContextual"/>
              </w:rPr>
              <w:t xml:space="preserve">district </w:t>
            </w:r>
            <w:r w:rsidR="00080CC8">
              <w:rPr>
                <w:rFonts w:ascii="Arial" w:eastAsia="Aptos" w:hAnsi="Arial" w:cs="Arial"/>
                <w:bCs/>
                <w:kern w:val="2"/>
                <w14:ligatures w14:val="standardContextual"/>
              </w:rPr>
              <w:t>nurses</w:t>
            </w:r>
            <w:r w:rsidR="00FA5C8F">
              <w:rPr>
                <w:rFonts w:ascii="Arial" w:eastAsia="Aptos" w:hAnsi="Arial" w:cs="Arial"/>
                <w:bCs/>
                <w:kern w:val="2"/>
                <w14:ligatures w14:val="standardContextual"/>
              </w:rPr>
              <w:t xml:space="preserve"> </w:t>
            </w:r>
            <w:r w:rsidR="00CD25DE">
              <w:rPr>
                <w:rFonts w:ascii="Arial" w:eastAsia="Aptos" w:hAnsi="Arial" w:cs="Arial"/>
                <w:bCs/>
                <w:kern w:val="2"/>
                <w14:ligatures w14:val="standardContextual"/>
              </w:rPr>
              <w:t>who practice under it.</w:t>
            </w:r>
          </w:p>
        </w:tc>
        <w:tc>
          <w:tcPr>
            <w:tcW w:w="967" w:type="dxa"/>
            <w:vMerge/>
            <w:shd w:val="clear" w:color="auto" w:fill="00C1C7" w:themeFill="accent2"/>
          </w:tcPr>
          <w:p w14:paraId="789A6779" w14:textId="77777777" w:rsidR="0031055C" w:rsidRPr="003A798E" w:rsidRDefault="0031055C" w:rsidP="00D6375E"/>
        </w:tc>
      </w:tr>
    </w:tbl>
    <w:p w14:paraId="7CD2BC04" w14:textId="77777777" w:rsidR="0098239A" w:rsidRDefault="0098239A"/>
    <w:p w14:paraId="4063F1AD" w14:textId="77777777" w:rsidR="006B2F4E" w:rsidRDefault="0098239A" w:rsidP="0098239A">
      <w:pPr>
        <w:pStyle w:val="Heading2"/>
        <w:jc w:val="center"/>
        <w:rPr>
          <w:noProof/>
          <w:lang w:eastAsia="en-AU"/>
        </w:rPr>
      </w:pPr>
      <w:r>
        <w:rPr>
          <w:noProof/>
          <w:lang w:eastAsia="en-AU"/>
        </w:rPr>
        <w:t>REFERENCE LIST</w:t>
      </w:r>
    </w:p>
    <w:p w14:paraId="61F4C25D" w14:textId="77777777" w:rsidR="006B2F4E" w:rsidRDefault="006B2F4E" w:rsidP="0098239A">
      <w:pPr>
        <w:pStyle w:val="Heading2"/>
        <w:jc w:val="center"/>
        <w:rPr>
          <w:noProof/>
          <w:lang w:eastAsia="en-AU"/>
        </w:rPr>
      </w:pPr>
    </w:p>
    <w:p w14:paraId="09514DBD" w14:textId="375C5BA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 xml:space="preserve">Baddeley, A. D., &amp; Hitch, G. J. (1994). Developments in </w:t>
      </w:r>
      <w:r w:rsidR="001A001C" w:rsidRPr="00126D6F">
        <w:rPr>
          <w:rFonts w:ascii="Arial" w:eastAsia="Aptos" w:hAnsi="Arial" w:cs="Arial"/>
          <w:kern w:val="2"/>
          <w:lang w:val="en-GB"/>
          <w14:ligatures w14:val="standardContextual"/>
        </w:rPr>
        <w:t>the concept of working memory. </w:t>
      </w:r>
      <w:r w:rsidRPr="00126D6F">
        <w:rPr>
          <w:rFonts w:ascii="Arial" w:eastAsia="Aptos" w:hAnsi="Arial" w:cs="Arial"/>
          <w:i/>
          <w:iCs/>
          <w:kern w:val="2"/>
          <w:lang w:val="en-GB"/>
          <w14:ligatures w14:val="standardContextual"/>
        </w:rPr>
        <w:t>Neuropsychology</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8</w:t>
      </w:r>
      <w:r w:rsidRPr="00126D6F">
        <w:rPr>
          <w:rFonts w:ascii="Arial" w:eastAsia="Aptos" w:hAnsi="Arial" w:cs="Arial"/>
          <w:kern w:val="2"/>
          <w:lang w:val="en-GB"/>
          <w14:ligatures w14:val="standardContextual"/>
        </w:rPr>
        <w:t>(4), 485–493. https://doi.org/10.1037/0894-4105.8.4.485</w:t>
      </w:r>
    </w:p>
    <w:p w14:paraId="0F2004D5"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lastRenderedPageBreak/>
        <w:t>Bronstein, M. V., Pennycook, G., Joormann, J., Corlett, P. R., &amp; Cannon, T. D. (2019). Dual-process theory, conflict processing, and delusional belief. </w:t>
      </w:r>
      <w:r w:rsidRPr="00126D6F">
        <w:rPr>
          <w:rFonts w:ascii="Arial" w:eastAsia="Aptos" w:hAnsi="Arial" w:cs="Arial"/>
          <w:i/>
          <w:iCs/>
          <w:kern w:val="2"/>
          <w:lang w:val="en-GB"/>
          <w14:ligatures w14:val="standardContextual"/>
        </w:rPr>
        <w:t>Clinical Psychology Review</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72</w:t>
      </w:r>
      <w:r w:rsidRPr="00126D6F">
        <w:rPr>
          <w:rFonts w:ascii="Arial" w:eastAsia="Aptos" w:hAnsi="Arial" w:cs="Arial"/>
          <w:kern w:val="2"/>
          <w:lang w:val="en-GB"/>
          <w14:ligatures w14:val="standardContextual"/>
        </w:rPr>
        <w:t>, Article 101748. https://doi.org/10.1016/j.cpr.2019.101748</w:t>
      </w:r>
    </w:p>
    <w:p w14:paraId="5A66298E"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Cho, E., Sloane, D. M., Kim, E.-Y., Kim, S., Choi, M., Yoo, I. Y., Lee, H. S., &amp; Aiken, L. H. (2015). Effects of nurse staffing, work environments, and education on patient mortality: An observational study. </w:t>
      </w:r>
      <w:r w:rsidRPr="00126D6F">
        <w:rPr>
          <w:rFonts w:ascii="Arial" w:eastAsia="Aptos" w:hAnsi="Arial" w:cs="Arial"/>
          <w:i/>
          <w:iCs/>
          <w:kern w:val="2"/>
          <w:lang w:val="en-GB"/>
          <w14:ligatures w14:val="standardContextual"/>
        </w:rPr>
        <w:t>International Journal of Nursing Studies</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52</w:t>
      </w:r>
      <w:r w:rsidRPr="00126D6F">
        <w:rPr>
          <w:rFonts w:ascii="Arial" w:eastAsia="Aptos" w:hAnsi="Arial" w:cs="Arial"/>
          <w:kern w:val="2"/>
          <w:lang w:val="en-GB"/>
          <w14:ligatures w14:val="standardContextual"/>
        </w:rPr>
        <w:t>(2), 535–542. https://doi.org/10.1016/j.ijnurstu.2014.08.006</w:t>
      </w:r>
    </w:p>
    <w:p w14:paraId="1C55260C"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Cole, M. (2009). Exploring the hand hygiene competence of student nurses: A case of flawed self-assessment. </w:t>
      </w:r>
      <w:r w:rsidRPr="00126D6F">
        <w:rPr>
          <w:rFonts w:ascii="Arial" w:eastAsia="Aptos" w:hAnsi="Arial" w:cs="Arial"/>
          <w:i/>
          <w:iCs/>
          <w:kern w:val="2"/>
          <w:lang w:val="en-GB"/>
          <w14:ligatures w14:val="standardContextual"/>
        </w:rPr>
        <w:t>Nurse Education Today</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29</w:t>
      </w:r>
      <w:r w:rsidRPr="00126D6F">
        <w:rPr>
          <w:rFonts w:ascii="Arial" w:eastAsia="Aptos" w:hAnsi="Arial" w:cs="Arial"/>
          <w:kern w:val="2"/>
          <w:lang w:val="en-GB"/>
          <w14:ligatures w14:val="standardContextual"/>
        </w:rPr>
        <w:t>(4), 380–388. https://doi.org/10.1016/j.nedt.2008.10.010</w:t>
      </w:r>
    </w:p>
    <w:p w14:paraId="09A15EB3"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De Neys, W. (2006). Dual processing in reasoning: Two systems but one reasoner. </w:t>
      </w:r>
      <w:r w:rsidRPr="00126D6F">
        <w:rPr>
          <w:rFonts w:ascii="Arial" w:eastAsia="Aptos" w:hAnsi="Arial" w:cs="Arial"/>
          <w:i/>
          <w:iCs/>
          <w:kern w:val="2"/>
          <w:lang w:val="en-GB"/>
          <w14:ligatures w14:val="standardContextual"/>
        </w:rPr>
        <w:t>Psychological Science</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17</w:t>
      </w:r>
      <w:r w:rsidRPr="00126D6F">
        <w:rPr>
          <w:rFonts w:ascii="Arial" w:eastAsia="Aptos" w:hAnsi="Arial" w:cs="Arial"/>
          <w:kern w:val="2"/>
          <w:lang w:val="en-GB"/>
          <w14:ligatures w14:val="standardContextual"/>
        </w:rPr>
        <w:t>(5), 428–433. https://doi.org/10.1111/j.1467-9280.2006.01723.x</w:t>
      </w:r>
    </w:p>
    <w:p w14:paraId="0EBA9F52"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Dung, L. (2025). The effectiveness of nudging and its ethical implications. </w:t>
      </w:r>
      <w:r w:rsidRPr="00126D6F">
        <w:rPr>
          <w:rFonts w:ascii="Arial" w:eastAsia="Aptos" w:hAnsi="Arial" w:cs="Arial"/>
          <w:i/>
          <w:iCs/>
          <w:kern w:val="2"/>
          <w:lang w:val="en-GB"/>
          <w14:ligatures w14:val="standardContextual"/>
        </w:rPr>
        <w:t>Bioethics</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39</w:t>
      </w:r>
      <w:r w:rsidRPr="00126D6F">
        <w:rPr>
          <w:rFonts w:ascii="Arial" w:eastAsia="Aptos" w:hAnsi="Arial" w:cs="Arial"/>
          <w:kern w:val="2"/>
          <w:lang w:val="en-GB"/>
          <w14:ligatures w14:val="standardContextual"/>
        </w:rPr>
        <w:t>(8), 748–754. https://doi.org/10.1111/bioe.70000</w:t>
      </w:r>
    </w:p>
    <w:p w14:paraId="287EB94C"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 xml:space="preserve">Elia, F., </w:t>
      </w:r>
      <w:proofErr w:type="spellStart"/>
      <w:r w:rsidRPr="00126D6F">
        <w:rPr>
          <w:rFonts w:ascii="Arial" w:eastAsia="Aptos" w:hAnsi="Arial" w:cs="Arial"/>
          <w:kern w:val="2"/>
          <w:lang w:val="en-GB"/>
          <w14:ligatures w14:val="standardContextual"/>
        </w:rPr>
        <w:t>Calzavarini</w:t>
      </w:r>
      <w:proofErr w:type="spellEnd"/>
      <w:r w:rsidRPr="00126D6F">
        <w:rPr>
          <w:rFonts w:ascii="Arial" w:eastAsia="Aptos" w:hAnsi="Arial" w:cs="Arial"/>
          <w:kern w:val="2"/>
          <w:lang w:val="en-GB"/>
          <w14:ligatures w14:val="standardContextual"/>
        </w:rPr>
        <w:t xml:space="preserve">, F., Bianco, P., Vecchietti, R. G., Macor, A. F., D’Orazio, A., Dragonetti, A., D’Alfonso, A., </w:t>
      </w:r>
      <w:proofErr w:type="spellStart"/>
      <w:r w:rsidRPr="00126D6F">
        <w:rPr>
          <w:rFonts w:ascii="Arial" w:eastAsia="Aptos" w:hAnsi="Arial" w:cs="Arial"/>
          <w:kern w:val="2"/>
          <w:lang w:val="en-GB"/>
          <w14:ligatures w14:val="standardContextual"/>
        </w:rPr>
        <w:t>Belletrutti</w:t>
      </w:r>
      <w:proofErr w:type="spellEnd"/>
      <w:r w:rsidRPr="00126D6F">
        <w:rPr>
          <w:rFonts w:ascii="Arial" w:eastAsia="Aptos" w:hAnsi="Arial" w:cs="Arial"/>
          <w:kern w:val="2"/>
          <w:lang w:val="en-GB"/>
          <w14:ligatures w14:val="standardContextual"/>
        </w:rPr>
        <w:t xml:space="preserve">, L., Floris, M., Bert, F., Crupi, V., &amp; </w:t>
      </w:r>
      <w:proofErr w:type="spellStart"/>
      <w:r w:rsidRPr="00126D6F">
        <w:rPr>
          <w:rFonts w:ascii="Arial" w:eastAsia="Aptos" w:hAnsi="Arial" w:cs="Arial"/>
          <w:kern w:val="2"/>
          <w:lang w:val="en-GB"/>
          <w14:ligatures w14:val="standardContextual"/>
        </w:rPr>
        <w:t>Aprà</w:t>
      </w:r>
      <w:proofErr w:type="spellEnd"/>
      <w:r w:rsidRPr="00126D6F">
        <w:rPr>
          <w:rFonts w:ascii="Arial" w:eastAsia="Aptos" w:hAnsi="Arial" w:cs="Arial"/>
          <w:kern w:val="2"/>
          <w:lang w:val="en-GB"/>
          <w14:ligatures w14:val="standardContextual"/>
        </w:rPr>
        <w:t>, F. (2022). A nudge intervention to improve hand hygiene compliance in the hospital. </w:t>
      </w:r>
      <w:r w:rsidRPr="00126D6F">
        <w:rPr>
          <w:rFonts w:ascii="Arial" w:eastAsia="Aptos" w:hAnsi="Arial" w:cs="Arial"/>
          <w:i/>
          <w:iCs/>
          <w:kern w:val="2"/>
          <w:lang w:val="en-GB"/>
          <w14:ligatures w14:val="standardContextual"/>
        </w:rPr>
        <w:t>Internal and Emergency Medicine</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17</w:t>
      </w:r>
      <w:r w:rsidRPr="00126D6F">
        <w:rPr>
          <w:rFonts w:ascii="Arial" w:eastAsia="Aptos" w:hAnsi="Arial" w:cs="Arial"/>
          <w:kern w:val="2"/>
          <w:lang w:val="en-GB"/>
          <w14:ligatures w14:val="standardContextual"/>
        </w:rPr>
        <w:t xml:space="preserve">(7), 1899–1905. </w:t>
      </w:r>
      <w:hyperlink r:id="rId10" w:history="1">
        <w:r w:rsidRPr="00126D6F">
          <w:rPr>
            <w:rFonts w:ascii="Arial" w:eastAsia="Aptos" w:hAnsi="Arial" w:cs="Arial"/>
            <w:kern w:val="2"/>
            <w:lang w:val="en-GB"/>
            <w14:ligatures w14:val="standardContextual"/>
          </w:rPr>
          <w:t>https://doi.org/10.1007/s11739-022-03024-</w:t>
        </w:r>
      </w:hyperlink>
      <w:r w:rsidRPr="00126D6F">
        <w:rPr>
          <w:rFonts w:ascii="Arial" w:eastAsia="Aptos" w:hAnsi="Arial" w:cs="Arial"/>
          <w:kern w:val="2"/>
          <w:lang w:val="en-GB"/>
          <w14:ligatures w14:val="standardContextual"/>
        </w:rPr>
        <w:t>7</w:t>
      </w:r>
    </w:p>
    <w:p w14:paraId="20976E68"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 xml:space="preserve">Evans, J. S. B., </w:t>
      </w:r>
      <w:proofErr w:type="spellStart"/>
      <w:r w:rsidRPr="00126D6F">
        <w:rPr>
          <w:rFonts w:ascii="Arial" w:eastAsia="Aptos" w:hAnsi="Arial" w:cs="Arial"/>
          <w:kern w:val="2"/>
          <w:lang w:val="en-GB"/>
          <w14:ligatures w14:val="standardContextual"/>
        </w:rPr>
        <w:t>Barston</w:t>
      </w:r>
      <w:proofErr w:type="spellEnd"/>
      <w:r w:rsidRPr="00126D6F">
        <w:rPr>
          <w:rFonts w:ascii="Arial" w:eastAsia="Aptos" w:hAnsi="Arial" w:cs="Arial"/>
          <w:kern w:val="2"/>
          <w:lang w:val="en-GB"/>
          <w14:ligatures w14:val="standardContextual"/>
        </w:rPr>
        <w:t>, J. L., &amp; Pollard, P. (1983). On the conflict between logic and belief in syllogistic reasoning. </w:t>
      </w:r>
      <w:r w:rsidRPr="00126D6F">
        <w:rPr>
          <w:rFonts w:ascii="Arial" w:eastAsia="Aptos" w:hAnsi="Arial" w:cs="Arial"/>
          <w:i/>
          <w:iCs/>
          <w:kern w:val="2"/>
          <w:lang w:val="en-GB"/>
          <w14:ligatures w14:val="standardContextual"/>
        </w:rPr>
        <w:t>Memory &amp; cognition</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11</w:t>
      </w:r>
      <w:r w:rsidRPr="00126D6F">
        <w:rPr>
          <w:rFonts w:ascii="Arial" w:eastAsia="Aptos" w:hAnsi="Arial" w:cs="Arial"/>
          <w:kern w:val="2"/>
          <w:lang w:val="en-GB"/>
          <w14:ligatures w14:val="standardContextual"/>
        </w:rPr>
        <w:t>(3), 295-306. https://doi.org/10.3758/BF03196976</w:t>
      </w:r>
    </w:p>
    <w:p w14:paraId="6C733E6E"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 xml:space="preserve">Fuller, C., Besser, S., Savage, J., McAteer, J., Stone, S., &amp; Michie, S. (2014). Application of a theoretical framework for behaviour change to hospital workers’ real-time explanations for </w:t>
      </w:r>
      <w:r w:rsidRPr="00126D6F">
        <w:rPr>
          <w:rFonts w:ascii="Arial" w:eastAsia="Aptos" w:hAnsi="Arial" w:cs="Arial"/>
          <w:kern w:val="2"/>
          <w:lang w:val="en-GB"/>
          <w14:ligatures w14:val="standardContextual"/>
        </w:rPr>
        <w:lastRenderedPageBreak/>
        <w:t>noncompliance with hand hygiene guidelines. </w:t>
      </w:r>
      <w:r w:rsidRPr="00126D6F">
        <w:rPr>
          <w:rFonts w:ascii="Arial" w:eastAsia="Aptos" w:hAnsi="Arial" w:cs="Arial"/>
          <w:i/>
          <w:iCs/>
          <w:kern w:val="2"/>
          <w:lang w:val="en-GB"/>
          <w14:ligatures w14:val="standardContextual"/>
        </w:rPr>
        <w:t>American Journal of Infection Control</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42</w:t>
      </w:r>
      <w:r w:rsidRPr="00126D6F">
        <w:rPr>
          <w:rFonts w:ascii="Arial" w:eastAsia="Aptos" w:hAnsi="Arial" w:cs="Arial"/>
          <w:kern w:val="2"/>
          <w:lang w:val="en-GB"/>
          <w14:ligatures w14:val="standardContextual"/>
        </w:rPr>
        <w:t>(2), 106–110. https://doi.org/10.1016/j.ajic.2013.07.019</w:t>
      </w:r>
    </w:p>
    <w:p w14:paraId="1C2EFA13"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Gigerenzer, G., &amp; Regier, T. (1996). How do we tell an association from a rule?: Comment on Sloman (1996). </w:t>
      </w:r>
      <w:r w:rsidRPr="00126D6F">
        <w:rPr>
          <w:rFonts w:ascii="Arial" w:eastAsia="Aptos" w:hAnsi="Arial" w:cs="Arial"/>
          <w:i/>
          <w:iCs/>
          <w:kern w:val="2"/>
          <w:lang w:val="en-GB"/>
          <w14:ligatures w14:val="standardContextual"/>
        </w:rPr>
        <w:t>Psychological Bulletin</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119</w:t>
      </w:r>
      <w:r w:rsidRPr="00126D6F">
        <w:rPr>
          <w:rFonts w:ascii="Arial" w:eastAsia="Aptos" w:hAnsi="Arial" w:cs="Arial"/>
          <w:kern w:val="2"/>
          <w:lang w:val="en-GB"/>
          <w14:ligatures w14:val="standardContextual"/>
        </w:rPr>
        <w:t>(1), 23–26. https://doi.org/10.1037/0033-2909.119.1.23</w:t>
      </w:r>
    </w:p>
    <w:p w14:paraId="513C64F9"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 xml:space="preserve">Gould, D., Hawker, C., Drey, N., &amp; </w:t>
      </w:r>
      <w:proofErr w:type="spellStart"/>
      <w:r w:rsidRPr="00126D6F">
        <w:rPr>
          <w:rFonts w:ascii="Arial" w:eastAsia="Aptos" w:hAnsi="Arial" w:cs="Arial"/>
          <w:kern w:val="2"/>
          <w:lang w:val="en-GB"/>
          <w14:ligatures w14:val="standardContextual"/>
        </w:rPr>
        <w:t>Purssell</w:t>
      </w:r>
      <w:proofErr w:type="spellEnd"/>
      <w:r w:rsidRPr="00126D6F">
        <w:rPr>
          <w:rFonts w:ascii="Arial" w:eastAsia="Aptos" w:hAnsi="Arial" w:cs="Arial"/>
          <w:kern w:val="2"/>
          <w:lang w:val="en-GB"/>
          <w14:ligatures w14:val="standardContextual"/>
        </w:rPr>
        <w:t>, E. (2024). Should automated electronic hand-hygiene monitoring systems be implemented in routine patient care? Systematic review and appraisal with Medical Research Council Framework for Complex Interventions. </w:t>
      </w:r>
      <w:r w:rsidRPr="00126D6F">
        <w:rPr>
          <w:rFonts w:ascii="Arial" w:eastAsia="Aptos" w:hAnsi="Arial" w:cs="Arial"/>
          <w:i/>
          <w:iCs/>
          <w:kern w:val="2"/>
          <w:lang w:val="en-GB"/>
          <w14:ligatures w14:val="standardContextual"/>
        </w:rPr>
        <w:t>The Journal of Hospital Infection</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147</w:t>
      </w:r>
      <w:r w:rsidRPr="00126D6F">
        <w:rPr>
          <w:rFonts w:ascii="Arial" w:eastAsia="Aptos" w:hAnsi="Arial" w:cs="Arial"/>
          <w:kern w:val="2"/>
          <w:lang w:val="en-GB"/>
          <w14:ligatures w14:val="standardContextual"/>
        </w:rPr>
        <w:t>, 180–187. https://doi.org/10.1016/j.jhin.2024.03.012</w:t>
      </w:r>
    </w:p>
    <w:p w14:paraId="14FA7588"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Grayot, J. D. (2020). Dual process theories in behavioural economics and neuroeconomics: A critical review. </w:t>
      </w:r>
      <w:r w:rsidRPr="00126D6F">
        <w:rPr>
          <w:rFonts w:ascii="Arial" w:eastAsia="Aptos" w:hAnsi="Arial" w:cs="Arial"/>
          <w:i/>
          <w:iCs/>
          <w:kern w:val="2"/>
          <w:lang w:val="en-GB"/>
          <w14:ligatures w14:val="standardContextual"/>
        </w:rPr>
        <w:t>Review of Philosophy and Psychology</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11</w:t>
      </w:r>
      <w:r w:rsidRPr="00126D6F">
        <w:rPr>
          <w:rFonts w:ascii="Arial" w:eastAsia="Aptos" w:hAnsi="Arial" w:cs="Arial"/>
          <w:kern w:val="2"/>
          <w:lang w:val="en-GB"/>
          <w14:ligatures w14:val="standardContextual"/>
        </w:rPr>
        <w:t>(1), 105–136. https://doi.org/10.1007/s13164-019-00446-9</w:t>
      </w:r>
    </w:p>
    <w:p w14:paraId="677BAA69"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 xml:space="preserve">Hermans, E. J., </w:t>
      </w:r>
      <w:proofErr w:type="spellStart"/>
      <w:r w:rsidRPr="00126D6F">
        <w:rPr>
          <w:rFonts w:ascii="Arial" w:eastAsia="Aptos" w:hAnsi="Arial" w:cs="Arial"/>
          <w:kern w:val="2"/>
          <w:lang w:val="en-GB"/>
          <w14:ligatures w14:val="standardContextual"/>
        </w:rPr>
        <w:t>Henckens</w:t>
      </w:r>
      <w:proofErr w:type="spellEnd"/>
      <w:r w:rsidRPr="00126D6F">
        <w:rPr>
          <w:rFonts w:ascii="Arial" w:eastAsia="Aptos" w:hAnsi="Arial" w:cs="Arial"/>
          <w:kern w:val="2"/>
          <w:lang w:val="en-GB"/>
          <w14:ligatures w14:val="standardContextual"/>
        </w:rPr>
        <w:t xml:space="preserve">, M. J. A. G., </w:t>
      </w:r>
      <w:proofErr w:type="spellStart"/>
      <w:r w:rsidRPr="00126D6F">
        <w:rPr>
          <w:rFonts w:ascii="Arial" w:eastAsia="Aptos" w:hAnsi="Arial" w:cs="Arial"/>
          <w:kern w:val="2"/>
          <w:lang w:val="en-GB"/>
          <w14:ligatures w14:val="standardContextual"/>
        </w:rPr>
        <w:t>Joëls</w:t>
      </w:r>
      <w:proofErr w:type="spellEnd"/>
      <w:r w:rsidRPr="00126D6F">
        <w:rPr>
          <w:rFonts w:ascii="Arial" w:eastAsia="Aptos" w:hAnsi="Arial" w:cs="Arial"/>
          <w:kern w:val="2"/>
          <w:lang w:val="en-GB"/>
          <w14:ligatures w14:val="standardContextual"/>
        </w:rPr>
        <w:t>, M., &amp; Fernández, G. (2014). Dynamic adaptation of large-scale brain networks in response to acute stressors. </w:t>
      </w:r>
      <w:r w:rsidRPr="00126D6F">
        <w:rPr>
          <w:rFonts w:ascii="Arial" w:eastAsia="Aptos" w:hAnsi="Arial" w:cs="Arial"/>
          <w:i/>
          <w:iCs/>
          <w:kern w:val="2"/>
          <w:lang w:val="en-GB"/>
          <w14:ligatures w14:val="standardContextual"/>
        </w:rPr>
        <w:t>Trends in Neurosciences (Regular Ed.)</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37</w:t>
      </w:r>
      <w:r w:rsidRPr="00126D6F">
        <w:rPr>
          <w:rFonts w:ascii="Arial" w:eastAsia="Aptos" w:hAnsi="Arial" w:cs="Arial"/>
          <w:kern w:val="2"/>
          <w:lang w:val="en-GB"/>
          <w14:ligatures w14:val="standardContextual"/>
        </w:rPr>
        <w:t>(6), 304–314. https://doi.org/10.1016/j.tins.2014.03.006</w:t>
      </w:r>
    </w:p>
    <w:p w14:paraId="0E456D57"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Iversen, A. M., Hansen, M. B., Alsner, J., Kristensen, B., &amp; Ellermann-Eriksen, S. (2023). Effects of light-guided nudges on health care workers’ hand hygiene behaviour. </w:t>
      </w:r>
      <w:r w:rsidRPr="00126D6F">
        <w:rPr>
          <w:rFonts w:ascii="Arial" w:eastAsia="Aptos" w:hAnsi="Arial" w:cs="Arial"/>
          <w:i/>
          <w:iCs/>
          <w:kern w:val="2"/>
          <w:lang w:val="en-GB"/>
          <w14:ligatures w14:val="standardContextual"/>
        </w:rPr>
        <w:t>American Journal of Infection Control</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51</w:t>
      </w:r>
      <w:r w:rsidRPr="00126D6F">
        <w:rPr>
          <w:rFonts w:ascii="Arial" w:eastAsia="Aptos" w:hAnsi="Arial" w:cs="Arial"/>
          <w:kern w:val="2"/>
          <w:lang w:val="en-GB"/>
          <w14:ligatures w14:val="standardContextual"/>
        </w:rPr>
        <w:t>(12), 1370–1376. https://doi.org/10.1016/j.ajic.2023.05.006</w:t>
      </w:r>
    </w:p>
    <w:p w14:paraId="18806B5D"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Kahneman, D. (2003). Maps of bounded rationality: Psychology for behavioural economics. </w:t>
      </w:r>
      <w:r w:rsidRPr="00126D6F">
        <w:rPr>
          <w:rFonts w:ascii="Arial" w:eastAsia="Aptos" w:hAnsi="Arial" w:cs="Arial"/>
          <w:i/>
          <w:iCs/>
          <w:kern w:val="2"/>
          <w:lang w:val="en-GB"/>
          <w14:ligatures w14:val="standardContextual"/>
        </w:rPr>
        <w:t>The American Economic Review</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93</w:t>
      </w:r>
      <w:r w:rsidRPr="00126D6F">
        <w:rPr>
          <w:rFonts w:ascii="Arial" w:eastAsia="Aptos" w:hAnsi="Arial" w:cs="Arial"/>
          <w:kern w:val="2"/>
          <w:lang w:val="en-GB"/>
          <w14:ligatures w14:val="standardContextual"/>
        </w:rPr>
        <w:t>(5), 1449–1475. https://doi.org/10.1257/000282803322655392</w:t>
      </w:r>
    </w:p>
    <w:p w14:paraId="11A39093"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 xml:space="preserve">Kilpatrick, C., Tartari, E., </w:t>
      </w:r>
      <w:proofErr w:type="spellStart"/>
      <w:r w:rsidRPr="00126D6F">
        <w:rPr>
          <w:rFonts w:ascii="Arial" w:eastAsia="Aptos" w:hAnsi="Arial" w:cs="Arial"/>
          <w:kern w:val="2"/>
          <w:lang w:val="en-GB"/>
          <w14:ligatures w14:val="standardContextual"/>
        </w:rPr>
        <w:t>Deeves</w:t>
      </w:r>
      <w:proofErr w:type="spellEnd"/>
      <w:r w:rsidRPr="00126D6F">
        <w:rPr>
          <w:rFonts w:ascii="Arial" w:eastAsia="Aptos" w:hAnsi="Arial" w:cs="Arial"/>
          <w:kern w:val="2"/>
          <w:lang w:val="en-GB"/>
          <w14:ligatures w14:val="standardContextual"/>
        </w:rPr>
        <w:t xml:space="preserve">, M., Pittet, D., &amp; </w:t>
      </w:r>
      <w:proofErr w:type="spellStart"/>
      <w:r w:rsidRPr="00126D6F">
        <w:rPr>
          <w:rFonts w:ascii="Arial" w:eastAsia="Aptos" w:hAnsi="Arial" w:cs="Arial"/>
          <w:kern w:val="2"/>
          <w:lang w:val="en-GB"/>
          <w14:ligatures w14:val="standardContextual"/>
        </w:rPr>
        <w:t>Allegranzi</w:t>
      </w:r>
      <w:proofErr w:type="spellEnd"/>
      <w:r w:rsidRPr="00126D6F">
        <w:rPr>
          <w:rFonts w:ascii="Arial" w:eastAsia="Aptos" w:hAnsi="Arial" w:cs="Arial"/>
          <w:kern w:val="2"/>
          <w:lang w:val="en-GB"/>
          <w14:ligatures w14:val="standardContextual"/>
        </w:rPr>
        <w:t xml:space="preserve">, B. (2024). World health organization world hand hygiene day, 5 May 2024. Save lives: Clean your hands campaign: Promoting </w:t>
      </w:r>
      <w:r w:rsidRPr="00126D6F">
        <w:rPr>
          <w:rFonts w:ascii="Arial" w:eastAsia="Aptos" w:hAnsi="Arial" w:cs="Arial"/>
          <w:kern w:val="2"/>
          <w:lang w:val="en-GB"/>
          <w14:ligatures w14:val="standardContextual"/>
        </w:rPr>
        <w:lastRenderedPageBreak/>
        <w:t>knowledge and capacity building on infection prevention and control, including hand hygiene, among health and care workers. </w:t>
      </w:r>
      <w:r w:rsidRPr="00126D6F">
        <w:rPr>
          <w:rFonts w:ascii="Arial" w:eastAsia="Aptos" w:hAnsi="Arial" w:cs="Arial"/>
          <w:i/>
          <w:iCs/>
          <w:kern w:val="2"/>
          <w:lang w:val="en-GB"/>
          <w14:ligatures w14:val="standardContextual"/>
        </w:rPr>
        <w:t>American Journal of Infection Control</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52</w:t>
      </w:r>
      <w:r w:rsidRPr="00126D6F">
        <w:rPr>
          <w:rFonts w:ascii="Arial" w:eastAsia="Aptos" w:hAnsi="Arial" w:cs="Arial"/>
          <w:kern w:val="2"/>
          <w:lang w:val="en-GB"/>
          <w14:ligatures w14:val="standardContextual"/>
        </w:rPr>
        <w:t>(5), 621–621. https://doi.org/10.1016/j.ajic.2024.02.004</w:t>
      </w:r>
    </w:p>
    <w:p w14:paraId="4AEE1D4F"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Kruglanski, A. W., &amp; Gigerenzer, G. (2011). Intuitive and deliberate judgments are based on common principles. </w:t>
      </w:r>
      <w:r w:rsidRPr="00126D6F">
        <w:rPr>
          <w:rFonts w:ascii="Arial" w:eastAsia="Aptos" w:hAnsi="Arial" w:cs="Arial"/>
          <w:i/>
          <w:iCs/>
          <w:kern w:val="2"/>
          <w:lang w:val="en-GB"/>
          <w14:ligatures w14:val="standardContextual"/>
        </w:rPr>
        <w:t>Psychological Review</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118</w:t>
      </w:r>
      <w:r w:rsidRPr="00126D6F">
        <w:rPr>
          <w:rFonts w:ascii="Arial" w:eastAsia="Aptos" w:hAnsi="Arial" w:cs="Arial"/>
          <w:kern w:val="2"/>
          <w:lang w:val="en-GB"/>
          <w14:ligatures w14:val="standardContextual"/>
        </w:rPr>
        <w:t>(1), 97–109. https://doi.org/10.1037/a0020762</w:t>
      </w:r>
    </w:p>
    <w:p w14:paraId="2BE74B99"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Marchand, A., Durand, P., &amp; Lupien, S. (2013). Work hours and cortisol variation from non-working to working days. </w:t>
      </w:r>
      <w:r w:rsidRPr="00126D6F">
        <w:rPr>
          <w:rFonts w:ascii="Arial" w:eastAsia="Aptos" w:hAnsi="Arial" w:cs="Arial"/>
          <w:i/>
          <w:iCs/>
          <w:kern w:val="2"/>
          <w:lang w:val="en-GB"/>
          <w14:ligatures w14:val="standardContextual"/>
        </w:rPr>
        <w:t>International Archives of Occupational and Environmental Health</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86</w:t>
      </w:r>
      <w:r w:rsidRPr="00126D6F">
        <w:rPr>
          <w:rFonts w:ascii="Arial" w:eastAsia="Aptos" w:hAnsi="Arial" w:cs="Arial"/>
          <w:kern w:val="2"/>
          <w:lang w:val="en-GB"/>
          <w14:ligatures w14:val="standardContextual"/>
        </w:rPr>
        <w:t>(5), 553–559. https://doi.org/10.1007/s00420-012-0788-y</w:t>
      </w:r>
    </w:p>
    <w:p w14:paraId="634BF5A3"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Margittai, Z., Nave, G., Strombach, T., van Wingerden, M., Schwabe, L., &amp; Kalenscher, T. (2016). Exogenous cortisol causes a shift from deliberative to intuitive thinking. </w:t>
      </w:r>
      <w:r w:rsidRPr="00126D6F">
        <w:rPr>
          <w:rFonts w:ascii="Arial" w:eastAsia="Aptos" w:hAnsi="Arial" w:cs="Arial"/>
          <w:i/>
          <w:iCs/>
          <w:kern w:val="2"/>
          <w:lang w:val="en-GB"/>
          <w14:ligatures w14:val="standardContextual"/>
        </w:rPr>
        <w:t>Psychoneuroendocrinology</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64</w:t>
      </w:r>
      <w:r w:rsidRPr="00126D6F">
        <w:rPr>
          <w:rFonts w:ascii="Arial" w:eastAsia="Aptos" w:hAnsi="Arial" w:cs="Arial"/>
          <w:kern w:val="2"/>
          <w:lang w:val="en-GB"/>
          <w14:ligatures w14:val="standardContextual"/>
        </w:rPr>
        <w:t>, 131–135. https://doi.org/10.1016/j.psyneuen.2015.11.018</w:t>
      </w:r>
    </w:p>
    <w:p w14:paraId="741B4BDF"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Mutshatshi, T. E., &amp; Rasweswe, M. M. (2023). ‘We do not wash hands’: Barriers to the maintenance of five moments of hand hygiene among learner nurses at a university in Limpopo province, South Africa. </w:t>
      </w:r>
      <w:r w:rsidRPr="00126D6F">
        <w:rPr>
          <w:rFonts w:ascii="Arial" w:eastAsia="Aptos" w:hAnsi="Arial" w:cs="Arial"/>
          <w:i/>
          <w:iCs/>
          <w:kern w:val="2"/>
          <w:lang w:val="en-GB"/>
          <w14:ligatures w14:val="standardContextual"/>
        </w:rPr>
        <w:t>Journal of Water, Sanitation, and Hygiene for Development</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13</w:t>
      </w:r>
      <w:r w:rsidRPr="00126D6F">
        <w:rPr>
          <w:rFonts w:ascii="Arial" w:eastAsia="Aptos" w:hAnsi="Arial" w:cs="Arial"/>
          <w:kern w:val="2"/>
          <w:lang w:val="en-GB"/>
          <w14:ligatures w14:val="standardContextual"/>
        </w:rPr>
        <w:t>(11), 857–865. https://doi.org/10.2166/washdev.2023.211</w:t>
      </w:r>
    </w:p>
    <w:p w14:paraId="563AAC29"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 xml:space="preserve">Nakamura, I., Fujita, H., </w:t>
      </w:r>
      <w:proofErr w:type="spellStart"/>
      <w:r w:rsidRPr="00126D6F">
        <w:rPr>
          <w:rFonts w:ascii="Arial" w:eastAsia="Aptos" w:hAnsi="Arial" w:cs="Arial"/>
          <w:kern w:val="2"/>
          <w:lang w:val="en-GB"/>
          <w14:ligatures w14:val="standardContextual"/>
        </w:rPr>
        <w:t>Tsukimori</w:t>
      </w:r>
      <w:proofErr w:type="spellEnd"/>
      <w:r w:rsidRPr="00126D6F">
        <w:rPr>
          <w:rFonts w:ascii="Arial" w:eastAsia="Aptos" w:hAnsi="Arial" w:cs="Arial"/>
          <w:kern w:val="2"/>
          <w:lang w:val="en-GB"/>
          <w14:ligatures w14:val="standardContextual"/>
        </w:rPr>
        <w:t>, A., Kobayashi, T., Sato, A., Fukushima, S., Amano, K., &amp; Abe, Y. (2019). Scenario-based simulation health care education for performance of hand hygiene. </w:t>
      </w:r>
      <w:r w:rsidRPr="00126D6F">
        <w:rPr>
          <w:rFonts w:ascii="Arial" w:eastAsia="Aptos" w:hAnsi="Arial" w:cs="Arial"/>
          <w:i/>
          <w:iCs/>
          <w:kern w:val="2"/>
          <w:lang w:val="en-GB"/>
          <w14:ligatures w14:val="standardContextual"/>
        </w:rPr>
        <w:t>American Journal of Infection Control</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47</w:t>
      </w:r>
      <w:r w:rsidRPr="00126D6F">
        <w:rPr>
          <w:rFonts w:ascii="Arial" w:eastAsia="Aptos" w:hAnsi="Arial" w:cs="Arial"/>
          <w:kern w:val="2"/>
          <w:lang w:val="en-GB"/>
          <w14:ligatures w14:val="standardContextual"/>
        </w:rPr>
        <w:t>(2), 144–148. https://doi.org/10.1016/j.ajic.2018.07.024</w:t>
      </w:r>
    </w:p>
    <w:p w14:paraId="23EB8E5E"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 xml:space="preserve">Patel, P., Steele, M., </w:t>
      </w:r>
      <w:proofErr w:type="spellStart"/>
      <w:r w:rsidRPr="00126D6F">
        <w:rPr>
          <w:rFonts w:ascii="Arial" w:eastAsia="Aptos" w:hAnsi="Arial" w:cs="Arial"/>
          <w:kern w:val="2"/>
          <w:lang w:val="en-GB"/>
          <w14:ligatures w14:val="standardContextual"/>
        </w:rPr>
        <w:t>Incesti</w:t>
      </w:r>
      <w:proofErr w:type="spellEnd"/>
      <w:r w:rsidRPr="00126D6F">
        <w:rPr>
          <w:rFonts w:ascii="Arial" w:eastAsia="Aptos" w:hAnsi="Arial" w:cs="Arial"/>
          <w:kern w:val="2"/>
          <w:lang w:val="en-GB"/>
          <w14:ligatures w14:val="standardContextual"/>
        </w:rPr>
        <w:t xml:space="preserve">, J., Chu, V., Marrs, R., Zuccaro, P. D., Bartlett, A. H., &amp; Landon, E. (2025). P-336. Validation of a badge-based automated hand hygiene monitoring </w:t>
      </w:r>
      <w:r w:rsidRPr="00126D6F">
        <w:rPr>
          <w:rFonts w:ascii="Arial" w:eastAsia="Aptos" w:hAnsi="Arial" w:cs="Arial"/>
          <w:kern w:val="2"/>
          <w:lang w:val="en-GB"/>
          <w14:ligatures w14:val="standardContextual"/>
        </w:rPr>
        <w:lastRenderedPageBreak/>
        <w:t>system. </w:t>
      </w:r>
      <w:r w:rsidRPr="00126D6F">
        <w:rPr>
          <w:rFonts w:ascii="Arial" w:eastAsia="Aptos" w:hAnsi="Arial" w:cs="Arial"/>
          <w:i/>
          <w:iCs/>
          <w:kern w:val="2"/>
          <w:lang w:val="en-GB"/>
          <w14:ligatures w14:val="standardContextual"/>
        </w:rPr>
        <w:t>Open Forum Infectious Diseases</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12</w:t>
      </w:r>
      <w:r w:rsidRPr="00126D6F">
        <w:rPr>
          <w:rFonts w:ascii="Arial" w:eastAsia="Aptos" w:hAnsi="Arial" w:cs="Arial"/>
          <w:kern w:val="2"/>
          <w:lang w:val="en-GB"/>
          <w14:ligatures w14:val="standardContextual"/>
        </w:rPr>
        <w:t>(Supplement_1). https://doi.org/10.1093/ofid/ofae631.539</w:t>
      </w:r>
    </w:p>
    <w:p w14:paraId="1EC16E16"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 xml:space="preserve">Posner, M. I., &amp; Snyder, C. R. R. (1975). Attention and cognitive control. In R. L. </w:t>
      </w:r>
      <w:proofErr w:type="spellStart"/>
      <w:r w:rsidRPr="00126D6F">
        <w:rPr>
          <w:rFonts w:ascii="Arial" w:eastAsia="Aptos" w:hAnsi="Arial" w:cs="Arial"/>
          <w:kern w:val="2"/>
          <w:lang w:val="en-GB"/>
          <w14:ligatures w14:val="standardContextual"/>
        </w:rPr>
        <w:t>Solso</w:t>
      </w:r>
      <w:proofErr w:type="spellEnd"/>
      <w:r w:rsidRPr="00126D6F">
        <w:rPr>
          <w:rFonts w:ascii="Arial" w:eastAsia="Aptos" w:hAnsi="Arial" w:cs="Arial"/>
          <w:kern w:val="2"/>
          <w:lang w:val="en-GB"/>
          <w14:ligatures w14:val="standardContextual"/>
        </w:rPr>
        <w:t xml:space="preserve"> (Ed.), </w:t>
      </w:r>
      <w:r w:rsidRPr="00126D6F">
        <w:rPr>
          <w:rFonts w:ascii="Arial" w:eastAsia="Aptos" w:hAnsi="Arial" w:cs="Arial"/>
          <w:i/>
          <w:iCs/>
          <w:kern w:val="2"/>
          <w:lang w:val="en-GB"/>
          <w14:ligatures w14:val="standardContextual"/>
        </w:rPr>
        <w:t>Information processing and cognition: The Loyola Symposium</w:t>
      </w:r>
      <w:r w:rsidRPr="00126D6F">
        <w:rPr>
          <w:rFonts w:ascii="Arial" w:eastAsia="Aptos" w:hAnsi="Arial" w:cs="Arial"/>
          <w:kern w:val="2"/>
          <w:lang w:val="en-GB"/>
          <w14:ligatures w14:val="standardContextual"/>
        </w:rPr>
        <w:t xml:space="preserve"> (pp. 55-85). Lawrence Erlbaum Associates.</w:t>
      </w:r>
    </w:p>
    <w:p w14:paraId="7DA915D5"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Redelmeier, D. A., &amp; Shafir, E. (2015). Why even good physicians do not wash their hands. </w:t>
      </w:r>
      <w:r w:rsidRPr="00126D6F">
        <w:rPr>
          <w:rFonts w:ascii="Arial" w:eastAsia="Aptos" w:hAnsi="Arial" w:cs="Arial"/>
          <w:i/>
          <w:iCs/>
          <w:kern w:val="2"/>
          <w:lang w:val="en-GB"/>
          <w14:ligatures w14:val="standardContextual"/>
        </w:rPr>
        <w:t>BMJ Quality &amp; Safety</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24</w:t>
      </w:r>
      <w:r w:rsidRPr="00126D6F">
        <w:rPr>
          <w:rFonts w:ascii="Arial" w:eastAsia="Aptos" w:hAnsi="Arial" w:cs="Arial"/>
          <w:kern w:val="2"/>
          <w:lang w:val="en-GB"/>
          <w14:ligatures w14:val="standardContextual"/>
        </w:rPr>
        <w:t xml:space="preserve">(12), 744–747. </w:t>
      </w:r>
      <w:hyperlink r:id="rId11" w:history="1">
        <w:r w:rsidRPr="00126D6F">
          <w:rPr>
            <w:rFonts w:ascii="Arial" w:eastAsia="Aptos" w:hAnsi="Arial" w:cs="Arial"/>
            <w:kern w:val="2"/>
            <w:lang w:val="en-GB"/>
            <w14:ligatures w14:val="standardContextual"/>
          </w:rPr>
          <w:t>https://doi.org/10.1136/bmjqs-2015-004319</w:t>
        </w:r>
      </w:hyperlink>
    </w:p>
    <w:p w14:paraId="5AB79665"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Sadule-Rios, N., &amp; Aguilera, G. (2017). Nurses’ perceptions of reasons for persistent low rates in hand hygiene compliance. </w:t>
      </w:r>
      <w:r w:rsidRPr="00126D6F">
        <w:rPr>
          <w:rFonts w:ascii="Arial" w:eastAsia="Aptos" w:hAnsi="Arial" w:cs="Arial"/>
          <w:i/>
          <w:iCs/>
          <w:kern w:val="2"/>
          <w:lang w:val="en-GB"/>
          <w14:ligatures w14:val="standardContextual"/>
        </w:rPr>
        <w:t>Intensive &amp; Critical Care Nursing</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42</w:t>
      </w:r>
      <w:r w:rsidRPr="00126D6F">
        <w:rPr>
          <w:rFonts w:ascii="Arial" w:eastAsia="Aptos" w:hAnsi="Arial" w:cs="Arial"/>
          <w:kern w:val="2"/>
          <w:lang w:val="en-GB"/>
          <w14:ligatures w14:val="standardContextual"/>
        </w:rPr>
        <w:t>, 17–21. https://doi.org/10.1016/j.iccn.2017.02.005</w:t>
      </w:r>
    </w:p>
    <w:p w14:paraId="50119102"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Sands, M., Aiken, A. M., Cumming, O., &amp; Aunger, R. (2020). The effect of behavioural interventions targeting hand hygiene practices among nurses in high-income hospital settings: a systematic review. </w:t>
      </w:r>
      <w:r w:rsidRPr="00126D6F">
        <w:rPr>
          <w:rFonts w:ascii="Arial" w:eastAsia="Aptos" w:hAnsi="Arial" w:cs="Arial"/>
          <w:i/>
          <w:iCs/>
          <w:kern w:val="2"/>
          <w:lang w:val="en-GB"/>
          <w14:ligatures w14:val="standardContextual"/>
        </w:rPr>
        <w:t>PUBLIC HEALTH REVIEWS</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41</w:t>
      </w:r>
      <w:r w:rsidRPr="00126D6F">
        <w:rPr>
          <w:rFonts w:ascii="Arial" w:eastAsia="Aptos" w:hAnsi="Arial" w:cs="Arial"/>
          <w:kern w:val="2"/>
          <w:lang w:val="en-GB"/>
          <w14:ligatures w14:val="standardContextual"/>
        </w:rPr>
        <w:t>(1). https://doi.org/10.1186/s40985-020-00141-6</w:t>
      </w:r>
    </w:p>
    <w:p w14:paraId="4CF4DE48"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Sladek, R. M., Bond, M. J., &amp; Phillips, P. A. (2008). Why don’t doctors wash their hands? A correlational study of thinking styles and hand hygiene. </w:t>
      </w:r>
      <w:r w:rsidRPr="00126D6F">
        <w:rPr>
          <w:rFonts w:ascii="Arial" w:eastAsia="Aptos" w:hAnsi="Arial" w:cs="Arial"/>
          <w:i/>
          <w:iCs/>
          <w:kern w:val="2"/>
          <w:lang w:val="en-GB"/>
          <w14:ligatures w14:val="standardContextual"/>
        </w:rPr>
        <w:t>American Journal of Infection Control</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36</w:t>
      </w:r>
      <w:r w:rsidRPr="00126D6F">
        <w:rPr>
          <w:rFonts w:ascii="Arial" w:eastAsia="Aptos" w:hAnsi="Arial" w:cs="Arial"/>
          <w:kern w:val="2"/>
          <w:lang w:val="en-GB"/>
          <w14:ligatures w14:val="standardContextual"/>
        </w:rPr>
        <w:t>(6), 399–406. https://doi.org/10.1016/j.ajic.2007.11.002</w:t>
      </w:r>
    </w:p>
    <w:p w14:paraId="690040DA"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Stanovich, K. E., &amp; West, R. F. (2000). Advancing the rationality debate. </w:t>
      </w:r>
      <w:r w:rsidRPr="00126D6F">
        <w:rPr>
          <w:rFonts w:ascii="Arial" w:eastAsia="Aptos" w:hAnsi="Arial" w:cs="Arial"/>
          <w:i/>
          <w:iCs/>
          <w:kern w:val="2"/>
          <w:lang w:val="en-GB"/>
          <w14:ligatures w14:val="standardContextual"/>
        </w:rPr>
        <w:t>The Behavioural and Brain Sciences</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23</w:t>
      </w:r>
      <w:r w:rsidRPr="00126D6F">
        <w:rPr>
          <w:rFonts w:ascii="Arial" w:eastAsia="Aptos" w:hAnsi="Arial" w:cs="Arial"/>
          <w:kern w:val="2"/>
          <w:lang w:val="en-GB"/>
          <w14:ligatures w14:val="standardContextual"/>
        </w:rPr>
        <w:t>(5), 701–717. https://doi.org/10.1017/S0140525X00623439</w:t>
      </w:r>
    </w:p>
    <w:p w14:paraId="49C4DD16" w14:textId="77777777" w:rsidR="00126D6F" w:rsidRPr="00126D6F" w:rsidRDefault="00126D6F" w:rsidP="00126D6F">
      <w:pPr>
        <w:spacing w:after="160" w:line="480" w:lineRule="auto"/>
        <w:ind w:left="1004" w:hanging="720"/>
        <w:rPr>
          <w:rFonts w:ascii="Aptos" w:eastAsia="Aptos" w:hAnsi="Aptos" w:cs="Times New Roman"/>
          <w:kern w:val="2"/>
          <w:sz w:val="22"/>
          <w:szCs w:val="22"/>
          <w:lang w:val="en-GB"/>
          <w14:ligatures w14:val="standardContextual"/>
        </w:rPr>
      </w:pPr>
      <w:r w:rsidRPr="00126D6F">
        <w:rPr>
          <w:rFonts w:ascii="Arial" w:eastAsia="Aptos" w:hAnsi="Arial" w:cs="Arial"/>
          <w:kern w:val="2"/>
          <w:lang w:val="en-GB"/>
          <w14:ligatures w14:val="standardContextual"/>
        </w:rPr>
        <w:t>Tay, S. W., Ryan, P. M., &amp; Ryan, C. A. (2016). Systems 1 and 2 thinking processes and cognitive reflection testing in medical students. </w:t>
      </w:r>
      <w:r w:rsidRPr="00126D6F">
        <w:rPr>
          <w:rFonts w:ascii="Arial" w:eastAsia="Aptos" w:hAnsi="Arial" w:cs="Arial"/>
          <w:i/>
          <w:iCs/>
          <w:kern w:val="2"/>
          <w:lang w:val="en-GB"/>
          <w14:ligatures w14:val="standardContextual"/>
        </w:rPr>
        <w:t>Canadian Medical Education Journal</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7</w:t>
      </w:r>
      <w:r w:rsidRPr="00126D6F">
        <w:rPr>
          <w:rFonts w:ascii="Arial" w:eastAsia="Aptos" w:hAnsi="Arial" w:cs="Arial"/>
          <w:kern w:val="2"/>
          <w:lang w:val="en-GB"/>
          <w14:ligatures w14:val="standardContextual"/>
        </w:rPr>
        <w:t xml:space="preserve">(2), 97-103. </w:t>
      </w:r>
      <w:hyperlink r:id="rId12" w:history="1">
        <w:r w:rsidRPr="00126D6F">
          <w:rPr>
            <w:rFonts w:ascii="Arial" w:eastAsia="Aptos" w:hAnsi="Arial" w:cs="Arial"/>
            <w:kern w:val="2"/>
            <w:lang w:val="en-GB"/>
            <w14:ligatures w14:val="standardContextual"/>
          </w:rPr>
          <w:t>https://doi.org/10.36834/cmej.36777</w:t>
        </w:r>
      </w:hyperlink>
    </w:p>
    <w:p w14:paraId="2062726E"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lastRenderedPageBreak/>
        <w:t>Tseng, C., He, X., Chen, W., &amp; Tseng, C. L. (2022). Evaluating automatic hand hygiene monitoring systems: A scoping review. </w:t>
      </w:r>
      <w:r w:rsidRPr="00126D6F">
        <w:rPr>
          <w:rFonts w:ascii="Arial" w:eastAsia="Aptos" w:hAnsi="Arial" w:cs="Arial"/>
          <w:i/>
          <w:iCs/>
          <w:kern w:val="2"/>
          <w:lang w:val="en-GB"/>
          <w14:ligatures w14:val="standardContextual"/>
        </w:rPr>
        <w:t>Public Health in Practice (Oxford, England)</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4</w:t>
      </w:r>
      <w:r w:rsidRPr="00126D6F">
        <w:rPr>
          <w:rFonts w:ascii="Arial" w:eastAsia="Aptos" w:hAnsi="Arial" w:cs="Arial"/>
          <w:kern w:val="2"/>
          <w:lang w:val="en-GB"/>
          <w14:ligatures w14:val="standardContextual"/>
        </w:rPr>
        <w:t>, Article 100290. https://doi.org/10.1016/j.puhip.2022.100290</w:t>
      </w:r>
    </w:p>
    <w:p w14:paraId="7BCCACD7"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Tversky, A., &amp; Kahneman, D. (1974). Judgment under uncertainty: Heuristics and biases. </w:t>
      </w:r>
      <w:r w:rsidRPr="00126D6F">
        <w:rPr>
          <w:rFonts w:ascii="Arial" w:eastAsia="Aptos" w:hAnsi="Arial" w:cs="Arial"/>
          <w:i/>
          <w:iCs/>
          <w:kern w:val="2"/>
          <w:lang w:val="en-GB"/>
          <w14:ligatures w14:val="standardContextual"/>
        </w:rPr>
        <w:t>Science (American Association for the Advancement of Science)</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185</w:t>
      </w:r>
      <w:r w:rsidRPr="00126D6F">
        <w:rPr>
          <w:rFonts w:ascii="Arial" w:eastAsia="Aptos" w:hAnsi="Arial" w:cs="Arial"/>
          <w:kern w:val="2"/>
          <w:lang w:val="en-GB"/>
          <w14:ligatures w14:val="standardContextual"/>
        </w:rPr>
        <w:t>(4157), 1124–1131. https://doi.org/10.1126/science.185.4157.1124</w:t>
      </w:r>
    </w:p>
    <w:p w14:paraId="760FADDC"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 xml:space="preserve">Wu, C. M., Schulz, E., Pleskac, T. J., &amp; </w:t>
      </w:r>
      <w:proofErr w:type="spellStart"/>
      <w:r w:rsidRPr="00126D6F">
        <w:rPr>
          <w:rFonts w:ascii="Arial" w:eastAsia="Aptos" w:hAnsi="Arial" w:cs="Arial"/>
          <w:kern w:val="2"/>
          <w:lang w:val="en-GB"/>
          <w14:ligatures w14:val="standardContextual"/>
        </w:rPr>
        <w:t>Speekenbrink</w:t>
      </w:r>
      <w:proofErr w:type="spellEnd"/>
      <w:r w:rsidRPr="00126D6F">
        <w:rPr>
          <w:rFonts w:ascii="Arial" w:eastAsia="Aptos" w:hAnsi="Arial" w:cs="Arial"/>
          <w:kern w:val="2"/>
          <w:lang w:val="en-GB"/>
          <w14:ligatures w14:val="standardContextual"/>
        </w:rPr>
        <w:t>, M. (2022). Time pressure changes how people explore and respond to uncertainty. </w:t>
      </w:r>
      <w:r w:rsidRPr="00126D6F">
        <w:rPr>
          <w:rFonts w:ascii="Arial" w:eastAsia="Aptos" w:hAnsi="Arial" w:cs="Arial"/>
          <w:i/>
          <w:iCs/>
          <w:kern w:val="2"/>
          <w:lang w:val="en-GB"/>
          <w14:ligatures w14:val="standardContextual"/>
        </w:rPr>
        <w:t>Scientific Reports</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12</w:t>
      </w:r>
      <w:r w:rsidRPr="00126D6F">
        <w:rPr>
          <w:rFonts w:ascii="Arial" w:eastAsia="Aptos" w:hAnsi="Arial" w:cs="Arial"/>
          <w:kern w:val="2"/>
          <w:lang w:val="en-GB"/>
          <w14:ligatures w14:val="standardContextual"/>
        </w:rPr>
        <w:t>(1), Article 4122. https://doi.org/10.1038/s41598-022-07901-1</w:t>
      </w:r>
    </w:p>
    <w:p w14:paraId="528DD791"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Xun, Y., Shi, Q., Yang, N., Yang, N., Li, Y., Si, W., Shi, Q., Wang, Z., Liu, X., Yu, X., Zhou, Q., Yang, M., &amp; Chen, Y. (2021). Associations of hand washing frequency with the incidence of illness: a systematic review and meta-analysis. </w:t>
      </w:r>
      <w:r w:rsidRPr="00126D6F">
        <w:rPr>
          <w:rFonts w:ascii="Arial" w:eastAsia="Aptos" w:hAnsi="Arial" w:cs="Arial"/>
          <w:i/>
          <w:iCs/>
          <w:kern w:val="2"/>
          <w:lang w:val="en-GB"/>
          <w14:ligatures w14:val="standardContextual"/>
        </w:rPr>
        <w:t>Annals of translational medicine</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9</w:t>
      </w:r>
      <w:r w:rsidRPr="00126D6F">
        <w:rPr>
          <w:rFonts w:ascii="Arial" w:eastAsia="Aptos" w:hAnsi="Arial" w:cs="Arial"/>
          <w:kern w:val="2"/>
          <w:lang w:val="en-GB"/>
          <w14:ligatures w14:val="standardContextual"/>
        </w:rPr>
        <w:t>(5), 395. https://doi.org/10.21037/atm-20-6005</w:t>
      </w:r>
    </w:p>
    <w:p w14:paraId="2693BF40"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 xml:space="preserve">Zhang, C., Adriaanse, M. A., Potgieter, R., </w:t>
      </w:r>
      <w:proofErr w:type="spellStart"/>
      <w:r w:rsidRPr="00126D6F">
        <w:rPr>
          <w:rFonts w:ascii="Arial" w:eastAsia="Aptos" w:hAnsi="Arial" w:cs="Arial"/>
          <w:kern w:val="2"/>
          <w:lang w:val="en-GB"/>
          <w14:ligatures w14:val="standardContextual"/>
        </w:rPr>
        <w:t>Tummers</w:t>
      </w:r>
      <w:proofErr w:type="spellEnd"/>
      <w:r w:rsidRPr="00126D6F">
        <w:rPr>
          <w:rFonts w:ascii="Arial" w:eastAsia="Aptos" w:hAnsi="Arial" w:cs="Arial"/>
          <w:kern w:val="2"/>
          <w:lang w:val="en-GB"/>
          <w14:ligatures w14:val="standardContextual"/>
        </w:rPr>
        <w:t xml:space="preserve">, L., de Wit, J., </w:t>
      </w:r>
      <w:proofErr w:type="spellStart"/>
      <w:r w:rsidRPr="00126D6F">
        <w:rPr>
          <w:rFonts w:ascii="Arial" w:eastAsia="Aptos" w:hAnsi="Arial" w:cs="Arial"/>
          <w:kern w:val="2"/>
          <w:lang w:val="en-GB"/>
          <w14:ligatures w14:val="standardContextual"/>
        </w:rPr>
        <w:t>Broersen</w:t>
      </w:r>
      <w:proofErr w:type="spellEnd"/>
      <w:r w:rsidRPr="00126D6F">
        <w:rPr>
          <w:rFonts w:ascii="Arial" w:eastAsia="Aptos" w:hAnsi="Arial" w:cs="Arial"/>
          <w:kern w:val="2"/>
          <w:lang w:val="en-GB"/>
          <w14:ligatures w14:val="standardContextual"/>
        </w:rPr>
        <w:t>, J., de Bruin, M., &amp; Aarts, H. (2022). Habit formation of preventive behaviours during the COVID-19 pandemic: a longitudinal study of physical distancing and hand washing. </w:t>
      </w:r>
      <w:r w:rsidRPr="00126D6F">
        <w:rPr>
          <w:rFonts w:ascii="Arial" w:eastAsia="Aptos" w:hAnsi="Arial" w:cs="Arial"/>
          <w:i/>
          <w:iCs/>
          <w:kern w:val="2"/>
          <w:lang w:val="en-GB"/>
          <w14:ligatures w14:val="standardContextual"/>
        </w:rPr>
        <w:t>BMC Public Health</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22</w:t>
      </w:r>
      <w:r w:rsidRPr="00126D6F">
        <w:rPr>
          <w:rFonts w:ascii="Arial" w:eastAsia="Aptos" w:hAnsi="Arial" w:cs="Arial"/>
          <w:kern w:val="2"/>
          <w:lang w:val="en-GB"/>
          <w14:ligatures w14:val="standardContextual"/>
        </w:rPr>
        <w:t xml:space="preserve">(1), Article 1588. </w:t>
      </w:r>
      <w:hyperlink r:id="rId13" w:history="1">
        <w:r w:rsidRPr="00126D6F">
          <w:rPr>
            <w:rFonts w:ascii="Arial" w:eastAsia="Aptos" w:hAnsi="Arial" w:cs="Arial"/>
            <w:kern w:val="2"/>
            <w:lang w:val="en-GB"/>
            <w14:ligatures w14:val="standardContextual"/>
          </w:rPr>
          <w:t>https://doi.org/10.1186/s12889-022-13977-</w:t>
        </w:r>
      </w:hyperlink>
      <w:r w:rsidRPr="00126D6F">
        <w:rPr>
          <w:rFonts w:ascii="Arial" w:eastAsia="Aptos" w:hAnsi="Arial" w:cs="Arial"/>
          <w:kern w:val="2"/>
          <w:lang w:val="en-GB"/>
          <w14:ligatures w14:val="standardContextual"/>
        </w:rPr>
        <w:t>1</w:t>
      </w:r>
    </w:p>
    <w:p w14:paraId="0D1CD178" w14:textId="77777777" w:rsidR="00126D6F" w:rsidRP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t>Zhou, W., Chen, C., Qi, J., Chen, M., Yuan, Z., Miao, J., Chen, J., Jiang, D., Yang, M., Du, Y., Cao, K., Wu, X., You, Y., Chen, D., Qu, R., &amp; Yang, S. (2025). Adherence to handwashing behaviour and its impact on the incidence and death of viral respiratory infectious diseases: a systematic review, meta-analysis and modelling study. </w:t>
      </w:r>
      <w:r w:rsidRPr="00126D6F">
        <w:rPr>
          <w:rFonts w:ascii="Arial" w:eastAsia="Aptos" w:hAnsi="Arial" w:cs="Arial"/>
          <w:i/>
          <w:iCs/>
          <w:kern w:val="2"/>
          <w:lang w:val="en-GB"/>
          <w14:ligatures w14:val="standardContextual"/>
        </w:rPr>
        <w:t>BMJ Global Health</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10</w:t>
      </w:r>
      <w:r w:rsidRPr="00126D6F">
        <w:rPr>
          <w:rFonts w:ascii="Arial" w:eastAsia="Aptos" w:hAnsi="Arial" w:cs="Arial"/>
          <w:kern w:val="2"/>
          <w:lang w:val="en-GB"/>
          <w14:ligatures w14:val="standardContextual"/>
        </w:rPr>
        <w:t>(12), 021363. https://doi.org/10.1136/bmjgh-2025-021363</w:t>
      </w:r>
    </w:p>
    <w:p w14:paraId="0DC4610E" w14:textId="77777777" w:rsidR="00126D6F" w:rsidRDefault="00126D6F" w:rsidP="00126D6F">
      <w:pPr>
        <w:spacing w:after="160" w:line="480" w:lineRule="auto"/>
        <w:ind w:left="1004" w:hanging="720"/>
        <w:rPr>
          <w:rFonts w:ascii="Arial" w:eastAsia="Aptos" w:hAnsi="Arial" w:cs="Arial"/>
          <w:kern w:val="2"/>
          <w:lang w:val="en-GB"/>
          <w14:ligatures w14:val="standardContextual"/>
        </w:rPr>
      </w:pPr>
      <w:r w:rsidRPr="00126D6F">
        <w:rPr>
          <w:rFonts w:ascii="Arial" w:eastAsia="Aptos" w:hAnsi="Arial" w:cs="Arial"/>
          <w:kern w:val="2"/>
          <w:lang w:val="en-GB"/>
          <w14:ligatures w14:val="standardContextual"/>
        </w:rPr>
        <w:lastRenderedPageBreak/>
        <w:t xml:space="preserve">Zucchelli, M. M., Matteucci </w:t>
      </w:r>
      <w:proofErr w:type="spellStart"/>
      <w:r w:rsidRPr="00126D6F">
        <w:rPr>
          <w:rFonts w:ascii="Arial" w:eastAsia="Aptos" w:hAnsi="Arial" w:cs="Arial"/>
          <w:kern w:val="2"/>
          <w:lang w:val="en-GB"/>
          <w14:ligatures w14:val="standardContextual"/>
        </w:rPr>
        <w:t>Armandi</w:t>
      </w:r>
      <w:proofErr w:type="spellEnd"/>
      <w:r w:rsidRPr="00126D6F">
        <w:rPr>
          <w:rFonts w:ascii="Arial" w:eastAsia="Aptos" w:hAnsi="Arial" w:cs="Arial"/>
          <w:kern w:val="2"/>
          <w:lang w:val="en-GB"/>
          <w14:ligatures w14:val="standardContextual"/>
        </w:rPr>
        <w:t xml:space="preserve"> </w:t>
      </w:r>
      <w:proofErr w:type="spellStart"/>
      <w:r w:rsidRPr="00126D6F">
        <w:rPr>
          <w:rFonts w:ascii="Arial" w:eastAsia="Aptos" w:hAnsi="Arial" w:cs="Arial"/>
          <w:kern w:val="2"/>
          <w:lang w:val="en-GB"/>
          <w14:ligatures w14:val="standardContextual"/>
        </w:rPr>
        <w:t>Avogli</w:t>
      </w:r>
      <w:proofErr w:type="spellEnd"/>
      <w:r w:rsidRPr="00126D6F">
        <w:rPr>
          <w:rFonts w:ascii="Arial" w:eastAsia="Aptos" w:hAnsi="Arial" w:cs="Arial"/>
          <w:kern w:val="2"/>
          <w:lang w:val="en-GB"/>
          <w14:ligatures w14:val="standardContextual"/>
        </w:rPr>
        <w:t xml:space="preserve"> Trotti, N., Pavan, A., </w:t>
      </w:r>
      <w:proofErr w:type="spellStart"/>
      <w:r w:rsidRPr="00126D6F">
        <w:rPr>
          <w:rFonts w:ascii="Arial" w:eastAsia="Aptos" w:hAnsi="Arial" w:cs="Arial"/>
          <w:kern w:val="2"/>
          <w:lang w:val="en-GB"/>
          <w14:ligatures w14:val="standardContextual"/>
        </w:rPr>
        <w:t>Piccardi</w:t>
      </w:r>
      <w:proofErr w:type="spellEnd"/>
      <w:r w:rsidRPr="00126D6F">
        <w:rPr>
          <w:rFonts w:ascii="Arial" w:eastAsia="Aptos" w:hAnsi="Arial" w:cs="Arial"/>
          <w:kern w:val="2"/>
          <w:lang w:val="en-GB"/>
          <w14:ligatures w14:val="standardContextual"/>
        </w:rPr>
        <w:t>, L., &amp; Nori, R. (2025). The dual process model: the effect of cognitive load on the ascription of intentionality. </w:t>
      </w:r>
      <w:r w:rsidRPr="00126D6F">
        <w:rPr>
          <w:rFonts w:ascii="Arial" w:eastAsia="Aptos" w:hAnsi="Arial" w:cs="Arial"/>
          <w:i/>
          <w:iCs/>
          <w:kern w:val="2"/>
          <w:lang w:val="en-GB"/>
          <w14:ligatures w14:val="standardContextual"/>
        </w:rPr>
        <w:t>Frontiers in Psychology</w:t>
      </w:r>
      <w:r w:rsidRPr="00126D6F">
        <w:rPr>
          <w:rFonts w:ascii="Arial" w:eastAsia="Aptos" w:hAnsi="Arial" w:cs="Arial"/>
          <w:kern w:val="2"/>
          <w:lang w:val="en-GB"/>
          <w14:ligatures w14:val="standardContextual"/>
        </w:rPr>
        <w:t>, </w:t>
      </w:r>
      <w:r w:rsidRPr="00126D6F">
        <w:rPr>
          <w:rFonts w:ascii="Arial" w:eastAsia="Aptos" w:hAnsi="Arial" w:cs="Arial"/>
          <w:i/>
          <w:iCs/>
          <w:kern w:val="2"/>
          <w:lang w:val="en-GB"/>
          <w14:ligatures w14:val="standardContextual"/>
        </w:rPr>
        <w:t>16</w:t>
      </w:r>
      <w:r w:rsidRPr="00126D6F">
        <w:rPr>
          <w:rFonts w:ascii="Arial" w:eastAsia="Aptos" w:hAnsi="Arial" w:cs="Arial"/>
          <w:kern w:val="2"/>
          <w:lang w:val="en-GB"/>
          <w14:ligatures w14:val="standardContextual"/>
        </w:rPr>
        <w:t>, 1451590. https://doi.org/10.3389/fpsyg.2025.1451590</w:t>
      </w:r>
    </w:p>
    <w:p w14:paraId="7C975BE1" w14:textId="77777777" w:rsidR="0025370B" w:rsidRDefault="0025370B" w:rsidP="00126D6F">
      <w:pPr>
        <w:spacing w:after="160" w:line="480" w:lineRule="auto"/>
        <w:ind w:left="1004" w:hanging="720"/>
        <w:rPr>
          <w:rFonts w:ascii="Arial" w:eastAsia="Aptos" w:hAnsi="Arial" w:cs="Arial"/>
          <w:kern w:val="2"/>
          <w:lang w:val="en-GB"/>
          <w14:ligatures w14:val="standardContextual"/>
        </w:rPr>
      </w:pPr>
    </w:p>
    <w:p w14:paraId="18B7BD7B" w14:textId="68C22F24" w:rsidR="00A81248" w:rsidRPr="00126D6F" w:rsidRDefault="00C66528" w:rsidP="00126D6F">
      <w:pPr>
        <w:spacing w:after="160" w:line="480" w:lineRule="auto"/>
        <w:ind w:left="1004" w:hanging="720"/>
        <w:rPr>
          <w:rFonts w:ascii="Arial" w:eastAsia="Aptos" w:hAnsi="Arial" w:cs="Arial"/>
          <w:kern w:val="2"/>
          <w:lang w:val="en-GB"/>
          <w14:ligatures w14:val="standardContextual"/>
        </w:rPr>
      </w:pPr>
      <w:r w:rsidRPr="003A798E">
        <w:rPr>
          <w:noProof/>
          <w:lang w:eastAsia="en-AU"/>
        </w:rPr>
        <mc:AlternateContent>
          <mc:Choice Requires="wps">
            <w:drawing>
              <wp:anchor distT="0" distB="0" distL="114300" distR="114300" simplePos="0" relativeHeight="251661312" behindDoc="1" locked="0" layoutInCell="1" allowOverlap="1" wp14:anchorId="6598AA6A" wp14:editId="1C28B894">
                <wp:simplePos x="0" y="0"/>
                <wp:positionH relativeFrom="column">
                  <wp:posOffset>-433449</wp:posOffset>
                </wp:positionH>
                <wp:positionV relativeFrom="paragraph">
                  <wp:posOffset>-8979487</wp:posOffset>
                </wp:positionV>
                <wp:extent cx="7771130" cy="11210307"/>
                <wp:effectExtent l="0" t="0" r="1270" b="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11210307"/>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14:sizeRelV relativeFrom="margin">
                  <wp14:pctHeight>0</wp14:pctHeight>
                </wp14:sizeRelV>
              </wp:anchor>
            </w:drawing>
          </mc:Choice>
          <mc:Fallback>
            <w:pict>
              <v:shape w14:anchorId="06DB5D9D" id="Shape" o:spid="_x0000_s1026" alt="&quot;&quot;" style="position:absolute;margin-left:-34.15pt;margin-top:-707.05pt;width:611.9pt;height:882.7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" path="m,14678r,6922l21600,3032,21600,,17075,,,14678xe" fillcolor="#123869 [3204]" stroked="f" strokeweight="1pt">
                <v:stroke miterlimit="4" joinstyle="miter"/>
                <v:path arrowok="t" o:extrusionok="f" o:connecttype="custom" o:connectlocs="3885565,5605154;3885565,5605154;3885565,5605154;3885565,5605154" o:connectangles="0,90,180,270"/>
              </v:shape>
            </w:pict>
          </mc:Fallback>
        </mc:AlternateContent>
      </w:r>
    </w:p>
    <w:sectPr w:rsidR="00A81248" w:rsidRPr="00126D6F" w:rsidSect="00A24793">
      <w:footerReference w:type="even" r:id="rId14"/>
      <w:footerReference w:type="default" r:id="rId15"/>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5814B" w14:textId="77777777" w:rsidR="00AA62A8" w:rsidRDefault="00AA62A8" w:rsidP="001205A1">
      <w:r>
        <w:separator/>
      </w:r>
    </w:p>
  </w:endnote>
  <w:endnote w:type="continuationSeparator" w:id="0">
    <w:p w14:paraId="65F5C813" w14:textId="77777777" w:rsidR="00AA62A8" w:rsidRDefault="00AA62A8"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884697"/>
      <w:docPartObj>
        <w:docPartGallery w:val="Page Numbers (Bottom of Page)"/>
        <w:docPartUnique/>
      </w:docPartObj>
    </w:sdtPr>
    <w:sdtContent>
      <w:p w14:paraId="198F700F"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2ECA9D28"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1358343"/>
      <w:docPartObj>
        <w:docPartGallery w:val="Page Numbers (Bottom of Page)"/>
        <w:docPartUnique/>
      </w:docPartObj>
    </w:sdtPr>
    <w:sdtContent>
      <w:p w14:paraId="31DC9860"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21EEB6C5" w14:textId="77777777" w:rsidTr="005F4F46">
      <w:tc>
        <w:tcPr>
          <w:tcW w:w="5395" w:type="dxa"/>
        </w:tcPr>
        <w:p w14:paraId="76CE729D" w14:textId="63E679B3" w:rsidR="001205A1" w:rsidRPr="001205A1" w:rsidRDefault="000A2B5E" w:rsidP="00C66528">
          <w:pPr>
            <w:pStyle w:val="Footer"/>
          </w:pPr>
          <w:r>
            <w:rPr>
              <w:color w:val="7F7F7F" w:themeColor="text1" w:themeTint="80"/>
            </w:rPr>
            <w:t>CASE REPORT</w:t>
          </w:r>
        </w:p>
      </w:tc>
      <w:tc>
        <w:tcPr>
          <w:tcW w:w="5395" w:type="dxa"/>
        </w:tcPr>
        <w:p w14:paraId="690FE5C5" w14:textId="77777777" w:rsidR="001205A1" w:rsidRPr="001205A1" w:rsidRDefault="001205A1" w:rsidP="001205A1">
          <w:pPr>
            <w:pStyle w:val="Footer"/>
          </w:pPr>
          <w:r w:rsidRPr="001205A1">
            <w:t xml:space="preserve">   </w:t>
          </w:r>
        </w:p>
      </w:tc>
    </w:tr>
  </w:tbl>
  <w:p w14:paraId="5DE6753D"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595A5" w14:textId="77777777" w:rsidR="00AA62A8" w:rsidRDefault="00AA62A8" w:rsidP="001205A1">
      <w:r>
        <w:separator/>
      </w:r>
    </w:p>
  </w:footnote>
  <w:footnote w:type="continuationSeparator" w:id="0">
    <w:p w14:paraId="7FC3D723" w14:textId="77777777" w:rsidR="00AA62A8" w:rsidRDefault="00AA62A8"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8D4B1A"/>
    <w:multiLevelType w:val="hybridMultilevel"/>
    <w:tmpl w:val="8DE89334"/>
    <w:lvl w:ilvl="0" w:tplc="462C73E4">
      <w:start w:val="1"/>
      <w:numFmt w:val="decimal"/>
      <w:lvlText w:val="%1."/>
      <w:lvlJc w:val="left"/>
      <w:pPr>
        <w:ind w:left="1364" w:hanging="360"/>
      </w:pPr>
      <w:rPr>
        <w:rFonts w:hint="default"/>
      </w:r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num w:numId="1" w16cid:durableId="2089616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F9A"/>
    <w:rsid w:val="0003071A"/>
    <w:rsid w:val="0003344A"/>
    <w:rsid w:val="00040115"/>
    <w:rsid w:val="000472B5"/>
    <w:rsid w:val="00047C4C"/>
    <w:rsid w:val="00062D87"/>
    <w:rsid w:val="00063294"/>
    <w:rsid w:val="000645F8"/>
    <w:rsid w:val="00065098"/>
    <w:rsid w:val="00073FE3"/>
    <w:rsid w:val="00080CC8"/>
    <w:rsid w:val="000876D9"/>
    <w:rsid w:val="00090E66"/>
    <w:rsid w:val="000A2B5E"/>
    <w:rsid w:val="000B0A4E"/>
    <w:rsid w:val="000B6713"/>
    <w:rsid w:val="000C045E"/>
    <w:rsid w:val="000C495E"/>
    <w:rsid w:val="000C4ED1"/>
    <w:rsid w:val="000C51AF"/>
    <w:rsid w:val="000D285A"/>
    <w:rsid w:val="000D4EFF"/>
    <w:rsid w:val="000D5641"/>
    <w:rsid w:val="000E131D"/>
    <w:rsid w:val="000E2E7A"/>
    <w:rsid w:val="000E50BF"/>
    <w:rsid w:val="000E75DD"/>
    <w:rsid w:val="000F0CE7"/>
    <w:rsid w:val="000F30D6"/>
    <w:rsid w:val="000F37CD"/>
    <w:rsid w:val="000F6DE4"/>
    <w:rsid w:val="00103207"/>
    <w:rsid w:val="00111861"/>
    <w:rsid w:val="00113A32"/>
    <w:rsid w:val="001205A1"/>
    <w:rsid w:val="00126D6F"/>
    <w:rsid w:val="00154FB5"/>
    <w:rsid w:val="00173B70"/>
    <w:rsid w:val="001878D6"/>
    <w:rsid w:val="00190A0B"/>
    <w:rsid w:val="00190FA9"/>
    <w:rsid w:val="001A001C"/>
    <w:rsid w:val="001A143D"/>
    <w:rsid w:val="001A4B1C"/>
    <w:rsid w:val="001A5D89"/>
    <w:rsid w:val="001C024C"/>
    <w:rsid w:val="001C1C2B"/>
    <w:rsid w:val="001C2656"/>
    <w:rsid w:val="001C63EB"/>
    <w:rsid w:val="001C7A13"/>
    <w:rsid w:val="001D21D8"/>
    <w:rsid w:val="001D3AB6"/>
    <w:rsid w:val="001D46E2"/>
    <w:rsid w:val="001E02FE"/>
    <w:rsid w:val="001E1D0C"/>
    <w:rsid w:val="0020276E"/>
    <w:rsid w:val="00203E0B"/>
    <w:rsid w:val="00214895"/>
    <w:rsid w:val="002174E8"/>
    <w:rsid w:val="002270B6"/>
    <w:rsid w:val="00232486"/>
    <w:rsid w:val="00240AA6"/>
    <w:rsid w:val="002523C7"/>
    <w:rsid w:val="0025370B"/>
    <w:rsid w:val="0026125B"/>
    <w:rsid w:val="00266099"/>
    <w:rsid w:val="00266AAD"/>
    <w:rsid w:val="002678CC"/>
    <w:rsid w:val="00271525"/>
    <w:rsid w:val="00271775"/>
    <w:rsid w:val="002803FF"/>
    <w:rsid w:val="002877E8"/>
    <w:rsid w:val="00291735"/>
    <w:rsid w:val="00295487"/>
    <w:rsid w:val="002A7A13"/>
    <w:rsid w:val="002C416F"/>
    <w:rsid w:val="002D2E38"/>
    <w:rsid w:val="002E0E20"/>
    <w:rsid w:val="002E30E5"/>
    <w:rsid w:val="002E7C4E"/>
    <w:rsid w:val="002F29ED"/>
    <w:rsid w:val="0031055C"/>
    <w:rsid w:val="0034143E"/>
    <w:rsid w:val="00344D44"/>
    <w:rsid w:val="00345BC9"/>
    <w:rsid w:val="00345CBC"/>
    <w:rsid w:val="00356039"/>
    <w:rsid w:val="00371EE1"/>
    <w:rsid w:val="00376296"/>
    <w:rsid w:val="003766F4"/>
    <w:rsid w:val="003824B4"/>
    <w:rsid w:val="00385A6D"/>
    <w:rsid w:val="00387389"/>
    <w:rsid w:val="003A5E00"/>
    <w:rsid w:val="003A798E"/>
    <w:rsid w:val="003C36CB"/>
    <w:rsid w:val="003C64D3"/>
    <w:rsid w:val="003C6C48"/>
    <w:rsid w:val="003D7DF7"/>
    <w:rsid w:val="003E1F96"/>
    <w:rsid w:val="003F31AB"/>
    <w:rsid w:val="00401DEA"/>
    <w:rsid w:val="0040273B"/>
    <w:rsid w:val="004035C5"/>
    <w:rsid w:val="0041191B"/>
    <w:rsid w:val="004158BF"/>
    <w:rsid w:val="00417774"/>
    <w:rsid w:val="00425A99"/>
    <w:rsid w:val="004319DB"/>
    <w:rsid w:val="0043595B"/>
    <w:rsid w:val="00437DC5"/>
    <w:rsid w:val="00445D9E"/>
    <w:rsid w:val="00450684"/>
    <w:rsid w:val="00450829"/>
    <w:rsid w:val="004524A1"/>
    <w:rsid w:val="00453CF3"/>
    <w:rsid w:val="004576AE"/>
    <w:rsid w:val="00463D52"/>
    <w:rsid w:val="00480266"/>
    <w:rsid w:val="00480848"/>
    <w:rsid w:val="00484320"/>
    <w:rsid w:val="00494D40"/>
    <w:rsid w:val="004A1CB6"/>
    <w:rsid w:val="004B22DC"/>
    <w:rsid w:val="004B4381"/>
    <w:rsid w:val="004C3E81"/>
    <w:rsid w:val="004D08D8"/>
    <w:rsid w:val="004F2D7C"/>
    <w:rsid w:val="004F34ED"/>
    <w:rsid w:val="004F54DC"/>
    <w:rsid w:val="004F7313"/>
    <w:rsid w:val="0050589C"/>
    <w:rsid w:val="005228C0"/>
    <w:rsid w:val="00533EF6"/>
    <w:rsid w:val="00540AEE"/>
    <w:rsid w:val="00547A2E"/>
    <w:rsid w:val="00556E09"/>
    <w:rsid w:val="0056661E"/>
    <w:rsid w:val="00572136"/>
    <w:rsid w:val="005859E5"/>
    <w:rsid w:val="00595D67"/>
    <w:rsid w:val="005C154B"/>
    <w:rsid w:val="005D14C0"/>
    <w:rsid w:val="005E1223"/>
    <w:rsid w:val="005E6B25"/>
    <w:rsid w:val="005F0E75"/>
    <w:rsid w:val="005F1E07"/>
    <w:rsid w:val="005F4F46"/>
    <w:rsid w:val="00602A25"/>
    <w:rsid w:val="00605AF1"/>
    <w:rsid w:val="00622A65"/>
    <w:rsid w:val="006543C1"/>
    <w:rsid w:val="00654727"/>
    <w:rsid w:val="00660A65"/>
    <w:rsid w:val="0068124F"/>
    <w:rsid w:val="00681E92"/>
    <w:rsid w:val="00684D3D"/>
    <w:rsid w:val="00695A86"/>
    <w:rsid w:val="006A6AB2"/>
    <w:rsid w:val="006B2F4E"/>
    <w:rsid w:val="006B7872"/>
    <w:rsid w:val="006C2543"/>
    <w:rsid w:val="006C48E7"/>
    <w:rsid w:val="006C60E6"/>
    <w:rsid w:val="006C77B9"/>
    <w:rsid w:val="006D0205"/>
    <w:rsid w:val="006E7263"/>
    <w:rsid w:val="007323C2"/>
    <w:rsid w:val="00742A3A"/>
    <w:rsid w:val="00744EEE"/>
    <w:rsid w:val="00750A55"/>
    <w:rsid w:val="00764669"/>
    <w:rsid w:val="00764C05"/>
    <w:rsid w:val="00766C02"/>
    <w:rsid w:val="00767538"/>
    <w:rsid w:val="007771FD"/>
    <w:rsid w:val="007808FE"/>
    <w:rsid w:val="007857E3"/>
    <w:rsid w:val="00796E82"/>
    <w:rsid w:val="007A123E"/>
    <w:rsid w:val="007B0740"/>
    <w:rsid w:val="007C1BAB"/>
    <w:rsid w:val="007C7927"/>
    <w:rsid w:val="007F0CE6"/>
    <w:rsid w:val="007F2F4E"/>
    <w:rsid w:val="008137B0"/>
    <w:rsid w:val="00814A14"/>
    <w:rsid w:val="00830B56"/>
    <w:rsid w:val="00842502"/>
    <w:rsid w:val="0084614D"/>
    <w:rsid w:val="00850BB7"/>
    <w:rsid w:val="00853C0F"/>
    <w:rsid w:val="00871889"/>
    <w:rsid w:val="00871DDD"/>
    <w:rsid w:val="00876D23"/>
    <w:rsid w:val="00885788"/>
    <w:rsid w:val="008A090F"/>
    <w:rsid w:val="008A1226"/>
    <w:rsid w:val="008A6E57"/>
    <w:rsid w:val="008A6FF8"/>
    <w:rsid w:val="008A77DB"/>
    <w:rsid w:val="008B5FDB"/>
    <w:rsid w:val="008C46F8"/>
    <w:rsid w:val="008D3223"/>
    <w:rsid w:val="008E0B84"/>
    <w:rsid w:val="008E1EC6"/>
    <w:rsid w:val="008F3F3D"/>
    <w:rsid w:val="00913380"/>
    <w:rsid w:val="00935E86"/>
    <w:rsid w:val="009414F5"/>
    <w:rsid w:val="00946FE8"/>
    <w:rsid w:val="009553B7"/>
    <w:rsid w:val="0096111A"/>
    <w:rsid w:val="009653F3"/>
    <w:rsid w:val="00970D9D"/>
    <w:rsid w:val="00972F08"/>
    <w:rsid w:val="00975BFC"/>
    <w:rsid w:val="0098239A"/>
    <w:rsid w:val="009917AE"/>
    <w:rsid w:val="009A259D"/>
    <w:rsid w:val="009A2F38"/>
    <w:rsid w:val="009B4F9A"/>
    <w:rsid w:val="009C58C1"/>
    <w:rsid w:val="009D17B8"/>
    <w:rsid w:val="009D2E3F"/>
    <w:rsid w:val="00A130E3"/>
    <w:rsid w:val="00A15CF7"/>
    <w:rsid w:val="00A1638F"/>
    <w:rsid w:val="00A2197A"/>
    <w:rsid w:val="00A23DFE"/>
    <w:rsid w:val="00A24793"/>
    <w:rsid w:val="00A36D8A"/>
    <w:rsid w:val="00A65495"/>
    <w:rsid w:val="00A725F5"/>
    <w:rsid w:val="00A80531"/>
    <w:rsid w:val="00A81248"/>
    <w:rsid w:val="00A91FAA"/>
    <w:rsid w:val="00AA3DB5"/>
    <w:rsid w:val="00AA62A8"/>
    <w:rsid w:val="00AB1151"/>
    <w:rsid w:val="00AB4EDD"/>
    <w:rsid w:val="00AC1ECB"/>
    <w:rsid w:val="00AC2A6B"/>
    <w:rsid w:val="00AF3F3F"/>
    <w:rsid w:val="00B34E7D"/>
    <w:rsid w:val="00B40428"/>
    <w:rsid w:val="00B42594"/>
    <w:rsid w:val="00B642A7"/>
    <w:rsid w:val="00B67BFD"/>
    <w:rsid w:val="00B71201"/>
    <w:rsid w:val="00B80DEA"/>
    <w:rsid w:val="00B87136"/>
    <w:rsid w:val="00B90A90"/>
    <w:rsid w:val="00BB087F"/>
    <w:rsid w:val="00BB2F82"/>
    <w:rsid w:val="00BC65ED"/>
    <w:rsid w:val="00BD4D2D"/>
    <w:rsid w:val="00BE012E"/>
    <w:rsid w:val="00BE017E"/>
    <w:rsid w:val="00C00DBA"/>
    <w:rsid w:val="00C10079"/>
    <w:rsid w:val="00C2664D"/>
    <w:rsid w:val="00C369B3"/>
    <w:rsid w:val="00C51577"/>
    <w:rsid w:val="00C53BEA"/>
    <w:rsid w:val="00C5513D"/>
    <w:rsid w:val="00C6500E"/>
    <w:rsid w:val="00C653F6"/>
    <w:rsid w:val="00C66528"/>
    <w:rsid w:val="00C73804"/>
    <w:rsid w:val="00C758F6"/>
    <w:rsid w:val="00C7713D"/>
    <w:rsid w:val="00C915F0"/>
    <w:rsid w:val="00C94AE5"/>
    <w:rsid w:val="00CA13CF"/>
    <w:rsid w:val="00CA3796"/>
    <w:rsid w:val="00CA673D"/>
    <w:rsid w:val="00CA7A5E"/>
    <w:rsid w:val="00CB03B6"/>
    <w:rsid w:val="00CB190D"/>
    <w:rsid w:val="00CD25DE"/>
    <w:rsid w:val="00CD3EFF"/>
    <w:rsid w:val="00CE1C08"/>
    <w:rsid w:val="00CE2331"/>
    <w:rsid w:val="00CE4445"/>
    <w:rsid w:val="00CF0C06"/>
    <w:rsid w:val="00CF2152"/>
    <w:rsid w:val="00CF3CDC"/>
    <w:rsid w:val="00D10BCE"/>
    <w:rsid w:val="00D2264D"/>
    <w:rsid w:val="00D2593B"/>
    <w:rsid w:val="00D34D3F"/>
    <w:rsid w:val="00D360FE"/>
    <w:rsid w:val="00D40087"/>
    <w:rsid w:val="00D52D5C"/>
    <w:rsid w:val="00D53F86"/>
    <w:rsid w:val="00D65442"/>
    <w:rsid w:val="00D720ED"/>
    <w:rsid w:val="00D759C6"/>
    <w:rsid w:val="00D8316C"/>
    <w:rsid w:val="00D8651D"/>
    <w:rsid w:val="00DA3C9F"/>
    <w:rsid w:val="00DA61E0"/>
    <w:rsid w:val="00DB3384"/>
    <w:rsid w:val="00DB51E4"/>
    <w:rsid w:val="00DB67BA"/>
    <w:rsid w:val="00DE51E3"/>
    <w:rsid w:val="00DE61F1"/>
    <w:rsid w:val="00E14566"/>
    <w:rsid w:val="00E331CB"/>
    <w:rsid w:val="00E34F4F"/>
    <w:rsid w:val="00E418F8"/>
    <w:rsid w:val="00E41A39"/>
    <w:rsid w:val="00E47BBD"/>
    <w:rsid w:val="00E578A1"/>
    <w:rsid w:val="00E60A1E"/>
    <w:rsid w:val="00E66D50"/>
    <w:rsid w:val="00E84A6F"/>
    <w:rsid w:val="00E87043"/>
    <w:rsid w:val="00E904C6"/>
    <w:rsid w:val="00E90514"/>
    <w:rsid w:val="00E96CBF"/>
    <w:rsid w:val="00EA7160"/>
    <w:rsid w:val="00EB3D38"/>
    <w:rsid w:val="00EC174A"/>
    <w:rsid w:val="00EC2621"/>
    <w:rsid w:val="00EC7337"/>
    <w:rsid w:val="00ED2DC4"/>
    <w:rsid w:val="00EE26A0"/>
    <w:rsid w:val="00EE55FC"/>
    <w:rsid w:val="00EF3593"/>
    <w:rsid w:val="00F00899"/>
    <w:rsid w:val="00F139D5"/>
    <w:rsid w:val="00F21281"/>
    <w:rsid w:val="00F266C7"/>
    <w:rsid w:val="00F31314"/>
    <w:rsid w:val="00F37214"/>
    <w:rsid w:val="00F4087F"/>
    <w:rsid w:val="00F478F4"/>
    <w:rsid w:val="00F72E3E"/>
    <w:rsid w:val="00F77A83"/>
    <w:rsid w:val="00F93714"/>
    <w:rsid w:val="00F94FDC"/>
    <w:rsid w:val="00F95970"/>
    <w:rsid w:val="00FA38A4"/>
    <w:rsid w:val="00FA5C8F"/>
    <w:rsid w:val="00FA7FD1"/>
    <w:rsid w:val="00FB65B8"/>
    <w:rsid w:val="00FC3DF5"/>
    <w:rsid w:val="00FC49AE"/>
    <w:rsid w:val="00FC4A71"/>
    <w:rsid w:val="00FC5D5D"/>
    <w:rsid w:val="00FD2FC3"/>
    <w:rsid w:val="00FD710B"/>
    <w:rsid w:val="00FE6D75"/>
    <w:rsid w:val="00FF20CD"/>
    <w:rsid w:val="00FF27D6"/>
    <w:rsid w:val="00FF29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9D5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semiHidden/>
    <w:qFormat/>
    <w:rsid w:val="00DB51E4"/>
    <w:pPr>
      <w:ind w:left="720"/>
      <w:contextualSpacing/>
    </w:pPr>
  </w:style>
  <w:style w:type="character" w:styleId="Hyperlink">
    <w:name w:val="Hyperlink"/>
    <w:basedOn w:val="DefaultParagraphFont"/>
    <w:uiPriority w:val="99"/>
    <w:semiHidden/>
    <w:rsid w:val="00126D6F"/>
    <w:rPr>
      <w:color w:val="0000FF" w:themeColor="hyperlink"/>
      <w:u w:val="single"/>
    </w:rPr>
  </w:style>
  <w:style w:type="character" w:styleId="UnresolvedMention">
    <w:name w:val="Unresolved Mention"/>
    <w:basedOn w:val="DefaultParagraphFont"/>
    <w:uiPriority w:val="99"/>
    <w:semiHidden/>
    <w:unhideWhenUsed/>
    <w:rsid w:val="00126D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186/s12889-022-13977-"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36834/cmej.36777"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36/bmjqs-2015-004319"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doi.org/10.1007/s11739-022-0302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ni\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425F07-5221-4468-81DD-0F0C28E7FD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18</Pages>
  <Words>3933</Words>
  <Characters>22421</Characters>
  <Application>Microsoft Office Word</Application>
  <DocSecurity>0</DocSecurity>
  <Lines>186</Lines>
  <Paragraphs>52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REFERENCE LIST /</vt:lpstr>
    </vt:vector>
  </TitlesOfParts>
  <Company/>
  <LinksUpToDate>false</LinksUpToDate>
  <CharactersWithSpaces>26302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2026-05-03T16:22:00Z</dcterms:created>
  <dcterms:modified xsi:type="dcterms:W3CDTF">2026-05-12T11:16:00Z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