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185321"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 xml:space="preserve">Student: Shereen Garraghan </w:t>
      </w:r>
    </w:p>
    <w:p w14:paraId="7E3A0B7A"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Module code: BMIH5007</w:t>
      </w:r>
    </w:p>
    <w:p w14:paraId="13D73624"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 xml:space="preserve">Assignment 2 </w:t>
      </w:r>
    </w:p>
    <w:p w14:paraId="4244CF6E"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 xml:space="preserve">Lecturer: Tristan Hawkins </w:t>
      </w:r>
    </w:p>
    <w:p w14:paraId="64D68C52"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Title: Report Case Study The City Hotel  </w:t>
      </w:r>
    </w:p>
    <w:p w14:paraId="15D20C12" w14:textId="77777777" w:rsidR="004123D5" w:rsidRPr="004123D5" w:rsidRDefault="004123D5" w:rsidP="004123D5">
      <w:pPr>
        <w:spacing w:line="360" w:lineRule="auto"/>
        <w:jc w:val="both"/>
        <w:rPr>
          <w:rFonts w:ascii="Arial" w:hAnsi="Arial" w:cs="Arial"/>
          <w:b/>
          <w:bCs/>
        </w:rPr>
      </w:pPr>
    </w:p>
    <w:p w14:paraId="3625BFB1" w14:textId="77777777" w:rsidR="004123D5" w:rsidRPr="004123D5" w:rsidRDefault="004123D5" w:rsidP="004123D5">
      <w:pPr>
        <w:spacing w:line="360" w:lineRule="auto"/>
        <w:jc w:val="both"/>
        <w:rPr>
          <w:rFonts w:ascii="Arial" w:hAnsi="Arial" w:cs="Arial"/>
          <w:b/>
          <w:bCs/>
        </w:rPr>
      </w:pPr>
    </w:p>
    <w:p w14:paraId="6137C922" w14:textId="77777777" w:rsidR="004123D5" w:rsidRPr="004123D5" w:rsidRDefault="004123D5" w:rsidP="004123D5">
      <w:pPr>
        <w:spacing w:line="360" w:lineRule="auto"/>
        <w:jc w:val="both"/>
        <w:rPr>
          <w:rFonts w:ascii="Arial" w:hAnsi="Arial" w:cs="Arial"/>
          <w:b/>
          <w:bCs/>
        </w:rPr>
      </w:pPr>
    </w:p>
    <w:p w14:paraId="342C0368" w14:textId="77777777" w:rsidR="004123D5" w:rsidRPr="004123D5" w:rsidRDefault="004123D5" w:rsidP="004123D5">
      <w:pPr>
        <w:spacing w:line="360" w:lineRule="auto"/>
        <w:jc w:val="both"/>
        <w:rPr>
          <w:rFonts w:ascii="Arial" w:hAnsi="Arial" w:cs="Arial"/>
          <w:b/>
          <w:bCs/>
        </w:rPr>
      </w:pPr>
    </w:p>
    <w:p w14:paraId="178B6F65" w14:textId="77777777" w:rsidR="004123D5" w:rsidRPr="004123D5" w:rsidRDefault="004123D5" w:rsidP="004123D5">
      <w:pPr>
        <w:spacing w:line="360" w:lineRule="auto"/>
        <w:jc w:val="both"/>
        <w:rPr>
          <w:rFonts w:ascii="Arial" w:hAnsi="Arial" w:cs="Arial"/>
          <w:b/>
          <w:bCs/>
        </w:rPr>
      </w:pPr>
    </w:p>
    <w:p w14:paraId="5B3D3B86" w14:textId="77777777" w:rsidR="004123D5" w:rsidRPr="004123D5" w:rsidRDefault="004123D5" w:rsidP="004123D5">
      <w:pPr>
        <w:spacing w:line="360" w:lineRule="auto"/>
        <w:jc w:val="both"/>
        <w:rPr>
          <w:rFonts w:ascii="Arial" w:hAnsi="Arial" w:cs="Arial"/>
          <w:b/>
          <w:bCs/>
        </w:rPr>
      </w:pPr>
    </w:p>
    <w:p w14:paraId="5721689B" w14:textId="77777777" w:rsidR="004123D5" w:rsidRPr="004123D5" w:rsidRDefault="004123D5" w:rsidP="004123D5">
      <w:pPr>
        <w:spacing w:line="360" w:lineRule="auto"/>
        <w:jc w:val="both"/>
        <w:rPr>
          <w:rFonts w:ascii="Arial" w:hAnsi="Arial" w:cs="Arial"/>
          <w:b/>
          <w:bCs/>
        </w:rPr>
      </w:pPr>
    </w:p>
    <w:p w14:paraId="37B6F5D9" w14:textId="77777777" w:rsidR="004123D5" w:rsidRPr="004123D5" w:rsidRDefault="004123D5" w:rsidP="004123D5">
      <w:pPr>
        <w:spacing w:line="360" w:lineRule="auto"/>
        <w:jc w:val="both"/>
        <w:rPr>
          <w:rFonts w:ascii="Arial" w:hAnsi="Arial" w:cs="Arial"/>
          <w:b/>
          <w:bCs/>
        </w:rPr>
      </w:pPr>
    </w:p>
    <w:p w14:paraId="0102631F" w14:textId="77777777" w:rsidR="004123D5" w:rsidRPr="004123D5" w:rsidRDefault="004123D5" w:rsidP="004123D5">
      <w:pPr>
        <w:spacing w:line="360" w:lineRule="auto"/>
        <w:jc w:val="both"/>
        <w:rPr>
          <w:rFonts w:ascii="Arial" w:hAnsi="Arial" w:cs="Arial"/>
          <w:b/>
          <w:bCs/>
        </w:rPr>
      </w:pPr>
    </w:p>
    <w:p w14:paraId="53A15535" w14:textId="77777777" w:rsidR="004123D5" w:rsidRPr="004123D5" w:rsidRDefault="004123D5" w:rsidP="004123D5">
      <w:pPr>
        <w:spacing w:line="360" w:lineRule="auto"/>
        <w:jc w:val="both"/>
        <w:rPr>
          <w:rFonts w:ascii="Arial" w:hAnsi="Arial" w:cs="Arial"/>
          <w:b/>
          <w:bCs/>
        </w:rPr>
      </w:pPr>
    </w:p>
    <w:p w14:paraId="6F4EADE4" w14:textId="77777777" w:rsidR="004123D5" w:rsidRPr="004123D5" w:rsidRDefault="004123D5" w:rsidP="004123D5">
      <w:pPr>
        <w:spacing w:line="360" w:lineRule="auto"/>
        <w:jc w:val="both"/>
        <w:rPr>
          <w:rFonts w:ascii="Arial" w:hAnsi="Arial" w:cs="Arial"/>
          <w:b/>
          <w:bCs/>
        </w:rPr>
      </w:pPr>
    </w:p>
    <w:p w14:paraId="3871EEC0" w14:textId="77777777" w:rsidR="004123D5" w:rsidRPr="004123D5" w:rsidRDefault="004123D5" w:rsidP="004123D5">
      <w:pPr>
        <w:spacing w:line="360" w:lineRule="auto"/>
        <w:jc w:val="both"/>
        <w:rPr>
          <w:rFonts w:ascii="Arial" w:hAnsi="Arial" w:cs="Arial"/>
          <w:b/>
          <w:bCs/>
        </w:rPr>
      </w:pPr>
    </w:p>
    <w:p w14:paraId="05E11D63" w14:textId="77777777" w:rsidR="004123D5" w:rsidRPr="004123D5" w:rsidRDefault="004123D5" w:rsidP="004123D5">
      <w:pPr>
        <w:spacing w:line="360" w:lineRule="auto"/>
        <w:jc w:val="both"/>
        <w:rPr>
          <w:rFonts w:ascii="Arial" w:hAnsi="Arial" w:cs="Arial"/>
          <w:b/>
          <w:bCs/>
        </w:rPr>
      </w:pPr>
    </w:p>
    <w:p w14:paraId="28310614" w14:textId="77777777" w:rsidR="004123D5" w:rsidRPr="004123D5" w:rsidRDefault="004123D5" w:rsidP="004123D5">
      <w:pPr>
        <w:spacing w:line="360" w:lineRule="auto"/>
        <w:jc w:val="both"/>
        <w:rPr>
          <w:rFonts w:ascii="Arial" w:hAnsi="Arial" w:cs="Arial"/>
          <w:b/>
          <w:bCs/>
        </w:rPr>
      </w:pPr>
    </w:p>
    <w:p w14:paraId="7BC3000F" w14:textId="77777777" w:rsidR="004123D5" w:rsidRPr="004123D5" w:rsidRDefault="004123D5" w:rsidP="004123D5">
      <w:pPr>
        <w:spacing w:line="360" w:lineRule="auto"/>
        <w:jc w:val="both"/>
        <w:rPr>
          <w:rFonts w:ascii="Arial" w:hAnsi="Arial" w:cs="Arial"/>
          <w:b/>
          <w:bCs/>
        </w:rPr>
      </w:pPr>
    </w:p>
    <w:p w14:paraId="02E634A4" w14:textId="77777777" w:rsidR="004123D5" w:rsidRPr="004123D5" w:rsidRDefault="004123D5" w:rsidP="004123D5">
      <w:pPr>
        <w:spacing w:line="360" w:lineRule="auto"/>
        <w:jc w:val="both"/>
        <w:rPr>
          <w:rFonts w:ascii="Arial" w:hAnsi="Arial" w:cs="Arial"/>
          <w:b/>
          <w:bCs/>
        </w:rPr>
      </w:pPr>
    </w:p>
    <w:p w14:paraId="547E2E5A" w14:textId="77777777" w:rsidR="004123D5" w:rsidRPr="004123D5" w:rsidRDefault="004123D5" w:rsidP="004123D5">
      <w:pPr>
        <w:spacing w:line="360" w:lineRule="auto"/>
        <w:jc w:val="both"/>
        <w:rPr>
          <w:rFonts w:ascii="Arial" w:hAnsi="Arial" w:cs="Arial"/>
          <w:b/>
          <w:bCs/>
        </w:rPr>
      </w:pPr>
    </w:p>
    <w:p w14:paraId="07C50413" w14:textId="77777777" w:rsidR="004123D5" w:rsidRPr="004123D5" w:rsidRDefault="004123D5" w:rsidP="004123D5">
      <w:pPr>
        <w:spacing w:line="360" w:lineRule="auto"/>
        <w:jc w:val="both"/>
        <w:rPr>
          <w:rFonts w:ascii="Arial" w:hAnsi="Arial" w:cs="Arial"/>
          <w:b/>
          <w:bCs/>
        </w:rPr>
      </w:pPr>
    </w:p>
    <w:p w14:paraId="2C39FB0F" w14:textId="77777777" w:rsidR="004123D5" w:rsidRPr="004123D5" w:rsidRDefault="004123D5" w:rsidP="004123D5">
      <w:pPr>
        <w:spacing w:line="360" w:lineRule="auto"/>
        <w:jc w:val="both"/>
        <w:rPr>
          <w:rFonts w:ascii="Arial" w:hAnsi="Arial" w:cs="Arial"/>
          <w:b/>
          <w:bCs/>
        </w:rPr>
      </w:pPr>
    </w:p>
    <w:p w14:paraId="47614418" w14:textId="77777777" w:rsidR="004123D5" w:rsidRPr="004123D5" w:rsidRDefault="004123D5" w:rsidP="004123D5">
      <w:pPr>
        <w:spacing w:line="360" w:lineRule="auto"/>
        <w:jc w:val="both"/>
        <w:rPr>
          <w:rFonts w:ascii="Arial" w:hAnsi="Arial" w:cs="Arial"/>
          <w:b/>
          <w:bCs/>
        </w:rPr>
      </w:pPr>
    </w:p>
    <w:p w14:paraId="797E17CB" w14:textId="77777777" w:rsidR="004123D5" w:rsidRPr="004123D5" w:rsidRDefault="004123D5" w:rsidP="004123D5">
      <w:pPr>
        <w:spacing w:line="360" w:lineRule="auto"/>
        <w:jc w:val="both"/>
        <w:rPr>
          <w:rFonts w:ascii="Arial" w:hAnsi="Arial" w:cs="Arial"/>
          <w:b/>
          <w:bCs/>
        </w:rPr>
      </w:pPr>
    </w:p>
    <w:p w14:paraId="7563C718" w14:textId="77777777" w:rsidR="004123D5" w:rsidRPr="004123D5" w:rsidRDefault="004123D5" w:rsidP="004123D5">
      <w:pPr>
        <w:spacing w:line="360" w:lineRule="auto"/>
        <w:jc w:val="both"/>
        <w:rPr>
          <w:rFonts w:ascii="Arial" w:hAnsi="Arial" w:cs="Arial"/>
          <w:b/>
          <w:bCs/>
        </w:rPr>
      </w:pPr>
    </w:p>
    <w:p w14:paraId="0FD9E9C5"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Table of Contents</w:t>
      </w:r>
    </w:p>
    <w:p w14:paraId="35E9DC65" w14:textId="77777777" w:rsidR="004123D5" w:rsidRPr="004123D5" w:rsidRDefault="004123D5" w:rsidP="004123D5">
      <w:pPr>
        <w:spacing w:line="360" w:lineRule="auto"/>
        <w:jc w:val="both"/>
        <w:rPr>
          <w:rFonts w:ascii="Arial" w:hAnsi="Arial" w:cs="Arial"/>
          <w:b/>
          <w:bCs/>
        </w:rPr>
      </w:pPr>
    </w:p>
    <w:p w14:paraId="67B8E083"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Introduction</w:t>
      </w:r>
    </w:p>
    <w:p w14:paraId="3A89E8EB" w14:textId="77777777" w:rsidR="004123D5" w:rsidRPr="004123D5" w:rsidRDefault="004123D5" w:rsidP="004123D5">
      <w:pPr>
        <w:spacing w:line="360" w:lineRule="auto"/>
        <w:jc w:val="both"/>
        <w:rPr>
          <w:rFonts w:ascii="Arial" w:hAnsi="Arial" w:cs="Arial"/>
        </w:rPr>
      </w:pPr>
      <w:r w:rsidRPr="004123D5">
        <w:rPr>
          <w:rFonts w:ascii="Arial" w:hAnsi="Arial" w:cs="Arial"/>
        </w:rPr>
        <w:t>1.1 Background of The City Hotel</w:t>
      </w:r>
    </w:p>
    <w:p w14:paraId="57B9455A" w14:textId="77777777" w:rsidR="004123D5" w:rsidRPr="004123D5" w:rsidRDefault="004123D5" w:rsidP="004123D5">
      <w:pPr>
        <w:spacing w:line="360" w:lineRule="auto"/>
        <w:jc w:val="both"/>
        <w:rPr>
          <w:rFonts w:ascii="Arial" w:hAnsi="Arial" w:cs="Arial"/>
        </w:rPr>
      </w:pPr>
      <w:r w:rsidRPr="004123D5">
        <w:rPr>
          <w:rFonts w:ascii="Arial" w:hAnsi="Arial" w:cs="Arial"/>
        </w:rPr>
        <w:t>1.2 Purpose of the Report</w:t>
      </w:r>
    </w:p>
    <w:p w14:paraId="79A6808F" w14:textId="77777777" w:rsidR="004123D5" w:rsidRPr="004123D5" w:rsidRDefault="004123D5" w:rsidP="004123D5">
      <w:pPr>
        <w:spacing w:line="360" w:lineRule="auto"/>
        <w:jc w:val="both"/>
        <w:rPr>
          <w:rFonts w:ascii="Arial" w:hAnsi="Arial" w:cs="Arial"/>
        </w:rPr>
      </w:pPr>
      <w:r w:rsidRPr="004123D5">
        <w:rPr>
          <w:rFonts w:ascii="Arial" w:hAnsi="Arial" w:cs="Arial"/>
        </w:rPr>
        <w:t>1.3 Overview of Key Issues</w:t>
      </w:r>
    </w:p>
    <w:p w14:paraId="039ED940" w14:textId="77777777" w:rsidR="004123D5" w:rsidRPr="004123D5" w:rsidRDefault="004123D5" w:rsidP="004123D5">
      <w:pPr>
        <w:spacing w:line="360" w:lineRule="auto"/>
        <w:jc w:val="both"/>
        <w:rPr>
          <w:rFonts w:ascii="Arial" w:hAnsi="Arial" w:cs="Arial"/>
          <w:b/>
          <w:bCs/>
        </w:rPr>
      </w:pPr>
    </w:p>
    <w:p w14:paraId="000123ED"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Scope and Objectives</w:t>
      </w:r>
    </w:p>
    <w:p w14:paraId="46CBED00" w14:textId="77777777" w:rsidR="004123D5" w:rsidRPr="004123D5" w:rsidRDefault="004123D5" w:rsidP="004123D5">
      <w:pPr>
        <w:spacing w:line="360" w:lineRule="auto"/>
        <w:jc w:val="both"/>
        <w:rPr>
          <w:rFonts w:ascii="Arial" w:hAnsi="Arial" w:cs="Arial"/>
        </w:rPr>
      </w:pPr>
      <w:r w:rsidRPr="004123D5">
        <w:rPr>
          <w:rFonts w:ascii="Arial" w:hAnsi="Arial" w:cs="Arial"/>
        </w:rPr>
        <w:t>2.1 Objectives of the Assessment</w:t>
      </w:r>
    </w:p>
    <w:p w14:paraId="184FF1CB" w14:textId="77777777" w:rsidR="004123D5" w:rsidRPr="004123D5" w:rsidRDefault="004123D5" w:rsidP="004123D5">
      <w:pPr>
        <w:spacing w:line="360" w:lineRule="auto"/>
        <w:jc w:val="both"/>
        <w:rPr>
          <w:rFonts w:ascii="Arial" w:hAnsi="Arial" w:cs="Arial"/>
          <w:b/>
          <w:bCs/>
        </w:rPr>
      </w:pPr>
      <w:r w:rsidRPr="004123D5">
        <w:rPr>
          <w:rFonts w:ascii="Arial" w:hAnsi="Arial" w:cs="Arial"/>
        </w:rPr>
        <w:t>2.2 Methodology</w:t>
      </w:r>
    </w:p>
    <w:p w14:paraId="4DFBC373" w14:textId="77777777" w:rsidR="004123D5" w:rsidRPr="004123D5" w:rsidRDefault="004123D5" w:rsidP="004123D5">
      <w:pPr>
        <w:spacing w:line="360" w:lineRule="auto"/>
        <w:jc w:val="both"/>
        <w:rPr>
          <w:rFonts w:ascii="Arial" w:hAnsi="Arial" w:cs="Arial"/>
          <w:b/>
          <w:bCs/>
        </w:rPr>
      </w:pPr>
    </w:p>
    <w:p w14:paraId="4E85F04A"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Financial Performance Analysis</w:t>
      </w:r>
    </w:p>
    <w:p w14:paraId="036014BD" w14:textId="77777777" w:rsidR="004123D5" w:rsidRPr="004123D5" w:rsidRDefault="004123D5" w:rsidP="004123D5">
      <w:pPr>
        <w:spacing w:line="360" w:lineRule="auto"/>
        <w:jc w:val="both"/>
        <w:rPr>
          <w:rFonts w:ascii="Arial" w:hAnsi="Arial" w:cs="Arial"/>
        </w:rPr>
      </w:pPr>
      <w:r w:rsidRPr="004123D5">
        <w:rPr>
          <w:rFonts w:ascii="Arial" w:hAnsi="Arial" w:cs="Arial"/>
        </w:rPr>
        <w:t>3.1 Overview of Financial Statements</w:t>
      </w:r>
    </w:p>
    <w:p w14:paraId="18083F93" w14:textId="77777777" w:rsidR="004123D5" w:rsidRPr="004123D5" w:rsidRDefault="004123D5" w:rsidP="004123D5">
      <w:pPr>
        <w:spacing w:line="360" w:lineRule="auto"/>
        <w:jc w:val="both"/>
        <w:rPr>
          <w:rFonts w:ascii="Arial" w:hAnsi="Arial" w:cs="Arial"/>
        </w:rPr>
      </w:pPr>
      <w:r w:rsidRPr="004123D5">
        <w:rPr>
          <w:rFonts w:ascii="Arial" w:hAnsi="Arial" w:cs="Arial"/>
        </w:rPr>
        <w:t>3.2 Revenue Trends</w:t>
      </w:r>
    </w:p>
    <w:p w14:paraId="0F7BA4A0" w14:textId="77777777" w:rsidR="004123D5" w:rsidRPr="004123D5" w:rsidRDefault="004123D5" w:rsidP="004123D5">
      <w:pPr>
        <w:spacing w:line="360" w:lineRule="auto"/>
        <w:jc w:val="both"/>
        <w:rPr>
          <w:rFonts w:ascii="Arial" w:hAnsi="Arial" w:cs="Arial"/>
        </w:rPr>
      </w:pPr>
      <w:r w:rsidRPr="004123D5">
        <w:rPr>
          <w:rFonts w:ascii="Arial" w:hAnsi="Arial" w:cs="Arial"/>
        </w:rPr>
        <w:t>3.3 Expense Analysis</w:t>
      </w:r>
    </w:p>
    <w:p w14:paraId="156746C6" w14:textId="77777777" w:rsidR="004123D5" w:rsidRPr="004123D5" w:rsidRDefault="004123D5" w:rsidP="004123D5">
      <w:pPr>
        <w:spacing w:line="360" w:lineRule="auto"/>
        <w:jc w:val="both"/>
        <w:rPr>
          <w:rFonts w:ascii="Arial" w:hAnsi="Arial" w:cs="Arial"/>
        </w:rPr>
      </w:pPr>
      <w:r w:rsidRPr="004123D5">
        <w:rPr>
          <w:rFonts w:ascii="Arial" w:hAnsi="Arial" w:cs="Arial"/>
        </w:rPr>
        <w:t>3.4 Profitability Assessment</w:t>
      </w:r>
    </w:p>
    <w:p w14:paraId="3612D9B2" w14:textId="77777777" w:rsidR="004123D5" w:rsidRPr="004123D5" w:rsidRDefault="004123D5" w:rsidP="004123D5">
      <w:pPr>
        <w:spacing w:line="360" w:lineRule="auto"/>
        <w:jc w:val="both"/>
        <w:rPr>
          <w:rFonts w:ascii="Arial" w:hAnsi="Arial" w:cs="Arial"/>
        </w:rPr>
      </w:pPr>
      <w:r w:rsidRPr="004123D5">
        <w:rPr>
          <w:rFonts w:ascii="Arial" w:hAnsi="Arial" w:cs="Arial"/>
        </w:rPr>
        <w:t>3.5 Liquidity and Solvency</w:t>
      </w:r>
    </w:p>
    <w:p w14:paraId="0C364B3F" w14:textId="77777777" w:rsidR="004123D5" w:rsidRPr="004123D5" w:rsidRDefault="004123D5" w:rsidP="004123D5">
      <w:pPr>
        <w:spacing w:line="360" w:lineRule="auto"/>
        <w:jc w:val="both"/>
        <w:rPr>
          <w:rFonts w:ascii="Arial" w:hAnsi="Arial" w:cs="Arial"/>
          <w:b/>
          <w:bCs/>
        </w:rPr>
      </w:pPr>
    </w:p>
    <w:p w14:paraId="19F1719A"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Identification of Key Issues</w:t>
      </w:r>
    </w:p>
    <w:p w14:paraId="5E9FDFE2" w14:textId="77777777" w:rsidR="004123D5" w:rsidRPr="004123D5" w:rsidRDefault="004123D5" w:rsidP="004123D5">
      <w:pPr>
        <w:spacing w:line="360" w:lineRule="auto"/>
        <w:jc w:val="both"/>
        <w:rPr>
          <w:rFonts w:ascii="Arial" w:hAnsi="Arial" w:cs="Arial"/>
        </w:rPr>
      </w:pPr>
      <w:r w:rsidRPr="004123D5">
        <w:rPr>
          <w:rFonts w:ascii="Arial" w:hAnsi="Arial" w:cs="Arial"/>
        </w:rPr>
        <w:t>4.1 Internal Factors Affecting Performance</w:t>
      </w:r>
    </w:p>
    <w:p w14:paraId="365CD11F" w14:textId="77777777" w:rsidR="004123D5" w:rsidRPr="004123D5" w:rsidRDefault="004123D5" w:rsidP="004123D5">
      <w:pPr>
        <w:spacing w:line="360" w:lineRule="auto"/>
        <w:jc w:val="both"/>
        <w:rPr>
          <w:rFonts w:ascii="Arial" w:hAnsi="Arial" w:cs="Arial"/>
        </w:rPr>
      </w:pPr>
      <w:r w:rsidRPr="004123D5">
        <w:rPr>
          <w:rFonts w:ascii="Arial" w:hAnsi="Arial" w:cs="Arial"/>
        </w:rPr>
        <w:t>4.2 External Factors Influencing Profitability</w:t>
      </w:r>
    </w:p>
    <w:p w14:paraId="21CF5AF2" w14:textId="77777777" w:rsidR="004123D5" w:rsidRPr="004123D5" w:rsidRDefault="004123D5" w:rsidP="004123D5">
      <w:pPr>
        <w:spacing w:line="360" w:lineRule="auto"/>
        <w:jc w:val="both"/>
        <w:rPr>
          <w:rFonts w:ascii="Arial" w:hAnsi="Arial" w:cs="Arial"/>
          <w:b/>
          <w:bCs/>
        </w:rPr>
      </w:pPr>
    </w:p>
    <w:p w14:paraId="2AE0B0BC"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Turnaround Strategy Development</w:t>
      </w:r>
    </w:p>
    <w:p w14:paraId="08E8E654" w14:textId="77777777" w:rsidR="004123D5" w:rsidRPr="004123D5" w:rsidRDefault="004123D5" w:rsidP="004123D5">
      <w:pPr>
        <w:spacing w:line="360" w:lineRule="auto"/>
        <w:jc w:val="both"/>
        <w:rPr>
          <w:rFonts w:ascii="Arial" w:hAnsi="Arial" w:cs="Arial"/>
        </w:rPr>
      </w:pPr>
      <w:r w:rsidRPr="004123D5">
        <w:rPr>
          <w:rFonts w:ascii="Arial" w:hAnsi="Arial" w:cs="Arial"/>
        </w:rPr>
        <w:t>5.1 Strategic Goals</w:t>
      </w:r>
    </w:p>
    <w:p w14:paraId="69D8E9AC" w14:textId="77777777" w:rsidR="004123D5" w:rsidRPr="004123D5" w:rsidRDefault="004123D5" w:rsidP="004123D5">
      <w:pPr>
        <w:spacing w:line="360" w:lineRule="auto"/>
        <w:jc w:val="both"/>
        <w:rPr>
          <w:rFonts w:ascii="Arial" w:hAnsi="Arial" w:cs="Arial"/>
        </w:rPr>
      </w:pPr>
      <w:r w:rsidRPr="004123D5">
        <w:rPr>
          <w:rFonts w:ascii="Arial" w:hAnsi="Arial" w:cs="Arial"/>
        </w:rPr>
        <w:t>5.2 Proposed Actions for Revitalisation</w:t>
      </w:r>
    </w:p>
    <w:p w14:paraId="41895E6D" w14:textId="77777777" w:rsidR="004123D5" w:rsidRPr="004123D5" w:rsidRDefault="004123D5" w:rsidP="004123D5">
      <w:pPr>
        <w:spacing w:line="360" w:lineRule="auto"/>
        <w:jc w:val="both"/>
        <w:rPr>
          <w:rFonts w:ascii="Arial" w:hAnsi="Arial" w:cs="Arial"/>
        </w:rPr>
      </w:pPr>
      <w:r w:rsidRPr="004123D5">
        <w:rPr>
          <w:rFonts w:ascii="Arial" w:hAnsi="Arial" w:cs="Arial"/>
        </w:rPr>
        <w:t>5.3 Financial Projections and Implications</w:t>
      </w:r>
    </w:p>
    <w:p w14:paraId="4DF84780" w14:textId="77777777" w:rsidR="004123D5" w:rsidRPr="004123D5" w:rsidRDefault="004123D5" w:rsidP="004123D5">
      <w:pPr>
        <w:spacing w:line="360" w:lineRule="auto"/>
        <w:jc w:val="both"/>
        <w:rPr>
          <w:rFonts w:ascii="Arial" w:hAnsi="Arial" w:cs="Arial"/>
        </w:rPr>
      </w:pPr>
    </w:p>
    <w:p w14:paraId="48DBD36A"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Conclusion</w:t>
      </w:r>
    </w:p>
    <w:p w14:paraId="344A6226" w14:textId="77777777" w:rsidR="004123D5" w:rsidRPr="004123D5" w:rsidRDefault="004123D5" w:rsidP="004123D5">
      <w:pPr>
        <w:spacing w:line="360" w:lineRule="auto"/>
        <w:jc w:val="both"/>
        <w:rPr>
          <w:rFonts w:ascii="Arial" w:hAnsi="Arial" w:cs="Arial"/>
        </w:rPr>
      </w:pPr>
      <w:r w:rsidRPr="004123D5">
        <w:rPr>
          <w:rFonts w:ascii="Arial" w:hAnsi="Arial" w:cs="Arial"/>
        </w:rPr>
        <w:t>6.1 Summary of Findings</w:t>
      </w:r>
    </w:p>
    <w:p w14:paraId="24A42113" w14:textId="77777777" w:rsidR="004123D5" w:rsidRPr="004123D5" w:rsidRDefault="004123D5" w:rsidP="004123D5">
      <w:pPr>
        <w:spacing w:line="360" w:lineRule="auto"/>
        <w:jc w:val="both"/>
        <w:rPr>
          <w:rFonts w:ascii="Arial" w:hAnsi="Arial" w:cs="Arial"/>
        </w:rPr>
      </w:pPr>
      <w:r w:rsidRPr="004123D5">
        <w:rPr>
          <w:rFonts w:ascii="Arial" w:hAnsi="Arial" w:cs="Arial"/>
        </w:rPr>
        <w:t>6.2 Final Recommendations</w:t>
      </w:r>
    </w:p>
    <w:p w14:paraId="4795A481" w14:textId="77777777" w:rsidR="004123D5" w:rsidRPr="004123D5" w:rsidRDefault="004123D5" w:rsidP="004123D5">
      <w:pPr>
        <w:spacing w:line="360" w:lineRule="auto"/>
        <w:jc w:val="both"/>
        <w:rPr>
          <w:rFonts w:ascii="Arial" w:hAnsi="Arial" w:cs="Arial"/>
          <w:b/>
          <w:bCs/>
        </w:rPr>
      </w:pPr>
    </w:p>
    <w:p w14:paraId="52D4B118"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Reference List</w:t>
      </w:r>
    </w:p>
    <w:p w14:paraId="449AC374" w14:textId="77777777" w:rsidR="004123D5" w:rsidRPr="004123D5" w:rsidRDefault="004123D5" w:rsidP="004123D5">
      <w:pPr>
        <w:spacing w:line="360" w:lineRule="auto"/>
        <w:jc w:val="both"/>
        <w:rPr>
          <w:rFonts w:ascii="Arial" w:hAnsi="Arial" w:cs="Arial"/>
          <w:b/>
          <w:bCs/>
        </w:rPr>
      </w:pPr>
    </w:p>
    <w:p w14:paraId="00491BE6"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1. Introduction</w:t>
      </w:r>
    </w:p>
    <w:p w14:paraId="0FC00978" w14:textId="77777777" w:rsidR="004123D5" w:rsidRPr="004123D5" w:rsidRDefault="004123D5" w:rsidP="004123D5">
      <w:pPr>
        <w:spacing w:line="360" w:lineRule="auto"/>
        <w:jc w:val="both"/>
        <w:rPr>
          <w:rFonts w:ascii="Arial" w:hAnsi="Arial" w:cs="Arial"/>
        </w:rPr>
      </w:pPr>
      <w:r w:rsidRPr="004123D5">
        <w:rPr>
          <w:rFonts w:ascii="Arial" w:hAnsi="Arial" w:cs="Arial"/>
        </w:rPr>
        <w:t>With its restaurant, bar and event spaces, the City Hotel has long been a well-known landmark in a bustling city. However, the hotel's income, occupancy rates, and customer satisfaction have all significantly declined over the past three years, raising major questions about the hotel's capacity to continue operating financially. The hotel's owner is currently looking for professional research to evaluate if a complete turnaround plan can save the establishment and bring it back to profitability.</w:t>
      </w:r>
    </w:p>
    <w:p w14:paraId="5537FBF0" w14:textId="77777777" w:rsidR="004123D5" w:rsidRPr="004123D5" w:rsidRDefault="004123D5" w:rsidP="004123D5">
      <w:pPr>
        <w:spacing w:line="360" w:lineRule="auto"/>
        <w:jc w:val="both"/>
        <w:rPr>
          <w:rFonts w:ascii="Arial" w:hAnsi="Arial" w:cs="Arial"/>
        </w:rPr>
      </w:pPr>
      <w:r w:rsidRPr="004123D5">
        <w:rPr>
          <w:rFonts w:ascii="Arial" w:hAnsi="Arial" w:cs="Arial"/>
        </w:rPr>
        <w:t>The purpose of this study is to assess the hotel's financial performance from 2021 to 2023, with a focus on trends in profit, expenses, revenue, liquidity, and solvency (Brigham and Ehrhardt, 2020). It will also look into the main causes of the decrease in profitability while accounting for relevant industrial difficulties and economic developments (Buhalis and Sinarta, 2019; Pizam, 2020). The report will provide alternate suggestions for reaching the best possible financial result for the owner in addition to a strategic plan targeted at reviving the hotel's financial health, all based on this analysis.</w:t>
      </w:r>
    </w:p>
    <w:p w14:paraId="5FC908FF" w14:textId="77777777" w:rsidR="004123D5" w:rsidRPr="004123D5" w:rsidRDefault="004123D5" w:rsidP="004123D5">
      <w:pPr>
        <w:spacing w:line="360" w:lineRule="auto"/>
        <w:jc w:val="both"/>
        <w:rPr>
          <w:rFonts w:ascii="Arial" w:hAnsi="Arial" w:cs="Arial"/>
        </w:rPr>
      </w:pPr>
    </w:p>
    <w:p w14:paraId="3E6B16BF"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lastRenderedPageBreak/>
        <w:t>2. Financial Performance Evaluation (2021–2023)</w:t>
      </w:r>
    </w:p>
    <w:p w14:paraId="2D547DBF"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2.1 Revenue Trends</w:t>
      </w:r>
    </w:p>
    <w:p w14:paraId="1D68D27E" w14:textId="77777777" w:rsidR="004123D5" w:rsidRPr="004123D5" w:rsidRDefault="004123D5" w:rsidP="004123D5">
      <w:pPr>
        <w:spacing w:line="360" w:lineRule="auto"/>
        <w:jc w:val="both"/>
        <w:rPr>
          <w:rFonts w:ascii="Arial" w:hAnsi="Arial" w:cs="Arial"/>
        </w:rPr>
      </w:pPr>
      <w:r w:rsidRPr="004123D5">
        <w:rPr>
          <w:rFonts w:ascii="Arial" w:hAnsi="Arial" w:cs="Arial"/>
        </w:rPr>
        <w:t>The City Hotel's income statistics over the last three years show an unsettling pattern. The hotel's revenue in 2022 increased slightly to GBP 5.3 million from GBP 5.2 million in 2021. Nevertheless, the hotel's revenue fell sharply by 56% in 2023, to just GBP 2.3 million. Numerous external causes, most notably the long-lasting effects of the COVID-19 pandemic on the world tourism industry and the ensuing economic downturns, are to blame for this notable decline (Jones et al., 2022).</w:t>
      </w:r>
    </w:p>
    <w:p w14:paraId="595FF7E6" w14:textId="77777777" w:rsidR="004123D5" w:rsidRPr="004123D5" w:rsidRDefault="004123D5" w:rsidP="004123D5">
      <w:pPr>
        <w:spacing w:line="360" w:lineRule="auto"/>
        <w:jc w:val="both"/>
        <w:rPr>
          <w:rFonts w:ascii="Arial" w:hAnsi="Arial" w:cs="Arial"/>
        </w:rPr>
      </w:pPr>
      <w:r w:rsidRPr="004123D5">
        <w:rPr>
          <w:rFonts w:ascii="Arial" w:hAnsi="Arial" w:cs="Arial"/>
        </w:rPr>
        <w:t>Furthermore, this steep income decline may have been influenced by changes in customer preferences towards other lodging options like Airbnb (Yang, Flynn &amp; Anderson, 2019). According to industry sources, the hospitality sector saw significant income reductions both during and after the pandemic, and many hotels found it difficult to get back to their pre-pandemic occupancy and room rate levels (Kimes, 2020). Further compounding the fall in revenue, inflationary pressures in 2023 probably discouraged discretionary expenditure, especially in leisure travel (O'Connor, 2021).</w:t>
      </w:r>
    </w:p>
    <w:p w14:paraId="51B6215F" w14:textId="77777777" w:rsidR="004123D5" w:rsidRPr="004123D5" w:rsidRDefault="004123D5" w:rsidP="004123D5">
      <w:pPr>
        <w:spacing w:line="360" w:lineRule="auto"/>
        <w:jc w:val="both"/>
        <w:rPr>
          <w:rFonts w:ascii="Arial" w:hAnsi="Arial" w:cs="Arial"/>
        </w:rPr>
      </w:pPr>
    </w:p>
    <w:p w14:paraId="532B2C27"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2.2 Profitability Analysis</w:t>
      </w:r>
    </w:p>
    <w:p w14:paraId="3A49AA90" w14:textId="77777777" w:rsidR="004123D5" w:rsidRPr="004123D5" w:rsidRDefault="004123D5" w:rsidP="004123D5">
      <w:pPr>
        <w:spacing w:line="360" w:lineRule="auto"/>
        <w:jc w:val="both"/>
        <w:rPr>
          <w:rFonts w:ascii="Arial" w:hAnsi="Arial" w:cs="Arial"/>
        </w:rPr>
      </w:pPr>
      <w:r w:rsidRPr="004123D5">
        <w:rPr>
          <w:rFonts w:ascii="Arial" w:hAnsi="Arial" w:cs="Arial"/>
        </w:rPr>
        <w:t>The hotel's profitability has showed an even more concerning trend in spite of the decline in sales. The City Hotel made roughly GBP 664,160 in operational income in 2021 and GBP 674,730 in 2022. Yet by 2023, the operational revenue had drastically decreased to a GBP 1.2 million deficit. A significant reduction in the hotel's fundamental operating efficiency is highlighted by this abrupt turn into negative profitability, which also calls into question the efficacy of its cost-control measures.</w:t>
      </w:r>
    </w:p>
    <w:p w14:paraId="37211A59"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While the cost of products sold declined proportionately to sales, other fixed costs—particularly labour costs and external expenses—remained relatively high, according to profitability criteria such gross profit margin. In 2023, employee costs dropped to GBP 1.2 million from GBP 1.7 million in the two years prior. This 30% decrease shows an attempt to match labour costs to the falling revenue, but it was not enough to counteract the total revenue decline, pointing to possible inefficiencies in labour utilisation or insufficient staff reduction (Nickson, 2022). It could be necessary to </w:t>
      </w:r>
      <w:r w:rsidRPr="004123D5">
        <w:rPr>
          <w:rFonts w:ascii="Arial" w:hAnsi="Arial" w:cs="Arial"/>
        </w:rPr>
        <w:lastRenderedPageBreak/>
        <w:t>reevaluate the hotel's staffing plan to make sure it is in line with the demands of the business and the present demand.</w:t>
      </w:r>
    </w:p>
    <w:p w14:paraId="0BFC9F7A" w14:textId="77777777" w:rsidR="004123D5" w:rsidRPr="004123D5" w:rsidRDefault="004123D5" w:rsidP="004123D5">
      <w:pPr>
        <w:spacing w:line="360" w:lineRule="auto"/>
        <w:jc w:val="both"/>
        <w:rPr>
          <w:rFonts w:ascii="Arial" w:hAnsi="Arial" w:cs="Arial"/>
        </w:rPr>
      </w:pPr>
      <w:r w:rsidRPr="004123D5">
        <w:rPr>
          <w:rFonts w:ascii="Arial" w:hAnsi="Arial" w:cs="Arial"/>
        </w:rPr>
        <w:t>Furthermore, the substantial expenses associated with depreciation and amortisation which rose from GBP 409,190 in 2021 to GBP 661,590 in 2023 have further reduced profitability. Given its lower cash flow, The City Hotel has had difficulty maintaining its infrastructure and assets, as seen by these high fixed costs (Harris &amp; Mongiello, 2018). The hotel may not be spending enough in repairs or improvements, which could have an additional negative effect on visitor happiness and operational effectiveness. This is shown by the rising depreciation expenses.</w:t>
      </w:r>
    </w:p>
    <w:p w14:paraId="757EC84F" w14:textId="77777777" w:rsidR="004123D5" w:rsidRPr="004123D5" w:rsidRDefault="004123D5" w:rsidP="004123D5">
      <w:pPr>
        <w:spacing w:line="360" w:lineRule="auto"/>
        <w:jc w:val="both"/>
        <w:rPr>
          <w:rFonts w:ascii="Arial" w:hAnsi="Arial" w:cs="Arial"/>
        </w:rPr>
      </w:pPr>
      <w:r w:rsidRPr="004123D5">
        <w:rPr>
          <w:rFonts w:ascii="Arial" w:hAnsi="Arial" w:cs="Arial"/>
        </w:rPr>
        <w:t>In addition, the hotel's capacity to control its outside costs has been called into question. The hotel encountered difficulties in preserving service quality while keeping expenses under control when occupancy rates dropped. If the hotel does not take initiative-taking measures to control these costs, its finances could worsen much more. This thorough evaluation of profitability makes clear how urgently The City Hotel needs a turnaround plan that tackles cost control as well as operational effectiveness in order to rebuild its financial stability and market competitiveness.</w:t>
      </w:r>
    </w:p>
    <w:p w14:paraId="1BD7795C" w14:textId="77777777" w:rsidR="004123D5" w:rsidRPr="004123D5" w:rsidRDefault="004123D5" w:rsidP="004123D5">
      <w:pPr>
        <w:spacing w:line="360" w:lineRule="auto"/>
        <w:jc w:val="both"/>
        <w:rPr>
          <w:rFonts w:ascii="Arial" w:hAnsi="Arial" w:cs="Arial"/>
        </w:rPr>
      </w:pPr>
    </w:p>
    <w:p w14:paraId="34577F3C"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2.3 Liquidity and Solvency</w:t>
      </w:r>
    </w:p>
    <w:p w14:paraId="1BB8FF36" w14:textId="77777777" w:rsidR="004123D5" w:rsidRPr="004123D5" w:rsidRDefault="004123D5" w:rsidP="004123D5">
      <w:pPr>
        <w:spacing w:line="360" w:lineRule="auto"/>
        <w:jc w:val="both"/>
        <w:rPr>
          <w:rFonts w:ascii="Arial" w:hAnsi="Arial" w:cs="Arial"/>
        </w:rPr>
      </w:pPr>
      <w:r w:rsidRPr="004123D5">
        <w:rPr>
          <w:rFonts w:ascii="Arial" w:hAnsi="Arial" w:cs="Arial"/>
        </w:rPr>
        <w:t>Between 2021 and 2023, The City Hotel's liquidity status significantly worsened. The amount of cash and cash equivalents fell from GBP 740,590 in 2021 to GBP 295,510 in 2023, indicating a lack of adequate cash flow from business activities. The hotel's capacity to fulfil its short-term obligations is called into question by this decline in liquidity, particularly given that its current liabilities exceeded GBP 2 million for the whole of the time (Atrill &amp; McLaney, 2021).</w:t>
      </w:r>
    </w:p>
    <w:p w14:paraId="23236900"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Additionally impacted is the hotel's growing reliance on long-term borrowings, which indicates a financial strain. Whereas long-term lease debt increased to GBP 3.3 million in 2023, long-term borrowings increased to GBP 8.3 million in 2023 from GBP 7.7 million. A hotel that cannot stabilise its cash flow and profitability in the upcoming years is more vulnerable to insolvency as a result of its mounting debt load (Maher &amp; Andersson, 2021). In addition, the 2023 negative net income of GBP 1.13 million </w:t>
      </w:r>
      <w:r w:rsidRPr="004123D5">
        <w:rPr>
          <w:rFonts w:ascii="Arial" w:hAnsi="Arial" w:cs="Arial"/>
        </w:rPr>
        <w:lastRenderedPageBreak/>
        <w:t>further reduced retained earnings, resulting in a 2023 decrease in owner's equity from GBP 2.5 million in 2022 to GBP 1.3 million.</w:t>
      </w:r>
    </w:p>
    <w:p w14:paraId="207FE930" w14:textId="77777777" w:rsidR="004123D5" w:rsidRPr="004123D5" w:rsidRDefault="004123D5" w:rsidP="004123D5">
      <w:pPr>
        <w:spacing w:line="360" w:lineRule="auto"/>
        <w:jc w:val="both"/>
        <w:rPr>
          <w:rFonts w:ascii="Arial" w:hAnsi="Arial" w:cs="Arial"/>
        </w:rPr>
      </w:pPr>
    </w:p>
    <w:p w14:paraId="66219527"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2.4 Key Expense Trends</w:t>
      </w:r>
    </w:p>
    <w:p w14:paraId="3163D448" w14:textId="77777777" w:rsidR="004123D5" w:rsidRPr="004123D5" w:rsidRDefault="004123D5" w:rsidP="004123D5">
      <w:pPr>
        <w:spacing w:line="360" w:lineRule="auto"/>
        <w:jc w:val="both"/>
        <w:rPr>
          <w:rFonts w:ascii="Arial" w:hAnsi="Arial" w:cs="Arial"/>
        </w:rPr>
      </w:pPr>
      <w:r w:rsidRPr="004123D5">
        <w:rPr>
          <w:rFonts w:ascii="Arial" w:hAnsi="Arial" w:cs="Arial"/>
        </w:rPr>
        <w:t>Over the previous three years, The City Hotel has experienced swings in its key expenses and has had varying degrees of success in managing them. Interestingly, despite a sharp reduction in revenue, efforts to reduce costs in critical areas like employee and external expenses did not match the decline in revenue, suggesting a lack of flexibility in modifying operating costs.</w:t>
      </w:r>
    </w:p>
    <w:p w14:paraId="5DD3A333" w14:textId="77777777" w:rsidR="004123D5" w:rsidRPr="004123D5" w:rsidRDefault="004123D5" w:rsidP="004123D5">
      <w:pPr>
        <w:spacing w:line="360" w:lineRule="auto"/>
        <w:jc w:val="both"/>
        <w:rPr>
          <w:rFonts w:ascii="Arial" w:hAnsi="Arial" w:cs="Arial"/>
        </w:rPr>
      </w:pPr>
      <w:r w:rsidRPr="004123D5">
        <w:rPr>
          <w:rFonts w:ascii="Arial" w:hAnsi="Arial" w:cs="Arial"/>
        </w:rPr>
        <w:t>Employee costs represent a significant portion of total expenses, accounting for GBP 1.72 million in 2021, GBP 1.77 million in 2022, and GBP 1.23 million in 2023. The reduction in employee costs in 2023 was necessary, but the 30% reduction was disproportionate to the 56% fall in revenue, which indicates a possible mismatch between staff numbers and actual occupancy rates. The rigidity of labour laws in certain urban centres, as well as the challenge of retaining skilled hospitality workers during volatile periods, likely contributed to the slower adjustment in staffing levels (Baum, 2021).</w:t>
      </w:r>
    </w:p>
    <w:p w14:paraId="1B28BB97" w14:textId="77777777" w:rsidR="004123D5" w:rsidRPr="004123D5" w:rsidRDefault="004123D5" w:rsidP="004123D5">
      <w:pPr>
        <w:spacing w:line="360" w:lineRule="auto"/>
        <w:jc w:val="both"/>
        <w:rPr>
          <w:rFonts w:ascii="Arial" w:hAnsi="Arial" w:cs="Arial"/>
        </w:rPr>
      </w:pPr>
      <w:r w:rsidRPr="004123D5">
        <w:rPr>
          <w:rFonts w:ascii="Arial" w:hAnsi="Arial" w:cs="Arial"/>
        </w:rPr>
        <w:t>External expenses also saw a reduction from GBP 1.89 million in 2021 to GBP 1.07 million in 2023, which helped to mitigate the financial strain somewhat, but remained insufficient to balance the revenue shortfall. The high external costs, even in a downturn, may suggest inefficiencies in outsourcing services such as cleaning, maintenance, and marketing operations. In line with industry practices, outsourcing can become expensive if not continuously evaluated for cost-effectiveness (Sanchez &amp; Heene, 2020).</w:t>
      </w:r>
    </w:p>
    <w:p w14:paraId="04B13E17"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The costs of depreciation and amortisation increased from GBP 409,190 in 2021 to GBP 661,590 in 2023, indicating the necessity of upgrading and maintaining facilities in spite of the deteriorating business climate. This increase is a result of the hotel industry's high capital intensity, which makes it difficult to postpone property and equipment purchases without running the risk of a decline in service quality (Brigham &amp; Ehrhardt, 2020). Strategic asset management will be essential to enhancing cost </w:t>
      </w:r>
      <w:r w:rsidRPr="004123D5">
        <w:rPr>
          <w:rFonts w:ascii="Arial" w:hAnsi="Arial" w:cs="Arial"/>
        </w:rPr>
        <w:lastRenderedPageBreak/>
        <w:t>structure going forward, since these high fixed costs have a significant negative impact on profitability during downturns.</w:t>
      </w:r>
    </w:p>
    <w:p w14:paraId="1EA7AE9B" w14:textId="77777777" w:rsidR="004123D5" w:rsidRPr="004123D5" w:rsidRDefault="004123D5" w:rsidP="004123D5">
      <w:pPr>
        <w:spacing w:line="360" w:lineRule="auto"/>
        <w:jc w:val="both"/>
        <w:rPr>
          <w:rFonts w:ascii="Arial" w:hAnsi="Arial" w:cs="Arial"/>
        </w:rPr>
      </w:pPr>
    </w:p>
    <w:p w14:paraId="21E23745"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3. Key Reasons for Decline in Profitability</w:t>
      </w:r>
    </w:p>
    <w:p w14:paraId="7E6F0610" w14:textId="77777777" w:rsidR="004123D5" w:rsidRPr="004123D5" w:rsidRDefault="004123D5" w:rsidP="004123D5">
      <w:pPr>
        <w:spacing w:line="360" w:lineRule="auto"/>
        <w:jc w:val="both"/>
        <w:rPr>
          <w:rFonts w:ascii="Arial" w:hAnsi="Arial" w:cs="Arial"/>
        </w:rPr>
      </w:pPr>
      <w:r w:rsidRPr="004123D5">
        <w:rPr>
          <w:rFonts w:ascii="Arial" w:hAnsi="Arial" w:cs="Arial"/>
        </w:rPr>
        <w:t>The financial performance of The City Hotel has declined due to many circumstances. These include changes in consumer tastes, operational inefficiencies, and macroeconomic conditions, all of which have made the problems facing the hotel business more severe overall.</w:t>
      </w:r>
    </w:p>
    <w:p w14:paraId="04489644"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3.1 Macroeconomic Factors</w:t>
      </w:r>
    </w:p>
    <w:p w14:paraId="6FB96B51" w14:textId="77777777" w:rsidR="004123D5" w:rsidRPr="004123D5" w:rsidRDefault="004123D5" w:rsidP="004123D5">
      <w:pPr>
        <w:spacing w:line="360" w:lineRule="auto"/>
        <w:jc w:val="both"/>
        <w:rPr>
          <w:rFonts w:ascii="Arial" w:hAnsi="Arial" w:cs="Arial"/>
        </w:rPr>
      </w:pPr>
      <w:r w:rsidRPr="004123D5">
        <w:rPr>
          <w:rFonts w:ascii="Arial" w:hAnsi="Arial" w:cs="Arial"/>
        </w:rPr>
        <w:t>The global economic landscape, heavily impacted by the COVID-19 pandemic, has significantly disrupted the hospitality sector. Between 2021 and 2023, global tourism struggled to recover, with international travel restrictions, cautious consumer spending, and economic uncertainty all playing a part (UNWTO, 2021). The UK hospitality industry in particular was hit hard, with reduced tourist arrivals and local demand contraction due to fluctuating lockdowns and shifting work-from-home patterns. This created a "demand shock" that many hotels, including The City Hotel, were ill-equipped to manage (Sigala, 2020).</w:t>
      </w:r>
    </w:p>
    <w:p w14:paraId="3757009B" w14:textId="77777777" w:rsidR="004123D5" w:rsidRPr="004123D5" w:rsidRDefault="004123D5" w:rsidP="004123D5">
      <w:pPr>
        <w:spacing w:line="360" w:lineRule="auto"/>
        <w:jc w:val="both"/>
        <w:rPr>
          <w:rFonts w:ascii="Arial" w:hAnsi="Arial" w:cs="Arial"/>
        </w:rPr>
      </w:pPr>
      <w:r w:rsidRPr="004123D5">
        <w:rPr>
          <w:rFonts w:ascii="Arial" w:hAnsi="Arial" w:cs="Arial"/>
        </w:rPr>
        <w:t>In 2023, the sharp rise in inflation and cost of living significantly affected discretionary spending, with consumers opting to cut back on travel and leisure activities (Baum &amp; Hai, 2020). Additionally, rising energy prices and supply chain disruptions further raised operational costs, contributing to the hotel's deteriorating financial health (Brown et al., 2021).</w:t>
      </w:r>
    </w:p>
    <w:p w14:paraId="1FBF0FA7"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3.2 Shifts in Consumer Preferences</w:t>
      </w:r>
    </w:p>
    <w:p w14:paraId="7FC84F3C" w14:textId="77777777" w:rsidR="004123D5" w:rsidRPr="004123D5" w:rsidRDefault="004123D5" w:rsidP="004123D5">
      <w:pPr>
        <w:spacing w:line="360" w:lineRule="auto"/>
        <w:jc w:val="both"/>
        <w:rPr>
          <w:rFonts w:ascii="Arial" w:hAnsi="Arial" w:cs="Arial"/>
        </w:rPr>
      </w:pPr>
      <w:r w:rsidRPr="004123D5">
        <w:rPr>
          <w:rFonts w:ascii="Arial" w:hAnsi="Arial" w:cs="Arial"/>
        </w:rPr>
        <w:t>Consumer preferences have also shifted toward more flexible and cost-effective accommodation options. The rise of platforms like Airbnb has introduced significant competition, offering customers unique and often cheaper lodging alternatives (Guttentag, 2019). The City Hotel, with its traditional hotel model, may have struggled to compete with such offerings, particularly in a price-sensitive environment. The trend toward "staycations" has also favoured smaller, rural establishments, diverting demand away from urban hotels such as The City Hotel (Pappas, 2021).</w:t>
      </w:r>
    </w:p>
    <w:p w14:paraId="42949B45" w14:textId="77777777" w:rsidR="004123D5" w:rsidRPr="004123D5" w:rsidRDefault="004123D5" w:rsidP="004123D5">
      <w:pPr>
        <w:spacing w:line="360" w:lineRule="auto"/>
        <w:jc w:val="both"/>
        <w:rPr>
          <w:rFonts w:ascii="Arial" w:hAnsi="Arial" w:cs="Arial"/>
        </w:rPr>
      </w:pPr>
      <w:r w:rsidRPr="004123D5">
        <w:rPr>
          <w:rFonts w:ascii="Arial" w:hAnsi="Arial" w:cs="Arial"/>
        </w:rPr>
        <w:lastRenderedPageBreak/>
        <w:t>Furthermore, digital transformation and increased customer expectations have reshaped the hotel experience. Modern travellers expect seamless online booking processes, personalised services, and digital engagement, areas where The City Hotel may have lagged behind its competitors (Buhalis &amp; Sinarta, 2019). This failure to modernise and innovate in line with industry trends could have contributed to declining customer satisfaction and reduced repeat business.</w:t>
      </w:r>
    </w:p>
    <w:p w14:paraId="5A158440"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3.3 Operational Inefficiencies</w:t>
      </w:r>
    </w:p>
    <w:p w14:paraId="067F7175" w14:textId="77777777" w:rsidR="004123D5" w:rsidRPr="004123D5" w:rsidRDefault="004123D5" w:rsidP="004123D5">
      <w:pPr>
        <w:spacing w:line="360" w:lineRule="auto"/>
        <w:jc w:val="both"/>
        <w:rPr>
          <w:rFonts w:ascii="Arial" w:hAnsi="Arial" w:cs="Arial"/>
        </w:rPr>
      </w:pPr>
      <w:r w:rsidRPr="004123D5">
        <w:rPr>
          <w:rFonts w:ascii="Arial" w:hAnsi="Arial" w:cs="Arial"/>
        </w:rPr>
        <w:t>Operational inefficiencies, such as the slow reduction of labour costs relative to revenue and continued high external expenses, also played a role in the profitability decline. Labor inefficiency can be a common issue in the hospitality industry, where fluctuations in demand require a highly adaptable workforce. However, rigid labour practices and union agreements can make rapid downsizing or flexible staffing difficult, leading to excess labour costs during periods of low occupancy (Gupta &amp; Clements, 2020).</w:t>
      </w:r>
    </w:p>
    <w:p w14:paraId="62303FB0" w14:textId="77777777" w:rsidR="004123D5" w:rsidRPr="004123D5" w:rsidRDefault="004123D5" w:rsidP="004123D5">
      <w:pPr>
        <w:spacing w:line="360" w:lineRule="auto"/>
        <w:jc w:val="both"/>
        <w:rPr>
          <w:rFonts w:ascii="Arial" w:hAnsi="Arial" w:cs="Arial"/>
        </w:rPr>
      </w:pPr>
      <w:r w:rsidRPr="004123D5">
        <w:rPr>
          <w:rFonts w:ascii="Arial" w:hAnsi="Arial" w:cs="Arial"/>
        </w:rPr>
        <w:t>High fixed costs have also put a significant strain on the hotel's finances through amortisation and depreciation. Large investments in real estate and equipment in capital-intensive industries, such as hotels, must be carefully managed to prevent overstretching during downturns (Brigham &amp; Ehrhardt, 2020). The hotel's financial difficulties have been made worse by its incapacity to modify these expenses in response to drops in revenue.</w:t>
      </w:r>
    </w:p>
    <w:p w14:paraId="700826E4" w14:textId="77777777" w:rsidR="004123D5" w:rsidRPr="004123D5" w:rsidRDefault="004123D5" w:rsidP="004123D5">
      <w:pPr>
        <w:spacing w:line="360" w:lineRule="auto"/>
        <w:jc w:val="both"/>
        <w:rPr>
          <w:rFonts w:ascii="Arial" w:hAnsi="Arial" w:cs="Arial"/>
        </w:rPr>
      </w:pPr>
    </w:p>
    <w:p w14:paraId="03C8DE83"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4. Proposed Turnaround Strategy</w:t>
      </w:r>
    </w:p>
    <w:p w14:paraId="4C0CE76F" w14:textId="77777777" w:rsidR="004123D5" w:rsidRPr="004123D5" w:rsidRDefault="004123D5" w:rsidP="004123D5">
      <w:pPr>
        <w:spacing w:line="360" w:lineRule="auto"/>
        <w:jc w:val="both"/>
        <w:rPr>
          <w:rFonts w:ascii="Arial" w:hAnsi="Arial" w:cs="Arial"/>
        </w:rPr>
      </w:pPr>
      <w:r w:rsidRPr="004123D5">
        <w:rPr>
          <w:rFonts w:ascii="Arial" w:hAnsi="Arial" w:cs="Arial"/>
        </w:rPr>
        <w:t>To restore The City Hotel to financial health and competitiveness, a comprehensive turnaround strategy is required. This strategy must focus on both cost optimisation and revenue generation, while also addressing the structural weaknesses in the hotel’s business model.</w:t>
      </w:r>
    </w:p>
    <w:p w14:paraId="26176EBC"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4.1 Cost Optimisation</w:t>
      </w:r>
    </w:p>
    <w:p w14:paraId="6BFFDADE"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The hotel must undertake significant cost-cutting measures to stabilise its financial position. This includes optimising labour costs by implementing more flexible staffing arrangements, such as variable-hour contracts and outsourcing non-core functions </w:t>
      </w:r>
      <w:r w:rsidRPr="004123D5">
        <w:rPr>
          <w:rFonts w:ascii="Arial" w:hAnsi="Arial" w:cs="Arial"/>
        </w:rPr>
        <w:lastRenderedPageBreak/>
        <w:t>(Baum, 2021). Negotiating more favourable terms with suppliers and service providers can also help reduce external expenses.</w:t>
      </w:r>
    </w:p>
    <w:p w14:paraId="517C55CF" w14:textId="77777777" w:rsidR="004123D5" w:rsidRPr="004123D5" w:rsidRDefault="004123D5" w:rsidP="004123D5">
      <w:pPr>
        <w:spacing w:line="360" w:lineRule="auto"/>
        <w:jc w:val="both"/>
        <w:rPr>
          <w:rFonts w:ascii="Arial" w:hAnsi="Arial" w:cs="Arial"/>
        </w:rPr>
      </w:pPr>
      <w:r w:rsidRPr="004123D5">
        <w:rPr>
          <w:rFonts w:ascii="Arial" w:hAnsi="Arial" w:cs="Arial"/>
        </w:rPr>
        <w:t>Additionally, the hotel should consider divesting non-essential assets, such as underutilised event spaces or equipment, to generate cash flow and reduce depreciation expenses. Rationalising its capital expenditures in line with current market demand is crucial to ensuring long-term sustainability (Garrison, Noreen &amp; Brewer, 2021).</w:t>
      </w:r>
    </w:p>
    <w:p w14:paraId="29F4B40D"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4.2 Revenue Generation</w:t>
      </w:r>
    </w:p>
    <w:p w14:paraId="2BAC2600" w14:textId="77777777" w:rsidR="004123D5" w:rsidRPr="004123D5" w:rsidRDefault="004123D5" w:rsidP="004123D5">
      <w:pPr>
        <w:spacing w:line="360" w:lineRule="auto"/>
        <w:jc w:val="both"/>
        <w:rPr>
          <w:rFonts w:ascii="Arial" w:hAnsi="Arial" w:cs="Arial"/>
        </w:rPr>
      </w:pPr>
      <w:r w:rsidRPr="004123D5">
        <w:rPr>
          <w:rFonts w:ascii="Arial" w:hAnsi="Arial" w:cs="Arial"/>
        </w:rPr>
        <w:t>To boost revenue, the hotel should diversify its offerings and target new customer segments. For example, developing specialised packages for business travellers, digital nomads, and long-term stay customers could help fill gaps in demand (Pappas, 2021). Expanding into the growing market for wellness tourism, through the addition of spa services or health-focused amenities, may also attract a new clientele (Global Wellness Institute, 2020).</w:t>
      </w:r>
    </w:p>
    <w:p w14:paraId="063A8839" w14:textId="77777777" w:rsidR="004123D5" w:rsidRPr="004123D5" w:rsidRDefault="004123D5" w:rsidP="004123D5">
      <w:pPr>
        <w:spacing w:line="360" w:lineRule="auto"/>
        <w:jc w:val="both"/>
        <w:rPr>
          <w:rFonts w:ascii="Arial" w:hAnsi="Arial" w:cs="Arial"/>
        </w:rPr>
      </w:pPr>
      <w:r w:rsidRPr="004123D5">
        <w:rPr>
          <w:rFonts w:ascii="Arial" w:hAnsi="Arial" w:cs="Arial"/>
        </w:rPr>
        <w:t>Marketing efforts should be enhanced, with a focus on digital platforms and personalised offers. Leveraging data analytics to tailor promotions and improve customer engagement can help increase occupancy rates and drive repeat business (Buhalis &amp; Sinarta, 2019).</w:t>
      </w:r>
    </w:p>
    <w:p w14:paraId="0E88AB5B"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4.3 Digital Transformation and Innovation</w:t>
      </w:r>
    </w:p>
    <w:p w14:paraId="2C2281D3" w14:textId="77777777" w:rsidR="004123D5" w:rsidRPr="004123D5" w:rsidRDefault="004123D5" w:rsidP="004123D5">
      <w:pPr>
        <w:spacing w:line="360" w:lineRule="auto"/>
        <w:jc w:val="both"/>
        <w:rPr>
          <w:rFonts w:ascii="Arial" w:hAnsi="Arial" w:cs="Arial"/>
        </w:rPr>
      </w:pPr>
      <w:r w:rsidRPr="004123D5">
        <w:rPr>
          <w:rFonts w:ascii="Arial" w:hAnsi="Arial" w:cs="Arial"/>
        </w:rPr>
        <w:t>In order to maintain its competitiveness in the current hospitality market, The City Hotel needs to embrace digital change. A more tech-savvy consumer can be drawn in by enhancing its social media presence, introducing a mobile app for customer support, and upgrading its online booking system (O'Connor, 2021). The hotel can become more adaptable to fluctuations in demand by using data-driven methods that optimise pricing and improve the entire guest experience (Pizam, 2020).</w:t>
      </w:r>
    </w:p>
    <w:p w14:paraId="42DB453B" w14:textId="77777777" w:rsidR="004123D5" w:rsidRPr="004123D5" w:rsidRDefault="004123D5" w:rsidP="004123D5">
      <w:pPr>
        <w:spacing w:line="360" w:lineRule="auto"/>
        <w:jc w:val="both"/>
        <w:rPr>
          <w:rFonts w:ascii="Arial" w:hAnsi="Arial" w:cs="Arial"/>
          <w:b/>
          <w:bCs/>
        </w:rPr>
      </w:pPr>
      <w:r w:rsidRPr="004123D5">
        <w:rPr>
          <w:rFonts w:ascii="Arial" w:hAnsi="Arial" w:cs="Arial"/>
          <w:b/>
          <w:bCs/>
        </w:rPr>
        <w:t>5. Conclusion</w:t>
      </w:r>
    </w:p>
    <w:p w14:paraId="70FBD082"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Between 2021 and 2023, The City Hotel's financial performance declined dramatically, mostly as a result of internal inefficiencies, changes in customer preferences, and macroeconomic difficulties. However, the hotel may restore its competitive edge and financial footing with a well-executed turnaround plan that focusses on revenue </w:t>
      </w:r>
      <w:r w:rsidRPr="004123D5">
        <w:rPr>
          <w:rFonts w:ascii="Arial" w:hAnsi="Arial" w:cs="Arial"/>
        </w:rPr>
        <w:lastRenderedPageBreak/>
        <w:t>diversification, cost optimisation, and digital transformation. To maintain long-term profitability and growth, the next course of action will need to be taken decisively, which may involve reorganising operations and matching services to the expectations of contemporary travellers.</w:t>
      </w:r>
    </w:p>
    <w:p w14:paraId="077AF089" w14:textId="77777777" w:rsidR="004123D5" w:rsidRPr="004123D5" w:rsidRDefault="004123D5" w:rsidP="004123D5">
      <w:pPr>
        <w:spacing w:line="360" w:lineRule="auto"/>
        <w:jc w:val="both"/>
        <w:rPr>
          <w:rFonts w:ascii="Arial" w:hAnsi="Arial" w:cs="Arial"/>
        </w:rPr>
      </w:pPr>
    </w:p>
    <w:p w14:paraId="126A5B10" w14:textId="77777777" w:rsidR="004123D5" w:rsidRPr="004123D5" w:rsidRDefault="004123D5" w:rsidP="004123D5">
      <w:pPr>
        <w:spacing w:line="360" w:lineRule="auto"/>
        <w:jc w:val="both"/>
        <w:rPr>
          <w:rFonts w:ascii="Arial" w:hAnsi="Arial" w:cs="Arial"/>
        </w:rPr>
      </w:pPr>
    </w:p>
    <w:p w14:paraId="15343D7F" w14:textId="77777777" w:rsidR="004123D5" w:rsidRPr="004123D5" w:rsidRDefault="004123D5" w:rsidP="004123D5">
      <w:pPr>
        <w:spacing w:line="360" w:lineRule="auto"/>
        <w:jc w:val="both"/>
        <w:rPr>
          <w:rFonts w:ascii="Arial" w:hAnsi="Arial" w:cs="Arial"/>
        </w:rPr>
      </w:pPr>
    </w:p>
    <w:p w14:paraId="1027EBF5" w14:textId="77777777" w:rsidR="004123D5" w:rsidRPr="004123D5" w:rsidRDefault="004123D5" w:rsidP="004123D5">
      <w:pPr>
        <w:spacing w:line="360" w:lineRule="auto"/>
        <w:jc w:val="both"/>
        <w:rPr>
          <w:rFonts w:ascii="Arial" w:hAnsi="Arial" w:cs="Arial"/>
        </w:rPr>
      </w:pPr>
    </w:p>
    <w:p w14:paraId="6693E008" w14:textId="77777777" w:rsidR="004123D5" w:rsidRPr="004123D5" w:rsidRDefault="004123D5" w:rsidP="004123D5">
      <w:pPr>
        <w:spacing w:line="360" w:lineRule="auto"/>
        <w:jc w:val="both"/>
        <w:rPr>
          <w:rFonts w:ascii="Arial" w:hAnsi="Arial" w:cs="Arial"/>
        </w:rPr>
      </w:pPr>
    </w:p>
    <w:p w14:paraId="52067E6D" w14:textId="77777777" w:rsidR="004123D5" w:rsidRPr="004123D5" w:rsidRDefault="004123D5" w:rsidP="004123D5">
      <w:pPr>
        <w:spacing w:line="360" w:lineRule="auto"/>
        <w:jc w:val="both"/>
        <w:rPr>
          <w:rFonts w:ascii="Arial" w:hAnsi="Arial" w:cs="Arial"/>
        </w:rPr>
      </w:pPr>
    </w:p>
    <w:p w14:paraId="5E2D0E89" w14:textId="77777777" w:rsidR="004123D5" w:rsidRPr="004123D5" w:rsidRDefault="004123D5" w:rsidP="004123D5">
      <w:pPr>
        <w:spacing w:line="360" w:lineRule="auto"/>
        <w:jc w:val="both"/>
        <w:rPr>
          <w:rFonts w:ascii="Arial" w:hAnsi="Arial" w:cs="Arial"/>
        </w:rPr>
      </w:pPr>
    </w:p>
    <w:p w14:paraId="0193900A" w14:textId="77777777" w:rsidR="004123D5" w:rsidRPr="004123D5" w:rsidRDefault="004123D5" w:rsidP="004123D5">
      <w:pPr>
        <w:spacing w:line="360" w:lineRule="auto"/>
        <w:jc w:val="both"/>
        <w:rPr>
          <w:rFonts w:ascii="Arial" w:hAnsi="Arial" w:cs="Arial"/>
        </w:rPr>
      </w:pPr>
    </w:p>
    <w:p w14:paraId="15098330" w14:textId="77777777" w:rsidR="004123D5" w:rsidRPr="004123D5" w:rsidRDefault="004123D5" w:rsidP="004123D5">
      <w:pPr>
        <w:spacing w:line="360" w:lineRule="auto"/>
        <w:jc w:val="both"/>
        <w:rPr>
          <w:rFonts w:ascii="Arial" w:hAnsi="Arial" w:cs="Arial"/>
        </w:rPr>
      </w:pPr>
    </w:p>
    <w:p w14:paraId="28FA7AB8" w14:textId="77777777" w:rsidR="004123D5" w:rsidRPr="004123D5" w:rsidRDefault="004123D5" w:rsidP="004123D5">
      <w:pPr>
        <w:spacing w:line="360" w:lineRule="auto"/>
        <w:jc w:val="both"/>
        <w:rPr>
          <w:rFonts w:ascii="Arial" w:hAnsi="Arial" w:cs="Arial"/>
        </w:rPr>
      </w:pPr>
      <w:r w:rsidRPr="004123D5">
        <w:rPr>
          <w:rFonts w:ascii="Arial" w:hAnsi="Arial" w:cs="Arial"/>
          <w:b/>
          <w:bCs/>
        </w:rPr>
        <w:t>Reference List</w:t>
      </w:r>
    </w:p>
    <w:p w14:paraId="2C429F40"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Atrill, P. &amp; McLaney, E. (2021) </w:t>
      </w:r>
      <w:r w:rsidRPr="004123D5">
        <w:rPr>
          <w:rFonts w:ascii="Arial" w:hAnsi="Arial" w:cs="Arial"/>
          <w:i/>
          <w:iCs/>
        </w:rPr>
        <w:t>Management Accounting for Decision Makers</w:t>
      </w:r>
      <w:r w:rsidRPr="004123D5">
        <w:rPr>
          <w:rFonts w:ascii="Arial" w:hAnsi="Arial" w:cs="Arial"/>
        </w:rPr>
        <w:t>. 9th ed. Harlow: Pearson Education Limited.</w:t>
      </w:r>
    </w:p>
    <w:p w14:paraId="12E43780"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Baum, T. (2021) 'COVID-19 and the Future of Work in the Hospitality Industry', </w:t>
      </w:r>
      <w:r w:rsidRPr="004123D5">
        <w:rPr>
          <w:rFonts w:ascii="Arial" w:hAnsi="Arial" w:cs="Arial"/>
          <w:i/>
          <w:iCs/>
        </w:rPr>
        <w:t>International Journal of Hospitality Management</w:t>
      </w:r>
      <w:r w:rsidRPr="004123D5">
        <w:rPr>
          <w:rFonts w:ascii="Arial" w:hAnsi="Arial" w:cs="Arial"/>
        </w:rPr>
        <w:t>, 92, pp. 102703. DOI: 10.1016/j.ijhm.2020.102703. (Accessed: 9 November 2024).</w:t>
      </w:r>
    </w:p>
    <w:p w14:paraId="5831F224"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Baum, T. &amp; Hai, N.T.T. (2020) 'Hospitality, Tourism, and COVID-19', </w:t>
      </w:r>
      <w:r w:rsidRPr="004123D5">
        <w:rPr>
          <w:rFonts w:ascii="Arial" w:hAnsi="Arial" w:cs="Arial"/>
          <w:i/>
          <w:iCs/>
        </w:rPr>
        <w:t>Tourism Recreation Research</w:t>
      </w:r>
      <w:r w:rsidRPr="004123D5">
        <w:rPr>
          <w:rFonts w:ascii="Arial" w:hAnsi="Arial" w:cs="Arial"/>
        </w:rPr>
        <w:t>, 45(2), pp. 197-202. DOI: 10.1080/02508281.2020.1762028. (Accessed: 4 November 2024).</w:t>
      </w:r>
    </w:p>
    <w:p w14:paraId="0F233FF6"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Brigham, E.F. &amp; Ehrhardt, M.C. (2020) </w:t>
      </w:r>
      <w:r w:rsidRPr="004123D5">
        <w:rPr>
          <w:rFonts w:ascii="Arial" w:hAnsi="Arial" w:cs="Arial"/>
          <w:i/>
          <w:iCs/>
        </w:rPr>
        <w:t>Financial Management: Theory and Practice</w:t>
      </w:r>
      <w:r w:rsidRPr="004123D5">
        <w:rPr>
          <w:rFonts w:ascii="Arial" w:hAnsi="Arial" w:cs="Arial"/>
        </w:rPr>
        <w:t>. 15th ed. Boston: Cengage Learning.</w:t>
      </w:r>
    </w:p>
    <w:p w14:paraId="56597950"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Brown, T.J., Pritchard, J. &amp; Foster, C. (2021) 'The Impact of Inflation on the UK Hospitality Industry', </w:t>
      </w:r>
      <w:r w:rsidRPr="004123D5">
        <w:rPr>
          <w:rFonts w:ascii="Arial" w:hAnsi="Arial" w:cs="Arial"/>
          <w:i/>
          <w:iCs/>
        </w:rPr>
        <w:t>International Journal of Contemporary Hospitality Management</w:t>
      </w:r>
      <w:r w:rsidRPr="004123D5">
        <w:rPr>
          <w:rFonts w:ascii="Arial" w:hAnsi="Arial" w:cs="Arial"/>
        </w:rPr>
        <w:t>, 33(1), pp. 70-87. DOI: 10.1108/IJCHM-10-2020-1092. (Accessed: 1 November 2024).</w:t>
      </w:r>
    </w:p>
    <w:p w14:paraId="418FCDB3" w14:textId="77777777" w:rsidR="004123D5" w:rsidRPr="004123D5" w:rsidRDefault="004123D5" w:rsidP="004123D5">
      <w:pPr>
        <w:spacing w:line="360" w:lineRule="auto"/>
        <w:jc w:val="both"/>
        <w:rPr>
          <w:rFonts w:ascii="Arial" w:hAnsi="Arial" w:cs="Arial"/>
        </w:rPr>
      </w:pPr>
      <w:r w:rsidRPr="004123D5">
        <w:rPr>
          <w:rFonts w:ascii="Arial" w:hAnsi="Arial" w:cs="Arial"/>
        </w:rPr>
        <w:lastRenderedPageBreak/>
        <w:t xml:space="preserve">Buhalis, D. &amp; Sinarta, Y. (2019) 'Empowering the Experience of Travel: Evolving Role of Technology and Marketing', </w:t>
      </w:r>
      <w:r w:rsidRPr="004123D5">
        <w:rPr>
          <w:rFonts w:ascii="Arial" w:hAnsi="Arial" w:cs="Arial"/>
          <w:i/>
          <w:iCs/>
        </w:rPr>
        <w:t>International Journal of Tourism Research</w:t>
      </w:r>
      <w:r w:rsidRPr="004123D5">
        <w:rPr>
          <w:rFonts w:ascii="Arial" w:hAnsi="Arial" w:cs="Arial"/>
        </w:rPr>
        <w:t>, 21(4), pp. 488-497. DOI: 10.1002/jtr.2266. (Accessed: 1 November 2024).</w:t>
      </w:r>
    </w:p>
    <w:p w14:paraId="44D32B7C"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Garrison, R.H., Noreen, E.W. &amp; Brewer, P.C. (2021) </w:t>
      </w:r>
      <w:r w:rsidRPr="004123D5">
        <w:rPr>
          <w:rFonts w:ascii="Arial" w:hAnsi="Arial" w:cs="Arial"/>
          <w:i/>
          <w:iCs/>
        </w:rPr>
        <w:t>Managerial Accounting</w:t>
      </w:r>
      <w:r w:rsidRPr="004123D5">
        <w:rPr>
          <w:rFonts w:ascii="Arial" w:hAnsi="Arial" w:cs="Arial"/>
        </w:rPr>
        <w:t>. 16th ed. New York: McGraw-Hill Education.</w:t>
      </w:r>
    </w:p>
    <w:p w14:paraId="74381D9E"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Global Wellness Institute (2020) </w:t>
      </w:r>
      <w:r w:rsidRPr="004123D5">
        <w:rPr>
          <w:rFonts w:ascii="Arial" w:hAnsi="Arial" w:cs="Arial"/>
          <w:i/>
          <w:iCs/>
        </w:rPr>
        <w:t>The Future of Wellness Tourism</w:t>
      </w:r>
      <w:r w:rsidRPr="004123D5">
        <w:rPr>
          <w:rFonts w:ascii="Arial" w:hAnsi="Arial" w:cs="Arial"/>
        </w:rPr>
        <w:t>. Available at: https://globalwellnessinstitute.org/press-room/research-reports/ (Accessed: 3 November 2024).</w:t>
      </w:r>
    </w:p>
    <w:p w14:paraId="27D533FB"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Gupta, V. &amp; Clements, K. (2020) 'Operational Efficiency in Hospitality Management', </w:t>
      </w:r>
      <w:r w:rsidRPr="004123D5">
        <w:rPr>
          <w:rFonts w:ascii="Arial" w:hAnsi="Arial" w:cs="Arial"/>
          <w:i/>
          <w:iCs/>
        </w:rPr>
        <w:t>International Journal of Hospitality Management</w:t>
      </w:r>
      <w:r w:rsidRPr="004123D5">
        <w:rPr>
          <w:rFonts w:ascii="Arial" w:hAnsi="Arial" w:cs="Arial"/>
        </w:rPr>
        <w:t>, 88, pp. 102543. DOI: 10.1016/j.ijhm.2020.102543.</w:t>
      </w:r>
    </w:p>
    <w:p w14:paraId="3937E825"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Guttentag, D. (2019) 'Airbnb: Disruptive Innovation and the Role of Technology', </w:t>
      </w:r>
      <w:r w:rsidRPr="004123D5">
        <w:rPr>
          <w:rFonts w:ascii="Arial" w:hAnsi="Arial" w:cs="Arial"/>
          <w:i/>
          <w:iCs/>
        </w:rPr>
        <w:t>Tourism Management Perspectives</w:t>
      </w:r>
      <w:r w:rsidRPr="004123D5">
        <w:rPr>
          <w:rFonts w:ascii="Arial" w:hAnsi="Arial" w:cs="Arial"/>
        </w:rPr>
        <w:t>, 30, pp. 197-202. DOI: 10.1016/j.tmp.2019.05.002. (Accessed: 1 November 2024).</w:t>
      </w:r>
    </w:p>
    <w:p w14:paraId="30D1A39E"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Harris, M. &amp; Mongiello, M. (2018) 'Understanding the Impact of Depreciation on Financial Performance in Hotels', </w:t>
      </w:r>
      <w:r w:rsidRPr="004123D5">
        <w:rPr>
          <w:rFonts w:ascii="Arial" w:hAnsi="Arial" w:cs="Arial"/>
          <w:i/>
          <w:iCs/>
        </w:rPr>
        <w:t>International Journal of Hospitality Management</w:t>
      </w:r>
      <w:r w:rsidRPr="004123D5">
        <w:rPr>
          <w:rFonts w:ascii="Arial" w:hAnsi="Arial" w:cs="Arial"/>
        </w:rPr>
        <w:t>, 72, pp. 93-101. DOI: 10.1016/j.ijhm.2017.10.006.</w:t>
      </w:r>
    </w:p>
    <w:p w14:paraId="757EA582"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Jones, P., Hillier, D. &amp; Comfort, D. (2022) 'The Future of Hotels in the Post-Pandemic Era', </w:t>
      </w:r>
      <w:r w:rsidRPr="004123D5">
        <w:rPr>
          <w:rFonts w:ascii="Arial" w:hAnsi="Arial" w:cs="Arial"/>
          <w:i/>
          <w:iCs/>
        </w:rPr>
        <w:t>International Journal of Contemporary Hospitality Management</w:t>
      </w:r>
      <w:r w:rsidRPr="004123D5">
        <w:rPr>
          <w:rFonts w:ascii="Arial" w:hAnsi="Arial" w:cs="Arial"/>
        </w:rPr>
        <w:t>, 34(1), pp. 44-59. DOI: 10.1108/IJCHM-06-2020-0601. (Accessed: 1 November 2024).</w:t>
      </w:r>
    </w:p>
    <w:p w14:paraId="16A06683"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Kimes, S.E. (2020) 'The Future of Hotel Revenue Management', </w:t>
      </w:r>
      <w:r w:rsidRPr="004123D5">
        <w:rPr>
          <w:rFonts w:ascii="Arial" w:hAnsi="Arial" w:cs="Arial"/>
          <w:i/>
          <w:iCs/>
        </w:rPr>
        <w:t>Journal of Revenue and Pricing Management</w:t>
      </w:r>
      <w:r w:rsidRPr="004123D5">
        <w:rPr>
          <w:rFonts w:ascii="Arial" w:hAnsi="Arial" w:cs="Arial"/>
        </w:rPr>
        <w:t>, 19(1), pp. 1-7. DOI: 10.1057/s41272-020-00232-3. (Accessed: 9 November 2024).</w:t>
      </w:r>
    </w:p>
    <w:p w14:paraId="228973DA"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Maher, A. &amp; Andersson, T. (2021) 'The Role of Financial Management in the Hospitality Sector', </w:t>
      </w:r>
      <w:r w:rsidRPr="004123D5">
        <w:rPr>
          <w:rFonts w:ascii="Arial" w:hAnsi="Arial" w:cs="Arial"/>
          <w:i/>
          <w:iCs/>
        </w:rPr>
        <w:t>International Journal of Hospitality Management</w:t>
      </w:r>
      <w:r w:rsidRPr="004123D5">
        <w:rPr>
          <w:rFonts w:ascii="Arial" w:hAnsi="Arial" w:cs="Arial"/>
        </w:rPr>
        <w:t>, 92, pp. 102706. DOI: 10.1016/j.ijhm.2020.102706. (Accessed: 9 November 2024).</w:t>
      </w:r>
    </w:p>
    <w:p w14:paraId="0E2E37E2"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Nickson, D. (2022) 'Labour Market Trends in the Hospitality Sector', </w:t>
      </w:r>
      <w:r w:rsidRPr="004123D5">
        <w:rPr>
          <w:rFonts w:ascii="Arial" w:hAnsi="Arial" w:cs="Arial"/>
          <w:i/>
          <w:iCs/>
        </w:rPr>
        <w:t>International Journal of Hospitality Management</w:t>
      </w:r>
      <w:r w:rsidRPr="004123D5">
        <w:rPr>
          <w:rFonts w:ascii="Arial" w:hAnsi="Arial" w:cs="Arial"/>
        </w:rPr>
        <w:t>, 98, pp. 103034. DOI: 10.1016/j.ijhm.2021.103034. (Accessed: 11 November 2024).</w:t>
      </w:r>
    </w:p>
    <w:p w14:paraId="1E2289BB" w14:textId="77777777" w:rsidR="004123D5" w:rsidRPr="004123D5" w:rsidRDefault="004123D5" w:rsidP="004123D5">
      <w:pPr>
        <w:spacing w:line="360" w:lineRule="auto"/>
        <w:jc w:val="both"/>
        <w:rPr>
          <w:rFonts w:ascii="Arial" w:hAnsi="Arial" w:cs="Arial"/>
        </w:rPr>
      </w:pPr>
      <w:r w:rsidRPr="004123D5">
        <w:rPr>
          <w:rFonts w:ascii="Arial" w:hAnsi="Arial" w:cs="Arial"/>
        </w:rPr>
        <w:lastRenderedPageBreak/>
        <w:t xml:space="preserve">O'Connor, P. (2021) 'The Evolution of Hotel Distribution and Pricing Strategies', </w:t>
      </w:r>
      <w:r w:rsidRPr="004123D5">
        <w:rPr>
          <w:rFonts w:ascii="Arial" w:hAnsi="Arial" w:cs="Arial"/>
          <w:i/>
          <w:iCs/>
        </w:rPr>
        <w:t>Journal of Hospitality &amp; Tourism Research</w:t>
      </w:r>
      <w:r w:rsidRPr="004123D5">
        <w:rPr>
          <w:rFonts w:ascii="Arial" w:hAnsi="Arial" w:cs="Arial"/>
        </w:rPr>
        <w:t>, 45(3), pp. 403-422. DOI: 10.1177/10963480211003496. (Accessed: 1 November 2024).</w:t>
      </w:r>
    </w:p>
    <w:p w14:paraId="2E0AA05A"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Pappas, N. (2021) 'Travel Trends and Preferences in a Post-Pandemic World', </w:t>
      </w:r>
      <w:r w:rsidRPr="004123D5">
        <w:rPr>
          <w:rFonts w:ascii="Arial" w:hAnsi="Arial" w:cs="Arial"/>
          <w:i/>
          <w:iCs/>
        </w:rPr>
        <w:t>Journal of Travel Research</w:t>
      </w:r>
      <w:r w:rsidRPr="004123D5">
        <w:rPr>
          <w:rFonts w:ascii="Arial" w:hAnsi="Arial" w:cs="Arial"/>
        </w:rPr>
        <w:t>, 60(5), pp. 1113-1126. DOI: 10.1177/0047287520954166. (Accessed: 4 November 2024).</w:t>
      </w:r>
    </w:p>
    <w:p w14:paraId="68B6793B"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Pizam, A. (2020) 'Tourism, Hospitality and the Future of Business', </w:t>
      </w:r>
      <w:r w:rsidRPr="004123D5">
        <w:rPr>
          <w:rFonts w:ascii="Arial" w:hAnsi="Arial" w:cs="Arial"/>
          <w:i/>
          <w:iCs/>
        </w:rPr>
        <w:t>International Journal of Hospitality Management</w:t>
      </w:r>
      <w:r w:rsidRPr="004123D5">
        <w:rPr>
          <w:rFonts w:ascii="Arial" w:hAnsi="Arial" w:cs="Arial"/>
        </w:rPr>
        <w:t>, 87, pp. 102465. DOI: 10.1016/j.ijhm.2020.102465. (Accessed: 4 November 2024).</w:t>
      </w:r>
    </w:p>
    <w:p w14:paraId="3B55B2C9"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Sanchez, R. &amp; Heene, A. (2020) 'The Dynamic Nature of Outsourcing in Hospitality', </w:t>
      </w:r>
      <w:r w:rsidRPr="004123D5">
        <w:rPr>
          <w:rFonts w:ascii="Arial" w:hAnsi="Arial" w:cs="Arial"/>
          <w:i/>
          <w:iCs/>
        </w:rPr>
        <w:t>International Journal of Hospitality Management</w:t>
      </w:r>
      <w:r w:rsidRPr="004123D5">
        <w:rPr>
          <w:rFonts w:ascii="Arial" w:hAnsi="Arial" w:cs="Arial"/>
        </w:rPr>
        <w:t>, 88, pp. 102575. DOI: 10.1016/j.ijhm.2020.102575. (Accessed: 5 November 2024).</w:t>
      </w:r>
    </w:p>
    <w:p w14:paraId="61B8A781"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Sigala, M. (2020) 'Tourism and COVID-19: Impacts and Implications for the Future', </w:t>
      </w:r>
      <w:r w:rsidRPr="004123D5">
        <w:rPr>
          <w:rFonts w:ascii="Arial" w:hAnsi="Arial" w:cs="Arial"/>
          <w:i/>
          <w:iCs/>
        </w:rPr>
        <w:t>Tourism Management Perspectives</w:t>
      </w:r>
      <w:r w:rsidRPr="004123D5">
        <w:rPr>
          <w:rFonts w:ascii="Arial" w:hAnsi="Arial" w:cs="Arial"/>
        </w:rPr>
        <w:t>, 36, pp. 100736. DOI: 10.1016/j.tmp.2020.100736. (Accessed: 5 November 2024).</w:t>
      </w:r>
    </w:p>
    <w:p w14:paraId="03FEDB94" w14:textId="77777777" w:rsidR="004123D5" w:rsidRPr="004123D5" w:rsidRDefault="004123D5" w:rsidP="004123D5">
      <w:pPr>
        <w:spacing w:line="360" w:lineRule="auto"/>
        <w:jc w:val="both"/>
        <w:rPr>
          <w:rFonts w:ascii="Arial" w:hAnsi="Arial" w:cs="Arial"/>
        </w:rPr>
      </w:pPr>
    </w:p>
    <w:p w14:paraId="633A7CD4"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UNWTO (2021) </w:t>
      </w:r>
      <w:r w:rsidRPr="004123D5">
        <w:rPr>
          <w:rFonts w:ascii="Arial" w:hAnsi="Arial" w:cs="Arial"/>
          <w:i/>
          <w:iCs/>
        </w:rPr>
        <w:t>World Tourism Barometer</w:t>
      </w:r>
      <w:r w:rsidRPr="004123D5">
        <w:rPr>
          <w:rFonts w:ascii="Arial" w:hAnsi="Arial" w:cs="Arial"/>
        </w:rPr>
        <w:t>. Available at: https://www.unwto.org/news/world-tourism-barometer-releases (Accessed: 1 November 2024).</w:t>
      </w:r>
    </w:p>
    <w:p w14:paraId="55D3B678" w14:textId="77777777" w:rsidR="004123D5" w:rsidRPr="004123D5" w:rsidRDefault="004123D5" w:rsidP="004123D5">
      <w:pPr>
        <w:spacing w:line="360" w:lineRule="auto"/>
        <w:jc w:val="both"/>
        <w:rPr>
          <w:rFonts w:ascii="Arial" w:hAnsi="Arial" w:cs="Arial"/>
        </w:rPr>
      </w:pPr>
      <w:r w:rsidRPr="004123D5">
        <w:rPr>
          <w:rFonts w:ascii="Arial" w:hAnsi="Arial" w:cs="Arial"/>
        </w:rPr>
        <w:t xml:space="preserve">Yang, Y., Flynn, J. &amp; Anderson, L. (2019) 'The Impact of Peer-to-Peer Accommodation on the Hotel Industry', </w:t>
      </w:r>
      <w:r w:rsidRPr="004123D5">
        <w:rPr>
          <w:rFonts w:ascii="Arial" w:hAnsi="Arial" w:cs="Arial"/>
          <w:i/>
          <w:iCs/>
        </w:rPr>
        <w:t>Tourism Management</w:t>
      </w:r>
      <w:r w:rsidRPr="004123D5">
        <w:rPr>
          <w:rFonts w:ascii="Arial" w:hAnsi="Arial" w:cs="Arial"/>
        </w:rPr>
        <w:t>, 75, pp. 207-219. DOI: 10.1016/j.tourman.2019.06.006. (Accessed: 1 November 2024).</w:t>
      </w:r>
    </w:p>
    <w:p w14:paraId="360BF130" w14:textId="77777777" w:rsidR="004123D5" w:rsidRPr="004123D5" w:rsidRDefault="004123D5" w:rsidP="004123D5"/>
    <w:p w14:paraId="4BF9A122" w14:textId="77777777" w:rsidR="004123D5" w:rsidRDefault="004123D5"/>
    <w:sectPr w:rsidR="004123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3D5"/>
    <w:rsid w:val="004123D5"/>
    <w:rsid w:val="00F30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ED8D7"/>
  <w15:chartTrackingRefBased/>
  <w15:docId w15:val="{4C909A0D-9CF2-4BB3-B850-6C91D2400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23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23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23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23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23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23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23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23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23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3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23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23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23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23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23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23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23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23D5"/>
    <w:rPr>
      <w:rFonts w:eastAsiaTheme="majorEastAsia" w:cstheme="majorBidi"/>
      <w:color w:val="272727" w:themeColor="text1" w:themeTint="D8"/>
    </w:rPr>
  </w:style>
  <w:style w:type="paragraph" w:styleId="Title">
    <w:name w:val="Title"/>
    <w:basedOn w:val="Normal"/>
    <w:next w:val="Normal"/>
    <w:link w:val="TitleChar"/>
    <w:uiPriority w:val="10"/>
    <w:qFormat/>
    <w:rsid w:val="004123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23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23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23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23D5"/>
    <w:pPr>
      <w:spacing w:before="160"/>
      <w:jc w:val="center"/>
    </w:pPr>
    <w:rPr>
      <w:i/>
      <w:iCs/>
      <w:color w:val="404040" w:themeColor="text1" w:themeTint="BF"/>
    </w:rPr>
  </w:style>
  <w:style w:type="character" w:customStyle="1" w:styleId="QuoteChar">
    <w:name w:val="Quote Char"/>
    <w:basedOn w:val="DefaultParagraphFont"/>
    <w:link w:val="Quote"/>
    <w:uiPriority w:val="29"/>
    <w:rsid w:val="004123D5"/>
    <w:rPr>
      <w:i/>
      <w:iCs/>
      <w:color w:val="404040" w:themeColor="text1" w:themeTint="BF"/>
    </w:rPr>
  </w:style>
  <w:style w:type="paragraph" w:styleId="ListParagraph">
    <w:name w:val="List Paragraph"/>
    <w:basedOn w:val="Normal"/>
    <w:uiPriority w:val="34"/>
    <w:qFormat/>
    <w:rsid w:val="004123D5"/>
    <w:pPr>
      <w:ind w:left="720"/>
      <w:contextualSpacing/>
    </w:pPr>
  </w:style>
  <w:style w:type="character" w:styleId="IntenseEmphasis">
    <w:name w:val="Intense Emphasis"/>
    <w:basedOn w:val="DefaultParagraphFont"/>
    <w:uiPriority w:val="21"/>
    <w:qFormat/>
    <w:rsid w:val="004123D5"/>
    <w:rPr>
      <w:i/>
      <w:iCs/>
      <w:color w:val="0F4761" w:themeColor="accent1" w:themeShade="BF"/>
    </w:rPr>
  </w:style>
  <w:style w:type="paragraph" w:styleId="IntenseQuote">
    <w:name w:val="Intense Quote"/>
    <w:basedOn w:val="Normal"/>
    <w:next w:val="Normal"/>
    <w:link w:val="IntenseQuoteChar"/>
    <w:uiPriority w:val="30"/>
    <w:qFormat/>
    <w:rsid w:val="004123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23D5"/>
    <w:rPr>
      <w:i/>
      <w:iCs/>
      <w:color w:val="0F4761" w:themeColor="accent1" w:themeShade="BF"/>
    </w:rPr>
  </w:style>
  <w:style w:type="character" w:styleId="IntenseReference">
    <w:name w:val="Intense Reference"/>
    <w:basedOn w:val="DefaultParagraphFont"/>
    <w:uiPriority w:val="32"/>
    <w:qFormat/>
    <w:rsid w:val="004123D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2872</Words>
  <Characters>16371</Characters>
  <Application>Microsoft Office Word</Application>
  <DocSecurity>0</DocSecurity>
  <Lines>136</Lines>
  <Paragraphs>38</Paragraphs>
  <ScaleCrop>false</ScaleCrop>
  <Company/>
  <LinksUpToDate>false</LinksUpToDate>
  <CharactersWithSpaces>19205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Garraghan (2212964)</dc:creator>
  <cp:keywords/>
  <dc:description/>
  <cp:lastModifiedBy>Lauren Garraghan (2212964)</cp:lastModifiedBy>
  <cp:revision>1</cp:revision>
  <dcterms:created xsi:type="dcterms:W3CDTF">2024-10-12T16:20:00Z</dcterms:created>
  <dcterms:modified xsi:type="dcterms:W3CDTF">2024-10-12T16:21:00Z</dcterms:modified>
</cp:coreProperties>
</file>