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6418628"/>
        <w:docPartObj>
          <w:docPartGallery w:val="Cover Pages"/>
          <w:docPartUnique/>
        </w:docPartObj>
      </w:sdtPr>
      <w:sdtEndPr/>
      <w:sdtContent>
        <w:p w14:paraId="3CC3D5C2" w14:textId="35812A93" w:rsidR="00990AE5" w:rsidRDefault="00990AE5">
          <w:r>
            <w:rPr>
              <w:noProof/>
            </w:rPr>
            <mc:AlternateContent>
              <mc:Choice Requires="wpg">
                <w:drawing>
                  <wp:anchor distT="0" distB="0" distL="114300" distR="114300" simplePos="0" relativeHeight="251662336" behindDoc="0" locked="0" layoutInCell="1" allowOverlap="1" wp14:anchorId="3FEC581B" wp14:editId="545B7A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52595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77C9EBA" wp14:editId="12E2236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98EAA9" w14:textId="1F29FFB0" w:rsidR="00182009" w:rsidRDefault="00182009">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182009" w:rsidRDefault="00822CD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8200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77C9E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98EAA9" w14:textId="1F29FFB0" w:rsidR="00182009" w:rsidRDefault="00182009">
                              <w:pPr>
                                <w:pStyle w:val="NoSpacing"/>
                                <w:jc w:val="right"/>
                                <w:rPr>
                                  <w:color w:val="595959" w:themeColor="text1" w:themeTint="A6"/>
                                  <w:sz w:val="28"/>
                                  <w:szCs w:val="28"/>
                                </w:rPr>
                              </w:pPr>
                              <w:r>
                                <w:rPr>
                                  <w:color w:val="595959" w:themeColor="text1" w:themeTint="A6"/>
                                  <w:sz w:val="28"/>
                                  <w:szCs w:val="28"/>
                                </w:rPr>
                                <w:t>Student Name: Sam Digby Student Number: 1901067</w:t>
                              </w:r>
                            </w:p>
                          </w:sdtContent>
                        </w:sdt>
                        <w:p w14:paraId="5B6F46D6" w14:textId="298B6156" w:rsidR="00182009" w:rsidRDefault="00822CD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82009">
                                <w:rPr>
                                  <w:color w:val="595959" w:themeColor="text1" w:themeTint="A6"/>
                                  <w:sz w:val="18"/>
                                  <w:szCs w:val="18"/>
                                </w:rPr>
                                <w:t xml:space="preserve">     </w:t>
                              </w:r>
                            </w:sdtContent>
                          </w:sdt>
                        </w:p>
                      </w:txbxContent>
                    </v:textbox>
                    <w10:wrap type="square" anchorx="page" anchory="page"/>
                  </v:shape>
                </w:pict>
              </mc:Fallback>
            </mc:AlternateContent>
          </w:r>
        </w:p>
        <w:p w14:paraId="5B9A6EC9" w14:textId="374B0CB0" w:rsidR="00990AE5" w:rsidRDefault="001D2B5F" w:rsidP="00F952B3">
          <w:pPr>
            <w:spacing w:line="360" w:lineRule="auto"/>
          </w:pPr>
          <w:r>
            <w:rPr>
              <w:noProof/>
            </w:rPr>
            <mc:AlternateContent>
              <mc:Choice Requires="wps">
                <w:drawing>
                  <wp:anchor distT="0" distB="0" distL="114300" distR="114300" simplePos="0" relativeHeight="251659264" behindDoc="0" locked="0" layoutInCell="1" allowOverlap="1" wp14:anchorId="5B797B65" wp14:editId="4FD4C7D7">
                    <wp:simplePos x="0" y="0"/>
                    <wp:positionH relativeFrom="page">
                      <wp:posOffset>222250</wp:posOffset>
                    </wp:positionH>
                    <wp:positionV relativeFrom="page">
                      <wp:posOffset>3384550</wp:posOffset>
                    </wp:positionV>
                    <wp:extent cx="7315200" cy="369697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96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AB7A5" w14:textId="277376B2" w:rsidR="00182009" w:rsidRDefault="00822C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3BA2">
                                      <w:rPr>
                                        <w:caps/>
                                        <w:color w:val="4472C4" w:themeColor="accent1"/>
                                        <w:sz w:val="64"/>
                                        <w:szCs w:val="64"/>
                                      </w:rPr>
                                      <w:t xml:space="preserve">Vehicle to grid technology </w:t>
                                    </w:r>
                                    <w:r w:rsidR="00FF3DB5">
                                      <w:rPr>
                                        <w:caps/>
                                        <w:color w:val="4472C4" w:themeColor="accent1"/>
                                        <w:sz w:val="64"/>
                                        <w:szCs w:val="64"/>
                                      </w:rPr>
                                      <w:t>(</w:t>
                                    </w:r>
                                    <w:r w:rsidR="00703BA2">
                                      <w:rPr>
                                        <w:caps/>
                                        <w:color w:val="4472C4" w:themeColor="accent1"/>
                                        <w:sz w:val="64"/>
                                        <w:szCs w:val="64"/>
                                      </w:rPr>
                                      <w:t>ACHA6012</w:t>
                                    </w:r>
                                    <w:r w:rsidR="00182009">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8403EA" w14:textId="0B13E6FC" w:rsidR="00182009" w:rsidRDefault="00182009" w:rsidP="006B437D">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B797B65" id="Text Box 154" o:spid="_x0000_s1027" type="#_x0000_t202" style="position:absolute;margin-left:17.5pt;margin-top:266.5pt;width:8in;height:291.1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" filled="f" stroked="f" strokeweight=".5pt">
                    <v:textbox inset="126pt,0,54pt,0">
                      <w:txbxContent>
                        <w:p w14:paraId="499AB7A5" w14:textId="277376B2" w:rsidR="00182009" w:rsidRDefault="00822C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03BA2">
                                <w:rPr>
                                  <w:caps/>
                                  <w:color w:val="4472C4" w:themeColor="accent1"/>
                                  <w:sz w:val="64"/>
                                  <w:szCs w:val="64"/>
                                </w:rPr>
                                <w:t xml:space="preserve">Vehicle to grid technology </w:t>
                              </w:r>
                              <w:r w:rsidR="00FF3DB5">
                                <w:rPr>
                                  <w:caps/>
                                  <w:color w:val="4472C4" w:themeColor="accent1"/>
                                  <w:sz w:val="64"/>
                                  <w:szCs w:val="64"/>
                                </w:rPr>
                                <w:t>(</w:t>
                              </w:r>
                              <w:r w:rsidR="00703BA2">
                                <w:rPr>
                                  <w:caps/>
                                  <w:color w:val="4472C4" w:themeColor="accent1"/>
                                  <w:sz w:val="64"/>
                                  <w:szCs w:val="64"/>
                                </w:rPr>
                                <w:t>ACHA6012</w:t>
                              </w:r>
                              <w:r w:rsidR="00182009">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F8403EA" w14:textId="0B13E6FC" w:rsidR="00182009" w:rsidRDefault="00182009" w:rsidP="006B437D">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1D24A3">
            <w:rPr>
              <w:noProof/>
            </w:rPr>
            <mc:AlternateContent>
              <mc:Choice Requires="wps">
                <w:drawing>
                  <wp:anchor distT="0" distB="0" distL="114300" distR="114300" simplePos="0" relativeHeight="251664384" behindDoc="0" locked="0" layoutInCell="1" allowOverlap="1" wp14:anchorId="436799CB" wp14:editId="7ACA7C89">
                    <wp:simplePos x="0" y="0"/>
                    <wp:positionH relativeFrom="column">
                      <wp:posOffset>3492500</wp:posOffset>
                    </wp:positionH>
                    <wp:positionV relativeFrom="paragraph">
                      <wp:posOffset>1225550</wp:posOffset>
                    </wp:positionV>
                    <wp:extent cx="2794000" cy="1035050"/>
                    <wp:effectExtent l="0" t="0" r="25400" b="12700"/>
                    <wp:wrapNone/>
                    <wp:docPr id="1" name="Text Box 1"/>
                    <wp:cNvGraphicFramePr/>
                    <a:graphic xmlns:a="http://schemas.openxmlformats.org/drawingml/2006/main">
                      <a:graphicData uri="http://schemas.microsoft.com/office/word/2010/wordprocessingShape">
                        <wps:wsp>
                          <wps:cNvSpPr txBox="1"/>
                          <wps:spPr>
                            <a:xfrm>
                              <a:off x="0" y="0"/>
                              <a:ext cx="2794000" cy="1035050"/>
                            </a:xfrm>
                            <a:prstGeom prst="rect">
                              <a:avLst/>
                            </a:prstGeom>
                            <a:solidFill>
                              <a:schemeClr val="lt1"/>
                            </a:solidFill>
                            <a:ln w="6350">
                              <a:solidFill>
                                <a:schemeClr val="bg1"/>
                              </a:solidFill>
                            </a:ln>
                          </wps:spPr>
                          <wps:txbx>
                            <w:txbxContent>
                              <w:p w14:paraId="7538340B" w14:textId="3A835545" w:rsidR="001D24A3" w:rsidRPr="001D24A3" w:rsidRDefault="001D24A3" w:rsidP="001D2B5F">
                                <w:pPr>
                                  <w:spacing w:line="360" w:lineRule="auto"/>
                                </w:pPr>
                                <w:r w:rsidRPr="001D24A3">
                                  <w:t xml:space="preserve">School of Engineering </w:t>
                                </w:r>
                              </w:p>
                              <w:p w14:paraId="5B6B1859" w14:textId="30C91E63" w:rsidR="001D24A3" w:rsidRDefault="001D24A3" w:rsidP="001D2B5F">
                                <w:pPr>
                                  <w:spacing w:line="360" w:lineRule="auto"/>
                                </w:pPr>
                                <w:r w:rsidRPr="001D24A3">
                                  <w:t xml:space="preserve">BEng Motorsport Engineering </w:t>
                                </w:r>
                              </w:p>
                              <w:p w14:paraId="2E9F7E34" w14:textId="6AA1A441" w:rsidR="001D2B5F" w:rsidRPr="001D24A3" w:rsidRDefault="001D2B5F" w:rsidP="001D2B5F">
                                <w:pPr>
                                  <w:spacing w:line="360" w:lineRule="auto"/>
                                </w:pPr>
                                <w:r>
                                  <w:t>Date:</w:t>
                                </w:r>
                                <w:r w:rsidR="00703BA2">
                                  <w:t xml:space="preserve"> 21.10.2021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799CB" id="Text Box 1" o:spid="_x0000_s1028" type="#_x0000_t202" style="position:absolute;margin-left:275pt;margin-top:96.5pt;width:220pt;height: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" fillcolor="white [3201]" strokecolor="white [3212]" strokeweight=".5pt">
                    <v:textbox>
                      <w:txbxContent>
                        <w:p w14:paraId="7538340B" w14:textId="3A835545" w:rsidR="001D24A3" w:rsidRPr="001D24A3" w:rsidRDefault="001D24A3" w:rsidP="001D2B5F">
                          <w:pPr>
                            <w:spacing w:line="360" w:lineRule="auto"/>
                          </w:pPr>
                          <w:r w:rsidRPr="001D24A3">
                            <w:t xml:space="preserve">School of Engineering </w:t>
                          </w:r>
                        </w:p>
                        <w:p w14:paraId="5B6B1859" w14:textId="30C91E63" w:rsidR="001D24A3" w:rsidRDefault="001D24A3" w:rsidP="001D2B5F">
                          <w:pPr>
                            <w:spacing w:line="360" w:lineRule="auto"/>
                          </w:pPr>
                          <w:r w:rsidRPr="001D24A3">
                            <w:t xml:space="preserve">BEng Motorsport Engineering </w:t>
                          </w:r>
                        </w:p>
                        <w:p w14:paraId="2E9F7E34" w14:textId="6AA1A441" w:rsidR="001D2B5F" w:rsidRPr="001D24A3" w:rsidRDefault="001D2B5F" w:rsidP="001D2B5F">
                          <w:pPr>
                            <w:spacing w:line="360" w:lineRule="auto"/>
                          </w:pPr>
                          <w:r>
                            <w:t>Date:</w:t>
                          </w:r>
                          <w:r w:rsidR="00703BA2">
                            <w:t xml:space="preserve"> 21.10.2021</w:t>
                          </w:r>
                        </w:p>
                      </w:txbxContent>
                    </v:textbox>
                  </v:shape>
                </w:pict>
              </mc:Fallback>
            </mc:AlternateContent>
          </w:r>
          <w:r w:rsidR="00990AE5" w:rsidRPr="00990AE5">
            <w:rPr>
              <w:noProof/>
            </w:rPr>
            <w:drawing>
              <wp:anchor distT="0" distB="0" distL="114300" distR="114300" simplePos="0" relativeHeight="251663360" behindDoc="1" locked="0" layoutInCell="1" allowOverlap="1" wp14:anchorId="61198050" wp14:editId="1073DF97">
                <wp:simplePos x="0" y="0"/>
                <wp:positionH relativeFrom="column">
                  <wp:posOffset>3533775</wp:posOffset>
                </wp:positionH>
                <wp:positionV relativeFrom="paragraph">
                  <wp:posOffset>133350</wp:posOffset>
                </wp:positionV>
                <wp:extent cx="2847975" cy="1133475"/>
                <wp:effectExtent l="0" t="0" r="9525" b="9525"/>
                <wp:wrapTight wrapText="bothSides">
                  <wp:wrapPolygon edited="0">
                    <wp:start x="0" y="0"/>
                    <wp:lineTo x="0" y="21418"/>
                    <wp:lineTo x="21528" y="21418"/>
                    <wp:lineTo x="2152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anchor>
            </w:drawing>
          </w:r>
          <w:r w:rsidR="00990AE5">
            <w:br w:type="page"/>
          </w:r>
        </w:p>
      </w:sdtContent>
    </w:sdt>
    <w:sdt>
      <w:sdtPr>
        <w:rPr>
          <w:rFonts w:asciiTheme="minorHAnsi" w:eastAsiaTheme="minorHAnsi" w:hAnsiTheme="minorHAnsi" w:cstheme="minorBidi"/>
          <w:color w:val="auto"/>
          <w:sz w:val="22"/>
          <w:szCs w:val="22"/>
          <w:lang w:val="en-GB"/>
        </w:rPr>
        <w:id w:val="-431901828"/>
        <w:docPartObj>
          <w:docPartGallery w:val="Table of Contents"/>
          <w:docPartUnique/>
        </w:docPartObj>
      </w:sdtPr>
      <w:sdtEndPr>
        <w:rPr>
          <w:b/>
          <w:bCs/>
          <w:noProof/>
        </w:rPr>
      </w:sdtEndPr>
      <w:sdtContent>
        <w:p w14:paraId="5A737B94" w14:textId="27755714" w:rsidR="00AF26E8" w:rsidRPr="00AF26E8" w:rsidRDefault="00AF26E8">
          <w:pPr>
            <w:pStyle w:val="TOCHeading"/>
            <w:rPr>
              <w:rFonts w:asciiTheme="minorHAnsi" w:hAnsiTheme="minorHAnsi"/>
              <w:color w:val="auto"/>
              <w:sz w:val="40"/>
              <w:szCs w:val="40"/>
            </w:rPr>
          </w:pPr>
          <w:r w:rsidRPr="00AF26E8">
            <w:rPr>
              <w:rFonts w:asciiTheme="minorHAnsi" w:hAnsiTheme="minorHAnsi"/>
              <w:color w:val="auto"/>
              <w:sz w:val="40"/>
              <w:szCs w:val="40"/>
            </w:rPr>
            <w:t>Contents</w:t>
          </w:r>
        </w:p>
        <w:p w14:paraId="65411360" w14:textId="5E89E618" w:rsidR="004C4567" w:rsidRDefault="00AF26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8492371" w:history="1">
            <w:r w:rsidR="004C4567" w:rsidRPr="006B217D">
              <w:rPr>
                <w:rStyle w:val="Hyperlink"/>
                <w:rFonts w:cstheme="minorHAnsi"/>
                <w:noProof/>
              </w:rPr>
              <w:t>1.0 Introduction</w:t>
            </w:r>
            <w:r w:rsidR="004C4567">
              <w:rPr>
                <w:noProof/>
                <w:webHidden/>
              </w:rPr>
              <w:tab/>
            </w:r>
            <w:r w:rsidR="004C4567">
              <w:rPr>
                <w:noProof/>
                <w:webHidden/>
              </w:rPr>
              <w:fldChar w:fldCharType="begin"/>
            </w:r>
            <w:r w:rsidR="004C4567">
              <w:rPr>
                <w:noProof/>
                <w:webHidden/>
              </w:rPr>
              <w:instrText xml:space="preserve"> PAGEREF _Toc88492371 \h </w:instrText>
            </w:r>
            <w:r w:rsidR="004C4567">
              <w:rPr>
                <w:noProof/>
                <w:webHidden/>
              </w:rPr>
            </w:r>
            <w:r w:rsidR="004C4567">
              <w:rPr>
                <w:noProof/>
                <w:webHidden/>
              </w:rPr>
              <w:fldChar w:fldCharType="separate"/>
            </w:r>
            <w:r w:rsidR="004C4567">
              <w:rPr>
                <w:noProof/>
                <w:webHidden/>
              </w:rPr>
              <w:t>1</w:t>
            </w:r>
            <w:r w:rsidR="004C4567">
              <w:rPr>
                <w:noProof/>
                <w:webHidden/>
              </w:rPr>
              <w:fldChar w:fldCharType="end"/>
            </w:r>
          </w:hyperlink>
        </w:p>
        <w:p w14:paraId="0C913DA5" w14:textId="3257E067" w:rsidR="004C4567" w:rsidRDefault="00822CDB">
          <w:pPr>
            <w:pStyle w:val="TOC1"/>
            <w:tabs>
              <w:tab w:val="right" w:leader="dot" w:pos="9016"/>
            </w:tabs>
            <w:rPr>
              <w:rFonts w:eastAsiaTheme="minorEastAsia"/>
              <w:noProof/>
              <w:lang w:eastAsia="en-GB"/>
            </w:rPr>
          </w:pPr>
          <w:hyperlink w:anchor="_Toc88492372" w:history="1">
            <w:r w:rsidR="004C4567" w:rsidRPr="006B217D">
              <w:rPr>
                <w:rStyle w:val="Hyperlink"/>
                <w:rFonts w:cstheme="minorHAnsi"/>
                <w:noProof/>
              </w:rPr>
              <w:t>2.0 Current electrical demand</w:t>
            </w:r>
            <w:r w:rsidR="004C4567">
              <w:rPr>
                <w:noProof/>
                <w:webHidden/>
              </w:rPr>
              <w:tab/>
            </w:r>
            <w:r w:rsidR="004C4567">
              <w:rPr>
                <w:noProof/>
                <w:webHidden/>
              </w:rPr>
              <w:fldChar w:fldCharType="begin"/>
            </w:r>
            <w:r w:rsidR="004C4567">
              <w:rPr>
                <w:noProof/>
                <w:webHidden/>
              </w:rPr>
              <w:instrText xml:space="preserve"> PAGEREF _Toc88492372 \h </w:instrText>
            </w:r>
            <w:r w:rsidR="004C4567">
              <w:rPr>
                <w:noProof/>
                <w:webHidden/>
              </w:rPr>
            </w:r>
            <w:r w:rsidR="004C4567">
              <w:rPr>
                <w:noProof/>
                <w:webHidden/>
              </w:rPr>
              <w:fldChar w:fldCharType="separate"/>
            </w:r>
            <w:r w:rsidR="004C4567">
              <w:rPr>
                <w:noProof/>
                <w:webHidden/>
              </w:rPr>
              <w:t>2</w:t>
            </w:r>
            <w:r w:rsidR="004C4567">
              <w:rPr>
                <w:noProof/>
                <w:webHidden/>
              </w:rPr>
              <w:fldChar w:fldCharType="end"/>
            </w:r>
          </w:hyperlink>
        </w:p>
        <w:p w14:paraId="3AF68868" w14:textId="2CDA16C3" w:rsidR="004C4567" w:rsidRDefault="00822CDB">
          <w:pPr>
            <w:pStyle w:val="TOC1"/>
            <w:tabs>
              <w:tab w:val="right" w:leader="dot" w:pos="9016"/>
            </w:tabs>
            <w:rPr>
              <w:rFonts w:eastAsiaTheme="minorEastAsia"/>
              <w:noProof/>
              <w:lang w:eastAsia="en-GB"/>
            </w:rPr>
          </w:pPr>
          <w:hyperlink w:anchor="_Toc88492373" w:history="1">
            <w:r w:rsidR="004C4567" w:rsidRPr="006B217D">
              <w:rPr>
                <w:rStyle w:val="Hyperlink"/>
                <w:rFonts w:cstheme="minorHAnsi"/>
                <w:noProof/>
              </w:rPr>
              <w:t>3.0 Ethical issues</w:t>
            </w:r>
            <w:r w:rsidR="004C4567">
              <w:rPr>
                <w:noProof/>
                <w:webHidden/>
              </w:rPr>
              <w:tab/>
            </w:r>
            <w:r w:rsidR="004C4567">
              <w:rPr>
                <w:noProof/>
                <w:webHidden/>
              </w:rPr>
              <w:fldChar w:fldCharType="begin"/>
            </w:r>
            <w:r w:rsidR="004C4567">
              <w:rPr>
                <w:noProof/>
                <w:webHidden/>
              </w:rPr>
              <w:instrText xml:space="preserve"> PAGEREF _Toc88492373 \h </w:instrText>
            </w:r>
            <w:r w:rsidR="004C4567">
              <w:rPr>
                <w:noProof/>
                <w:webHidden/>
              </w:rPr>
            </w:r>
            <w:r w:rsidR="004C4567">
              <w:rPr>
                <w:noProof/>
                <w:webHidden/>
              </w:rPr>
              <w:fldChar w:fldCharType="separate"/>
            </w:r>
            <w:r w:rsidR="004C4567">
              <w:rPr>
                <w:noProof/>
                <w:webHidden/>
              </w:rPr>
              <w:t>3</w:t>
            </w:r>
            <w:r w:rsidR="004C4567">
              <w:rPr>
                <w:noProof/>
                <w:webHidden/>
              </w:rPr>
              <w:fldChar w:fldCharType="end"/>
            </w:r>
          </w:hyperlink>
        </w:p>
        <w:p w14:paraId="1EDBD0BB" w14:textId="2B9A0B3F" w:rsidR="004C4567" w:rsidRDefault="00822CDB">
          <w:pPr>
            <w:pStyle w:val="TOC2"/>
            <w:tabs>
              <w:tab w:val="right" w:leader="dot" w:pos="9016"/>
            </w:tabs>
            <w:rPr>
              <w:rFonts w:eastAsiaTheme="minorEastAsia"/>
              <w:noProof/>
              <w:lang w:eastAsia="en-GB"/>
            </w:rPr>
          </w:pPr>
          <w:hyperlink w:anchor="_Toc88492374" w:history="1">
            <w:r w:rsidR="004C4567" w:rsidRPr="006B217D">
              <w:rPr>
                <w:rStyle w:val="Hyperlink"/>
                <w:rFonts w:cstheme="minorHAnsi"/>
                <w:noProof/>
              </w:rPr>
              <w:t>3.1 Sourcing lithium</w:t>
            </w:r>
            <w:r w:rsidR="004C4567">
              <w:rPr>
                <w:noProof/>
                <w:webHidden/>
              </w:rPr>
              <w:tab/>
            </w:r>
            <w:r w:rsidR="004C4567">
              <w:rPr>
                <w:noProof/>
                <w:webHidden/>
              </w:rPr>
              <w:fldChar w:fldCharType="begin"/>
            </w:r>
            <w:r w:rsidR="004C4567">
              <w:rPr>
                <w:noProof/>
                <w:webHidden/>
              </w:rPr>
              <w:instrText xml:space="preserve"> PAGEREF _Toc88492374 \h </w:instrText>
            </w:r>
            <w:r w:rsidR="004C4567">
              <w:rPr>
                <w:noProof/>
                <w:webHidden/>
              </w:rPr>
            </w:r>
            <w:r w:rsidR="004C4567">
              <w:rPr>
                <w:noProof/>
                <w:webHidden/>
              </w:rPr>
              <w:fldChar w:fldCharType="separate"/>
            </w:r>
            <w:r w:rsidR="004C4567">
              <w:rPr>
                <w:noProof/>
                <w:webHidden/>
              </w:rPr>
              <w:t>3</w:t>
            </w:r>
            <w:r w:rsidR="004C4567">
              <w:rPr>
                <w:noProof/>
                <w:webHidden/>
              </w:rPr>
              <w:fldChar w:fldCharType="end"/>
            </w:r>
          </w:hyperlink>
        </w:p>
        <w:p w14:paraId="71E34C54" w14:textId="40737537" w:rsidR="004C4567" w:rsidRDefault="00822CDB">
          <w:pPr>
            <w:pStyle w:val="TOC2"/>
            <w:tabs>
              <w:tab w:val="right" w:leader="dot" w:pos="9016"/>
            </w:tabs>
            <w:rPr>
              <w:rFonts w:eastAsiaTheme="minorEastAsia"/>
              <w:noProof/>
              <w:lang w:eastAsia="en-GB"/>
            </w:rPr>
          </w:pPr>
          <w:hyperlink w:anchor="_Toc88492375" w:history="1">
            <w:r w:rsidR="004C4567" w:rsidRPr="006B217D">
              <w:rPr>
                <w:rStyle w:val="Hyperlink"/>
                <w:rFonts w:cstheme="minorHAnsi"/>
                <w:noProof/>
              </w:rPr>
              <w:t>3.2 Sourcing other materials</w:t>
            </w:r>
            <w:r w:rsidR="004C4567">
              <w:rPr>
                <w:noProof/>
                <w:webHidden/>
              </w:rPr>
              <w:tab/>
            </w:r>
            <w:r w:rsidR="004C4567">
              <w:rPr>
                <w:noProof/>
                <w:webHidden/>
              </w:rPr>
              <w:fldChar w:fldCharType="begin"/>
            </w:r>
            <w:r w:rsidR="004C4567">
              <w:rPr>
                <w:noProof/>
                <w:webHidden/>
              </w:rPr>
              <w:instrText xml:space="preserve"> PAGEREF _Toc88492375 \h </w:instrText>
            </w:r>
            <w:r w:rsidR="004C4567">
              <w:rPr>
                <w:noProof/>
                <w:webHidden/>
              </w:rPr>
            </w:r>
            <w:r w:rsidR="004C4567">
              <w:rPr>
                <w:noProof/>
                <w:webHidden/>
              </w:rPr>
              <w:fldChar w:fldCharType="separate"/>
            </w:r>
            <w:r w:rsidR="004C4567">
              <w:rPr>
                <w:noProof/>
                <w:webHidden/>
              </w:rPr>
              <w:t>4</w:t>
            </w:r>
            <w:r w:rsidR="004C4567">
              <w:rPr>
                <w:noProof/>
                <w:webHidden/>
              </w:rPr>
              <w:fldChar w:fldCharType="end"/>
            </w:r>
          </w:hyperlink>
        </w:p>
        <w:p w14:paraId="37F42DC6" w14:textId="54E40A48" w:rsidR="004C4567" w:rsidRDefault="00822CDB">
          <w:pPr>
            <w:pStyle w:val="TOC1"/>
            <w:tabs>
              <w:tab w:val="right" w:leader="dot" w:pos="9016"/>
            </w:tabs>
            <w:rPr>
              <w:rFonts w:eastAsiaTheme="minorEastAsia"/>
              <w:noProof/>
              <w:lang w:eastAsia="en-GB"/>
            </w:rPr>
          </w:pPr>
          <w:hyperlink w:anchor="_Toc88492376" w:history="1">
            <w:r w:rsidR="004C4567" w:rsidRPr="006B217D">
              <w:rPr>
                <w:rStyle w:val="Hyperlink"/>
                <w:rFonts w:cstheme="minorHAnsi"/>
                <w:noProof/>
              </w:rPr>
              <w:t>4.0 Currently available charging technology</w:t>
            </w:r>
            <w:r w:rsidR="004C4567">
              <w:rPr>
                <w:noProof/>
                <w:webHidden/>
              </w:rPr>
              <w:tab/>
            </w:r>
            <w:r w:rsidR="004C4567">
              <w:rPr>
                <w:noProof/>
                <w:webHidden/>
              </w:rPr>
              <w:fldChar w:fldCharType="begin"/>
            </w:r>
            <w:r w:rsidR="004C4567">
              <w:rPr>
                <w:noProof/>
                <w:webHidden/>
              </w:rPr>
              <w:instrText xml:space="preserve"> PAGEREF _Toc88492376 \h </w:instrText>
            </w:r>
            <w:r w:rsidR="004C4567">
              <w:rPr>
                <w:noProof/>
                <w:webHidden/>
              </w:rPr>
            </w:r>
            <w:r w:rsidR="004C4567">
              <w:rPr>
                <w:noProof/>
                <w:webHidden/>
              </w:rPr>
              <w:fldChar w:fldCharType="separate"/>
            </w:r>
            <w:r w:rsidR="004C4567">
              <w:rPr>
                <w:noProof/>
                <w:webHidden/>
              </w:rPr>
              <w:t>5</w:t>
            </w:r>
            <w:r w:rsidR="004C4567">
              <w:rPr>
                <w:noProof/>
                <w:webHidden/>
              </w:rPr>
              <w:fldChar w:fldCharType="end"/>
            </w:r>
          </w:hyperlink>
        </w:p>
        <w:p w14:paraId="2D8CD721" w14:textId="7A038FBC" w:rsidR="004C4567" w:rsidRDefault="00822CDB">
          <w:pPr>
            <w:pStyle w:val="TOC1"/>
            <w:tabs>
              <w:tab w:val="right" w:leader="dot" w:pos="9016"/>
            </w:tabs>
            <w:rPr>
              <w:rFonts w:eastAsiaTheme="minorEastAsia"/>
              <w:noProof/>
              <w:lang w:eastAsia="en-GB"/>
            </w:rPr>
          </w:pPr>
          <w:hyperlink w:anchor="_Toc88492377" w:history="1">
            <w:r w:rsidR="004C4567" w:rsidRPr="006B217D">
              <w:rPr>
                <w:rStyle w:val="Hyperlink"/>
                <w:rFonts w:cstheme="minorHAnsi"/>
                <w:noProof/>
              </w:rPr>
              <w:t>5.0 Implementation</w:t>
            </w:r>
            <w:r w:rsidR="004C4567">
              <w:rPr>
                <w:noProof/>
                <w:webHidden/>
              </w:rPr>
              <w:tab/>
            </w:r>
            <w:r w:rsidR="004C4567">
              <w:rPr>
                <w:noProof/>
                <w:webHidden/>
              </w:rPr>
              <w:fldChar w:fldCharType="begin"/>
            </w:r>
            <w:r w:rsidR="004C4567">
              <w:rPr>
                <w:noProof/>
                <w:webHidden/>
              </w:rPr>
              <w:instrText xml:space="preserve"> PAGEREF _Toc88492377 \h </w:instrText>
            </w:r>
            <w:r w:rsidR="004C4567">
              <w:rPr>
                <w:noProof/>
                <w:webHidden/>
              </w:rPr>
            </w:r>
            <w:r w:rsidR="004C4567">
              <w:rPr>
                <w:noProof/>
                <w:webHidden/>
              </w:rPr>
              <w:fldChar w:fldCharType="separate"/>
            </w:r>
            <w:r w:rsidR="004C4567">
              <w:rPr>
                <w:noProof/>
                <w:webHidden/>
              </w:rPr>
              <w:t>6</w:t>
            </w:r>
            <w:r w:rsidR="004C4567">
              <w:rPr>
                <w:noProof/>
                <w:webHidden/>
              </w:rPr>
              <w:fldChar w:fldCharType="end"/>
            </w:r>
          </w:hyperlink>
        </w:p>
        <w:p w14:paraId="0F25CA6F" w14:textId="0841DB56" w:rsidR="004C4567" w:rsidRDefault="00822CDB">
          <w:pPr>
            <w:pStyle w:val="TOC2"/>
            <w:tabs>
              <w:tab w:val="right" w:leader="dot" w:pos="9016"/>
            </w:tabs>
            <w:rPr>
              <w:rFonts w:eastAsiaTheme="minorEastAsia"/>
              <w:noProof/>
              <w:lang w:eastAsia="en-GB"/>
            </w:rPr>
          </w:pPr>
          <w:hyperlink w:anchor="_Toc88492378" w:history="1">
            <w:r w:rsidR="004C4567" w:rsidRPr="006B217D">
              <w:rPr>
                <w:rStyle w:val="Hyperlink"/>
                <w:rFonts w:cstheme="minorHAnsi"/>
                <w:noProof/>
              </w:rPr>
              <w:t>5.1 Setting</w:t>
            </w:r>
            <w:r w:rsidR="004C4567">
              <w:rPr>
                <w:noProof/>
                <w:webHidden/>
              </w:rPr>
              <w:tab/>
            </w:r>
            <w:r w:rsidR="004C4567">
              <w:rPr>
                <w:noProof/>
                <w:webHidden/>
              </w:rPr>
              <w:fldChar w:fldCharType="begin"/>
            </w:r>
            <w:r w:rsidR="004C4567">
              <w:rPr>
                <w:noProof/>
                <w:webHidden/>
              </w:rPr>
              <w:instrText xml:space="preserve"> PAGEREF _Toc88492378 \h </w:instrText>
            </w:r>
            <w:r w:rsidR="004C4567">
              <w:rPr>
                <w:noProof/>
                <w:webHidden/>
              </w:rPr>
            </w:r>
            <w:r w:rsidR="004C4567">
              <w:rPr>
                <w:noProof/>
                <w:webHidden/>
              </w:rPr>
              <w:fldChar w:fldCharType="separate"/>
            </w:r>
            <w:r w:rsidR="004C4567">
              <w:rPr>
                <w:noProof/>
                <w:webHidden/>
              </w:rPr>
              <w:t>6</w:t>
            </w:r>
            <w:r w:rsidR="004C4567">
              <w:rPr>
                <w:noProof/>
                <w:webHidden/>
              </w:rPr>
              <w:fldChar w:fldCharType="end"/>
            </w:r>
          </w:hyperlink>
        </w:p>
        <w:p w14:paraId="37D3B5B4" w14:textId="4E2414F6" w:rsidR="004C4567" w:rsidRDefault="00822CDB">
          <w:pPr>
            <w:pStyle w:val="TOC2"/>
            <w:tabs>
              <w:tab w:val="right" w:leader="dot" w:pos="9016"/>
            </w:tabs>
            <w:rPr>
              <w:rFonts w:eastAsiaTheme="minorEastAsia"/>
              <w:noProof/>
              <w:lang w:eastAsia="en-GB"/>
            </w:rPr>
          </w:pPr>
          <w:hyperlink w:anchor="_Toc88492379" w:history="1">
            <w:r w:rsidR="004C4567" w:rsidRPr="006B217D">
              <w:rPr>
                <w:rStyle w:val="Hyperlink"/>
                <w:rFonts w:cstheme="minorHAnsi"/>
                <w:noProof/>
              </w:rPr>
              <w:t>5.2 Setting up the infrastructure</w:t>
            </w:r>
            <w:r w:rsidR="004C4567">
              <w:rPr>
                <w:noProof/>
                <w:webHidden/>
              </w:rPr>
              <w:tab/>
            </w:r>
            <w:r w:rsidR="004C4567">
              <w:rPr>
                <w:noProof/>
                <w:webHidden/>
              </w:rPr>
              <w:fldChar w:fldCharType="begin"/>
            </w:r>
            <w:r w:rsidR="004C4567">
              <w:rPr>
                <w:noProof/>
                <w:webHidden/>
              </w:rPr>
              <w:instrText xml:space="preserve"> PAGEREF _Toc88492379 \h </w:instrText>
            </w:r>
            <w:r w:rsidR="004C4567">
              <w:rPr>
                <w:noProof/>
                <w:webHidden/>
              </w:rPr>
            </w:r>
            <w:r w:rsidR="004C4567">
              <w:rPr>
                <w:noProof/>
                <w:webHidden/>
              </w:rPr>
              <w:fldChar w:fldCharType="separate"/>
            </w:r>
            <w:r w:rsidR="004C4567">
              <w:rPr>
                <w:noProof/>
                <w:webHidden/>
              </w:rPr>
              <w:t>6</w:t>
            </w:r>
            <w:r w:rsidR="004C4567">
              <w:rPr>
                <w:noProof/>
                <w:webHidden/>
              </w:rPr>
              <w:fldChar w:fldCharType="end"/>
            </w:r>
          </w:hyperlink>
        </w:p>
        <w:p w14:paraId="4FEE88C4" w14:textId="34793ED1" w:rsidR="004C4567" w:rsidRDefault="00822CDB">
          <w:pPr>
            <w:pStyle w:val="TOC2"/>
            <w:tabs>
              <w:tab w:val="right" w:leader="dot" w:pos="9016"/>
            </w:tabs>
            <w:rPr>
              <w:rFonts w:eastAsiaTheme="minorEastAsia"/>
              <w:noProof/>
              <w:lang w:eastAsia="en-GB"/>
            </w:rPr>
          </w:pPr>
          <w:hyperlink w:anchor="_Toc88492380" w:history="1">
            <w:r w:rsidR="004C4567" w:rsidRPr="006B217D">
              <w:rPr>
                <w:rStyle w:val="Hyperlink"/>
                <w:rFonts w:cstheme="minorHAnsi"/>
                <w:noProof/>
              </w:rPr>
              <w:t>5.3 Short term implications</w:t>
            </w:r>
            <w:r w:rsidR="004C4567">
              <w:rPr>
                <w:noProof/>
                <w:webHidden/>
              </w:rPr>
              <w:tab/>
            </w:r>
            <w:r w:rsidR="004C4567">
              <w:rPr>
                <w:noProof/>
                <w:webHidden/>
              </w:rPr>
              <w:fldChar w:fldCharType="begin"/>
            </w:r>
            <w:r w:rsidR="004C4567">
              <w:rPr>
                <w:noProof/>
                <w:webHidden/>
              </w:rPr>
              <w:instrText xml:space="preserve"> PAGEREF _Toc88492380 \h </w:instrText>
            </w:r>
            <w:r w:rsidR="004C4567">
              <w:rPr>
                <w:noProof/>
                <w:webHidden/>
              </w:rPr>
            </w:r>
            <w:r w:rsidR="004C4567">
              <w:rPr>
                <w:noProof/>
                <w:webHidden/>
              </w:rPr>
              <w:fldChar w:fldCharType="separate"/>
            </w:r>
            <w:r w:rsidR="004C4567">
              <w:rPr>
                <w:noProof/>
                <w:webHidden/>
              </w:rPr>
              <w:t>7</w:t>
            </w:r>
            <w:r w:rsidR="004C4567">
              <w:rPr>
                <w:noProof/>
                <w:webHidden/>
              </w:rPr>
              <w:fldChar w:fldCharType="end"/>
            </w:r>
          </w:hyperlink>
        </w:p>
        <w:p w14:paraId="0D01A0E5" w14:textId="25788813" w:rsidR="004C4567" w:rsidRDefault="00822CDB">
          <w:pPr>
            <w:pStyle w:val="TOC2"/>
            <w:tabs>
              <w:tab w:val="right" w:leader="dot" w:pos="9016"/>
            </w:tabs>
            <w:rPr>
              <w:rFonts w:eastAsiaTheme="minorEastAsia"/>
              <w:noProof/>
              <w:lang w:eastAsia="en-GB"/>
            </w:rPr>
          </w:pPr>
          <w:hyperlink w:anchor="_Toc88492381" w:history="1">
            <w:r w:rsidR="004C4567" w:rsidRPr="006B217D">
              <w:rPr>
                <w:rStyle w:val="Hyperlink"/>
                <w:rFonts w:cstheme="minorHAnsi"/>
                <w:noProof/>
              </w:rPr>
              <w:t>5.4 Long term implications</w:t>
            </w:r>
            <w:r w:rsidR="004C4567">
              <w:rPr>
                <w:noProof/>
                <w:webHidden/>
              </w:rPr>
              <w:tab/>
            </w:r>
            <w:r w:rsidR="004C4567">
              <w:rPr>
                <w:noProof/>
                <w:webHidden/>
              </w:rPr>
              <w:fldChar w:fldCharType="begin"/>
            </w:r>
            <w:r w:rsidR="004C4567">
              <w:rPr>
                <w:noProof/>
                <w:webHidden/>
              </w:rPr>
              <w:instrText xml:space="preserve"> PAGEREF _Toc88492381 \h </w:instrText>
            </w:r>
            <w:r w:rsidR="004C4567">
              <w:rPr>
                <w:noProof/>
                <w:webHidden/>
              </w:rPr>
            </w:r>
            <w:r w:rsidR="004C4567">
              <w:rPr>
                <w:noProof/>
                <w:webHidden/>
              </w:rPr>
              <w:fldChar w:fldCharType="separate"/>
            </w:r>
            <w:r w:rsidR="004C4567">
              <w:rPr>
                <w:noProof/>
                <w:webHidden/>
              </w:rPr>
              <w:t>7</w:t>
            </w:r>
            <w:r w:rsidR="004C4567">
              <w:rPr>
                <w:noProof/>
                <w:webHidden/>
              </w:rPr>
              <w:fldChar w:fldCharType="end"/>
            </w:r>
          </w:hyperlink>
        </w:p>
        <w:p w14:paraId="128634EE" w14:textId="2ED32BA2" w:rsidR="004C4567" w:rsidRDefault="00822CDB">
          <w:pPr>
            <w:pStyle w:val="TOC2"/>
            <w:tabs>
              <w:tab w:val="right" w:leader="dot" w:pos="9016"/>
            </w:tabs>
            <w:rPr>
              <w:rFonts w:eastAsiaTheme="minorEastAsia"/>
              <w:noProof/>
              <w:lang w:eastAsia="en-GB"/>
            </w:rPr>
          </w:pPr>
          <w:hyperlink w:anchor="_Toc88492382" w:history="1">
            <w:r w:rsidR="004C4567" w:rsidRPr="006B217D">
              <w:rPr>
                <w:rStyle w:val="Hyperlink"/>
                <w:rFonts w:cstheme="minorHAnsi"/>
                <w:noProof/>
              </w:rPr>
              <w:t>5.5 Likelihood of implementation</w:t>
            </w:r>
            <w:r w:rsidR="004C4567">
              <w:rPr>
                <w:noProof/>
                <w:webHidden/>
              </w:rPr>
              <w:tab/>
            </w:r>
            <w:r w:rsidR="004C4567">
              <w:rPr>
                <w:noProof/>
                <w:webHidden/>
              </w:rPr>
              <w:fldChar w:fldCharType="begin"/>
            </w:r>
            <w:r w:rsidR="004C4567">
              <w:rPr>
                <w:noProof/>
                <w:webHidden/>
              </w:rPr>
              <w:instrText xml:space="preserve"> PAGEREF _Toc88492382 \h </w:instrText>
            </w:r>
            <w:r w:rsidR="004C4567">
              <w:rPr>
                <w:noProof/>
                <w:webHidden/>
              </w:rPr>
            </w:r>
            <w:r w:rsidR="004C4567">
              <w:rPr>
                <w:noProof/>
                <w:webHidden/>
              </w:rPr>
              <w:fldChar w:fldCharType="separate"/>
            </w:r>
            <w:r w:rsidR="004C4567">
              <w:rPr>
                <w:noProof/>
                <w:webHidden/>
              </w:rPr>
              <w:t>7</w:t>
            </w:r>
            <w:r w:rsidR="004C4567">
              <w:rPr>
                <w:noProof/>
                <w:webHidden/>
              </w:rPr>
              <w:fldChar w:fldCharType="end"/>
            </w:r>
          </w:hyperlink>
        </w:p>
        <w:p w14:paraId="41A949BB" w14:textId="2A9CFCB0" w:rsidR="004C4567" w:rsidRDefault="00822CDB">
          <w:pPr>
            <w:pStyle w:val="TOC1"/>
            <w:tabs>
              <w:tab w:val="right" w:leader="dot" w:pos="9016"/>
            </w:tabs>
            <w:rPr>
              <w:rFonts w:eastAsiaTheme="minorEastAsia"/>
              <w:noProof/>
              <w:lang w:eastAsia="en-GB"/>
            </w:rPr>
          </w:pPr>
          <w:hyperlink w:anchor="_Toc88492383" w:history="1">
            <w:r w:rsidR="004C4567" w:rsidRPr="006B217D">
              <w:rPr>
                <w:rStyle w:val="Hyperlink"/>
                <w:rFonts w:cstheme="minorHAnsi"/>
                <w:noProof/>
              </w:rPr>
              <w:t>6.0 Conclusion</w:t>
            </w:r>
            <w:r w:rsidR="004C4567">
              <w:rPr>
                <w:noProof/>
                <w:webHidden/>
              </w:rPr>
              <w:tab/>
            </w:r>
            <w:r w:rsidR="004C4567">
              <w:rPr>
                <w:noProof/>
                <w:webHidden/>
              </w:rPr>
              <w:fldChar w:fldCharType="begin"/>
            </w:r>
            <w:r w:rsidR="004C4567">
              <w:rPr>
                <w:noProof/>
                <w:webHidden/>
              </w:rPr>
              <w:instrText xml:space="preserve"> PAGEREF _Toc88492383 \h </w:instrText>
            </w:r>
            <w:r w:rsidR="004C4567">
              <w:rPr>
                <w:noProof/>
                <w:webHidden/>
              </w:rPr>
            </w:r>
            <w:r w:rsidR="004C4567">
              <w:rPr>
                <w:noProof/>
                <w:webHidden/>
              </w:rPr>
              <w:fldChar w:fldCharType="separate"/>
            </w:r>
            <w:r w:rsidR="004C4567">
              <w:rPr>
                <w:noProof/>
                <w:webHidden/>
              </w:rPr>
              <w:t>8</w:t>
            </w:r>
            <w:r w:rsidR="004C4567">
              <w:rPr>
                <w:noProof/>
                <w:webHidden/>
              </w:rPr>
              <w:fldChar w:fldCharType="end"/>
            </w:r>
          </w:hyperlink>
        </w:p>
        <w:p w14:paraId="167E586A" w14:textId="3C451A7C" w:rsidR="004C4567" w:rsidRDefault="00822CDB">
          <w:pPr>
            <w:pStyle w:val="TOC1"/>
            <w:tabs>
              <w:tab w:val="right" w:leader="dot" w:pos="9016"/>
            </w:tabs>
            <w:rPr>
              <w:rFonts w:eastAsiaTheme="minorEastAsia"/>
              <w:noProof/>
              <w:lang w:eastAsia="en-GB"/>
            </w:rPr>
          </w:pPr>
          <w:hyperlink w:anchor="_Toc88492384" w:history="1">
            <w:r w:rsidR="004C4567" w:rsidRPr="006B217D">
              <w:rPr>
                <w:rStyle w:val="Hyperlink"/>
                <w:rFonts w:cstheme="minorHAnsi"/>
                <w:noProof/>
              </w:rPr>
              <w:t>7.0 References</w:t>
            </w:r>
            <w:r w:rsidR="004C4567">
              <w:rPr>
                <w:noProof/>
                <w:webHidden/>
              </w:rPr>
              <w:tab/>
            </w:r>
            <w:r w:rsidR="004C4567">
              <w:rPr>
                <w:noProof/>
                <w:webHidden/>
              </w:rPr>
              <w:fldChar w:fldCharType="begin"/>
            </w:r>
            <w:r w:rsidR="004C4567">
              <w:rPr>
                <w:noProof/>
                <w:webHidden/>
              </w:rPr>
              <w:instrText xml:space="preserve"> PAGEREF _Toc88492384 \h </w:instrText>
            </w:r>
            <w:r w:rsidR="004C4567">
              <w:rPr>
                <w:noProof/>
                <w:webHidden/>
              </w:rPr>
            </w:r>
            <w:r w:rsidR="004C4567">
              <w:rPr>
                <w:noProof/>
                <w:webHidden/>
              </w:rPr>
              <w:fldChar w:fldCharType="separate"/>
            </w:r>
            <w:r w:rsidR="004C4567">
              <w:rPr>
                <w:noProof/>
                <w:webHidden/>
              </w:rPr>
              <w:t>9</w:t>
            </w:r>
            <w:r w:rsidR="004C4567">
              <w:rPr>
                <w:noProof/>
                <w:webHidden/>
              </w:rPr>
              <w:fldChar w:fldCharType="end"/>
            </w:r>
          </w:hyperlink>
        </w:p>
        <w:p w14:paraId="1B58B841" w14:textId="081286F2" w:rsidR="00AF26E8" w:rsidRDefault="00AF26E8">
          <w:r>
            <w:rPr>
              <w:b/>
              <w:bCs/>
              <w:noProof/>
            </w:rPr>
            <w:fldChar w:fldCharType="end"/>
          </w:r>
        </w:p>
      </w:sdtContent>
    </w:sdt>
    <w:p w14:paraId="7EAD2224" w14:textId="77777777" w:rsidR="00F260CC" w:rsidRDefault="00F260CC">
      <w:pPr>
        <w:rPr>
          <w:sz w:val="40"/>
          <w:szCs w:val="40"/>
        </w:rPr>
      </w:pPr>
      <w:r>
        <w:rPr>
          <w:sz w:val="40"/>
          <w:szCs w:val="40"/>
        </w:rPr>
        <w:br w:type="page"/>
      </w:r>
    </w:p>
    <w:p w14:paraId="2165D424" w14:textId="1B49F0F2" w:rsidR="008D5937" w:rsidRDefault="008D5937">
      <w:pPr>
        <w:pStyle w:val="TableofFigures"/>
        <w:tabs>
          <w:tab w:val="right" w:leader="dot" w:pos="9016"/>
        </w:tabs>
        <w:rPr>
          <w:sz w:val="40"/>
          <w:szCs w:val="40"/>
        </w:rPr>
      </w:pPr>
      <w:r>
        <w:rPr>
          <w:sz w:val="40"/>
          <w:szCs w:val="40"/>
        </w:rPr>
        <w:lastRenderedPageBreak/>
        <w:t xml:space="preserve">Table of Figures </w:t>
      </w:r>
    </w:p>
    <w:p w14:paraId="6681C520" w14:textId="41CEEAE6" w:rsidR="000732F8" w:rsidRDefault="00AF26E8">
      <w:pPr>
        <w:pStyle w:val="TableofFigures"/>
        <w:tabs>
          <w:tab w:val="right" w:leader="dot" w:pos="9016"/>
        </w:tabs>
        <w:rPr>
          <w:rFonts w:eastAsiaTheme="minorEastAsia"/>
          <w:noProof/>
          <w:lang w:eastAsia="en-GB"/>
        </w:rPr>
      </w:pPr>
      <w:r>
        <w:rPr>
          <w:sz w:val="40"/>
          <w:szCs w:val="40"/>
        </w:rPr>
        <w:fldChar w:fldCharType="begin"/>
      </w:r>
      <w:r>
        <w:rPr>
          <w:sz w:val="40"/>
          <w:szCs w:val="40"/>
        </w:rPr>
        <w:instrText xml:space="preserve"> TOC \h \z \c "Figure" </w:instrText>
      </w:r>
      <w:r>
        <w:rPr>
          <w:sz w:val="40"/>
          <w:szCs w:val="40"/>
        </w:rPr>
        <w:fldChar w:fldCharType="separate"/>
      </w:r>
      <w:hyperlink w:anchor="_Toc88477157" w:history="1">
        <w:r w:rsidR="000732F8" w:rsidRPr="00197CE5">
          <w:rPr>
            <w:rStyle w:val="Hyperlink"/>
            <w:noProof/>
          </w:rPr>
          <w:t>Figure 1- Distribution of charging points in the UK (Zapmap, 2021)</w:t>
        </w:r>
        <w:r w:rsidR="000732F8">
          <w:rPr>
            <w:noProof/>
            <w:webHidden/>
          </w:rPr>
          <w:tab/>
        </w:r>
        <w:r w:rsidR="000732F8">
          <w:rPr>
            <w:noProof/>
            <w:webHidden/>
          </w:rPr>
          <w:fldChar w:fldCharType="begin"/>
        </w:r>
        <w:r w:rsidR="000732F8">
          <w:rPr>
            <w:noProof/>
            <w:webHidden/>
          </w:rPr>
          <w:instrText xml:space="preserve"> PAGEREF _Toc88477157 \h </w:instrText>
        </w:r>
        <w:r w:rsidR="000732F8">
          <w:rPr>
            <w:noProof/>
            <w:webHidden/>
          </w:rPr>
        </w:r>
        <w:r w:rsidR="000732F8">
          <w:rPr>
            <w:noProof/>
            <w:webHidden/>
          </w:rPr>
          <w:fldChar w:fldCharType="separate"/>
        </w:r>
        <w:r w:rsidR="000732F8">
          <w:rPr>
            <w:noProof/>
            <w:webHidden/>
          </w:rPr>
          <w:t>5</w:t>
        </w:r>
        <w:r w:rsidR="000732F8">
          <w:rPr>
            <w:noProof/>
            <w:webHidden/>
          </w:rPr>
          <w:fldChar w:fldCharType="end"/>
        </w:r>
      </w:hyperlink>
    </w:p>
    <w:p w14:paraId="4D0FA37A" w14:textId="1B743917" w:rsidR="00AF26E8" w:rsidRDefault="00AF26E8">
      <w:pPr>
        <w:rPr>
          <w:sz w:val="40"/>
          <w:szCs w:val="40"/>
        </w:rPr>
      </w:pPr>
      <w:r>
        <w:rPr>
          <w:sz w:val="40"/>
          <w:szCs w:val="40"/>
        </w:rPr>
        <w:fldChar w:fldCharType="end"/>
      </w:r>
    </w:p>
    <w:p w14:paraId="4D5E8F4B" w14:textId="77777777" w:rsidR="00817D19" w:rsidRDefault="00817D19">
      <w:pPr>
        <w:rPr>
          <w:rFonts w:cstheme="minorHAnsi"/>
          <w:sz w:val="40"/>
          <w:szCs w:val="40"/>
        </w:rPr>
        <w:sectPr w:rsidR="00817D19" w:rsidSect="004718D5">
          <w:footerReference w:type="default" r:id="rId11"/>
          <w:pgSz w:w="11906" w:h="16838"/>
          <w:pgMar w:top="1440" w:right="1440" w:bottom="1440" w:left="1440" w:header="708" w:footer="708" w:gutter="0"/>
          <w:pgNumType w:fmt="lowerRoman" w:start="0"/>
          <w:cols w:space="708"/>
          <w:titlePg/>
          <w:docGrid w:linePitch="360"/>
        </w:sectPr>
      </w:pPr>
    </w:p>
    <w:p w14:paraId="62776BB1" w14:textId="51BD5710" w:rsidR="00577916" w:rsidRPr="004718D5" w:rsidRDefault="000C48C5" w:rsidP="00B773F8">
      <w:pPr>
        <w:pStyle w:val="Heading1"/>
        <w:rPr>
          <w:rFonts w:cstheme="minorHAnsi"/>
          <w:sz w:val="40"/>
          <w:szCs w:val="40"/>
        </w:rPr>
      </w:pPr>
      <w:bookmarkStart w:id="0" w:name="_Toc88492371"/>
      <w:r>
        <w:rPr>
          <w:rFonts w:asciiTheme="minorHAnsi" w:hAnsiTheme="minorHAnsi" w:cstheme="minorHAnsi"/>
          <w:color w:val="auto"/>
          <w:sz w:val="40"/>
          <w:szCs w:val="40"/>
        </w:rPr>
        <w:lastRenderedPageBreak/>
        <w:t xml:space="preserve">1.0 </w:t>
      </w:r>
      <w:r w:rsidR="00577916" w:rsidRPr="00B773F8">
        <w:rPr>
          <w:rFonts w:asciiTheme="minorHAnsi" w:hAnsiTheme="minorHAnsi" w:cstheme="minorHAnsi"/>
          <w:color w:val="auto"/>
          <w:sz w:val="40"/>
          <w:szCs w:val="40"/>
        </w:rPr>
        <w:t>Introduction</w:t>
      </w:r>
      <w:bookmarkEnd w:id="0"/>
      <w:r w:rsidR="00577916" w:rsidRPr="00AF26E8">
        <w:rPr>
          <w:rFonts w:cstheme="minorHAnsi"/>
          <w:sz w:val="40"/>
          <w:szCs w:val="40"/>
        </w:rPr>
        <w:t xml:space="preserve"> </w:t>
      </w:r>
    </w:p>
    <w:p w14:paraId="19A2B864" w14:textId="073CC629" w:rsidR="00553C89" w:rsidRDefault="00E92F24">
      <w:pPr>
        <w:rPr>
          <w:rFonts w:cstheme="minorHAnsi"/>
        </w:rPr>
      </w:pPr>
      <w:r>
        <w:rPr>
          <w:rFonts w:cstheme="minorHAnsi"/>
        </w:rPr>
        <w:t>Electric vehicles and their widespread introduction have been a key aspect of combatting the climate crisis. The UK government in particular has made</w:t>
      </w:r>
      <w:r w:rsidR="00B263AF">
        <w:rPr>
          <w:rFonts w:cstheme="minorHAnsi"/>
        </w:rPr>
        <w:t xml:space="preserve"> its stance on electric vehicle</w:t>
      </w:r>
      <w:r w:rsidR="00EB6AEE">
        <w:rPr>
          <w:rFonts w:cstheme="minorHAnsi"/>
        </w:rPr>
        <w:t>s</w:t>
      </w:r>
      <w:r w:rsidR="00B263AF">
        <w:rPr>
          <w:rFonts w:cstheme="minorHAnsi"/>
        </w:rPr>
        <w:t xml:space="preserve"> clear</w:t>
      </w:r>
      <w:r w:rsidR="00EB6AEE">
        <w:rPr>
          <w:rFonts w:cstheme="minorHAnsi"/>
        </w:rPr>
        <w:t>.</w:t>
      </w:r>
      <w:r>
        <w:rPr>
          <w:rFonts w:cstheme="minorHAnsi"/>
        </w:rPr>
        <w:t xml:space="preserve"> </w:t>
      </w:r>
      <w:r w:rsidR="00EB6AEE">
        <w:rPr>
          <w:rFonts w:cstheme="minorHAnsi"/>
        </w:rPr>
        <w:t>M</w:t>
      </w:r>
      <w:r>
        <w:rPr>
          <w:rFonts w:cstheme="minorHAnsi"/>
        </w:rPr>
        <w:t>oves to phase out petrol diesel cars with a ban on new petrol and diesel cars coming in 2030 (</w:t>
      </w:r>
      <w:proofErr w:type="spellStart"/>
      <w:r w:rsidR="00E63A7D" w:rsidRPr="00E63A7D">
        <w:rPr>
          <w:rFonts w:cstheme="minorHAnsi"/>
        </w:rPr>
        <w:t>Harr</w:t>
      </w:r>
      <w:r w:rsidR="00E63A7D">
        <w:rPr>
          <w:rFonts w:cstheme="minorHAnsi"/>
        </w:rPr>
        <w:t>abin</w:t>
      </w:r>
      <w:proofErr w:type="spellEnd"/>
      <w:r w:rsidR="00E63A7D">
        <w:rPr>
          <w:rFonts w:cstheme="minorHAnsi"/>
        </w:rPr>
        <w:t>, 2020</w:t>
      </w:r>
      <w:r>
        <w:rPr>
          <w:rFonts w:cstheme="minorHAnsi"/>
        </w:rPr>
        <w:t>)</w:t>
      </w:r>
      <w:r w:rsidR="00B263AF">
        <w:rPr>
          <w:rFonts w:cstheme="minorHAnsi"/>
        </w:rPr>
        <w:t xml:space="preserve"> and made electric vehicle charging in new homes a legal requirement (Race, 2021)</w:t>
      </w:r>
      <w:r w:rsidR="00EB6AEE">
        <w:rPr>
          <w:rFonts w:cstheme="minorHAnsi"/>
        </w:rPr>
        <w:t xml:space="preserve"> make it very clear that the UK government is serious about the widespread use of electric vehicles.</w:t>
      </w:r>
      <w:r w:rsidR="001C5531">
        <w:rPr>
          <w:rFonts w:cstheme="minorHAnsi"/>
        </w:rPr>
        <w:t xml:space="preserve"> </w:t>
      </w:r>
      <w:r w:rsidR="00EB6AEE">
        <w:rPr>
          <w:rFonts w:cstheme="minorHAnsi"/>
        </w:rPr>
        <w:t>In addition to this</w:t>
      </w:r>
      <w:r w:rsidR="001C5531">
        <w:rPr>
          <w:rFonts w:cstheme="minorHAnsi"/>
        </w:rPr>
        <w:t xml:space="preserve"> with, the government has made large investments in sustainable power generation. </w:t>
      </w:r>
    </w:p>
    <w:p w14:paraId="1DA4BD46" w14:textId="6AD2FE0C" w:rsidR="001C5531" w:rsidRDefault="001C5531">
      <w:pPr>
        <w:rPr>
          <w:rFonts w:cstheme="minorHAnsi"/>
        </w:rPr>
      </w:pPr>
      <w:r>
        <w:rPr>
          <w:rFonts w:cstheme="minorHAnsi"/>
        </w:rPr>
        <w:t xml:space="preserve">Electric vehicles as of recently have been gearing up towards a new technology known as </w:t>
      </w:r>
      <w:r w:rsidR="00823BC6">
        <w:rPr>
          <w:rFonts w:cstheme="minorHAnsi"/>
        </w:rPr>
        <w:t>Vehicle to grid technology (V2G)</w:t>
      </w:r>
      <w:r>
        <w:rPr>
          <w:rFonts w:cstheme="minorHAnsi"/>
        </w:rPr>
        <w:t>. V2G</w:t>
      </w:r>
      <w:r w:rsidR="00823BC6">
        <w:rPr>
          <w:rFonts w:cstheme="minorHAnsi"/>
        </w:rPr>
        <w:t xml:space="preserve"> is when electric vehicles put charge back into </w:t>
      </w:r>
      <w:r w:rsidR="00671F39">
        <w:rPr>
          <w:rFonts w:cstheme="minorHAnsi"/>
        </w:rPr>
        <w:t>the power grid</w:t>
      </w:r>
      <w:r w:rsidR="00A2039C">
        <w:rPr>
          <w:rFonts w:cstheme="minorHAnsi"/>
        </w:rPr>
        <w:t xml:space="preserve"> during peak times where the power grid may not be capable of suppling enough power</w:t>
      </w:r>
      <w:r w:rsidR="00671F39">
        <w:rPr>
          <w:rFonts w:cstheme="minorHAnsi"/>
        </w:rPr>
        <w:t xml:space="preserve">. This technology has </w:t>
      </w:r>
      <w:r>
        <w:rPr>
          <w:rFonts w:cstheme="minorHAnsi"/>
        </w:rPr>
        <w:t>been worked on for a few years</w:t>
      </w:r>
      <w:r w:rsidR="00754781">
        <w:rPr>
          <w:rFonts w:cstheme="minorHAnsi"/>
        </w:rPr>
        <w:t xml:space="preserve"> </w:t>
      </w:r>
      <w:r w:rsidR="00A2039C">
        <w:rPr>
          <w:rFonts w:cstheme="minorHAnsi"/>
        </w:rPr>
        <w:t xml:space="preserve">both in theory and some limited practical testing. </w:t>
      </w:r>
      <w:r w:rsidR="00754781">
        <w:rPr>
          <w:rFonts w:cstheme="minorHAnsi"/>
        </w:rPr>
        <w:t>(</w:t>
      </w:r>
      <w:proofErr w:type="spellStart"/>
      <w:r w:rsidR="00E63A7D" w:rsidRPr="00E63A7D">
        <w:rPr>
          <w:rFonts w:cstheme="minorHAnsi"/>
        </w:rPr>
        <w:t>Miko</w:t>
      </w:r>
      <w:r w:rsidR="00E63A7D">
        <w:rPr>
          <w:rFonts w:cstheme="minorHAnsi"/>
        </w:rPr>
        <w:t>lajek</w:t>
      </w:r>
      <w:proofErr w:type="spellEnd"/>
      <w:r w:rsidR="00E63A7D">
        <w:rPr>
          <w:rFonts w:cstheme="minorHAnsi"/>
        </w:rPr>
        <w:t>, 2018</w:t>
      </w:r>
      <w:r w:rsidR="00754781">
        <w:rPr>
          <w:rFonts w:cstheme="minorHAnsi"/>
        </w:rPr>
        <w:t xml:space="preserve">). </w:t>
      </w:r>
    </w:p>
    <w:p w14:paraId="71DECC89" w14:textId="10FC0803" w:rsidR="00FF3DB5" w:rsidRPr="00154A20" w:rsidRDefault="00671F39">
      <w:pPr>
        <w:rPr>
          <w:rFonts w:cstheme="minorHAnsi"/>
        </w:rPr>
      </w:pPr>
      <w:r>
        <w:rPr>
          <w:rFonts w:cstheme="minorHAnsi"/>
        </w:rPr>
        <w:t xml:space="preserve">This report covers the potential implementation </w:t>
      </w:r>
      <w:r w:rsidR="006129F4">
        <w:rPr>
          <w:rFonts w:cstheme="minorHAnsi"/>
        </w:rPr>
        <w:t xml:space="preserve">and likelihood </w:t>
      </w:r>
      <w:r>
        <w:rPr>
          <w:rFonts w:cstheme="minorHAnsi"/>
        </w:rPr>
        <w:t>of V2G technology i</w:t>
      </w:r>
      <w:r w:rsidR="00001EA6">
        <w:rPr>
          <w:rFonts w:cstheme="minorHAnsi"/>
        </w:rPr>
        <w:t>n</w:t>
      </w:r>
      <w:r>
        <w:rPr>
          <w:rFonts w:cstheme="minorHAnsi"/>
        </w:rPr>
        <w:t xml:space="preserve"> a</w:t>
      </w:r>
      <w:r w:rsidR="00001EA6">
        <w:rPr>
          <w:rFonts w:cstheme="minorHAnsi"/>
        </w:rPr>
        <w:t xml:space="preserve"> motorsport</w:t>
      </w:r>
      <w:r>
        <w:rPr>
          <w:rFonts w:cstheme="minorHAnsi"/>
        </w:rPr>
        <w:t xml:space="preserve"> setting</w:t>
      </w:r>
      <w:r w:rsidR="00001EA6">
        <w:rPr>
          <w:rFonts w:cstheme="minorHAnsi"/>
        </w:rPr>
        <w:t>. This report will assess the short term and long-term implications of V2G technology</w:t>
      </w:r>
      <w:r w:rsidR="00754781">
        <w:rPr>
          <w:rFonts w:cstheme="minorHAnsi"/>
        </w:rPr>
        <w:t xml:space="preserve"> on the industry</w:t>
      </w:r>
      <w:r w:rsidR="003F415A">
        <w:rPr>
          <w:rFonts w:cstheme="minorHAnsi"/>
        </w:rPr>
        <w:t xml:space="preserve"> and suggest strategies that could potentially be used by the motorsport industry in the future</w:t>
      </w:r>
      <w:r w:rsidR="00001EA6">
        <w:rPr>
          <w:rFonts w:cstheme="minorHAnsi"/>
        </w:rPr>
        <w:t>. In addition to this, the report</w:t>
      </w:r>
      <w:r>
        <w:rPr>
          <w:rFonts w:cstheme="minorHAnsi"/>
        </w:rPr>
        <w:t xml:space="preserve"> will </w:t>
      </w:r>
      <w:r w:rsidR="00001EA6">
        <w:rPr>
          <w:rFonts w:cstheme="minorHAnsi"/>
        </w:rPr>
        <w:t>assess</w:t>
      </w:r>
      <w:r>
        <w:rPr>
          <w:rFonts w:cstheme="minorHAnsi"/>
        </w:rPr>
        <w:t xml:space="preserve"> the current grid demands of the UK and the available charging technology that is readily available in the UK</w:t>
      </w:r>
      <w:r w:rsidR="003F415A">
        <w:rPr>
          <w:rFonts w:cstheme="minorHAnsi"/>
        </w:rPr>
        <w:t>. This is important has electric vehicles do need charging points to charge the batteries very much like petrol stations, however the electricity does need to come from the national grid</w:t>
      </w:r>
      <w:r>
        <w:rPr>
          <w:rFonts w:cstheme="minorHAnsi"/>
        </w:rPr>
        <w:t xml:space="preserve">. </w:t>
      </w:r>
      <w:r w:rsidR="00A2039C">
        <w:rPr>
          <w:rFonts w:cstheme="minorHAnsi"/>
        </w:rPr>
        <w:t>E</w:t>
      </w:r>
      <w:r>
        <w:rPr>
          <w:rFonts w:cstheme="minorHAnsi"/>
        </w:rPr>
        <w:t xml:space="preserve">thical issues that come with V2G </w:t>
      </w:r>
      <w:r w:rsidR="007372DC">
        <w:rPr>
          <w:rFonts w:cstheme="minorHAnsi"/>
        </w:rPr>
        <w:t>technology,</w:t>
      </w:r>
      <w:r>
        <w:rPr>
          <w:rFonts w:cstheme="minorHAnsi"/>
        </w:rPr>
        <w:t xml:space="preserve"> and the electric vehicles required for the technology to work</w:t>
      </w:r>
      <w:r w:rsidR="00A2039C">
        <w:rPr>
          <w:rFonts w:cstheme="minorHAnsi"/>
        </w:rPr>
        <w:t xml:space="preserve"> are also covered in this report. </w:t>
      </w:r>
      <w:r>
        <w:rPr>
          <w:rFonts w:cstheme="minorHAnsi"/>
        </w:rPr>
        <w:t xml:space="preserve"> </w:t>
      </w:r>
      <w:r w:rsidR="00FF3DB5">
        <w:rPr>
          <w:rFonts w:cstheme="minorHAnsi"/>
          <w:sz w:val="40"/>
          <w:szCs w:val="40"/>
        </w:rPr>
        <w:br w:type="page"/>
      </w:r>
    </w:p>
    <w:p w14:paraId="12CFD480" w14:textId="007E8CE9" w:rsidR="00577916" w:rsidRDefault="000C48C5" w:rsidP="00AF26E8">
      <w:pPr>
        <w:pStyle w:val="Heading1"/>
        <w:rPr>
          <w:rFonts w:asciiTheme="minorHAnsi" w:hAnsiTheme="minorHAnsi" w:cstheme="minorHAnsi"/>
          <w:color w:val="auto"/>
          <w:sz w:val="40"/>
          <w:szCs w:val="40"/>
        </w:rPr>
      </w:pPr>
      <w:bookmarkStart w:id="1" w:name="_Toc88492372"/>
      <w:r>
        <w:rPr>
          <w:rFonts w:asciiTheme="minorHAnsi" w:hAnsiTheme="minorHAnsi" w:cstheme="minorHAnsi"/>
          <w:color w:val="auto"/>
          <w:sz w:val="40"/>
          <w:szCs w:val="40"/>
        </w:rPr>
        <w:lastRenderedPageBreak/>
        <w:t xml:space="preserve">2.0 </w:t>
      </w:r>
      <w:r w:rsidR="00703BA2">
        <w:rPr>
          <w:rFonts w:asciiTheme="minorHAnsi" w:hAnsiTheme="minorHAnsi" w:cstheme="minorHAnsi"/>
          <w:color w:val="auto"/>
          <w:sz w:val="40"/>
          <w:szCs w:val="40"/>
        </w:rPr>
        <w:t>Current electrical demand</w:t>
      </w:r>
      <w:bookmarkEnd w:id="1"/>
      <w:r w:rsidR="00703BA2">
        <w:rPr>
          <w:rFonts w:asciiTheme="minorHAnsi" w:hAnsiTheme="minorHAnsi" w:cstheme="minorHAnsi"/>
          <w:color w:val="auto"/>
          <w:sz w:val="40"/>
          <w:szCs w:val="40"/>
        </w:rPr>
        <w:t xml:space="preserve"> </w:t>
      </w:r>
    </w:p>
    <w:p w14:paraId="2442B232" w14:textId="3FD78D49" w:rsidR="00EF2320" w:rsidRDefault="00DB0BEC" w:rsidP="00DB0BEC">
      <w:r>
        <w:t xml:space="preserve">In the UK as of 2020, electrical demand had hit a record low of 330 </w:t>
      </w:r>
      <w:proofErr w:type="spellStart"/>
      <w:r>
        <w:t>TWh</w:t>
      </w:r>
      <w:proofErr w:type="spellEnd"/>
      <w:r>
        <w:t xml:space="preserve"> due to the restrictions placed in response to the COVID-19 pandemic, although</w:t>
      </w:r>
      <w:r w:rsidR="00EB6AEE">
        <w:t xml:space="preserve"> the pandemic is not the main factor to this has</w:t>
      </w:r>
      <w:r>
        <w:t xml:space="preserve"> electrical demand </w:t>
      </w:r>
      <w:r w:rsidR="00B04D24">
        <w:t>fell year by year since 2015</w:t>
      </w:r>
      <w:r w:rsidR="0034483F">
        <w:t xml:space="preserve"> </w:t>
      </w:r>
      <w:r>
        <w:t>(</w:t>
      </w:r>
      <w:r w:rsidR="00E63A7D">
        <w:t>Martin, 2021</w:t>
      </w:r>
      <w:r>
        <w:t xml:space="preserve">). </w:t>
      </w:r>
      <w:r w:rsidR="0066399A">
        <w:t xml:space="preserve">Most of this power is produced by natural gas and nuclear power however, renewable sources make up a large amount of power generated. The demand is expected to increase </w:t>
      </w:r>
      <w:r w:rsidR="00EC6FDD">
        <w:t xml:space="preserve">to the range of 575 to 672 </w:t>
      </w:r>
      <w:proofErr w:type="spellStart"/>
      <w:r w:rsidR="00EC6FDD">
        <w:t>TWh</w:t>
      </w:r>
      <w:proofErr w:type="spellEnd"/>
      <w:r w:rsidR="00EC6FDD">
        <w:t xml:space="preserve"> by 2050 (</w:t>
      </w:r>
      <w:r w:rsidR="00E63A7D" w:rsidRPr="00E63A7D">
        <w:t>Department</w:t>
      </w:r>
      <w:r w:rsidR="00E63A7D">
        <w:t xml:space="preserve"> for Business, Energy &amp; Industrial Strategy, 2020</w:t>
      </w:r>
      <w:r w:rsidR="00EC6FDD">
        <w:t>). This increase is due to the UK governments push of electric vehicles and disassociation with fossil fuels to combat climate change.</w:t>
      </w:r>
    </w:p>
    <w:p w14:paraId="76B3C5DE" w14:textId="021664E5" w:rsidR="00FF6577" w:rsidRDefault="00B96C0C" w:rsidP="00DB0BEC">
      <w:r>
        <w:t xml:space="preserve">With these projections of electrical demand infrastructure changes are expected to happen </w:t>
      </w:r>
      <w:r w:rsidR="00EF2320">
        <w:t>due to political factors which include fighting climate change and the move to more sustainable power generation</w:t>
      </w:r>
      <w:r>
        <w:t xml:space="preserve">. </w:t>
      </w:r>
      <w:r w:rsidR="00EF2320">
        <w:t xml:space="preserve">Another factor that has a potential to cause a problem </w:t>
      </w:r>
      <w:r w:rsidR="00284EFD">
        <w:t xml:space="preserve">for the UK power grid </w:t>
      </w:r>
      <w:r w:rsidR="00EF2320">
        <w:t xml:space="preserve">is that the oldest nuclear reactors in the UK are approaching 40 years old within </w:t>
      </w:r>
      <w:r w:rsidR="00FF6577">
        <w:t>5 years</w:t>
      </w:r>
      <w:r w:rsidR="00EF2320">
        <w:t xml:space="preserve"> which is typically the </w:t>
      </w:r>
      <w:r w:rsidR="0040230E">
        <w:t>age where nuclear reactors are shut down</w:t>
      </w:r>
      <w:r w:rsidR="00FF6577">
        <w:t xml:space="preserve">. These factors mean that within the next 30 years V2G technology may become an important power generating source for the UK. </w:t>
      </w:r>
    </w:p>
    <w:p w14:paraId="11F06B5D" w14:textId="3600FBDD" w:rsidR="00DB0BEC" w:rsidRPr="00DB0BEC" w:rsidRDefault="00EC6FDD" w:rsidP="00DB0BEC">
      <w:r>
        <w:t xml:space="preserve">  </w:t>
      </w:r>
    </w:p>
    <w:p w14:paraId="7A603B6A" w14:textId="77777777" w:rsidR="00F100EB" w:rsidRDefault="00F100EB">
      <w:pPr>
        <w:rPr>
          <w:rFonts w:eastAsiaTheme="majorEastAsia" w:cstheme="minorHAnsi"/>
          <w:sz w:val="36"/>
          <w:szCs w:val="26"/>
        </w:rPr>
      </w:pPr>
      <w:r>
        <w:rPr>
          <w:rFonts w:cstheme="minorHAnsi"/>
          <w:sz w:val="36"/>
        </w:rPr>
        <w:br w:type="page"/>
      </w:r>
    </w:p>
    <w:p w14:paraId="05764DBC" w14:textId="77777777" w:rsidR="003F0FE1" w:rsidRDefault="000C48C5" w:rsidP="00FF3DB5">
      <w:pPr>
        <w:pStyle w:val="Heading1"/>
        <w:rPr>
          <w:rFonts w:asciiTheme="minorHAnsi" w:hAnsiTheme="minorHAnsi" w:cstheme="minorHAnsi"/>
          <w:color w:val="auto"/>
          <w:sz w:val="40"/>
          <w:szCs w:val="40"/>
        </w:rPr>
      </w:pPr>
      <w:bookmarkStart w:id="2" w:name="_Toc88492373"/>
      <w:r>
        <w:rPr>
          <w:rFonts w:asciiTheme="minorHAnsi" w:hAnsiTheme="minorHAnsi" w:cstheme="minorHAnsi"/>
          <w:color w:val="auto"/>
          <w:sz w:val="40"/>
          <w:szCs w:val="40"/>
        </w:rPr>
        <w:lastRenderedPageBreak/>
        <w:t xml:space="preserve">3.0 </w:t>
      </w:r>
      <w:r w:rsidR="00703BA2">
        <w:rPr>
          <w:rFonts w:asciiTheme="minorHAnsi" w:hAnsiTheme="minorHAnsi" w:cstheme="minorHAnsi"/>
          <w:color w:val="auto"/>
          <w:sz w:val="40"/>
          <w:szCs w:val="40"/>
        </w:rPr>
        <w:t>Ethical issues</w:t>
      </w:r>
      <w:bookmarkEnd w:id="2"/>
      <w:r w:rsidR="00703BA2">
        <w:rPr>
          <w:rFonts w:asciiTheme="minorHAnsi" w:hAnsiTheme="minorHAnsi" w:cstheme="minorHAnsi"/>
          <w:color w:val="auto"/>
          <w:sz w:val="40"/>
          <w:szCs w:val="40"/>
        </w:rPr>
        <w:t xml:space="preserve"> </w:t>
      </w:r>
    </w:p>
    <w:p w14:paraId="372FBFB1" w14:textId="22F6C8A2" w:rsidR="003F0FE1" w:rsidRDefault="003F0FE1" w:rsidP="003F0FE1">
      <w:r>
        <w:t xml:space="preserve">Although there </w:t>
      </w:r>
      <w:r w:rsidR="001A0998">
        <w:t>are</w:t>
      </w:r>
      <w:r>
        <w:t xml:space="preserve"> no ethical issues </w:t>
      </w:r>
      <w:r w:rsidR="001A0998">
        <w:t>directly related to vehicle to grid technology, there are ethical issues from some of the process involved making electric vehicles and the batteries for said vehicles</w:t>
      </w:r>
      <w:r w:rsidR="008F719C">
        <w:t xml:space="preserve"> as the processes are counterproductive to helping preserve the environment. </w:t>
      </w:r>
      <w:r w:rsidR="001A0998">
        <w:t xml:space="preserve"> </w:t>
      </w:r>
      <w:r>
        <w:t xml:space="preserve"> </w:t>
      </w:r>
    </w:p>
    <w:p w14:paraId="03D7C226" w14:textId="25513700" w:rsidR="003F0FE1" w:rsidRDefault="003F0FE1" w:rsidP="003F0FE1">
      <w:pPr>
        <w:pStyle w:val="Heading2"/>
        <w:rPr>
          <w:rFonts w:asciiTheme="minorHAnsi" w:hAnsiTheme="minorHAnsi" w:cstheme="minorHAnsi"/>
          <w:color w:val="auto"/>
          <w:sz w:val="36"/>
          <w:szCs w:val="36"/>
        </w:rPr>
      </w:pPr>
      <w:bookmarkStart w:id="3" w:name="_Toc88492374"/>
      <w:r w:rsidRPr="003F0FE1">
        <w:rPr>
          <w:rFonts w:asciiTheme="minorHAnsi" w:hAnsiTheme="minorHAnsi" w:cstheme="minorHAnsi"/>
          <w:color w:val="auto"/>
          <w:sz w:val="36"/>
          <w:szCs w:val="36"/>
        </w:rPr>
        <w:t xml:space="preserve">3.1 </w:t>
      </w:r>
      <w:r w:rsidR="00C50BCF">
        <w:rPr>
          <w:rFonts w:asciiTheme="minorHAnsi" w:hAnsiTheme="minorHAnsi" w:cstheme="minorHAnsi"/>
          <w:color w:val="auto"/>
          <w:sz w:val="36"/>
          <w:szCs w:val="36"/>
        </w:rPr>
        <w:t>Sourcing lithium</w:t>
      </w:r>
      <w:bookmarkEnd w:id="3"/>
      <w:r w:rsidR="00C50BCF">
        <w:rPr>
          <w:rFonts w:asciiTheme="minorHAnsi" w:hAnsiTheme="minorHAnsi" w:cstheme="minorHAnsi"/>
          <w:color w:val="auto"/>
          <w:sz w:val="36"/>
          <w:szCs w:val="36"/>
        </w:rPr>
        <w:t xml:space="preserve"> </w:t>
      </w:r>
    </w:p>
    <w:p w14:paraId="67530BF4" w14:textId="46093A52" w:rsidR="003F0FE1" w:rsidRPr="001A0998" w:rsidRDefault="00D17ABE" w:rsidP="003F0FE1">
      <w:pPr>
        <w:rPr>
          <w:rFonts w:cstheme="minorHAnsi"/>
        </w:rPr>
      </w:pPr>
      <w:r w:rsidRPr="001A0998">
        <w:rPr>
          <w:rFonts w:cstheme="minorHAnsi"/>
        </w:rPr>
        <w:t>The most common type of battery used in electric vehicles is the lithium-ion battery. As of 2017 most products that contain lithium are batteries (</w:t>
      </w:r>
      <w:proofErr w:type="spellStart"/>
      <w:r w:rsidR="00E63A7D" w:rsidRPr="00E63A7D">
        <w:rPr>
          <w:rFonts w:cstheme="minorHAnsi"/>
        </w:rPr>
        <w:t>Jaskula</w:t>
      </w:r>
      <w:proofErr w:type="spellEnd"/>
      <w:r w:rsidR="00E63A7D" w:rsidRPr="00E63A7D">
        <w:rPr>
          <w:rFonts w:cstheme="minorHAnsi"/>
        </w:rPr>
        <w:t>,</w:t>
      </w:r>
      <w:r w:rsidR="00E63A7D">
        <w:rPr>
          <w:rFonts w:cstheme="minorHAnsi"/>
        </w:rPr>
        <w:t xml:space="preserve"> 2017</w:t>
      </w:r>
      <w:r w:rsidR="00C631F0" w:rsidRPr="001A0998">
        <w:rPr>
          <w:rFonts w:cstheme="minorHAnsi"/>
        </w:rPr>
        <w:t>)</w:t>
      </w:r>
      <w:r w:rsidR="00B77640">
        <w:rPr>
          <w:rFonts w:cstheme="minorHAnsi"/>
        </w:rPr>
        <w:t xml:space="preserve">, </w:t>
      </w:r>
      <w:r w:rsidR="00C631F0" w:rsidRPr="001A0998">
        <w:rPr>
          <w:rFonts w:cstheme="minorHAnsi"/>
        </w:rPr>
        <w:t xml:space="preserve">this number is expected to grow with the further push of electric vehicles. </w:t>
      </w:r>
      <w:r w:rsidR="00C50BCF" w:rsidRPr="001A0998">
        <w:rPr>
          <w:rFonts w:cstheme="minorHAnsi"/>
        </w:rPr>
        <w:t xml:space="preserve">Lithium </w:t>
      </w:r>
      <w:r w:rsidR="00B77640">
        <w:rPr>
          <w:rFonts w:cstheme="minorHAnsi"/>
        </w:rPr>
        <w:t>occurs as a mineral compound in subsurface lithium brines, clays, igneous rock and saltwater (</w:t>
      </w:r>
      <w:proofErr w:type="spellStart"/>
      <w:r w:rsidR="007E0214">
        <w:rPr>
          <w:rFonts w:cstheme="minorHAnsi"/>
        </w:rPr>
        <w:t>Sterba</w:t>
      </w:r>
      <w:proofErr w:type="spellEnd"/>
      <w:r w:rsidR="007E0214">
        <w:rPr>
          <w:rFonts w:cstheme="minorHAnsi"/>
        </w:rPr>
        <w:t>, et al, 2019)</w:t>
      </w:r>
      <w:r w:rsidR="00B77640">
        <w:rPr>
          <w:rFonts w:cstheme="minorHAnsi"/>
        </w:rPr>
        <w:t xml:space="preserve"> Out of the sources mentioned, most of the lithium</w:t>
      </w:r>
      <w:r w:rsidR="0040230E">
        <w:rPr>
          <w:rFonts w:cstheme="minorHAnsi"/>
        </w:rPr>
        <w:t xml:space="preserve"> used in the world</w:t>
      </w:r>
      <w:r w:rsidR="00B77640">
        <w:rPr>
          <w:rFonts w:cstheme="minorHAnsi"/>
        </w:rPr>
        <w:t xml:space="preserve"> is sourced via brines or rock.   </w:t>
      </w:r>
    </w:p>
    <w:p w14:paraId="7DF2E880" w14:textId="5B9616AD" w:rsidR="00AE3388" w:rsidRDefault="001A0998" w:rsidP="003F0FE1">
      <w:pPr>
        <w:rPr>
          <w:rFonts w:cstheme="minorHAnsi"/>
        </w:rPr>
      </w:pPr>
      <w:r>
        <w:rPr>
          <w:rFonts w:cstheme="minorHAnsi"/>
        </w:rPr>
        <w:t xml:space="preserve">Lithium extraction </w:t>
      </w:r>
      <w:r w:rsidR="00AC2A9E">
        <w:rPr>
          <w:rFonts w:cstheme="minorHAnsi"/>
        </w:rPr>
        <w:t xml:space="preserve">from </w:t>
      </w:r>
      <w:r>
        <w:rPr>
          <w:rFonts w:cstheme="minorHAnsi"/>
        </w:rPr>
        <w:t xml:space="preserve">brines </w:t>
      </w:r>
      <w:r w:rsidR="00F442BA">
        <w:rPr>
          <w:rFonts w:cstheme="minorHAnsi"/>
        </w:rPr>
        <w:t>largely occurs within the “lithium triangle”</w:t>
      </w:r>
      <w:r w:rsidR="005964FA">
        <w:rPr>
          <w:rFonts w:cstheme="minorHAnsi"/>
        </w:rPr>
        <w:t>, a region that lies between Chile, Argentina and Bolivia (</w:t>
      </w:r>
      <w:r w:rsidR="007E0214" w:rsidRPr="007E0214">
        <w:rPr>
          <w:rFonts w:cstheme="minorHAnsi"/>
        </w:rPr>
        <w:t>Ahmad</w:t>
      </w:r>
      <w:r w:rsidR="007E0214">
        <w:rPr>
          <w:rFonts w:cstheme="minorHAnsi"/>
        </w:rPr>
        <w:t>, 2020</w:t>
      </w:r>
      <w:r w:rsidR="005964FA">
        <w:rPr>
          <w:rFonts w:cstheme="minorHAnsi"/>
        </w:rPr>
        <w:t xml:space="preserve">). Lithium extraction in within the lithium triangle involves pumping out </w:t>
      </w:r>
      <w:r w:rsidR="00573FF3">
        <w:rPr>
          <w:rFonts w:cstheme="minorHAnsi"/>
        </w:rPr>
        <w:t xml:space="preserve">brine from a </w:t>
      </w:r>
      <w:proofErr w:type="gramStart"/>
      <w:r w:rsidR="007E0214">
        <w:rPr>
          <w:rFonts w:cstheme="minorHAnsi"/>
        </w:rPr>
        <w:t>salt lake</w:t>
      </w:r>
      <w:proofErr w:type="gramEnd"/>
      <w:r w:rsidR="00573FF3">
        <w:rPr>
          <w:rFonts w:cstheme="minorHAnsi"/>
        </w:rPr>
        <w:t xml:space="preserve"> and placing said brine into an evaporation pool to evaporate. Thanks to the conditions of the regions within the lithium triangle of low rainfall, high humidity, good sun exposure and high winds, the evaporation process functions at the best it can in a realistic setting (</w:t>
      </w:r>
      <w:r w:rsidR="007E0214" w:rsidRPr="007E0214">
        <w:rPr>
          <w:rFonts w:cstheme="minorHAnsi"/>
        </w:rPr>
        <w:t>Meng</w:t>
      </w:r>
      <w:r w:rsidR="007E0214">
        <w:rPr>
          <w:rFonts w:cstheme="minorHAnsi"/>
        </w:rPr>
        <w:t>, et al, 2019</w:t>
      </w:r>
      <w:r w:rsidR="00573FF3">
        <w:rPr>
          <w:rFonts w:cstheme="minorHAnsi"/>
        </w:rPr>
        <w:t xml:space="preserve">). From here the impurities of the brine </w:t>
      </w:r>
      <w:r w:rsidR="00B77640">
        <w:rPr>
          <w:rFonts w:cstheme="minorHAnsi"/>
        </w:rPr>
        <w:t>such as magnesium</w:t>
      </w:r>
      <w:r w:rsidR="00AE3388">
        <w:rPr>
          <w:rFonts w:cstheme="minorHAnsi"/>
        </w:rPr>
        <w:t>,</w:t>
      </w:r>
      <w:r w:rsidR="00B77640">
        <w:rPr>
          <w:rFonts w:cstheme="minorHAnsi"/>
        </w:rPr>
        <w:t xml:space="preserve"> boron</w:t>
      </w:r>
      <w:r w:rsidR="00AE3388">
        <w:rPr>
          <w:rFonts w:cstheme="minorHAnsi"/>
        </w:rPr>
        <w:t xml:space="preserve"> and calcium</w:t>
      </w:r>
      <w:r w:rsidR="00B77640">
        <w:rPr>
          <w:rFonts w:cstheme="minorHAnsi"/>
        </w:rPr>
        <w:t xml:space="preserve"> are extracted </w:t>
      </w:r>
      <w:r w:rsidR="00AE3388">
        <w:rPr>
          <w:rFonts w:cstheme="minorHAnsi"/>
        </w:rPr>
        <w:t>leaving the compound Li</w:t>
      </w:r>
      <w:r w:rsidR="00AE3388">
        <w:rPr>
          <w:rFonts w:cstheme="minorHAnsi"/>
          <w:vertAlign w:val="subscript"/>
        </w:rPr>
        <w:t>2</w:t>
      </w:r>
      <w:r w:rsidR="00AE3388">
        <w:rPr>
          <w:rFonts w:cstheme="minorHAnsi"/>
        </w:rPr>
        <w:t>CO</w:t>
      </w:r>
      <w:r w:rsidR="00AE3388">
        <w:rPr>
          <w:rFonts w:cstheme="minorHAnsi"/>
          <w:vertAlign w:val="subscript"/>
        </w:rPr>
        <w:t>3</w:t>
      </w:r>
      <w:r w:rsidR="00AE3388">
        <w:rPr>
          <w:rFonts w:cstheme="minorHAnsi"/>
        </w:rPr>
        <w:t xml:space="preserve">. </w:t>
      </w:r>
    </w:p>
    <w:p w14:paraId="3DA220F9" w14:textId="657B39E9" w:rsidR="00AE3388" w:rsidRDefault="00AE3388" w:rsidP="003F0FE1">
      <w:pPr>
        <w:rPr>
          <w:rFonts w:cstheme="minorHAnsi"/>
        </w:rPr>
      </w:pPr>
      <w:r>
        <w:rPr>
          <w:rFonts w:cstheme="minorHAnsi"/>
        </w:rPr>
        <w:t xml:space="preserve">There are problems with this method has </w:t>
      </w:r>
      <w:r w:rsidR="00613D6D">
        <w:rPr>
          <w:rFonts w:cstheme="minorHAnsi"/>
        </w:rPr>
        <w:t>been</w:t>
      </w:r>
      <w:r>
        <w:rPr>
          <w:rFonts w:cstheme="minorHAnsi"/>
        </w:rPr>
        <w:t xml:space="preserve"> with </w:t>
      </w:r>
      <w:r w:rsidR="00613D6D">
        <w:rPr>
          <w:rFonts w:cstheme="minorHAnsi"/>
        </w:rPr>
        <w:t>waste management. This is because the evaporation process produces a large amount of waste product</w:t>
      </w:r>
      <w:r w:rsidR="00711A37">
        <w:rPr>
          <w:rFonts w:cstheme="minorHAnsi"/>
        </w:rPr>
        <w:t xml:space="preserve"> which consists of </w:t>
      </w:r>
      <w:r w:rsidR="009741BA">
        <w:rPr>
          <w:rFonts w:cstheme="minorHAnsi"/>
        </w:rPr>
        <w:t xml:space="preserve">the </w:t>
      </w:r>
      <w:r w:rsidR="008438E0">
        <w:rPr>
          <w:rFonts w:cstheme="minorHAnsi"/>
        </w:rPr>
        <w:t>all the salts inside the brine</w:t>
      </w:r>
      <w:r w:rsidR="00407849">
        <w:rPr>
          <w:rFonts w:cstheme="minorHAnsi"/>
        </w:rPr>
        <w:t xml:space="preserve"> that </w:t>
      </w:r>
      <w:r w:rsidR="00710198">
        <w:rPr>
          <w:rFonts w:cstheme="minorHAnsi"/>
        </w:rPr>
        <w:t>are not lithium carbonate</w:t>
      </w:r>
      <w:r w:rsidR="00D26565">
        <w:rPr>
          <w:rFonts w:cstheme="minorHAnsi"/>
        </w:rPr>
        <w:t>. Although this waste product is not toxic, the amount of waste product is substantial and storage methods for this waste product must be arranged (</w:t>
      </w:r>
      <w:proofErr w:type="spellStart"/>
      <w:r w:rsidR="007E0214">
        <w:t>Flexer</w:t>
      </w:r>
      <w:proofErr w:type="spellEnd"/>
      <w:r w:rsidR="007E0214">
        <w:t xml:space="preserve">, </w:t>
      </w:r>
      <w:proofErr w:type="spellStart"/>
      <w:r w:rsidR="007E0214">
        <w:t>Bas</w:t>
      </w:r>
      <w:r w:rsidR="00C05264">
        <w:t>pineiro</w:t>
      </w:r>
      <w:proofErr w:type="spellEnd"/>
      <w:r w:rsidR="00C05264">
        <w:t xml:space="preserve"> and Galli, 2018</w:t>
      </w:r>
      <w:r w:rsidR="00D26565">
        <w:t>).</w:t>
      </w:r>
      <w:r w:rsidR="00BF1CC1">
        <w:t xml:space="preserve"> This same report also covers the amount of water used in the process and that the local population and environmental groups are monitoring the amount of fresh water used in the process</w:t>
      </w:r>
      <w:r w:rsidR="00835634">
        <w:t xml:space="preserve"> as fresh water is used to sustain the local environment. </w:t>
      </w:r>
    </w:p>
    <w:p w14:paraId="25CFD22D" w14:textId="4191D2C6" w:rsidR="001A0998" w:rsidRPr="001A0998" w:rsidRDefault="00BF1CC1" w:rsidP="003F0FE1">
      <w:pPr>
        <w:rPr>
          <w:rFonts w:cstheme="minorHAnsi"/>
        </w:rPr>
      </w:pPr>
      <w:r>
        <w:rPr>
          <w:rFonts w:cstheme="minorHAnsi"/>
        </w:rPr>
        <w:t>Hard rock mining is</w:t>
      </w:r>
      <w:r w:rsidR="005A0A0A">
        <w:rPr>
          <w:rFonts w:cstheme="minorHAnsi"/>
        </w:rPr>
        <w:t xml:space="preserve"> similar to traditional mining where an ore is mined from the ground. Multiple different ores contain lithium </w:t>
      </w:r>
      <w:r w:rsidR="00F10131">
        <w:rPr>
          <w:rFonts w:cstheme="minorHAnsi"/>
        </w:rPr>
        <w:t xml:space="preserve">including but not limited to spodumene, </w:t>
      </w:r>
      <w:proofErr w:type="spellStart"/>
      <w:r w:rsidR="00F10131">
        <w:rPr>
          <w:rFonts w:cstheme="minorHAnsi"/>
        </w:rPr>
        <w:t>jadarite</w:t>
      </w:r>
      <w:proofErr w:type="spellEnd"/>
      <w:r w:rsidR="00F10131">
        <w:rPr>
          <w:rFonts w:cstheme="minorHAnsi"/>
        </w:rPr>
        <w:t xml:space="preserve">, petalite, amblygonite and </w:t>
      </w:r>
      <w:proofErr w:type="spellStart"/>
      <w:r w:rsidR="00F10131">
        <w:rPr>
          <w:rFonts w:cstheme="minorHAnsi"/>
        </w:rPr>
        <w:t>zabuyelite</w:t>
      </w:r>
      <w:proofErr w:type="spellEnd"/>
      <w:r w:rsidR="00F10131">
        <w:rPr>
          <w:rFonts w:cstheme="minorHAnsi"/>
        </w:rPr>
        <w:t xml:space="preserve"> (</w:t>
      </w:r>
      <w:proofErr w:type="spellStart"/>
      <w:r w:rsidR="00C05264" w:rsidRPr="00C05264">
        <w:rPr>
          <w:rFonts w:cstheme="minorHAnsi"/>
        </w:rPr>
        <w:t>Karrech</w:t>
      </w:r>
      <w:proofErr w:type="spellEnd"/>
      <w:r w:rsidR="00C05264">
        <w:rPr>
          <w:rFonts w:cstheme="minorHAnsi"/>
        </w:rPr>
        <w:t>, et al, 2020</w:t>
      </w:r>
      <w:r w:rsidR="00F10131">
        <w:rPr>
          <w:rFonts w:cstheme="minorHAnsi"/>
        </w:rPr>
        <w:t xml:space="preserve">). </w:t>
      </w:r>
      <w:r w:rsidR="00794B36">
        <w:rPr>
          <w:rFonts w:cstheme="minorHAnsi"/>
        </w:rPr>
        <w:t>However,</w:t>
      </w:r>
      <w:r w:rsidR="00F10131">
        <w:rPr>
          <w:rFonts w:cstheme="minorHAnsi"/>
        </w:rPr>
        <w:t xml:space="preserve"> it is noted that most of these ores apart from </w:t>
      </w:r>
      <w:proofErr w:type="spellStart"/>
      <w:r w:rsidR="00F10131">
        <w:rPr>
          <w:rFonts w:cstheme="minorHAnsi"/>
        </w:rPr>
        <w:t>zabuyelite</w:t>
      </w:r>
      <w:proofErr w:type="spellEnd"/>
      <w:r w:rsidR="00F10131">
        <w:rPr>
          <w:rFonts w:cstheme="minorHAnsi"/>
        </w:rPr>
        <w:t xml:space="preserve"> contain less than 6% lithium. </w:t>
      </w:r>
      <w:r w:rsidR="00552AA2">
        <w:rPr>
          <w:rFonts w:cstheme="minorHAnsi"/>
        </w:rPr>
        <w:t xml:space="preserve">Because of this most ores are refined to make a concentrate by removing impurities. </w:t>
      </w:r>
      <w:r w:rsidR="00AC77B0">
        <w:rPr>
          <w:rFonts w:cstheme="minorHAnsi"/>
        </w:rPr>
        <w:t>Different</w:t>
      </w:r>
      <w:r w:rsidR="00552AA2">
        <w:rPr>
          <w:rFonts w:cstheme="minorHAnsi"/>
        </w:rPr>
        <w:t xml:space="preserve"> methods</w:t>
      </w:r>
      <w:r w:rsidR="00AC77B0">
        <w:rPr>
          <w:rFonts w:cstheme="minorHAnsi"/>
        </w:rPr>
        <w:t xml:space="preserve"> are used on all the ores with some processes performing better with different ores. These methods</w:t>
      </w:r>
      <w:r w:rsidR="00552AA2">
        <w:rPr>
          <w:rFonts w:cstheme="minorHAnsi"/>
        </w:rPr>
        <w:t xml:space="preserve"> include </w:t>
      </w:r>
      <w:r w:rsidR="0040230E">
        <w:rPr>
          <w:rFonts w:cstheme="minorHAnsi"/>
        </w:rPr>
        <w:t>d</w:t>
      </w:r>
      <w:r w:rsidR="00552AA2">
        <w:rPr>
          <w:rFonts w:cstheme="minorHAnsi"/>
        </w:rPr>
        <w:t>ense media separation which separates the ore from impurities by using the specific gravities of the materials to reject the impurities</w:t>
      </w:r>
      <w:r w:rsidR="00AC77B0">
        <w:rPr>
          <w:rFonts w:cstheme="minorHAnsi"/>
        </w:rPr>
        <w:t xml:space="preserve"> as the ores have a higher specific gravity and therefore sinks away from the impurities</w:t>
      </w:r>
      <w:r w:rsidR="00552AA2">
        <w:rPr>
          <w:rFonts w:cstheme="minorHAnsi"/>
        </w:rPr>
        <w:t xml:space="preserve">. This is typically done </w:t>
      </w:r>
      <w:r w:rsidR="00AC77B0">
        <w:rPr>
          <w:rFonts w:cstheme="minorHAnsi"/>
        </w:rPr>
        <w:t>with large particles. M</w:t>
      </w:r>
      <w:r w:rsidR="00552AA2">
        <w:rPr>
          <w:rFonts w:cstheme="minorHAnsi"/>
        </w:rPr>
        <w:t xml:space="preserve">agnetic separation, which separates the iron bearing material from the ore. </w:t>
      </w:r>
      <w:r w:rsidR="00AC77B0">
        <w:rPr>
          <w:rFonts w:cstheme="minorHAnsi"/>
        </w:rPr>
        <w:t>This process is partially effective with ores that contain high levels of iron (</w:t>
      </w:r>
      <w:r w:rsidR="00C05264" w:rsidRPr="00C05264">
        <w:rPr>
          <w:rFonts w:cstheme="minorHAnsi"/>
        </w:rPr>
        <w:t>Tadesse</w:t>
      </w:r>
      <w:r w:rsidR="00C05264">
        <w:rPr>
          <w:rFonts w:cstheme="minorHAnsi"/>
        </w:rPr>
        <w:t>, et al, 2019</w:t>
      </w:r>
      <w:r w:rsidR="00AC77B0">
        <w:rPr>
          <w:rFonts w:cstheme="minorHAnsi"/>
        </w:rPr>
        <w:t xml:space="preserve">) </w:t>
      </w:r>
    </w:p>
    <w:p w14:paraId="5C4D0671" w14:textId="66A703BD" w:rsidR="001A0998" w:rsidRPr="003F0FE1" w:rsidRDefault="00774EFE" w:rsidP="003F0FE1">
      <w:r>
        <w:t>Hard rock mining also has some environmental problems, one being that to access the rock, the ground has to be dug up which leads to the destruction of the landscape and the local environment. Another problem with hard rock mining is water pollution with the presence of heavy metals in above the global average in water surrounding a lithium mine in China (</w:t>
      </w:r>
      <w:r w:rsidR="00C05264" w:rsidRPr="00C05264">
        <w:t>Gao</w:t>
      </w:r>
      <w:r w:rsidR="00C05264">
        <w:t>, et al, 2021</w:t>
      </w:r>
      <w:r>
        <w:t>)</w:t>
      </w:r>
      <w:r w:rsidR="00C05264">
        <w:t>.</w:t>
      </w:r>
      <w:r>
        <w:t xml:space="preserve"> Although this study centres around one specific mine, water contamination is </w:t>
      </w:r>
      <w:r w:rsidR="008F719C">
        <w:t xml:space="preserve">a problem that does need addressing to sustainably </w:t>
      </w:r>
      <w:proofErr w:type="gramStart"/>
      <w:r w:rsidR="008F719C">
        <w:t>mine</w:t>
      </w:r>
      <w:proofErr w:type="gramEnd"/>
      <w:r w:rsidR="008F719C">
        <w:t xml:space="preserve"> lithium. </w:t>
      </w:r>
    </w:p>
    <w:p w14:paraId="45A5CD92" w14:textId="69A867C1" w:rsidR="00A91893" w:rsidRDefault="00A91893" w:rsidP="00B96C0C">
      <w:pPr>
        <w:pStyle w:val="Heading2"/>
        <w:rPr>
          <w:rFonts w:asciiTheme="minorHAnsi" w:hAnsiTheme="minorHAnsi" w:cstheme="minorHAnsi"/>
          <w:color w:val="auto"/>
          <w:sz w:val="36"/>
          <w:szCs w:val="36"/>
        </w:rPr>
      </w:pPr>
      <w:bookmarkStart w:id="4" w:name="_Toc88492375"/>
      <w:r>
        <w:rPr>
          <w:rFonts w:asciiTheme="minorHAnsi" w:hAnsiTheme="minorHAnsi" w:cstheme="minorHAnsi"/>
          <w:color w:val="auto"/>
          <w:sz w:val="36"/>
          <w:szCs w:val="36"/>
        </w:rPr>
        <w:lastRenderedPageBreak/>
        <w:t xml:space="preserve">3.2 </w:t>
      </w:r>
      <w:r w:rsidR="003E5FC7" w:rsidRPr="00A91893">
        <w:rPr>
          <w:rFonts w:asciiTheme="minorHAnsi" w:hAnsiTheme="minorHAnsi" w:cstheme="minorHAnsi"/>
          <w:color w:val="auto"/>
          <w:sz w:val="36"/>
          <w:szCs w:val="36"/>
        </w:rPr>
        <w:t xml:space="preserve">Sourcing other </w:t>
      </w:r>
      <w:r w:rsidRPr="00A91893">
        <w:rPr>
          <w:rFonts w:asciiTheme="minorHAnsi" w:hAnsiTheme="minorHAnsi" w:cstheme="minorHAnsi"/>
          <w:color w:val="auto"/>
          <w:sz w:val="36"/>
          <w:szCs w:val="36"/>
        </w:rPr>
        <w:t>materials</w:t>
      </w:r>
      <w:bookmarkEnd w:id="4"/>
      <w:r w:rsidRPr="00A91893">
        <w:rPr>
          <w:rFonts w:asciiTheme="minorHAnsi" w:hAnsiTheme="minorHAnsi" w:cstheme="minorHAnsi"/>
          <w:color w:val="auto"/>
          <w:sz w:val="36"/>
          <w:szCs w:val="36"/>
        </w:rPr>
        <w:t xml:space="preserve"> </w:t>
      </w:r>
    </w:p>
    <w:p w14:paraId="7FAFFA81" w14:textId="17B14014" w:rsidR="00DF73C3" w:rsidRDefault="00DA4067" w:rsidP="009E7473">
      <w:r>
        <w:t xml:space="preserve">Other materials go into the construction of </w:t>
      </w:r>
      <w:r w:rsidR="009328F4">
        <w:t xml:space="preserve">lithium batteries including </w:t>
      </w:r>
      <w:r w:rsidR="009E7473">
        <w:t xml:space="preserve">cobalt </w:t>
      </w:r>
      <w:r w:rsidR="0071135A">
        <w:t xml:space="preserve">and copper. </w:t>
      </w:r>
      <w:r w:rsidR="007B2C1D">
        <w:t>Cobalt</w:t>
      </w:r>
      <w:r w:rsidR="0071135A">
        <w:t xml:space="preserve"> </w:t>
      </w:r>
      <w:r w:rsidR="007B2C1D">
        <w:t xml:space="preserve">much like other minerals is mined </w:t>
      </w:r>
      <w:r w:rsidR="005C44DE">
        <w:t>underground</w:t>
      </w:r>
      <w:r w:rsidR="00A577D6">
        <w:t xml:space="preserve"> and around 50% of cobalt</w:t>
      </w:r>
      <w:r w:rsidR="00004F69">
        <w:t xml:space="preserve"> originates from the Democratic Republic of Congo</w:t>
      </w:r>
      <w:r w:rsidR="00A501A7">
        <w:t>, according to Amnesty International (</w:t>
      </w:r>
      <w:r w:rsidR="00C05264" w:rsidRPr="00C05264">
        <w:t>A</w:t>
      </w:r>
      <w:r w:rsidR="00C05264">
        <w:t>mnesty international, 2019</w:t>
      </w:r>
      <w:r w:rsidR="00721724">
        <w:t>).</w:t>
      </w:r>
      <w:r w:rsidR="0040230E">
        <w:t xml:space="preserve"> T</w:t>
      </w:r>
      <w:r w:rsidR="00721724">
        <w:t xml:space="preserve">he same source, </w:t>
      </w:r>
      <w:r w:rsidR="00872D28">
        <w:t>covers the</w:t>
      </w:r>
      <w:r w:rsidR="00721724">
        <w:t xml:space="preserve"> </w:t>
      </w:r>
      <w:r w:rsidR="00E422AA">
        <w:t xml:space="preserve">dangerous work conditions </w:t>
      </w:r>
      <w:r w:rsidR="00A0296C">
        <w:t xml:space="preserve">inside the cobalt mines where the </w:t>
      </w:r>
      <w:r w:rsidR="00967014">
        <w:t xml:space="preserve">workers are not </w:t>
      </w:r>
      <w:r w:rsidR="0067568E">
        <w:t xml:space="preserve">protected against </w:t>
      </w:r>
      <w:r w:rsidR="00C4567B">
        <w:t>the apparent dangers of underground mining</w:t>
      </w:r>
      <w:r w:rsidR="00412DE6">
        <w:t>.</w:t>
      </w:r>
      <w:r w:rsidR="00D53150">
        <w:t xml:space="preserve"> In addition to this</w:t>
      </w:r>
      <w:r w:rsidR="00B94470">
        <w:t>, child labour is often common in cobalt mines</w:t>
      </w:r>
      <w:r w:rsidR="006D2B1C">
        <w:t>.</w:t>
      </w:r>
      <w:r w:rsidR="00412DE6">
        <w:t xml:space="preserve"> </w:t>
      </w:r>
      <w:r w:rsidR="00C4567B">
        <w:t xml:space="preserve">This is a major problem ethically as </w:t>
      </w:r>
      <w:r w:rsidR="00D96C7A">
        <w:t>c</w:t>
      </w:r>
      <w:r w:rsidR="008414AE">
        <w:t>obalt</w:t>
      </w:r>
      <w:r w:rsidR="00D96C7A">
        <w:t xml:space="preserve"> </w:t>
      </w:r>
      <w:r w:rsidR="009260CE">
        <w:t xml:space="preserve">is </w:t>
      </w:r>
      <w:r w:rsidR="007F75AA">
        <w:t xml:space="preserve">dangerous when inhaled and can cause </w:t>
      </w:r>
      <w:r w:rsidR="00115478">
        <w:t>hard metal disease</w:t>
      </w:r>
      <w:r w:rsidR="00393465">
        <w:t xml:space="preserve"> which can cause early death in some cases</w:t>
      </w:r>
      <w:r w:rsidR="00683790">
        <w:t xml:space="preserve"> </w:t>
      </w:r>
      <w:r w:rsidR="00E910EF">
        <w:t>(</w:t>
      </w:r>
      <w:r w:rsidR="00683790" w:rsidRPr="00683790">
        <w:t>H</w:t>
      </w:r>
      <w:r w:rsidR="00683790">
        <w:t>ealth and Safety Executive, 2013</w:t>
      </w:r>
      <w:r w:rsidR="00E910EF">
        <w:t xml:space="preserve">). </w:t>
      </w:r>
    </w:p>
    <w:p w14:paraId="73DC4E55" w14:textId="04AF42B0" w:rsidR="00FF3DB5" w:rsidRPr="003F0FE1" w:rsidRDefault="00DF73C3" w:rsidP="009E7473">
      <w:r>
        <w:t xml:space="preserve">Copper has been sourced from many places across the globe </w:t>
      </w:r>
      <w:r w:rsidR="00872D28">
        <w:t>throughout</w:t>
      </w:r>
      <w:r>
        <w:t xml:space="preserve"> human history. </w:t>
      </w:r>
      <w:r w:rsidR="00E0220F">
        <w:t xml:space="preserve">Unlike the other minerals mentioned, copper is mined via open pit mining, which </w:t>
      </w:r>
      <w:r w:rsidR="00872D28">
        <w:t>takes up significant space and can destroy large area of the environment</w:t>
      </w:r>
      <w:r w:rsidR="00E0220F">
        <w:t xml:space="preserve">. </w:t>
      </w:r>
      <w:r w:rsidR="00DD2CC3">
        <w:t>The waste of copper production</w:t>
      </w:r>
      <w:r w:rsidR="0023485E">
        <w:t xml:space="preserve"> </w:t>
      </w:r>
      <w:r w:rsidR="00DD2CC3">
        <w:t>however has been very problematic</w:t>
      </w:r>
      <w:r w:rsidR="008239D4">
        <w:t xml:space="preserve"> due to the presence of </w:t>
      </w:r>
      <w:r w:rsidR="005C44DE">
        <w:t>elements such as arsenic, lead and mercury</w:t>
      </w:r>
      <w:r w:rsidR="0023485E">
        <w:t>. Traces of these metals</w:t>
      </w:r>
      <w:r w:rsidR="00A87CF1">
        <w:t xml:space="preserve"> have been detected in the soil </w:t>
      </w:r>
      <w:r w:rsidR="00C237C6">
        <w:t>that surround the copper in</w:t>
      </w:r>
      <w:r w:rsidR="00A87CF1">
        <w:t xml:space="preserve"> Zambia</w:t>
      </w:r>
      <w:r w:rsidR="00C237C6">
        <w:t xml:space="preserve"> which causes the plants grown in said soil to contain toxic metals </w:t>
      </w:r>
      <w:r w:rsidR="005C44DE">
        <w:t>(</w:t>
      </w:r>
      <w:r w:rsidR="00683790" w:rsidRPr="00683790">
        <w:t>Lindahl</w:t>
      </w:r>
      <w:r w:rsidR="00683790">
        <w:t>, 2014</w:t>
      </w:r>
      <w:r w:rsidR="005C44DE">
        <w:t>)</w:t>
      </w:r>
      <w:r w:rsidR="00E162C3">
        <w:t xml:space="preserve">. This contamination if not monitored properly can cause </w:t>
      </w:r>
      <w:r w:rsidR="00483DBE">
        <w:t xml:space="preserve">severe health problems for the local population that rely on the local water sources and crops. </w:t>
      </w:r>
      <w:r w:rsidR="00FF3DB5" w:rsidRPr="003F0FE1">
        <w:br w:type="page"/>
      </w:r>
    </w:p>
    <w:p w14:paraId="700B3ADA" w14:textId="12284D59" w:rsidR="00C46C62" w:rsidRPr="00FF3DB5" w:rsidRDefault="000C48C5" w:rsidP="00FF3DB5">
      <w:pPr>
        <w:pStyle w:val="Heading1"/>
        <w:rPr>
          <w:rFonts w:asciiTheme="minorHAnsi" w:hAnsiTheme="minorHAnsi" w:cstheme="minorHAnsi"/>
          <w:color w:val="auto"/>
          <w:sz w:val="40"/>
          <w:szCs w:val="40"/>
        </w:rPr>
      </w:pPr>
      <w:bookmarkStart w:id="5" w:name="_Toc88492376"/>
      <w:r>
        <w:rPr>
          <w:rFonts w:asciiTheme="minorHAnsi" w:hAnsiTheme="minorHAnsi" w:cstheme="minorHAnsi"/>
          <w:color w:val="auto"/>
          <w:sz w:val="40"/>
          <w:szCs w:val="40"/>
        </w:rPr>
        <w:lastRenderedPageBreak/>
        <w:t xml:space="preserve">4.0 </w:t>
      </w:r>
      <w:r w:rsidR="00703BA2">
        <w:rPr>
          <w:rFonts w:asciiTheme="minorHAnsi" w:hAnsiTheme="minorHAnsi" w:cstheme="minorHAnsi"/>
          <w:color w:val="auto"/>
          <w:sz w:val="40"/>
          <w:szCs w:val="40"/>
        </w:rPr>
        <w:t>Currently available charging technology</w:t>
      </w:r>
      <w:bookmarkEnd w:id="5"/>
      <w:r w:rsidR="00703BA2">
        <w:rPr>
          <w:rFonts w:asciiTheme="minorHAnsi" w:hAnsiTheme="minorHAnsi" w:cstheme="minorHAnsi"/>
          <w:color w:val="auto"/>
          <w:sz w:val="40"/>
          <w:szCs w:val="40"/>
        </w:rPr>
        <w:t xml:space="preserve"> </w:t>
      </w:r>
    </w:p>
    <w:p w14:paraId="682D9D86" w14:textId="1691D4DF" w:rsidR="00F54691" w:rsidRDefault="00F54691">
      <w:pPr>
        <w:rPr>
          <w:rFonts w:cstheme="minorHAnsi"/>
          <w:szCs w:val="14"/>
        </w:rPr>
      </w:pPr>
      <w:r>
        <w:rPr>
          <w:rFonts w:cstheme="minorHAnsi"/>
          <w:szCs w:val="14"/>
        </w:rPr>
        <w:t>As of the 11</w:t>
      </w:r>
      <w:r w:rsidRPr="00F54691">
        <w:rPr>
          <w:rFonts w:cstheme="minorHAnsi"/>
          <w:szCs w:val="14"/>
          <w:vertAlign w:val="superscript"/>
        </w:rPr>
        <w:t>th</w:t>
      </w:r>
      <w:r>
        <w:rPr>
          <w:rFonts w:cstheme="minorHAnsi"/>
          <w:szCs w:val="14"/>
        </w:rPr>
        <w:t xml:space="preserve"> of November 202</w:t>
      </w:r>
      <w:r w:rsidR="000732F8">
        <w:rPr>
          <w:rFonts w:cstheme="minorHAnsi"/>
          <w:szCs w:val="14"/>
        </w:rPr>
        <w:t>1</w:t>
      </w:r>
      <w:r>
        <w:rPr>
          <w:rFonts w:cstheme="minorHAnsi"/>
          <w:szCs w:val="14"/>
        </w:rPr>
        <w:t xml:space="preserve">, there are 27122 charging points </w:t>
      </w:r>
      <w:r w:rsidR="00553C89">
        <w:rPr>
          <w:rFonts w:cstheme="minorHAnsi"/>
          <w:szCs w:val="14"/>
        </w:rPr>
        <w:t>throughout</w:t>
      </w:r>
      <w:r>
        <w:rPr>
          <w:rFonts w:cstheme="minorHAnsi"/>
          <w:szCs w:val="14"/>
        </w:rPr>
        <w:t xml:space="preserve"> the UK (</w:t>
      </w:r>
      <w:r w:rsidR="00683790">
        <w:rPr>
          <w:rFonts w:cstheme="minorHAnsi"/>
          <w:szCs w:val="14"/>
        </w:rPr>
        <w:t>Zap map, 2021</w:t>
      </w:r>
      <w:r>
        <w:rPr>
          <w:rFonts w:cstheme="minorHAnsi"/>
          <w:szCs w:val="14"/>
        </w:rPr>
        <w:t xml:space="preserve">). However, there is a vast problem with the distribution of these charging points across the country as </w:t>
      </w:r>
      <w:r w:rsidR="00E56515">
        <w:rPr>
          <w:rFonts w:cstheme="minorHAnsi"/>
          <w:szCs w:val="14"/>
        </w:rPr>
        <w:t>the majority of charging points are around major cities and service stations along the motorway system. Figure</w:t>
      </w:r>
      <w:r w:rsidR="00872D28">
        <w:rPr>
          <w:rFonts w:cstheme="minorHAnsi"/>
          <w:szCs w:val="14"/>
        </w:rPr>
        <w:t xml:space="preserve"> 1</w:t>
      </w:r>
      <w:r w:rsidR="00E56515">
        <w:rPr>
          <w:rFonts w:cstheme="minorHAnsi"/>
          <w:szCs w:val="14"/>
        </w:rPr>
        <w:t xml:space="preserve"> shows the distribution of the charging points across the UK at this current moment with the most populated areas of the country having the most charging points.  </w:t>
      </w:r>
      <w:r>
        <w:rPr>
          <w:rFonts w:cstheme="minorHAnsi"/>
          <w:szCs w:val="14"/>
        </w:rPr>
        <w:t xml:space="preserve"> </w:t>
      </w:r>
    </w:p>
    <w:p w14:paraId="0A51F97D" w14:textId="77777777" w:rsidR="000732F8" w:rsidRDefault="00F54691" w:rsidP="000732F8">
      <w:pPr>
        <w:keepNext/>
      </w:pPr>
      <w:r>
        <w:rPr>
          <w:noProof/>
        </w:rPr>
        <w:drawing>
          <wp:inline distT="0" distB="0" distL="0" distR="0" wp14:anchorId="7AFA43CE" wp14:editId="6E0824CD">
            <wp:extent cx="3990975" cy="3076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90975" cy="3076575"/>
                    </a:xfrm>
                    <a:prstGeom prst="rect">
                      <a:avLst/>
                    </a:prstGeom>
                  </pic:spPr>
                </pic:pic>
              </a:graphicData>
            </a:graphic>
          </wp:inline>
        </w:drawing>
      </w:r>
    </w:p>
    <w:p w14:paraId="5C1CE61F" w14:textId="30B18B21" w:rsidR="00F54691" w:rsidRPr="000732F8" w:rsidRDefault="000732F8" w:rsidP="000732F8">
      <w:pPr>
        <w:pStyle w:val="Caption"/>
        <w:rPr>
          <w:rFonts w:cstheme="minorHAnsi"/>
          <w:sz w:val="36"/>
        </w:rPr>
      </w:pPr>
      <w:bookmarkStart w:id="6" w:name="_Toc88477157"/>
      <w:r>
        <w:t xml:space="preserve">Figure </w:t>
      </w:r>
      <w:r w:rsidR="00822CDB">
        <w:fldChar w:fldCharType="begin"/>
      </w:r>
      <w:r w:rsidR="00822CDB">
        <w:instrText xml:space="preserve"> SEQ Figure \* ARABIC </w:instrText>
      </w:r>
      <w:r w:rsidR="00822CDB">
        <w:fldChar w:fldCharType="separate"/>
      </w:r>
      <w:r>
        <w:rPr>
          <w:noProof/>
        </w:rPr>
        <w:t>1</w:t>
      </w:r>
      <w:r w:rsidR="00822CDB">
        <w:rPr>
          <w:noProof/>
        </w:rPr>
        <w:fldChar w:fldCharType="end"/>
      </w:r>
      <w:r>
        <w:t>- Distribution of charging points in the UK (Zap</w:t>
      </w:r>
      <w:r w:rsidR="00683790">
        <w:t xml:space="preserve"> </w:t>
      </w:r>
      <w:r>
        <w:t>map, 2021)</w:t>
      </w:r>
      <w:bookmarkEnd w:id="6"/>
    </w:p>
    <w:p w14:paraId="7F85DC0C" w14:textId="4A050676" w:rsidR="00FA14DA" w:rsidRDefault="00F54691">
      <w:pPr>
        <w:rPr>
          <w:rFonts w:cstheme="minorHAnsi"/>
          <w:szCs w:val="14"/>
        </w:rPr>
      </w:pPr>
      <w:r>
        <w:rPr>
          <w:rFonts w:cstheme="minorHAnsi"/>
          <w:szCs w:val="14"/>
        </w:rPr>
        <w:t>Along with this</w:t>
      </w:r>
      <w:r w:rsidR="00E56515">
        <w:rPr>
          <w:rFonts w:cstheme="minorHAnsi"/>
          <w:szCs w:val="14"/>
        </w:rPr>
        <w:t xml:space="preserve"> uneven</w:t>
      </w:r>
      <w:r>
        <w:rPr>
          <w:rFonts w:cstheme="minorHAnsi"/>
          <w:szCs w:val="14"/>
        </w:rPr>
        <w:t xml:space="preserve"> distribution</w:t>
      </w:r>
      <w:r w:rsidR="00E56515">
        <w:rPr>
          <w:rFonts w:cstheme="minorHAnsi"/>
          <w:szCs w:val="14"/>
        </w:rPr>
        <w:t xml:space="preserve"> of charging points,</w:t>
      </w:r>
      <w:r>
        <w:rPr>
          <w:rFonts w:cstheme="minorHAnsi"/>
          <w:szCs w:val="14"/>
        </w:rPr>
        <w:t xml:space="preserve"> </w:t>
      </w:r>
      <w:r w:rsidR="00816105">
        <w:rPr>
          <w:rFonts w:cstheme="minorHAnsi"/>
          <w:szCs w:val="14"/>
        </w:rPr>
        <w:t>there are different types of chargers that charge at different rates. The range of these is quite dramatic with the least powerful being rated at 3kW</w:t>
      </w:r>
      <w:r w:rsidR="00823BC6">
        <w:rPr>
          <w:rFonts w:cstheme="minorHAnsi"/>
          <w:szCs w:val="14"/>
        </w:rPr>
        <w:t xml:space="preserve"> AC</w:t>
      </w:r>
      <w:r w:rsidR="00816105">
        <w:rPr>
          <w:rFonts w:cstheme="minorHAnsi"/>
          <w:szCs w:val="14"/>
        </w:rPr>
        <w:t xml:space="preserve"> and the most powerful</w:t>
      </w:r>
      <w:r w:rsidR="00E56515">
        <w:rPr>
          <w:rFonts w:cstheme="minorHAnsi"/>
          <w:szCs w:val="14"/>
        </w:rPr>
        <w:t xml:space="preserve"> rated at and in excess of 90kW </w:t>
      </w:r>
      <w:r w:rsidR="00823BC6">
        <w:rPr>
          <w:rFonts w:cstheme="minorHAnsi"/>
          <w:szCs w:val="14"/>
        </w:rPr>
        <w:t xml:space="preserve">DC </w:t>
      </w:r>
      <w:r w:rsidR="00E56515">
        <w:rPr>
          <w:rFonts w:cstheme="minorHAnsi"/>
          <w:szCs w:val="14"/>
        </w:rPr>
        <w:t>(</w:t>
      </w:r>
      <w:r w:rsidR="00683790" w:rsidRPr="00683790">
        <w:rPr>
          <w:rFonts w:cstheme="minorHAnsi"/>
          <w:szCs w:val="14"/>
        </w:rPr>
        <w:t>S</w:t>
      </w:r>
      <w:r w:rsidR="00683790">
        <w:rPr>
          <w:rFonts w:cstheme="minorHAnsi"/>
          <w:szCs w:val="14"/>
        </w:rPr>
        <w:t>hakeel and Malik, 2019</w:t>
      </w:r>
      <w:r w:rsidR="00E56515">
        <w:rPr>
          <w:rFonts w:cstheme="minorHAnsi"/>
          <w:szCs w:val="14"/>
        </w:rPr>
        <w:t xml:space="preserve">). </w:t>
      </w:r>
      <w:r w:rsidR="00100AE9">
        <w:rPr>
          <w:rFonts w:cstheme="minorHAnsi"/>
          <w:szCs w:val="14"/>
        </w:rPr>
        <w:t xml:space="preserve">In terms of V2G technology, all these charger types can </w:t>
      </w:r>
      <w:r w:rsidR="00A2039C">
        <w:rPr>
          <w:rFonts w:cstheme="minorHAnsi"/>
          <w:szCs w:val="14"/>
        </w:rPr>
        <w:t>be utilised</w:t>
      </w:r>
      <w:r w:rsidR="00100AE9">
        <w:rPr>
          <w:rFonts w:cstheme="minorHAnsi"/>
          <w:szCs w:val="14"/>
        </w:rPr>
        <w:t xml:space="preserve"> in transferring charge from vehicles to the grid however, AC chargers are less preferable due to the grid in the UK using a DC voltage for high voltage transportation.  </w:t>
      </w:r>
    </w:p>
    <w:p w14:paraId="33AD1DE2" w14:textId="1E2FF5D5" w:rsidR="00666F68" w:rsidRDefault="00666F68">
      <w:pPr>
        <w:rPr>
          <w:rFonts w:cstheme="minorHAnsi"/>
          <w:szCs w:val="14"/>
        </w:rPr>
      </w:pPr>
      <w:r>
        <w:rPr>
          <w:rFonts w:cstheme="minorHAnsi"/>
          <w:szCs w:val="14"/>
        </w:rPr>
        <w:t xml:space="preserve">Different connecter types are also a point to consider with charging technology, in the UK </w:t>
      </w:r>
      <w:r w:rsidR="00F11F09">
        <w:rPr>
          <w:rFonts w:cstheme="minorHAnsi"/>
          <w:szCs w:val="14"/>
        </w:rPr>
        <w:t>most fast chargers use either the CCS (Combined charging system) or the CHAdeMO connecter types</w:t>
      </w:r>
      <w:r w:rsidR="00FF796D">
        <w:rPr>
          <w:rFonts w:cstheme="minorHAnsi"/>
          <w:szCs w:val="14"/>
        </w:rPr>
        <w:t>.</w:t>
      </w:r>
      <w:r w:rsidR="00553C89">
        <w:rPr>
          <w:rFonts w:cstheme="minorHAnsi"/>
          <w:szCs w:val="14"/>
        </w:rPr>
        <w:t xml:space="preserve"> Tesla supercharger points are available in the UK as well but uses its own connecter type.</w:t>
      </w:r>
      <w:r w:rsidR="00FF796D">
        <w:rPr>
          <w:rFonts w:cstheme="minorHAnsi"/>
          <w:szCs w:val="14"/>
        </w:rPr>
        <w:t xml:space="preserve"> These connecter types are not placed on all vehicles with Japanese manufactured vehicles favouring the CHAdeMO type. </w:t>
      </w:r>
      <w:r w:rsidR="00AD0588">
        <w:rPr>
          <w:rFonts w:cstheme="minorHAnsi"/>
          <w:szCs w:val="14"/>
        </w:rPr>
        <w:t xml:space="preserve">At the time of writing, </w:t>
      </w:r>
      <w:r w:rsidR="006E0225">
        <w:rPr>
          <w:rFonts w:cstheme="minorHAnsi"/>
          <w:szCs w:val="14"/>
        </w:rPr>
        <w:t>only the Nissan leaf and e-NV200</w:t>
      </w:r>
      <w:r w:rsidR="004B0ADA">
        <w:rPr>
          <w:rFonts w:cstheme="minorHAnsi"/>
          <w:szCs w:val="14"/>
        </w:rPr>
        <w:t xml:space="preserve"> are capable of V2G activities</w:t>
      </w:r>
      <w:r w:rsidR="003177B5">
        <w:rPr>
          <w:rFonts w:cstheme="minorHAnsi"/>
          <w:szCs w:val="14"/>
        </w:rPr>
        <w:t xml:space="preserve"> that is readily available to the general public</w:t>
      </w:r>
      <w:r w:rsidR="004B0ADA">
        <w:rPr>
          <w:rFonts w:cstheme="minorHAnsi"/>
          <w:szCs w:val="14"/>
        </w:rPr>
        <w:t xml:space="preserve"> (</w:t>
      </w:r>
      <w:r w:rsidR="00683790" w:rsidRPr="00683790">
        <w:t>H</w:t>
      </w:r>
      <w:r w:rsidR="00683790">
        <w:t>ill, 2021</w:t>
      </w:r>
      <w:r w:rsidR="004B0ADA">
        <w:rPr>
          <w:rFonts w:cstheme="minorHAnsi"/>
          <w:szCs w:val="14"/>
        </w:rPr>
        <w:t>)</w:t>
      </w:r>
      <w:r w:rsidR="00392D1A">
        <w:rPr>
          <w:rFonts w:cstheme="minorHAnsi"/>
          <w:szCs w:val="14"/>
        </w:rPr>
        <w:t xml:space="preserve">, </w:t>
      </w:r>
      <w:r w:rsidR="004B0ADA">
        <w:rPr>
          <w:rFonts w:cstheme="minorHAnsi"/>
          <w:szCs w:val="14"/>
        </w:rPr>
        <w:t xml:space="preserve">both of these vehicles use the CHAdeMO connection type. </w:t>
      </w:r>
    </w:p>
    <w:p w14:paraId="19D29C8F" w14:textId="310F4C12" w:rsidR="00AB6556" w:rsidRDefault="00AB6556">
      <w:pPr>
        <w:rPr>
          <w:rFonts w:eastAsiaTheme="majorEastAsia" w:cstheme="minorHAnsi"/>
          <w:sz w:val="36"/>
          <w:szCs w:val="26"/>
        </w:rPr>
      </w:pPr>
      <w:r>
        <w:rPr>
          <w:rFonts w:cstheme="minorHAnsi"/>
          <w:sz w:val="36"/>
        </w:rPr>
        <w:br w:type="page"/>
      </w:r>
    </w:p>
    <w:p w14:paraId="09E75420" w14:textId="381ECCE4" w:rsidR="00990AE5" w:rsidRDefault="000C48C5" w:rsidP="00FF3DB5">
      <w:pPr>
        <w:pStyle w:val="Heading1"/>
        <w:rPr>
          <w:rFonts w:asciiTheme="minorHAnsi" w:hAnsiTheme="minorHAnsi" w:cstheme="minorHAnsi"/>
          <w:color w:val="auto"/>
          <w:sz w:val="40"/>
          <w:szCs w:val="40"/>
        </w:rPr>
      </w:pPr>
      <w:bookmarkStart w:id="7" w:name="_Toc88492377"/>
      <w:r>
        <w:rPr>
          <w:rFonts w:asciiTheme="minorHAnsi" w:hAnsiTheme="minorHAnsi" w:cstheme="minorHAnsi"/>
          <w:color w:val="auto"/>
          <w:sz w:val="40"/>
          <w:szCs w:val="40"/>
        </w:rPr>
        <w:lastRenderedPageBreak/>
        <w:t xml:space="preserve">5.0 </w:t>
      </w:r>
      <w:r w:rsidR="00703BA2">
        <w:rPr>
          <w:rFonts w:asciiTheme="minorHAnsi" w:hAnsiTheme="minorHAnsi" w:cstheme="minorHAnsi"/>
          <w:color w:val="auto"/>
          <w:sz w:val="40"/>
          <w:szCs w:val="40"/>
        </w:rPr>
        <w:t>Implementation</w:t>
      </w:r>
      <w:bookmarkEnd w:id="7"/>
      <w:r w:rsidR="00AC2A3F">
        <w:rPr>
          <w:rFonts w:asciiTheme="minorHAnsi" w:hAnsiTheme="minorHAnsi" w:cstheme="minorHAnsi"/>
          <w:color w:val="auto"/>
          <w:sz w:val="40"/>
          <w:szCs w:val="40"/>
        </w:rPr>
        <w:t xml:space="preserve"> </w:t>
      </w:r>
    </w:p>
    <w:p w14:paraId="50ABBCEF" w14:textId="58129F7B" w:rsidR="00966955" w:rsidRDefault="00001EA6" w:rsidP="00966955">
      <w:pPr>
        <w:pStyle w:val="Heading2"/>
        <w:rPr>
          <w:rFonts w:asciiTheme="minorHAnsi" w:hAnsiTheme="minorHAnsi" w:cstheme="minorHAnsi"/>
          <w:color w:val="auto"/>
          <w:sz w:val="36"/>
          <w:szCs w:val="36"/>
        </w:rPr>
      </w:pPr>
      <w:bookmarkStart w:id="8" w:name="_Toc88492378"/>
      <w:r w:rsidRPr="00001EA6">
        <w:rPr>
          <w:rFonts w:asciiTheme="minorHAnsi" w:hAnsiTheme="minorHAnsi" w:cstheme="minorHAnsi"/>
          <w:color w:val="auto"/>
          <w:sz w:val="36"/>
          <w:szCs w:val="36"/>
        </w:rPr>
        <w:t>5.1 Setting</w:t>
      </w:r>
      <w:bookmarkEnd w:id="8"/>
      <w:r w:rsidRPr="00001EA6">
        <w:rPr>
          <w:rFonts w:asciiTheme="minorHAnsi" w:hAnsiTheme="minorHAnsi" w:cstheme="minorHAnsi"/>
          <w:color w:val="auto"/>
          <w:sz w:val="36"/>
          <w:szCs w:val="36"/>
        </w:rPr>
        <w:t xml:space="preserve"> </w:t>
      </w:r>
    </w:p>
    <w:p w14:paraId="43AEE4FB" w14:textId="73A9E0F9" w:rsidR="00893ED4" w:rsidRDefault="00893ED4" w:rsidP="00893ED4">
      <w:r>
        <w:t>Currently in</w:t>
      </w:r>
      <w:r w:rsidR="00E47526">
        <w:t xml:space="preserve"> professional level motorsport there </w:t>
      </w:r>
      <w:r w:rsidR="00131AA4">
        <w:t>are</w:t>
      </w:r>
      <w:r w:rsidR="00E47526">
        <w:t xml:space="preserve"> </w:t>
      </w:r>
      <w:r w:rsidR="00D414FA">
        <w:t>two</w:t>
      </w:r>
      <w:r w:rsidR="00871686">
        <w:t xml:space="preserve"> active series </w:t>
      </w:r>
      <w:r w:rsidR="00914267">
        <w:t>that use electric</w:t>
      </w:r>
      <w:r w:rsidR="00871686">
        <w:t xml:space="preserve"> vehicles, Formula E and Extreme E. </w:t>
      </w:r>
      <w:r w:rsidR="00A61587">
        <w:t xml:space="preserve">In terms of </w:t>
      </w:r>
      <w:r w:rsidR="006076C5">
        <w:t>other motorsport events</w:t>
      </w:r>
      <w:r w:rsidR="00133962">
        <w:t xml:space="preserve">, the Pikes Peak international hill climb </w:t>
      </w:r>
      <w:r w:rsidR="009B6010">
        <w:t>permits the use of electric vehicles</w:t>
      </w:r>
      <w:r w:rsidR="00AC2A3F">
        <w:t xml:space="preserve">. </w:t>
      </w:r>
      <w:r w:rsidR="00F073D6">
        <w:t xml:space="preserve">In terms of the lower echelons of motorsport there are no </w:t>
      </w:r>
      <w:r w:rsidR="00E869D8">
        <w:t>official events using electric vehicles.</w:t>
      </w:r>
      <w:r w:rsidR="00280B63">
        <w:t xml:space="preserve"> </w:t>
      </w:r>
      <w:r w:rsidR="00E869D8">
        <w:t xml:space="preserve"> </w:t>
      </w:r>
    </w:p>
    <w:p w14:paraId="22D99CD4" w14:textId="070AF470" w:rsidR="00FF6577" w:rsidRDefault="00FF6577" w:rsidP="00893ED4">
      <w:r>
        <w:t xml:space="preserve">As previously mentioned only a very small </w:t>
      </w:r>
      <w:r w:rsidR="00104450">
        <w:t>group of vehicles can currently use V2G technology</w:t>
      </w:r>
      <w:r w:rsidR="00420975">
        <w:t xml:space="preserve">. Race vehicles are an interesting point as charging the batteries does differ from conventional road vehicles, for example the </w:t>
      </w:r>
      <w:r w:rsidR="0037693B">
        <w:t>Volkswagen</w:t>
      </w:r>
      <w:r w:rsidR="00420975">
        <w:t xml:space="preserve"> </w:t>
      </w:r>
      <w:proofErr w:type="gramStart"/>
      <w:r w:rsidR="00420975">
        <w:t>ID.R</w:t>
      </w:r>
      <w:proofErr w:type="gramEnd"/>
      <w:r w:rsidR="00420975">
        <w:t xml:space="preserve"> uses two 90kW chargers to charge the batteries along with a air cooling system to keep the batteries at their optimal temperature (</w:t>
      </w:r>
      <w:r w:rsidR="00683790" w:rsidRPr="00683790">
        <w:t>Vo</w:t>
      </w:r>
      <w:r w:rsidR="00683790">
        <w:t>lkswagen, 2019</w:t>
      </w:r>
      <w:r w:rsidR="0037693B">
        <w:t xml:space="preserve">). </w:t>
      </w:r>
    </w:p>
    <w:p w14:paraId="69A27D1F" w14:textId="67974F0F" w:rsidR="001B0D00" w:rsidRDefault="00575E06" w:rsidP="00893ED4">
      <w:r>
        <w:t xml:space="preserve">Battery degradation does occur with V2G technology due to the battery going through multiple cycles which does reduce the battery capacity over time </w:t>
      </w:r>
      <w:r w:rsidR="002F7404">
        <w:t>(</w:t>
      </w:r>
      <w:r w:rsidR="00B5668C" w:rsidRPr="00B5668C">
        <w:t>Wan</w:t>
      </w:r>
      <w:r w:rsidR="00B5668C">
        <w:t>g and Chen, 2017</w:t>
      </w:r>
      <w:r w:rsidR="002F7404">
        <w:t xml:space="preserve">). Because of this risk, race vehicles are not suitable for V2G as the batteries need to be operating at their optimal to get the best performance out of them. Instead, </w:t>
      </w:r>
      <w:r w:rsidR="001B0D00">
        <w:t>other vehicles such as</w:t>
      </w:r>
      <w:r w:rsidR="00875B2F">
        <w:t xml:space="preserve"> electric</w:t>
      </w:r>
      <w:r w:rsidR="001B0D00">
        <w:t xml:space="preserve"> </w:t>
      </w:r>
      <w:r w:rsidR="00875B2F">
        <w:t xml:space="preserve">forklifts and electric vehicles </w:t>
      </w:r>
      <w:r w:rsidR="00E434B3">
        <w:t xml:space="preserve">used in the factories and shuttling team members to airports ready for away races would be more appropriate as </w:t>
      </w:r>
      <w:r w:rsidR="002F7404">
        <w:t xml:space="preserve">the performance of these vehicles is not as critical as the race vehicles are. </w:t>
      </w:r>
    </w:p>
    <w:p w14:paraId="1255BD16" w14:textId="2B7CFFC9" w:rsidR="004B5251" w:rsidRDefault="004B5251" w:rsidP="004B5251">
      <w:pPr>
        <w:pStyle w:val="Heading2"/>
        <w:rPr>
          <w:rFonts w:asciiTheme="minorHAnsi" w:hAnsiTheme="minorHAnsi" w:cstheme="minorHAnsi"/>
          <w:color w:val="auto"/>
          <w:sz w:val="36"/>
          <w:szCs w:val="36"/>
        </w:rPr>
      </w:pPr>
      <w:bookmarkStart w:id="9" w:name="_Toc88492379"/>
      <w:r w:rsidRPr="004B5251">
        <w:rPr>
          <w:rFonts w:asciiTheme="minorHAnsi" w:hAnsiTheme="minorHAnsi" w:cstheme="minorHAnsi"/>
          <w:color w:val="auto"/>
          <w:sz w:val="36"/>
          <w:szCs w:val="36"/>
        </w:rPr>
        <w:t>5.2 Setting up the inf</w:t>
      </w:r>
      <w:r>
        <w:rPr>
          <w:rFonts w:asciiTheme="minorHAnsi" w:hAnsiTheme="minorHAnsi" w:cstheme="minorHAnsi"/>
          <w:color w:val="auto"/>
          <w:sz w:val="36"/>
          <w:szCs w:val="36"/>
        </w:rPr>
        <w:t>r</w:t>
      </w:r>
      <w:r w:rsidRPr="004B5251">
        <w:rPr>
          <w:rFonts w:asciiTheme="minorHAnsi" w:hAnsiTheme="minorHAnsi" w:cstheme="minorHAnsi"/>
          <w:color w:val="auto"/>
          <w:sz w:val="36"/>
          <w:szCs w:val="36"/>
        </w:rPr>
        <w:t>astructure</w:t>
      </w:r>
      <w:bookmarkEnd w:id="9"/>
      <w:r w:rsidRPr="004B5251">
        <w:rPr>
          <w:rFonts w:asciiTheme="minorHAnsi" w:hAnsiTheme="minorHAnsi" w:cstheme="minorHAnsi"/>
          <w:color w:val="auto"/>
          <w:sz w:val="36"/>
          <w:szCs w:val="36"/>
        </w:rPr>
        <w:t xml:space="preserve"> </w:t>
      </w:r>
    </w:p>
    <w:p w14:paraId="27658020" w14:textId="5F458AA8" w:rsidR="00ED6D6B" w:rsidRDefault="001B0D00" w:rsidP="00057E90">
      <w:r>
        <w:t xml:space="preserve">In terms of infrastructure, charging points are required, as previously mentioned the CHAdeMO connector would need to be used as it is currently the only type of connecter that can currently perform bidirectional flow. </w:t>
      </w:r>
      <w:r w:rsidR="00F50F64">
        <w:t xml:space="preserve">In terms of energy storage or use, the motorsport industry has a large </w:t>
      </w:r>
      <w:r w:rsidR="00FD1F8D">
        <w:t>number</w:t>
      </w:r>
      <w:r w:rsidR="00F50F64">
        <w:t xml:space="preserve"> of options.</w:t>
      </w:r>
      <w:r w:rsidR="00FD1F8D">
        <w:t xml:space="preserve"> There is the option of transferring the charge of the vehicle to the national grid</w:t>
      </w:r>
      <w:r w:rsidR="00ED6D6B">
        <w:t>. This charge can be sold to the grid in a manner that solar panels do. However, there are other option available which can be used in the motorsport industry.</w:t>
      </w:r>
      <w:r w:rsidR="00F50F64">
        <w:t xml:space="preserve"> </w:t>
      </w:r>
    </w:p>
    <w:p w14:paraId="381F67C0" w14:textId="55D584B9" w:rsidR="00057E90" w:rsidRDefault="004949BB" w:rsidP="00057E90">
      <w:r>
        <w:t>Micro grids</w:t>
      </w:r>
      <w:r w:rsidR="00765A0F">
        <w:t xml:space="preserve"> are essentially smaller grids that have the ability to operate separately to the national grid. Alternatively, these micro grids can be connected to the national grid. Micro grids like the national grid can make use of various forms of power generation </w:t>
      </w:r>
      <w:r w:rsidR="00D414FA">
        <w:t xml:space="preserve">such as solar and wind power </w:t>
      </w:r>
      <w:r w:rsidR="00765A0F">
        <w:t>(</w:t>
      </w:r>
      <w:proofErr w:type="spellStart"/>
      <w:r w:rsidR="00B5668C" w:rsidRPr="00B5668C">
        <w:t>Ucra</w:t>
      </w:r>
      <w:r w:rsidR="00B5668C">
        <w:t>n</w:t>
      </w:r>
      <w:proofErr w:type="spellEnd"/>
      <w:r w:rsidR="00B5668C">
        <w:t xml:space="preserve"> and </w:t>
      </w:r>
      <w:proofErr w:type="spellStart"/>
      <w:r w:rsidR="00B5668C" w:rsidRPr="005D0287">
        <w:rPr>
          <w:rFonts w:cstheme="minorHAnsi"/>
          <w:shd w:val="clear" w:color="auto" w:fill="FFFFFF"/>
        </w:rPr>
        <w:t>Bică</w:t>
      </w:r>
      <w:proofErr w:type="spellEnd"/>
      <w:r w:rsidR="00B5668C">
        <w:rPr>
          <w:rFonts w:cstheme="minorHAnsi"/>
          <w:shd w:val="clear" w:color="auto" w:fill="FFFFFF"/>
        </w:rPr>
        <w:t>, 2019</w:t>
      </w:r>
      <w:r w:rsidR="00765A0F">
        <w:t xml:space="preserve">). Using this concept, </w:t>
      </w:r>
      <w:r w:rsidR="00F50F64">
        <w:t xml:space="preserve">the industry can </w:t>
      </w:r>
      <w:r w:rsidR="00FD1F8D">
        <w:t xml:space="preserve">use this power as it seems fit. For example, the energy taken from the forklifts or electric vehicles can be used </w:t>
      </w:r>
      <w:r w:rsidR="0053292E">
        <w:t>within the micro grid to power the factory facilities without the need of using the national grid.</w:t>
      </w:r>
    </w:p>
    <w:p w14:paraId="17FC1363" w14:textId="312F2A52" w:rsidR="00332C8F" w:rsidRPr="00057E90" w:rsidRDefault="00332C8F" w:rsidP="00057E90">
      <w:r>
        <w:t>In addition to this, the motorsport industry can use micro grids to make use of another technology called vehicle to vehicle (V2V)</w:t>
      </w:r>
      <w:r w:rsidR="00BC3DAE">
        <w:t>. This technology allows electric vehicles to transfer charge to other</w:t>
      </w:r>
      <w:r w:rsidR="00A51DCB">
        <w:t xml:space="preserve"> electric vehicles (</w:t>
      </w:r>
      <w:r w:rsidR="00B5668C" w:rsidRPr="00B5668C">
        <w:t>L</w:t>
      </w:r>
      <w:r w:rsidR="00B5668C">
        <w:t>iu, et al, 2013</w:t>
      </w:r>
      <w:r w:rsidR="00A51DCB">
        <w:t>). The motorsport industry can make very good use of this technology inside the factory as certain vehicles are only used in certain times such as forklifts and cars used by workers. These vehicles if electric have charge that can be used to charge other vehicles</w:t>
      </w:r>
      <w:r w:rsidR="00D414FA">
        <w:t xml:space="preserve"> when not in use. This can be extended to the race vehicles where other vehicles can charge up the race vehicles before a race weekend.</w:t>
      </w:r>
      <w:r w:rsidR="00A51DCB">
        <w:t xml:space="preserve">  </w:t>
      </w:r>
      <w:r w:rsidR="00BC3DAE">
        <w:t xml:space="preserve">  </w:t>
      </w:r>
      <w:r>
        <w:t xml:space="preserve"> </w:t>
      </w:r>
    </w:p>
    <w:p w14:paraId="27CD451A" w14:textId="77777777" w:rsidR="00B5668C" w:rsidRDefault="00B5668C">
      <w:pPr>
        <w:rPr>
          <w:rFonts w:eastAsiaTheme="majorEastAsia" w:cstheme="minorHAnsi"/>
          <w:sz w:val="36"/>
          <w:szCs w:val="36"/>
        </w:rPr>
      </w:pPr>
      <w:r>
        <w:rPr>
          <w:rFonts w:cstheme="minorHAnsi"/>
          <w:sz w:val="36"/>
          <w:szCs w:val="36"/>
        </w:rPr>
        <w:br w:type="page"/>
      </w:r>
    </w:p>
    <w:p w14:paraId="0EA54A80" w14:textId="6BA804CE" w:rsidR="00001EA6" w:rsidRDefault="00001EA6" w:rsidP="00001EA6">
      <w:pPr>
        <w:pStyle w:val="Heading2"/>
        <w:rPr>
          <w:rFonts w:asciiTheme="minorHAnsi" w:hAnsiTheme="minorHAnsi" w:cstheme="minorHAnsi"/>
          <w:color w:val="auto"/>
          <w:sz w:val="36"/>
          <w:szCs w:val="36"/>
        </w:rPr>
      </w:pPr>
      <w:bookmarkStart w:id="10" w:name="_Toc88492380"/>
      <w:r w:rsidRPr="00001EA6">
        <w:rPr>
          <w:rFonts w:asciiTheme="minorHAnsi" w:hAnsiTheme="minorHAnsi" w:cstheme="minorHAnsi"/>
          <w:color w:val="auto"/>
          <w:sz w:val="36"/>
          <w:szCs w:val="36"/>
        </w:rPr>
        <w:lastRenderedPageBreak/>
        <w:t>5.</w:t>
      </w:r>
      <w:r w:rsidR="004B5251">
        <w:rPr>
          <w:rFonts w:asciiTheme="minorHAnsi" w:hAnsiTheme="minorHAnsi" w:cstheme="minorHAnsi"/>
          <w:color w:val="auto"/>
          <w:sz w:val="36"/>
          <w:szCs w:val="36"/>
        </w:rPr>
        <w:t>3</w:t>
      </w:r>
      <w:r w:rsidRPr="00001EA6">
        <w:rPr>
          <w:rFonts w:asciiTheme="minorHAnsi" w:hAnsiTheme="minorHAnsi" w:cstheme="minorHAnsi"/>
          <w:color w:val="auto"/>
          <w:sz w:val="36"/>
          <w:szCs w:val="36"/>
        </w:rPr>
        <w:t xml:space="preserve"> </w:t>
      </w:r>
      <w:r>
        <w:rPr>
          <w:rFonts w:asciiTheme="minorHAnsi" w:hAnsiTheme="minorHAnsi" w:cstheme="minorHAnsi"/>
          <w:color w:val="auto"/>
          <w:sz w:val="36"/>
          <w:szCs w:val="36"/>
        </w:rPr>
        <w:t>S</w:t>
      </w:r>
      <w:r w:rsidRPr="00001EA6">
        <w:rPr>
          <w:rFonts w:asciiTheme="minorHAnsi" w:hAnsiTheme="minorHAnsi" w:cstheme="minorHAnsi"/>
          <w:color w:val="auto"/>
          <w:sz w:val="36"/>
          <w:szCs w:val="36"/>
        </w:rPr>
        <w:t>hort term implications</w:t>
      </w:r>
      <w:bookmarkEnd w:id="10"/>
      <w:r w:rsidRPr="00001EA6">
        <w:rPr>
          <w:rFonts w:asciiTheme="minorHAnsi" w:hAnsiTheme="minorHAnsi" w:cstheme="minorHAnsi"/>
          <w:color w:val="auto"/>
          <w:sz w:val="36"/>
          <w:szCs w:val="36"/>
        </w:rPr>
        <w:t xml:space="preserve"> </w:t>
      </w:r>
    </w:p>
    <w:p w14:paraId="40300D49" w14:textId="38B501EF" w:rsidR="00057E90" w:rsidRPr="00057E90" w:rsidRDefault="00D414FA" w:rsidP="00057E90">
      <w:r>
        <w:t xml:space="preserve">There are short term implications to implementing V2G technology into a motorsport setting, one being the initial setup of the </w:t>
      </w:r>
      <w:r w:rsidR="0035691A">
        <w:t>charging</w:t>
      </w:r>
      <w:r>
        <w:t xml:space="preserve"> systems, electric vehicles</w:t>
      </w:r>
      <w:r w:rsidR="0035691A">
        <w:t xml:space="preserve"> and the micro grid. </w:t>
      </w:r>
      <w:r w:rsidR="000E27DA">
        <w:t xml:space="preserve">Setting up such systems </w:t>
      </w:r>
      <w:r w:rsidR="005E2EB6">
        <w:t>requires a lot of planning as the power to supply the chargers must be connected up to the national grid. In addition to this, the electric vehicles required for V2G technology to function are still expensive when compared to internal combustion engine powered counterparts. However, internal combustion engines can be altered to be compatible with V2G technologies</w:t>
      </w:r>
      <w:r w:rsidR="00B0021C">
        <w:t xml:space="preserve"> (</w:t>
      </w:r>
      <w:proofErr w:type="spellStart"/>
      <w:r w:rsidR="00B5668C" w:rsidRPr="00B5668C">
        <w:t>Mas</w:t>
      </w:r>
      <w:r w:rsidR="00B5668C">
        <w:t>rur</w:t>
      </w:r>
      <w:proofErr w:type="spellEnd"/>
      <w:r w:rsidR="00B5668C">
        <w:t>, et al, 2018</w:t>
      </w:r>
      <w:r w:rsidR="00B0021C">
        <w:t>). This can negate some of the problems with the initial setup of the technology however, setting up the charging infrastructure into existing buildings would be the biggest challenge in the short term</w:t>
      </w:r>
    </w:p>
    <w:p w14:paraId="237B185D" w14:textId="71156588" w:rsidR="00001EA6" w:rsidRPr="00001EA6" w:rsidRDefault="00001EA6" w:rsidP="00001EA6">
      <w:pPr>
        <w:pStyle w:val="Heading2"/>
        <w:rPr>
          <w:rFonts w:asciiTheme="minorHAnsi" w:hAnsiTheme="minorHAnsi" w:cstheme="minorHAnsi"/>
          <w:color w:val="auto"/>
          <w:sz w:val="36"/>
          <w:szCs w:val="36"/>
        </w:rPr>
      </w:pPr>
      <w:bookmarkStart w:id="11" w:name="_Toc88492381"/>
      <w:r w:rsidRPr="00001EA6">
        <w:rPr>
          <w:rFonts w:asciiTheme="minorHAnsi" w:hAnsiTheme="minorHAnsi" w:cstheme="minorHAnsi"/>
          <w:color w:val="auto"/>
          <w:sz w:val="36"/>
          <w:szCs w:val="36"/>
        </w:rPr>
        <w:t>5.</w:t>
      </w:r>
      <w:r w:rsidR="004B5251">
        <w:rPr>
          <w:rFonts w:asciiTheme="minorHAnsi" w:hAnsiTheme="minorHAnsi" w:cstheme="minorHAnsi"/>
          <w:color w:val="auto"/>
          <w:sz w:val="36"/>
          <w:szCs w:val="36"/>
        </w:rPr>
        <w:t>4</w:t>
      </w:r>
      <w:r w:rsidRPr="00001EA6">
        <w:rPr>
          <w:rFonts w:asciiTheme="minorHAnsi" w:hAnsiTheme="minorHAnsi" w:cstheme="minorHAnsi"/>
          <w:color w:val="auto"/>
          <w:sz w:val="36"/>
          <w:szCs w:val="36"/>
        </w:rPr>
        <w:t xml:space="preserve"> </w:t>
      </w:r>
      <w:r>
        <w:rPr>
          <w:rFonts w:asciiTheme="minorHAnsi" w:hAnsiTheme="minorHAnsi" w:cstheme="minorHAnsi"/>
          <w:color w:val="auto"/>
          <w:sz w:val="36"/>
          <w:szCs w:val="36"/>
        </w:rPr>
        <w:t>L</w:t>
      </w:r>
      <w:r w:rsidRPr="00001EA6">
        <w:rPr>
          <w:rFonts w:asciiTheme="minorHAnsi" w:hAnsiTheme="minorHAnsi" w:cstheme="minorHAnsi"/>
          <w:color w:val="auto"/>
          <w:sz w:val="36"/>
          <w:szCs w:val="36"/>
        </w:rPr>
        <w:t>ong term implications</w:t>
      </w:r>
      <w:bookmarkEnd w:id="11"/>
      <w:r w:rsidRPr="00001EA6">
        <w:rPr>
          <w:rFonts w:asciiTheme="minorHAnsi" w:hAnsiTheme="minorHAnsi" w:cstheme="minorHAnsi"/>
          <w:color w:val="auto"/>
          <w:sz w:val="36"/>
          <w:szCs w:val="36"/>
        </w:rPr>
        <w:t xml:space="preserve"> </w:t>
      </w:r>
    </w:p>
    <w:p w14:paraId="3DFD40FE" w14:textId="469A8A75" w:rsidR="002517F5" w:rsidRDefault="00B0021C">
      <w:pPr>
        <w:rPr>
          <w:rFonts w:cstheme="minorHAnsi"/>
        </w:rPr>
      </w:pPr>
      <w:r>
        <w:rPr>
          <w:rFonts w:cstheme="minorHAnsi"/>
        </w:rPr>
        <w:t xml:space="preserve">Once the V2G system is put into place, the main implications of this technology in the long term </w:t>
      </w:r>
      <w:proofErr w:type="gramStart"/>
      <w:r w:rsidR="009A42DA">
        <w:rPr>
          <w:rFonts w:cstheme="minorHAnsi"/>
        </w:rPr>
        <w:t>is</w:t>
      </w:r>
      <w:proofErr w:type="gramEnd"/>
      <w:r>
        <w:rPr>
          <w:rFonts w:cstheme="minorHAnsi"/>
        </w:rPr>
        <w:t xml:space="preserve"> with battery degradation. This problem was previously mentioned and rules out the use of race vehicles in V2G activities.</w:t>
      </w:r>
      <w:r w:rsidR="009A42DA">
        <w:rPr>
          <w:rFonts w:cstheme="minorHAnsi"/>
        </w:rPr>
        <w:t xml:space="preserve"> However, the vehicles that are compatible with V2G technology will be using the technology frequently. The frequent use of this does effect energy capacity and cycle aging adversely. </w:t>
      </w:r>
      <w:r w:rsidR="002517F5">
        <w:rPr>
          <w:rFonts w:cstheme="minorHAnsi"/>
        </w:rPr>
        <w:t>There is a balancing act that must be met to negate this, low state of charge can lead to longer lifetimes of the batteries in theory, however if the state of charge is too low, cycle aging and energy capacity of the batteries is accelerated. (</w:t>
      </w:r>
      <w:r w:rsidR="00B5668C">
        <w:rPr>
          <w:rFonts w:cstheme="minorHAnsi"/>
        </w:rPr>
        <w:t>Tamura, 2019</w:t>
      </w:r>
      <w:r w:rsidR="002517F5">
        <w:rPr>
          <w:rFonts w:cstheme="minorHAnsi"/>
        </w:rPr>
        <w:t xml:space="preserve">). </w:t>
      </w:r>
    </w:p>
    <w:p w14:paraId="2EF73FA0" w14:textId="77777777" w:rsidR="006129F4" w:rsidRDefault="002517F5">
      <w:pPr>
        <w:rPr>
          <w:rFonts w:cstheme="minorHAnsi"/>
        </w:rPr>
      </w:pPr>
      <w:r>
        <w:rPr>
          <w:rFonts w:cstheme="minorHAnsi"/>
        </w:rPr>
        <w:t xml:space="preserve">With this battery degradation in mind, the cost of replacing the batteries must be factored into </w:t>
      </w:r>
      <w:r w:rsidR="00420073">
        <w:rPr>
          <w:rFonts w:cstheme="minorHAnsi"/>
        </w:rPr>
        <w:t xml:space="preserve">this. This factor is somewhat difficult to plot as with the UK governments plans to electrify cars, the demand for lithium will increase which may cause price jumps in lithium batteries. </w:t>
      </w:r>
      <w:r w:rsidR="006129F4">
        <w:rPr>
          <w:rFonts w:cstheme="minorHAnsi"/>
        </w:rPr>
        <w:t>In addition to this, electric vehicles are becoming cheaper to purchase, which will make buying an electric vehicle more attractive.</w:t>
      </w:r>
    </w:p>
    <w:p w14:paraId="28C33E40" w14:textId="77777777" w:rsidR="006129F4" w:rsidRDefault="006129F4" w:rsidP="006129F4">
      <w:pPr>
        <w:pStyle w:val="Heading2"/>
        <w:rPr>
          <w:rFonts w:asciiTheme="minorHAnsi" w:hAnsiTheme="minorHAnsi" w:cstheme="minorHAnsi"/>
          <w:color w:val="auto"/>
          <w:sz w:val="36"/>
          <w:szCs w:val="36"/>
        </w:rPr>
      </w:pPr>
      <w:bookmarkStart w:id="12" w:name="_Toc88492382"/>
      <w:r w:rsidRPr="006129F4">
        <w:rPr>
          <w:rFonts w:asciiTheme="minorHAnsi" w:hAnsiTheme="minorHAnsi" w:cstheme="minorHAnsi"/>
          <w:color w:val="auto"/>
          <w:sz w:val="36"/>
          <w:szCs w:val="36"/>
        </w:rPr>
        <w:t>5.5 Likelihood of implementation</w:t>
      </w:r>
      <w:bookmarkEnd w:id="12"/>
    </w:p>
    <w:p w14:paraId="69FCF685" w14:textId="42A9E999" w:rsidR="00516C93" w:rsidRDefault="006129F4" w:rsidP="00516C93">
      <w:pPr>
        <w:rPr>
          <w:rFonts w:cstheme="minorHAnsi"/>
        </w:rPr>
      </w:pPr>
      <w:r>
        <w:rPr>
          <w:rFonts w:cstheme="minorHAnsi"/>
        </w:rPr>
        <w:t xml:space="preserve">Considering the </w:t>
      </w:r>
      <w:r w:rsidR="002C0FC7">
        <w:rPr>
          <w:rFonts w:cstheme="minorHAnsi"/>
        </w:rPr>
        <w:t>factors covered previously, the likelihood of the implementation of V2G technology in a motorsport factory setting can be divided into two areas. As of writing this report, V2G technology is a well understood concept with some real-world applications being tested. However, at the same time, there are currently factors that stop this technology from working in a motorsport setting such as planning implications and the lack of commercially available c</w:t>
      </w:r>
      <w:r w:rsidR="0071718C">
        <w:rPr>
          <w:rFonts w:cstheme="minorHAnsi"/>
        </w:rPr>
        <w:t>onnect</w:t>
      </w:r>
      <w:r w:rsidR="006864B8">
        <w:rPr>
          <w:rFonts w:cstheme="minorHAnsi"/>
        </w:rPr>
        <w:t xml:space="preserve">er types </w:t>
      </w:r>
      <w:r w:rsidR="002C0FC7">
        <w:rPr>
          <w:rFonts w:cstheme="minorHAnsi"/>
        </w:rPr>
        <w:t xml:space="preserve">that can perform bidirectional flow. </w:t>
      </w:r>
    </w:p>
    <w:p w14:paraId="3EA037F8" w14:textId="228C1B77" w:rsidR="00516C93" w:rsidRDefault="00516C93" w:rsidP="00516C93">
      <w:pPr>
        <w:rPr>
          <w:rFonts w:cstheme="minorHAnsi"/>
        </w:rPr>
      </w:pPr>
      <w:r>
        <w:rPr>
          <w:rFonts w:cstheme="minorHAnsi"/>
        </w:rPr>
        <w:t>However, due to climate change and the importance of electric vehicles in preventing further global heating</w:t>
      </w:r>
      <w:r w:rsidR="00FD11D7">
        <w:rPr>
          <w:rFonts w:cstheme="minorHAnsi"/>
        </w:rPr>
        <w:t>, there will be a large push in making this technology more available to the general public.</w:t>
      </w:r>
      <w:r w:rsidR="0071718C">
        <w:rPr>
          <w:rFonts w:cstheme="minorHAnsi"/>
        </w:rPr>
        <w:t xml:space="preserve"> This will eliminate the problems that currently exist such as the cost of electric vehicles and the lack of connecter types that can perform bidirectional flow</w:t>
      </w:r>
      <w:r w:rsidR="00FD11D7">
        <w:rPr>
          <w:rFonts w:cstheme="minorHAnsi"/>
        </w:rPr>
        <w:t xml:space="preserve"> This means that in the near future, the likelihood of V2G technology being implemented in motorsport factories will be much higher than it is as of writing this report. </w:t>
      </w:r>
    </w:p>
    <w:p w14:paraId="0BAAE0F0" w14:textId="20514CD3" w:rsidR="00FF3DB5" w:rsidRDefault="002C0FC7" w:rsidP="006129F4">
      <w:pPr>
        <w:pStyle w:val="Heading2"/>
        <w:rPr>
          <w:rFonts w:cstheme="minorHAnsi"/>
          <w:sz w:val="36"/>
        </w:rPr>
      </w:pPr>
      <w:r w:rsidRPr="008462E2">
        <w:rPr>
          <w:rFonts w:asciiTheme="minorHAnsi" w:eastAsiaTheme="minorHAnsi" w:hAnsiTheme="minorHAnsi" w:cstheme="minorHAnsi"/>
          <w:color w:val="auto"/>
          <w:sz w:val="22"/>
          <w:szCs w:val="22"/>
        </w:rPr>
        <w:t xml:space="preserve">    </w:t>
      </w:r>
      <w:r w:rsidR="006129F4" w:rsidRPr="008462E2">
        <w:rPr>
          <w:rFonts w:asciiTheme="minorHAnsi" w:eastAsiaTheme="minorHAnsi" w:hAnsiTheme="minorHAnsi" w:cstheme="minorHAnsi"/>
          <w:color w:val="auto"/>
          <w:sz w:val="22"/>
          <w:szCs w:val="22"/>
        </w:rPr>
        <w:t xml:space="preserve"> </w:t>
      </w:r>
      <w:r w:rsidR="00FF3DB5">
        <w:rPr>
          <w:rFonts w:cstheme="minorHAnsi"/>
          <w:sz w:val="36"/>
        </w:rPr>
        <w:br w:type="page"/>
      </w:r>
    </w:p>
    <w:p w14:paraId="54818985" w14:textId="437F1CC9" w:rsidR="00577916" w:rsidRPr="00FF3DB5" w:rsidRDefault="004B5251" w:rsidP="00FF3DB5">
      <w:pPr>
        <w:pStyle w:val="Heading1"/>
        <w:rPr>
          <w:rFonts w:asciiTheme="minorHAnsi" w:hAnsiTheme="minorHAnsi" w:cstheme="minorHAnsi"/>
          <w:color w:val="auto"/>
          <w:sz w:val="40"/>
          <w:szCs w:val="40"/>
        </w:rPr>
      </w:pPr>
      <w:bookmarkStart w:id="13" w:name="_Toc88492383"/>
      <w:r>
        <w:rPr>
          <w:rFonts w:asciiTheme="minorHAnsi" w:hAnsiTheme="minorHAnsi" w:cstheme="minorHAnsi"/>
          <w:color w:val="auto"/>
          <w:sz w:val="40"/>
          <w:szCs w:val="40"/>
        </w:rPr>
        <w:lastRenderedPageBreak/>
        <w:t>6</w:t>
      </w:r>
      <w:r w:rsidR="000C48C5">
        <w:rPr>
          <w:rFonts w:asciiTheme="minorHAnsi" w:hAnsiTheme="minorHAnsi" w:cstheme="minorHAnsi"/>
          <w:color w:val="auto"/>
          <w:sz w:val="40"/>
          <w:szCs w:val="40"/>
        </w:rPr>
        <w:t xml:space="preserve">.0 </w:t>
      </w:r>
      <w:r w:rsidR="00577916" w:rsidRPr="00AF26E8">
        <w:rPr>
          <w:rFonts w:asciiTheme="minorHAnsi" w:hAnsiTheme="minorHAnsi" w:cstheme="minorHAnsi"/>
          <w:color w:val="auto"/>
          <w:sz w:val="40"/>
          <w:szCs w:val="40"/>
        </w:rPr>
        <w:t>Conclusion</w:t>
      </w:r>
      <w:bookmarkEnd w:id="13"/>
      <w:r w:rsidR="00577916" w:rsidRPr="00AF26E8">
        <w:rPr>
          <w:rFonts w:asciiTheme="minorHAnsi" w:hAnsiTheme="minorHAnsi" w:cstheme="minorHAnsi"/>
          <w:color w:val="auto"/>
          <w:sz w:val="40"/>
          <w:szCs w:val="40"/>
        </w:rPr>
        <w:t xml:space="preserve"> </w:t>
      </w:r>
    </w:p>
    <w:p w14:paraId="1BF9C901" w14:textId="77777777" w:rsidR="00CB31CE" w:rsidRDefault="00FD11D7">
      <w:pPr>
        <w:rPr>
          <w:rFonts w:cstheme="minorHAnsi"/>
        </w:rPr>
      </w:pPr>
      <w:r>
        <w:rPr>
          <w:rFonts w:cstheme="minorHAnsi"/>
        </w:rPr>
        <w:t xml:space="preserve">In conclusion, research has been conducted into V2G technology. </w:t>
      </w:r>
      <w:r w:rsidR="00CB31CE">
        <w:rPr>
          <w:rFonts w:cstheme="minorHAnsi"/>
        </w:rPr>
        <w:t xml:space="preserve">Although a proven concept in theory, its real-world implementation is still in its relative infancy, specifically in the UK. Power demands have been assessed for the UK and some projections have been mentioned for 2050. Along with this some important changes of power plant shutdowns have been mentioned. </w:t>
      </w:r>
    </w:p>
    <w:p w14:paraId="72F42F9B" w14:textId="77777777" w:rsidR="00CB31CE" w:rsidRDefault="00CB31CE">
      <w:pPr>
        <w:rPr>
          <w:rFonts w:cstheme="minorHAnsi"/>
        </w:rPr>
      </w:pPr>
      <w:r>
        <w:rPr>
          <w:rFonts w:cstheme="minorHAnsi"/>
        </w:rPr>
        <w:t xml:space="preserve">Ethical issues have been highlighted in the construction of the lithium batteries needed for electric vehicle. These issues are concerning and serves as a potential sticking point in the push of electric vehicles as these problems are likely to get worse with the demand of electric vehicles likely to increase. </w:t>
      </w:r>
    </w:p>
    <w:p w14:paraId="7E2ECAE3" w14:textId="77777777" w:rsidR="008462E2" w:rsidRDefault="008462E2">
      <w:pPr>
        <w:rPr>
          <w:rFonts w:cstheme="minorHAnsi"/>
        </w:rPr>
      </w:pPr>
      <w:r>
        <w:rPr>
          <w:rFonts w:cstheme="minorHAnsi"/>
        </w:rPr>
        <w:t xml:space="preserve">Charging technologies have been assessed for the current time and proves to be a constantly evolving environment in the pursuit to improve charging times of electric vehicles. </w:t>
      </w:r>
    </w:p>
    <w:p w14:paraId="5E201947" w14:textId="77777777" w:rsidR="006864B8" w:rsidRDefault="008462E2">
      <w:pPr>
        <w:rPr>
          <w:rFonts w:cstheme="minorHAnsi"/>
        </w:rPr>
      </w:pPr>
      <w:r>
        <w:rPr>
          <w:rFonts w:cstheme="minorHAnsi"/>
        </w:rPr>
        <w:t xml:space="preserve">Taking all these factors into mind, a vision of the implementation of V2G technology has been created with the motorsport in mind, presenting ideas of which vehicles to use and how microgrids </w:t>
      </w:r>
      <w:r w:rsidR="006864B8">
        <w:rPr>
          <w:rFonts w:cstheme="minorHAnsi"/>
        </w:rPr>
        <w:t xml:space="preserve">and vehicle to vehicle technology </w:t>
      </w:r>
      <w:r>
        <w:rPr>
          <w:rFonts w:cstheme="minorHAnsi"/>
        </w:rPr>
        <w:t>might be the key to implementing the technology in a motorsport factory environment. At the end of this a summary is provided that covers the likelihood of V2G technology being implemented within the motorsport environment</w:t>
      </w:r>
      <w:r w:rsidR="00A2039C">
        <w:rPr>
          <w:rFonts w:cstheme="minorHAnsi"/>
        </w:rPr>
        <w:t xml:space="preserve">. </w:t>
      </w:r>
    </w:p>
    <w:p w14:paraId="2D96D514" w14:textId="03F9660F" w:rsidR="00F260CC" w:rsidRDefault="006864B8">
      <w:pPr>
        <w:rPr>
          <w:rFonts w:eastAsiaTheme="majorEastAsia" w:cstheme="minorHAnsi"/>
          <w:sz w:val="40"/>
          <w:szCs w:val="40"/>
        </w:rPr>
      </w:pPr>
      <w:r>
        <w:rPr>
          <w:rFonts w:cstheme="minorHAnsi"/>
        </w:rPr>
        <w:t xml:space="preserve">Overall, V2G technology is a promising technology that can revolutionise how people see vehicles and gives the power grid another avenue of energy generation that is environmentally friendly. With the technology still being developed, it has the potential to become a </w:t>
      </w:r>
      <w:r w:rsidR="00B42B4F">
        <w:rPr>
          <w:rFonts w:cstheme="minorHAnsi"/>
        </w:rPr>
        <w:t>technology</w:t>
      </w:r>
      <w:r>
        <w:rPr>
          <w:rFonts w:cstheme="minorHAnsi"/>
        </w:rPr>
        <w:t xml:space="preserve"> that </w:t>
      </w:r>
      <w:r w:rsidR="00B42B4F">
        <w:rPr>
          <w:rFonts w:cstheme="minorHAnsi"/>
        </w:rPr>
        <w:t xml:space="preserve">is as important as the electric car in the pursuit of reducing the impact industrialisation has on the earth.  </w:t>
      </w:r>
      <w:r>
        <w:rPr>
          <w:rFonts w:cstheme="minorHAnsi"/>
        </w:rPr>
        <w:t xml:space="preserve"> </w:t>
      </w:r>
      <w:r w:rsidR="008462E2">
        <w:rPr>
          <w:rFonts w:cstheme="minorHAnsi"/>
        </w:rPr>
        <w:t xml:space="preserve"> </w:t>
      </w:r>
      <w:r w:rsidR="00F260CC">
        <w:rPr>
          <w:rFonts w:cstheme="minorHAnsi"/>
          <w:sz w:val="40"/>
          <w:szCs w:val="40"/>
        </w:rPr>
        <w:br w:type="page"/>
      </w:r>
    </w:p>
    <w:p w14:paraId="4A58398D" w14:textId="572AE8E8" w:rsidR="00577916" w:rsidRDefault="004B5251" w:rsidP="00AF26E8">
      <w:pPr>
        <w:pStyle w:val="Heading1"/>
        <w:rPr>
          <w:rFonts w:asciiTheme="minorHAnsi" w:hAnsiTheme="minorHAnsi" w:cstheme="minorHAnsi"/>
          <w:color w:val="auto"/>
          <w:sz w:val="40"/>
          <w:szCs w:val="40"/>
        </w:rPr>
      </w:pPr>
      <w:bookmarkStart w:id="14" w:name="_Toc88492384"/>
      <w:r>
        <w:rPr>
          <w:rFonts w:asciiTheme="minorHAnsi" w:hAnsiTheme="minorHAnsi" w:cstheme="minorHAnsi"/>
          <w:color w:val="auto"/>
          <w:sz w:val="40"/>
          <w:szCs w:val="40"/>
        </w:rPr>
        <w:lastRenderedPageBreak/>
        <w:t>7</w:t>
      </w:r>
      <w:r w:rsidR="000C48C5">
        <w:rPr>
          <w:rFonts w:asciiTheme="minorHAnsi" w:hAnsiTheme="minorHAnsi" w:cstheme="minorHAnsi"/>
          <w:color w:val="auto"/>
          <w:sz w:val="40"/>
          <w:szCs w:val="40"/>
        </w:rPr>
        <w:t xml:space="preserve">.0 </w:t>
      </w:r>
      <w:r w:rsidR="00C46C62">
        <w:rPr>
          <w:rFonts w:asciiTheme="minorHAnsi" w:hAnsiTheme="minorHAnsi" w:cstheme="minorHAnsi"/>
          <w:color w:val="auto"/>
          <w:sz w:val="40"/>
          <w:szCs w:val="40"/>
        </w:rPr>
        <w:t>References</w:t>
      </w:r>
      <w:bookmarkEnd w:id="14"/>
      <w:r w:rsidR="00C46C62">
        <w:rPr>
          <w:rFonts w:asciiTheme="minorHAnsi" w:hAnsiTheme="minorHAnsi" w:cstheme="minorHAnsi"/>
          <w:color w:val="auto"/>
          <w:sz w:val="40"/>
          <w:szCs w:val="40"/>
        </w:rPr>
        <w:t xml:space="preserve"> </w:t>
      </w:r>
    </w:p>
    <w:p w14:paraId="052EBA5C" w14:textId="77777777" w:rsidR="005D0287" w:rsidRDefault="005D0287" w:rsidP="001400FE">
      <w:pPr>
        <w:spacing w:before="240"/>
        <w:rPr>
          <w:rFonts w:cstheme="minorHAnsi"/>
          <w:shd w:val="clear" w:color="auto" w:fill="FFFFFF"/>
        </w:rPr>
      </w:pPr>
      <w:r w:rsidRPr="005D0287">
        <w:rPr>
          <w:rFonts w:cstheme="minorHAnsi"/>
          <w:shd w:val="clear" w:color="auto" w:fill="FFFFFF"/>
        </w:rPr>
        <w:t>Ahmad, S. (2020) </w:t>
      </w:r>
      <w:r w:rsidRPr="005D0287">
        <w:rPr>
          <w:rFonts w:cstheme="minorHAnsi"/>
          <w:i/>
          <w:iCs/>
          <w:shd w:val="clear" w:color="auto" w:fill="FFFFFF"/>
        </w:rPr>
        <w:t>The Lithium Triangle: Where Chile, Argentina, and Bolivia Meet, </w:t>
      </w:r>
      <w:r w:rsidRPr="005D0287">
        <w:rPr>
          <w:rFonts w:cstheme="minorHAnsi"/>
          <w:shd w:val="clear" w:color="auto" w:fill="FFFFFF"/>
        </w:rPr>
        <w:t>Available at: </w:t>
      </w:r>
      <w:r w:rsidRPr="005D0287">
        <w:rPr>
          <w:rFonts w:cstheme="minorHAnsi"/>
          <w:i/>
          <w:iCs/>
          <w:u w:val="single"/>
          <w:shd w:val="clear" w:color="auto" w:fill="FFFFFF"/>
        </w:rPr>
        <w:t>https://hir.harvard.edu/lithium-triangle/</w:t>
      </w:r>
      <w:r w:rsidRPr="005D0287">
        <w:rPr>
          <w:rFonts w:cstheme="minorHAnsi"/>
          <w:shd w:val="clear" w:color="auto" w:fill="FFFFFF"/>
        </w:rPr>
        <w:t> (Accessed: 25th October 2021).</w:t>
      </w:r>
      <w:r w:rsidRPr="005D0287">
        <w:rPr>
          <w:rFonts w:cstheme="minorHAnsi"/>
        </w:rPr>
        <w:br/>
      </w:r>
    </w:p>
    <w:p w14:paraId="3B016AAA" w14:textId="77777777" w:rsidR="005D0287" w:rsidRDefault="005D0287" w:rsidP="001400FE">
      <w:pPr>
        <w:spacing w:before="240"/>
        <w:rPr>
          <w:rFonts w:cstheme="minorHAnsi"/>
          <w:shd w:val="clear" w:color="auto" w:fill="FFFFFF"/>
        </w:rPr>
      </w:pPr>
      <w:r w:rsidRPr="005D0287">
        <w:rPr>
          <w:rFonts w:cstheme="minorHAnsi"/>
          <w:shd w:val="clear" w:color="auto" w:fill="FFFFFF"/>
        </w:rPr>
        <w:t>Amnesty International (2019) </w:t>
      </w:r>
      <w:r w:rsidRPr="005D0287">
        <w:rPr>
          <w:rFonts w:cstheme="minorHAnsi"/>
          <w:i/>
          <w:iCs/>
          <w:shd w:val="clear" w:color="auto" w:fill="FFFFFF"/>
        </w:rPr>
        <w:t>Exposed: Child labour behind smart phone and electric car batteries, </w:t>
      </w:r>
      <w:r w:rsidRPr="005D0287">
        <w:rPr>
          <w:rFonts w:cstheme="minorHAnsi"/>
          <w:shd w:val="clear" w:color="auto" w:fill="FFFFFF"/>
        </w:rPr>
        <w:t>Available at: </w:t>
      </w:r>
      <w:r w:rsidRPr="005D0287">
        <w:rPr>
          <w:rFonts w:cstheme="minorHAnsi"/>
          <w:i/>
          <w:iCs/>
          <w:u w:val="single"/>
          <w:shd w:val="clear" w:color="auto" w:fill="FFFFFF"/>
        </w:rPr>
        <w:t>https://www.amnesty.org/en/latest/news/2016/01/Child-labour-behind-smart-phone-and-electric-car-batteries/</w:t>
      </w:r>
      <w:r w:rsidRPr="005D0287">
        <w:rPr>
          <w:rFonts w:cstheme="minorHAnsi"/>
          <w:shd w:val="clear" w:color="auto" w:fill="FFFFFF"/>
        </w:rPr>
        <w:t> (Accessed: 20th November 2021).</w:t>
      </w:r>
      <w:r w:rsidRPr="005D0287">
        <w:rPr>
          <w:rFonts w:cstheme="minorHAnsi"/>
        </w:rPr>
        <w:br/>
      </w:r>
    </w:p>
    <w:p w14:paraId="1D3BE635" w14:textId="77777777" w:rsidR="005D0287" w:rsidRDefault="005D0287" w:rsidP="001400FE">
      <w:pPr>
        <w:spacing w:before="240"/>
        <w:rPr>
          <w:rFonts w:cstheme="minorHAnsi"/>
          <w:shd w:val="clear" w:color="auto" w:fill="FFFFFF"/>
        </w:rPr>
      </w:pPr>
      <w:r w:rsidRPr="005D0287">
        <w:rPr>
          <w:rFonts w:cstheme="minorHAnsi"/>
          <w:shd w:val="clear" w:color="auto" w:fill="FFFFFF"/>
        </w:rPr>
        <w:t>Department for Business, Energy &amp; Industrial Strategy (2020) </w:t>
      </w:r>
      <w:r w:rsidRPr="005D0287">
        <w:rPr>
          <w:rFonts w:cstheme="minorHAnsi"/>
          <w:i/>
          <w:iCs/>
          <w:shd w:val="clear" w:color="auto" w:fill="FFFFFF"/>
        </w:rPr>
        <w:t>Modelling 2050: Electricity System Analysis, </w:t>
      </w:r>
      <w:r w:rsidRPr="005D0287">
        <w:rPr>
          <w:rFonts w:cstheme="minorHAnsi"/>
          <w:shd w:val="clear" w:color="auto" w:fill="FFFFFF"/>
        </w:rPr>
        <w:t>Available at: </w:t>
      </w:r>
      <w:r w:rsidRPr="005D0287">
        <w:rPr>
          <w:rFonts w:cstheme="minorHAnsi"/>
          <w:i/>
          <w:iCs/>
          <w:u w:val="single"/>
          <w:shd w:val="clear" w:color="auto" w:fill="FFFFFF"/>
        </w:rPr>
        <w:t>https://www.gov.uk/government/publications/modelling-2050-electricity-system-analysis</w:t>
      </w:r>
      <w:r w:rsidRPr="005D0287">
        <w:rPr>
          <w:rFonts w:cstheme="minorHAnsi"/>
          <w:shd w:val="clear" w:color="auto" w:fill="FFFFFF"/>
        </w:rPr>
        <w:t> (Accessed: 20th November 2021).</w:t>
      </w:r>
      <w:r w:rsidRPr="005D0287">
        <w:rPr>
          <w:rFonts w:cstheme="minorHAnsi"/>
        </w:rPr>
        <w:br/>
      </w:r>
    </w:p>
    <w:p w14:paraId="486E8643" w14:textId="77777777" w:rsidR="005D0287" w:rsidRDefault="005D0287" w:rsidP="001400FE">
      <w:pPr>
        <w:spacing w:before="240"/>
        <w:rPr>
          <w:rFonts w:cstheme="minorHAnsi"/>
          <w:shd w:val="clear" w:color="auto" w:fill="FFFFFF"/>
        </w:rPr>
      </w:pPr>
      <w:proofErr w:type="spellStart"/>
      <w:r w:rsidRPr="005D0287">
        <w:rPr>
          <w:rFonts w:cstheme="minorHAnsi"/>
          <w:shd w:val="clear" w:color="auto" w:fill="FFFFFF"/>
        </w:rPr>
        <w:t>Flexer</w:t>
      </w:r>
      <w:proofErr w:type="spellEnd"/>
      <w:r w:rsidRPr="005D0287">
        <w:rPr>
          <w:rFonts w:cstheme="minorHAnsi"/>
          <w:shd w:val="clear" w:color="auto" w:fill="FFFFFF"/>
        </w:rPr>
        <w:t xml:space="preserve">, V., </w:t>
      </w:r>
      <w:proofErr w:type="spellStart"/>
      <w:r w:rsidRPr="005D0287">
        <w:rPr>
          <w:rFonts w:cstheme="minorHAnsi"/>
          <w:shd w:val="clear" w:color="auto" w:fill="FFFFFF"/>
        </w:rPr>
        <w:t>Baspineiro</w:t>
      </w:r>
      <w:proofErr w:type="spellEnd"/>
      <w:r w:rsidRPr="005D0287">
        <w:rPr>
          <w:rFonts w:cstheme="minorHAnsi"/>
          <w:shd w:val="clear" w:color="auto" w:fill="FFFFFF"/>
        </w:rPr>
        <w:t>, C.F. and Galli, C.I. (2018) 'Lithium Recovery from Brines: A Vital Raw Material for Green Energies with a Potential Environmental Impact in its Mining and Processing', </w:t>
      </w:r>
      <w:r w:rsidRPr="005D0287">
        <w:rPr>
          <w:rFonts w:cstheme="minorHAnsi"/>
          <w:i/>
          <w:iCs/>
          <w:shd w:val="clear" w:color="auto" w:fill="FFFFFF"/>
        </w:rPr>
        <w:t xml:space="preserve">Science of the Total </w:t>
      </w:r>
      <w:proofErr w:type="spellStart"/>
      <w:r w:rsidRPr="005D0287">
        <w:rPr>
          <w:rFonts w:cstheme="minorHAnsi"/>
          <w:i/>
          <w:iCs/>
          <w:shd w:val="clear" w:color="auto" w:fill="FFFFFF"/>
        </w:rPr>
        <w:t>Enviroment</w:t>
      </w:r>
      <w:proofErr w:type="spellEnd"/>
      <w:r w:rsidRPr="005D0287">
        <w:rPr>
          <w:rFonts w:cstheme="minorHAnsi"/>
          <w:i/>
          <w:iCs/>
          <w:shd w:val="clear" w:color="auto" w:fill="FFFFFF"/>
        </w:rPr>
        <w:t>, </w:t>
      </w:r>
      <w:r w:rsidRPr="005D0287">
        <w:rPr>
          <w:rFonts w:cstheme="minorHAnsi"/>
          <w:shd w:val="clear" w:color="auto" w:fill="FFFFFF"/>
        </w:rPr>
        <w:t>639(10), pp. 1188-1204 [Online]. Available at: </w:t>
      </w:r>
      <w:r w:rsidRPr="005D0287">
        <w:rPr>
          <w:rFonts w:cstheme="minorHAnsi"/>
          <w:i/>
          <w:iCs/>
          <w:u w:val="single"/>
          <w:shd w:val="clear" w:color="auto" w:fill="FFFFFF"/>
        </w:rPr>
        <w:t>https://booksc.org/book/70518352/caffa4</w:t>
      </w:r>
      <w:r w:rsidRPr="005D0287">
        <w:rPr>
          <w:rFonts w:cstheme="minorHAnsi"/>
          <w:shd w:val="clear" w:color="auto" w:fill="FFFFFF"/>
        </w:rPr>
        <w:t> (Accessed: 25th October 2021).</w:t>
      </w:r>
      <w:r w:rsidRPr="005D0287">
        <w:rPr>
          <w:rFonts w:cstheme="minorHAnsi"/>
        </w:rPr>
        <w:br/>
      </w:r>
    </w:p>
    <w:p w14:paraId="491D09F4" w14:textId="77777777" w:rsidR="005D0287" w:rsidRDefault="005D0287" w:rsidP="001400FE">
      <w:pPr>
        <w:spacing w:before="240"/>
        <w:rPr>
          <w:rFonts w:cstheme="minorHAnsi"/>
          <w:shd w:val="clear" w:color="auto" w:fill="FFFFFF"/>
        </w:rPr>
      </w:pPr>
      <w:r w:rsidRPr="005D0287">
        <w:rPr>
          <w:rFonts w:cstheme="minorHAnsi"/>
          <w:shd w:val="clear" w:color="auto" w:fill="FFFFFF"/>
        </w:rPr>
        <w:t xml:space="preserve">Gao, Yu, Y., Wang, D.-H., Wang, W., Wang, C.-H., Dai, H.-Z., Hao, X.-F. and Cen, K. (2021) 'Effects of lithium resource exploitation on surface water at </w:t>
      </w:r>
      <w:proofErr w:type="spellStart"/>
      <w:r w:rsidRPr="005D0287">
        <w:rPr>
          <w:rFonts w:cstheme="minorHAnsi"/>
          <w:shd w:val="clear" w:color="auto" w:fill="FFFFFF"/>
        </w:rPr>
        <w:t>Jiajika</w:t>
      </w:r>
      <w:proofErr w:type="spellEnd"/>
      <w:r w:rsidRPr="005D0287">
        <w:rPr>
          <w:rFonts w:cstheme="minorHAnsi"/>
          <w:shd w:val="clear" w:color="auto" w:fill="FFFFFF"/>
        </w:rPr>
        <w:t xml:space="preserve"> mine, China', </w:t>
      </w:r>
      <w:r w:rsidRPr="005D0287">
        <w:rPr>
          <w:rFonts w:cstheme="minorHAnsi"/>
          <w:i/>
          <w:iCs/>
          <w:shd w:val="clear" w:color="auto" w:fill="FFFFFF"/>
        </w:rPr>
        <w:t>Environmental Monitoring and Assessment, </w:t>
      </w:r>
      <w:r w:rsidRPr="005D0287">
        <w:rPr>
          <w:rFonts w:cstheme="minorHAnsi"/>
          <w:shd w:val="clear" w:color="auto" w:fill="FFFFFF"/>
        </w:rPr>
        <w:t>193(2), pp. 81 [Online]. Available at: </w:t>
      </w:r>
      <w:r w:rsidRPr="005D0287">
        <w:rPr>
          <w:rFonts w:cstheme="minorHAnsi"/>
          <w:i/>
          <w:iCs/>
          <w:u w:val="single"/>
          <w:shd w:val="clear" w:color="auto" w:fill="FFFFFF"/>
        </w:rPr>
        <w:t>https://librarysearch.uwtsd.ac.uk/discovery/fulldisplay?docid=cdi_gale_infotracacademiconefile_A649431747&amp;context=PC&amp;vid=44WHELF_UWTSD:44WHELF_UWTSD_VU1&amp;lang=en&amp;search_scope=MyInst_and_CI&amp;adaptor=Primo%20Central&amp;tab=Everything&amp;query=any,contains,Effects%20of%20lithium%20resource%20exploitation%20on%20surface%20water%20at%20Jiajika%20mine%20%20China</w:t>
      </w:r>
      <w:r w:rsidRPr="005D0287">
        <w:rPr>
          <w:rFonts w:cstheme="minorHAnsi"/>
          <w:shd w:val="clear" w:color="auto" w:fill="FFFFFF"/>
        </w:rPr>
        <w:t> (Accessed: 25th October 2021).</w:t>
      </w:r>
      <w:r w:rsidRPr="005D0287">
        <w:rPr>
          <w:rFonts w:cstheme="minorHAnsi"/>
        </w:rPr>
        <w:br/>
      </w:r>
    </w:p>
    <w:p w14:paraId="5FE3D77E" w14:textId="77777777" w:rsidR="005D0287" w:rsidRDefault="005D0287" w:rsidP="001400FE">
      <w:pPr>
        <w:spacing w:before="240"/>
        <w:rPr>
          <w:rFonts w:cstheme="minorHAnsi"/>
          <w:shd w:val="clear" w:color="auto" w:fill="FFFFFF"/>
        </w:rPr>
      </w:pPr>
      <w:proofErr w:type="spellStart"/>
      <w:r w:rsidRPr="005D0287">
        <w:rPr>
          <w:rFonts w:cstheme="minorHAnsi"/>
          <w:shd w:val="clear" w:color="auto" w:fill="FFFFFF"/>
        </w:rPr>
        <w:t>Harrabin</w:t>
      </w:r>
      <w:proofErr w:type="spellEnd"/>
      <w:r w:rsidRPr="005D0287">
        <w:rPr>
          <w:rFonts w:cstheme="minorHAnsi"/>
          <w:shd w:val="clear" w:color="auto" w:fill="FFFFFF"/>
        </w:rPr>
        <w:t>, R. (2020) </w:t>
      </w:r>
      <w:r w:rsidRPr="005D0287">
        <w:rPr>
          <w:rFonts w:cstheme="minorHAnsi"/>
          <w:i/>
          <w:iCs/>
          <w:shd w:val="clear" w:color="auto" w:fill="FFFFFF"/>
        </w:rPr>
        <w:t>Ban on new petrol and diesel cars in UK from 2030 under PM's green plan, </w:t>
      </w:r>
      <w:r w:rsidRPr="005D0287">
        <w:rPr>
          <w:rFonts w:cstheme="minorHAnsi"/>
          <w:shd w:val="clear" w:color="auto" w:fill="FFFFFF"/>
        </w:rPr>
        <w:t>Available at: </w:t>
      </w:r>
      <w:r w:rsidRPr="005D0287">
        <w:rPr>
          <w:rFonts w:cstheme="minorHAnsi"/>
          <w:i/>
          <w:iCs/>
          <w:u w:val="single"/>
          <w:shd w:val="clear" w:color="auto" w:fill="FFFFFF"/>
        </w:rPr>
        <w:t>https://www.bbc.co.uk/news/science-environment-54981425</w:t>
      </w:r>
      <w:r w:rsidRPr="005D0287">
        <w:rPr>
          <w:rFonts w:cstheme="minorHAnsi"/>
          <w:shd w:val="clear" w:color="auto" w:fill="FFFFFF"/>
        </w:rPr>
        <w:t> (Accessed: 21st November 2021).</w:t>
      </w:r>
      <w:r w:rsidRPr="005D0287">
        <w:rPr>
          <w:rFonts w:cstheme="minorHAnsi"/>
        </w:rPr>
        <w:br/>
      </w:r>
      <w:r w:rsidRPr="005D0287">
        <w:rPr>
          <w:rFonts w:cstheme="minorHAnsi"/>
          <w:shd w:val="clear" w:color="auto" w:fill="FFFFFF"/>
        </w:rPr>
        <w:t>Health and Safety Executive (2013) </w:t>
      </w:r>
      <w:r w:rsidRPr="005D0287">
        <w:rPr>
          <w:rFonts w:cstheme="minorHAnsi"/>
          <w:i/>
          <w:iCs/>
          <w:shd w:val="clear" w:color="auto" w:fill="FFFFFF"/>
        </w:rPr>
        <w:t xml:space="preserve">Cobalt and You. Working with Cobalt – Are You at </w:t>
      </w:r>
      <w:proofErr w:type="gramStart"/>
      <w:r w:rsidRPr="005D0287">
        <w:rPr>
          <w:rFonts w:cstheme="minorHAnsi"/>
          <w:i/>
          <w:iCs/>
          <w:shd w:val="clear" w:color="auto" w:fill="FFFFFF"/>
        </w:rPr>
        <w:t>Risk?,</w:t>
      </w:r>
      <w:proofErr w:type="gramEnd"/>
      <w:r w:rsidRPr="005D0287">
        <w:rPr>
          <w:rFonts w:cstheme="minorHAnsi"/>
          <w:i/>
          <w:iCs/>
          <w:shd w:val="clear" w:color="auto" w:fill="FFFFFF"/>
        </w:rPr>
        <w:t> </w:t>
      </w:r>
      <w:r w:rsidRPr="005D0287">
        <w:rPr>
          <w:rFonts w:cstheme="minorHAnsi"/>
          <w:shd w:val="clear" w:color="auto" w:fill="FFFFFF"/>
        </w:rPr>
        <w:t>Available at: </w:t>
      </w:r>
      <w:r w:rsidRPr="005D0287">
        <w:rPr>
          <w:rFonts w:cstheme="minorHAnsi"/>
          <w:i/>
          <w:iCs/>
          <w:u w:val="single"/>
          <w:shd w:val="clear" w:color="auto" w:fill="FFFFFF"/>
        </w:rPr>
        <w:t>https://www.hse.gov.uk/pubns/indg442.pdf</w:t>
      </w:r>
      <w:r w:rsidRPr="005D0287">
        <w:rPr>
          <w:rFonts w:cstheme="minorHAnsi"/>
          <w:shd w:val="clear" w:color="auto" w:fill="FFFFFF"/>
        </w:rPr>
        <w:t> (Accessed: 20th November 2021).</w:t>
      </w:r>
      <w:r w:rsidRPr="005D0287">
        <w:rPr>
          <w:rFonts w:cstheme="minorHAnsi"/>
        </w:rPr>
        <w:br/>
      </w:r>
    </w:p>
    <w:p w14:paraId="16847A42" w14:textId="77777777" w:rsidR="005D0287" w:rsidRDefault="005D0287" w:rsidP="001400FE">
      <w:pPr>
        <w:spacing w:before="240"/>
        <w:rPr>
          <w:rFonts w:cstheme="minorHAnsi"/>
          <w:shd w:val="clear" w:color="auto" w:fill="FFFFFF"/>
        </w:rPr>
      </w:pPr>
      <w:r w:rsidRPr="005D0287">
        <w:rPr>
          <w:rFonts w:cstheme="minorHAnsi"/>
          <w:shd w:val="clear" w:color="auto" w:fill="FFFFFF"/>
        </w:rPr>
        <w:t>Hill, J.S. (2021) </w:t>
      </w:r>
      <w:r w:rsidRPr="005D0287">
        <w:rPr>
          <w:rFonts w:cstheme="minorHAnsi"/>
          <w:i/>
          <w:iCs/>
          <w:shd w:val="clear" w:color="auto" w:fill="FFFFFF"/>
        </w:rPr>
        <w:t>EDF and Nissan to launch vehicle-to-grid service for EV fleets, </w:t>
      </w:r>
      <w:r w:rsidRPr="005D0287">
        <w:rPr>
          <w:rFonts w:cstheme="minorHAnsi"/>
          <w:shd w:val="clear" w:color="auto" w:fill="FFFFFF"/>
        </w:rPr>
        <w:t>Available at: </w:t>
      </w:r>
      <w:r w:rsidRPr="005D0287">
        <w:rPr>
          <w:rFonts w:cstheme="minorHAnsi"/>
          <w:i/>
          <w:iCs/>
          <w:u w:val="single"/>
          <w:shd w:val="clear" w:color="auto" w:fill="FFFFFF"/>
        </w:rPr>
        <w:t>https://thedriven.io/2021/08/04/edf-and-nissan-to-launch-vehicle-to-grid-service-for-ev-fleets/</w:t>
      </w:r>
      <w:r w:rsidRPr="005D0287">
        <w:rPr>
          <w:rFonts w:cstheme="minorHAnsi"/>
          <w:shd w:val="clear" w:color="auto" w:fill="FFFFFF"/>
        </w:rPr>
        <w:t> (Accessed: 11 November 2021).</w:t>
      </w:r>
      <w:r w:rsidRPr="005D0287">
        <w:rPr>
          <w:rFonts w:cstheme="minorHAnsi"/>
        </w:rPr>
        <w:br/>
      </w:r>
    </w:p>
    <w:p w14:paraId="50DE0146" w14:textId="77777777" w:rsidR="005D0287" w:rsidRDefault="005D0287" w:rsidP="001400FE">
      <w:pPr>
        <w:spacing w:before="240"/>
        <w:rPr>
          <w:rFonts w:cstheme="minorHAnsi"/>
          <w:shd w:val="clear" w:color="auto" w:fill="FFFFFF"/>
        </w:rPr>
      </w:pPr>
      <w:proofErr w:type="spellStart"/>
      <w:r w:rsidRPr="005D0287">
        <w:rPr>
          <w:rFonts w:cstheme="minorHAnsi"/>
          <w:shd w:val="clear" w:color="auto" w:fill="FFFFFF"/>
        </w:rPr>
        <w:t>Jaskula</w:t>
      </w:r>
      <w:proofErr w:type="spellEnd"/>
      <w:r w:rsidRPr="005D0287">
        <w:rPr>
          <w:rFonts w:cstheme="minorHAnsi"/>
          <w:shd w:val="clear" w:color="auto" w:fill="FFFFFF"/>
        </w:rPr>
        <w:t>, B.W. (2017) </w:t>
      </w:r>
      <w:r w:rsidRPr="005D0287">
        <w:rPr>
          <w:rFonts w:cstheme="minorHAnsi"/>
          <w:i/>
          <w:iCs/>
          <w:shd w:val="clear" w:color="auto" w:fill="FFFFFF"/>
        </w:rPr>
        <w:t>2017 Minerals Yearbook U.S. Department of the Interior U.S. Geological Survey LITHIUM [ADVANCE RELEASE], </w:t>
      </w:r>
      <w:r w:rsidRPr="005D0287">
        <w:rPr>
          <w:rFonts w:cstheme="minorHAnsi"/>
          <w:shd w:val="clear" w:color="auto" w:fill="FFFFFF"/>
        </w:rPr>
        <w:t>Available at: </w:t>
      </w:r>
      <w:r w:rsidRPr="005D0287">
        <w:rPr>
          <w:rFonts w:cstheme="minorHAnsi"/>
          <w:i/>
          <w:iCs/>
          <w:u w:val="single"/>
          <w:shd w:val="clear" w:color="auto" w:fill="FFFFFF"/>
        </w:rPr>
        <w:t>https://www.usgs.gov/centers/nmic/minerals-yearbook-metals-and-minerals</w:t>
      </w:r>
      <w:r w:rsidRPr="005D0287">
        <w:rPr>
          <w:rFonts w:cstheme="minorHAnsi"/>
          <w:shd w:val="clear" w:color="auto" w:fill="FFFFFF"/>
        </w:rPr>
        <w:t> (Accessed: 25th October 2021).</w:t>
      </w:r>
      <w:r w:rsidRPr="005D0287">
        <w:rPr>
          <w:rFonts w:cstheme="minorHAnsi"/>
        </w:rPr>
        <w:br/>
      </w:r>
    </w:p>
    <w:p w14:paraId="100B6FC6" w14:textId="77777777" w:rsidR="005D0287" w:rsidRDefault="005D0287" w:rsidP="001400FE">
      <w:pPr>
        <w:spacing w:before="240"/>
        <w:rPr>
          <w:rFonts w:cstheme="minorHAnsi"/>
          <w:shd w:val="clear" w:color="auto" w:fill="FFFFFF"/>
        </w:rPr>
      </w:pPr>
      <w:proofErr w:type="spellStart"/>
      <w:r w:rsidRPr="005D0287">
        <w:rPr>
          <w:rFonts w:cstheme="minorHAnsi"/>
          <w:shd w:val="clear" w:color="auto" w:fill="FFFFFF"/>
        </w:rPr>
        <w:lastRenderedPageBreak/>
        <w:t>Karrech</w:t>
      </w:r>
      <w:proofErr w:type="spellEnd"/>
      <w:r w:rsidRPr="005D0287">
        <w:rPr>
          <w:rFonts w:cstheme="minorHAnsi"/>
          <w:shd w:val="clear" w:color="auto" w:fill="FFFFFF"/>
        </w:rPr>
        <w:t xml:space="preserve">, A., Azadi, M.R., </w:t>
      </w:r>
      <w:proofErr w:type="spellStart"/>
      <w:r w:rsidRPr="005D0287">
        <w:rPr>
          <w:rFonts w:cstheme="minorHAnsi"/>
          <w:shd w:val="clear" w:color="auto" w:fill="FFFFFF"/>
        </w:rPr>
        <w:t>Elchalakani</w:t>
      </w:r>
      <w:proofErr w:type="spellEnd"/>
      <w:r w:rsidRPr="005D0287">
        <w:rPr>
          <w:rFonts w:cstheme="minorHAnsi"/>
          <w:shd w:val="clear" w:color="auto" w:fill="FFFFFF"/>
        </w:rPr>
        <w:t xml:space="preserve">, M., Shahin, M.A. and </w:t>
      </w:r>
      <w:proofErr w:type="spellStart"/>
      <w:r w:rsidRPr="005D0287">
        <w:rPr>
          <w:rFonts w:cstheme="minorHAnsi"/>
          <w:shd w:val="clear" w:color="auto" w:fill="FFFFFF"/>
        </w:rPr>
        <w:t>Seibi</w:t>
      </w:r>
      <w:proofErr w:type="spellEnd"/>
      <w:r w:rsidRPr="005D0287">
        <w:rPr>
          <w:rFonts w:cstheme="minorHAnsi"/>
          <w:shd w:val="clear" w:color="auto" w:fill="FFFFFF"/>
        </w:rPr>
        <w:t xml:space="preserve">, A.C. (2020) 'A review on methods for liberating lithium from </w:t>
      </w:r>
      <w:proofErr w:type="spellStart"/>
      <w:r w:rsidRPr="005D0287">
        <w:rPr>
          <w:rFonts w:cstheme="minorHAnsi"/>
          <w:shd w:val="clear" w:color="auto" w:fill="FFFFFF"/>
        </w:rPr>
        <w:t>pegmatities</w:t>
      </w:r>
      <w:proofErr w:type="spellEnd"/>
      <w:r w:rsidRPr="005D0287">
        <w:rPr>
          <w:rFonts w:cstheme="minorHAnsi"/>
          <w:shd w:val="clear" w:color="auto" w:fill="FFFFFF"/>
        </w:rPr>
        <w:t>', </w:t>
      </w:r>
      <w:r w:rsidRPr="005D0287">
        <w:rPr>
          <w:rFonts w:cstheme="minorHAnsi"/>
          <w:i/>
          <w:iCs/>
          <w:shd w:val="clear" w:color="auto" w:fill="FFFFFF"/>
        </w:rPr>
        <w:t xml:space="preserve">Minerals </w:t>
      </w:r>
      <w:proofErr w:type="gramStart"/>
      <w:r w:rsidRPr="005D0287">
        <w:rPr>
          <w:rFonts w:cstheme="minorHAnsi"/>
          <w:i/>
          <w:iCs/>
          <w:shd w:val="clear" w:color="auto" w:fill="FFFFFF"/>
        </w:rPr>
        <w:t>Engineering ,</w:t>
      </w:r>
      <w:proofErr w:type="gramEnd"/>
      <w:r w:rsidRPr="005D0287">
        <w:rPr>
          <w:rFonts w:cstheme="minorHAnsi"/>
          <w:i/>
          <w:iCs/>
          <w:shd w:val="clear" w:color="auto" w:fill="FFFFFF"/>
        </w:rPr>
        <w:t> </w:t>
      </w:r>
      <w:r w:rsidRPr="005D0287">
        <w:rPr>
          <w:rFonts w:cstheme="minorHAnsi"/>
          <w:shd w:val="clear" w:color="auto" w:fill="FFFFFF"/>
        </w:rPr>
        <w:t>145(01), pp. [Online]. Available at: </w:t>
      </w:r>
      <w:r w:rsidRPr="005D0287">
        <w:rPr>
          <w:rFonts w:cstheme="minorHAnsi"/>
          <w:i/>
          <w:iCs/>
          <w:u w:val="single"/>
          <w:shd w:val="clear" w:color="auto" w:fill="FFFFFF"/>
        </w:rPr>
        <w:t>https://www-sciencedirect-com.ezproxy.uwtsd.ac.uk/science/article/pii/S0892687519304960</w:t>
      </w:r>
      <w:r w:rsidRPr="005D0287">
        <w:rPr>
          <w:rFonts w:cstheme="minorHAnsi"/>
          <w:shd w:val="clear" w:color="auto" w:fill="FFFFFF"/>
        </w:rPr>
        <w:t> (Accessed: 25th October 2021).</w:t>
      </w:r>
      <w:r w:rsidRPr="005D0287">
        <w:rPr>
          <w:rFonts w:cstheme="minorHAnsi"/>
        </w:rPr>
        <w:br/>
      </w:r>
    </w:p>
    <w:p w14:paraId="1E20961C" w14:textId="77777777" w:rsidR="005D0287" w:rsidRDefault="005D0287" w:rsidP="001400FE">
      <w:pPr>
        <w:spacing w:before="240"/>
        <w:rPr>
          <w:rFonts w:cstheme="minorHAnsi"/>
          <w:shd w:val="clear" w:color="auto" w:fill="FFFFFF"/>
        </w:rPr>
      </w:pPr>
      <w:r w:rsidRPr="005D0287">
        <w:rPr>
          <w:rFonts w:cstheme="minorHAnsi"/>
          <w:shd w:val="clear" w:color="auto" w:fill="FFFFFF"/>
        </w:rPr>
        <w:t>Lindahl, J. (2014) </w:t>
      </w:r>
      <w:r w:rsidRPr="005D0287">
        <w:rPr>
          <w:rFonts w:cstheme="minorHAnsi"/>
          <w:i/>
          <w:iCs/>
          <w:shd w:val="clear" w:color="auto" w:fill="FFFFFF"/>
        </w:rPr>
        <w:t>Environmental Impacts of Mining in Zambia Towards Better Environmental Management and Sustainable Exploitation of Mineral Resources, </w:t>
      </w:r>
      <w:r w:rsidRPr="005D0287">
        <w:rPr>
          <w:rFonts w:cstheme="minorHAnsi"/>
          <w:shd w:val="clear" w:color="auto" w:fill="FFFFFF"/>
        </w:rPr>
        <w:t>Available at: </w:t>
      </w:r>
      <w:r w:rsidRPr="005D0287">
        <w:rPr>
          <w:rFonts w:cstheme="minorHAnsi"/>
          <w:i/>
          <w:iCs/>
          <w:u w:val="single"/>
          <w:shd w:val="clear" w:color="auto" w:fill="FFFFFF"/>
        </w:rPr>
        <w:t>http://resource.sgu.se/produkter/sgurapp/s1422-rapport.pdf</w:t>
      </w:r>
      <w:r w:rsidRPr="005D0287">
        <w:rPr>
          <w:rFonts w:cstheme="minorHAnsi"/>
          <w:shd w:val="clear" w:color="auto" w:fill="FFFFFF"/>
        </w:rPr>
        <w:t> (Accessed: 18th November 2021).</w:t>
      </w:r>
      <w:r w:rsidRPr="005D0287">
        <w:rPr>
          <w:rFonts w:cstheme="minorHAnsi"/>
        </w:rPr>
        <w:br/>
      </w:r>
    </w:p>
    <w:p w14:paraId="1785B056" w14:textId="77777777" w:rsidR="005D0287" w:rsidRDefault="005D0287" w:rsidP="001400FE">
      <w:pPr>
        <w:spacing w:before="240"/>
        <w:rPr>
          <w:rFonts w:cstheme="minorHAnsi"/>
          <w:shd w:val="clear" w:color="auto" w:fill="FFFFFF"/>
        </w:rPr>
      </w:pPr>
      <w:r w:rsidRPr="005D0287">
        <w:rPr>
          <w:rFonts w:cstheme="minorHAnsi"/>
          <w:shd w:val="clear" w:color="auto" w:fill="FFFFFF"/>
        </w:rPr>
        <w:t>Liu, C., Chau, K.T., Wu, D. and Gao, S. (2013) 'Opportunities and Challenges of Vehicle-to-Home, Vehicle-to-Vehicle, and Vehicle-to-Grid Technologies', </w:t>
      </w:r>
      <w:r w:rsidRPr="005D0287">
        <w:rPr>
          <w:rFonts w:cstheme="minorHAnsi"/>
          <w:i/>
          <w:iCs/>
          <w:shd w:val="clear" w:color="auto" w:fill="FFFFFF"/>
        </w:rPr>
        <w:t>Proceedings of the IEEE, </w:t>
      </w:r>
      <w:r w:rsidRPr="005D0287">
        <w:rPr>
          <w:rFonts w:cstheme="minorHAnsi"/>
          <w:shd w:val="clear" w:color="auto" w:fill="FFFFFF"/>
        </w:rPr>
        <w:t>101(11), pp. 2409 - 2427 [Online]. Available at: </w:t>
      </w:r>
      <w:r w:rsidRPr="005D0287">
        <w:rPr>
          <w:rFonts w:cstheme="minorHAnsi"/>
          <w:i/>
          <w:iCs/>
          <w:u w:val="single"/>
          <w:shd w:val="clear" w:color="auto" w:fill="FFFFFF"/>
        </w:rPr>
        <w:t>https://ieeexplore-ieee-org.ezproxy.uwtsd.ac.uk/document/6571224</w:t>
      </w:r>
      <w:r w:rsidRPr="005D0287">
        <w:rPr>
          <w:rFonts w:cstheme="minorHAnsi"/>
          <w:shd w:val="clear" w:color="auto" w:fill="FFFFFF"/>
        </w:rPr>
        <w:t> (Accessed: 21 November 2021).</w:t>
      </w:r>
      <w:r w:rsidRPr="005D0287">
        <w:rPr>
          <w:rFonts w:cstheme="minorHAnsi"/>
        </w:rPr>
        <w:br/>
      </w:r>
    </w:p>
    <w:p w14:paraId="3A4316A8" w14:textId="77777777" w:rsidR="005D0287" w:rsidRDefault="005D0287" w:rsidP="001400FE">
      <w:pPr>
        <w:spacing w:before="240"/>
        <w:rPr>
          <w:rFonts w:cstheme="minorHAnsi"/>
          <w:shd w:val="clear" w:color="auto" w:fill="FFFFFF"/>
        </w:rPr>
      </w:pPr>
      <w:r w:rsidRPr="005D0287">
        <w:rPr>
          <w:rFonts w:cstheme="minorHAnsi"/>
          <w:shd w:val="clear" w:color="auto" w:fill="FFFFFF"/>
        </w:rPr>
        <w:t>Martin, V. (2021) </w:t>
      </w:r>
      <w:r w:rsidRPr="005D0287">
        <w:rPr>
          <w:rFonts w:cstheme="minorHAnsi"/>
          <w:i/>
          <w:iCs/>
          <w:shd w:val="clear" w:color="auto" w:fill="FFFFFF"/>
        </w:rPr>
        <w:t>Chapter 5: Electricity, </w:t>
      </w:r>
      <w:r w:rsidRPr="005D0287">
        <w:rPr>
          <w:rFonts w:cstheme="minorHAnsi"/>
          <w:shd w:val="clear" w:color="auto" w:fill="FFFFFF"/>
        </w:rPr>
        <w:t>Available at: </w:t>
      </w:r>
      <w:r w:rsidRPr="005D0287">
        <w:rPr>
          <w:rFonts w:cstheme="minorHAnsi"/>
          <w:i/>
          <w:iCs/>
          <w:u w:val="single"/>
          <w:shd w:val="clear" w:color="auto" w:fill="FFFFFF"/>
        </w:rPr>
        <w:t>https://assets.publishing.service.gov.uk/government/uploads/system/uploads/attachment_data/file/1006701/DUKES_2021_Chapter_5_Electricity.pdf</w:t>
      </w:r>
      <w:r w:rsidRPr="005D0287">
        <w:rPr>
          <w:rFonts w:cstheme="minorHAnsi"/>
          <w:shd w:val="clear" w:color="auto" w:fill="FFFFFF"/>
        </w:rPr>
        <w:t> (Accessed: 20th November 2021).</w:t>
      </w:r>
      <w:r w:rsidRPr="005D0287">
        <w:rPr>
          <w:rFonts w:cstheme="minorHAnsi"/>
        </w:rPr>
        <w:br/>
      </w:r>
    </w:p>
    <w:p w14:paraId="49855672" w14:textId="77777777" w:rsidR="005D0287" w:rsidRDefault="005D0287" w:rsidP="001400FE">
      <w:pPr>
        <w:spacing w:before="240"/>
        <w:rPr>
          <w:rFonts w:cstheme="minorHAnsi"/>
          <w:shd w:val="clear" w:color="auto" w:fill="FFFFFF"/>
        </w:rPr>
      </w:pPr>
      <w:proofErr w:type="spellStart"/>
      <w:r w:rsidRPr="005D0287">
        <w:rPr>
          <w:rFonts w:cstheme="minorHAnsi"/>
          <w:shd w:val="clear" w:color="auto" w:fill="FFFFFF"/>
        </w:rPr>
        <w:t>Masrur</w:t>
      </w:r>
      <w:proofErr w:type="spellEnd"/>
      <w:r w:rsidRPr="005D0287">
        <w:rPr>
          <w:rFonts w:cstheme="minorHAnsi"/>
          <w:shd w:val="clear" w:color="auto" w:fill="FFFFFF"/>
        </w:rPr>
        <w:t xml:space="preserve">, M.A., </w:t>
      </w:r>
      <w:proofErr w:type="spellStart"/>
      <w:r w:rsidRPr="005D0287">
        <w:rPr>
          <w:rFonts w:cstheme="minorHAnsi"/>
          <w:shd w:val="clear" w:color="auto" w:fill="FFFFFF"/>
        </w:rPr>
        <w:t>Skowronska</w:t>
      </w:r>
      <w:proofErr w:type="spellEnd"/>
      <w:r w:rsidRPr="005D0287">
        <w:rPr>
          <w:rFonts w:cstheme="minorHAnsi"/>
          <w:shd w:val="clear" w:color="auto" w:fill="FFFFFF"/>
        </w:rPr>
        <w:t xml:space="preserve">, A.G., Hancock, J., </w:t>
      </w:r>
      <w:proofErr w:type="spellStart"/>
      <w:r w:rsidRPr="005D0287">
        <w:rPr>
          <w:rFonts w:cstheme="minorHAnsi"/>
          <w:shd w:val="clear" w:color="auto" w:fill="FFFFFF"/>
        </w:rPr>
        <w:t>Kolhoff</w:t>
      </w:r>
      <w:proofErr w:type="spellEnd"/>
      <w:r w:rsidRPr="005D0287">
        <w:rPr>
          <w:rFonts w:cstheme="minorHAnsi"/>
          <w:shd w:val="clear" w:color="auto" w:fill="FFFFFF"/>
        </w:rPr>
        <w:t>, S.W., McGrew, D.Z., Vandiver, J.C. and Gatherer, J. (2018) 'Military-Based Vehicle-to-Grid and Vehicle-to-Vehicle Microgrid—System Architecture and Implementation', </w:t>
      </w:r>
      <w:r w:rsidRPr="005D0287">
        <w:rPr>
          <w:rFonts w:cstheme="minorHAnsi"/>
          <w:i/>
          <w:iCs/>
          <w:shd w:val="clear" w:color="auto" w:fill="FFFFFF"/>
        </w:rPr>
        <w:t>IEEE Transactions on Transportation Electrification, </w:t>
      </w:r>
      <w:r w:rsidRPr="005D0287">
        <w:rPr>
          <w:rFonts w:cstheme="minorHAnsi"/>
          <w:shd w:val="clear" w:color="auto" w:fill="FFFFFF"/>
        </w:rPr>
        <w:t>4(1), pp. 157 - 171 [Online]. Available at: </w:t>
      </w:r>
      <w:r w:rsidRPr="005D0287">
        <w:rPr>
          <w:rFonts w:cstheme="minorHAnsi"/>
          <w:i/>
          <w:iCs/>
          <w:u w:val="single"/>
          <w:shd w:val="clear" w:color="auto" w:fill="FFFFFF"/>
        </w:rPr>
        <w:t>https://ieeexplore-ieee-org.ezproxy.uwtsd.ac.uk/document/8125782</w:t>
      </w:r>
      <w:r w:rsidRPr="005D0287">
        <w:rPr>
          <w:rFonts w:cstheme="minorHAnsi"/>
          <w:shd w:val="clear" w:color="auto" w:fill="FFFFFF"/>
        </w:rPr>
        <w:t> (Accessed: 21 November 2021).</w:t>
      </w:r>
      <w:r w:rsidRPr="005D0287">
        <w:rPr>
          <w:rFonts w:cstheme="minorHAnsi"/>
        </w:rPr>
        <w:br/>
      </w:r>
    </w:p>
    <w:p w14:paraId="3CAA10C0" w14:textId="77777777" w:rsidR="005D0287" w:rsidRDefault="005D0287" w:rsidP="001400FE">
      <w:pPr>
        <w:spacing w:before="240"/>
        <w:rPr>
          <w:rFonts w:cstheme="minorHAnsi"/>
          <w:shd w:val="clear" w:color="auto" w:fill="FFFFFF"/>
        </w:rPr>
      </w:pPr>
      <w:r w:rsidRPr="005D0287">
        <w:rPr>
          <w:rFonts w:cstheme="minorHAnsi"/>
          <w:shd w:val="clear" w:color="auto" w:fill="FFFFFF"/>
        </w:rPr>
        <w:t xml:space="preserve">Meng, F., McNeice, J., Zadeh, S.S. and </w:t>
      </w:r>
      <w:proofErr w:type="spellStart"/>
      <w:r w:rsidRPr="005D0287">
        <w:rPr>
          <w:rFonts w:cstheme="minorHAnsi"/>
          <w:shd w:val="clear" w:color="auto" w:fill="FFFFFF"/>
        </w:rPr>
        <w:t>Ghahreman</w:t>
      </w:r>
      <w:proofErr w:type="spellEnd"/>
      <w:r w:rsidRPr="005D0287">
        <w:rPr>
          <w:rFonts w:cstheme="minorHAnsi"/>
          <w:shd w:val="clear" w:color="auto" w:fill="FFFFFF"/>
        </w:rPr>
        <w:t>, A. (2019) 'Review of Lithium Production and Recovery from Minerals, Brines, and Lithium-Ion Batteries', </w:t>
      </w:r>
      <w:r w:rsidRPr="005D0287">
        <w:rPr>
          <w:rFonts w:cstheme="minorHAnsi"/>
          <w:i/>
          <w:iCs/>
          <w:shd w:val="clear" w:color="auto" w:fill="FFFFFF"/>
        </w:rPr>
        <w:t>Mineral Processing and Extractive Metallurgy Review, </w:t>
      </w:r>
      <w:r w:rsidRPr="005D0287">
        <w:rPr>
          <w:rFonts w:cstheme="minorHAnsi"/>
          <w:shd w:val="clear" w:color="auto" w:fill="FFFFFF"/>
        </w:rPr>
        <w:t>42(2), pp. 123-141 [Online]. Available at: </w:t>
      </w:r>
      <w:r w:rsidRPr="005D0287">
        <w:rPr>
          <w:rFonts w:cstheme="minorHAnsi"/>
          <w:i/>
          <w:iCs/>
          <w:u w:val="single"/>
          <w:shd w:val="clear" w:color="auto" w:fill="FFFFFF"/>
        </w:rPr>
        <w:t>https://art1lib.org/book/77195898/7f3deb</w:t>
      </w:r>
      <w:r w:rsidRPr="005D0287">
        <w:rPr>
          <w:rFonts w:cstheme="minorHAnsi"/>
          <w:shd w:val="clear" w:color="auto" w:fill="FFFFFF"/>
        </w:rPr>
        <w:t> (Accessed: 25th October 2021).</w:t>
      </w:r>
      <w:r w:rsidRPr="005D0287">
        <w:rPr>
          <w:rFonts w:cstheme="minorHAnsi"/>
        </w:rPr>
        <w:br/>
      </w:r>
    </w:p>
    <w:p w14:paraId="23758AF3" w14:textId="77777777" w:rsidR="007D7817" w:rsidRDefault="005D0287" w:rsidP="005D0287">
      <w:pPr>
        <w:spacing w:before="240"/>
        <w:rPr>
          <w:rFonts w:ascii="Arial" w:hAnsi="Arial" w:cs="Arial"/>
          <w:color w:val="000000"/>
          <w:sz w:val="19"/>
          <w:szCs w:val="19"/>
          <w:shd w:val="clear" w:color="auto" w:fill="FFFFFF"/>
        </w:rPr>
      </w:pPr>
      <w:proofErr w:type="spellStart"/>
      <w:r w:rsidRPr="005D0287">
        <w:rPr>
          <w:rFonts w:cstheme="minorHAnsi"/>
          <w:shd w:val="clear" w:color="auto" w:fill="FFFFFF"/>
        </w:rPr>
        <w:t>Mikolajek</w:t>
      </w:r>
      <w:proofErr w:type="spellEnd"/>
      <w:r w:rsidRPr="005D0287">
        <w:rPr>
          <w:rFonts w:cstheme="minorHAnsi"/>
          <w:shd w:val="clear" w:color="auto" w:fill="FFFFFF"/>
        </w:rPr>
        <w:t xml:space="preserve">, M., </w:t>
      </w:r>
      <w:proofErr w:type="spellStart"/>
      <w:r w:rsidRPr="005D0287">
        <w:rPr>
          <w:rFonts w:cstheme="minorHAnsi"/>
          <w:shd w:val="clear" w:color="auto" w:fill="FFFFFF"/>
        </w:rPr>
        <w:t>Vala</w:t>
      </w:r>
      <w:proofErr w:type="spellEnd"/>
      <w:r w:rsidRPr="005D0287">
        <w:rPr>
          <w:rFonts w:cstheme="minorHAnsi"/>
          <w:shd w:val="clear" w:color="auto" w:fill="FFFFFF"/>
        </w:rPr>
        <w:t xml:space="preserve">, D., </w:t>
      </w:r>
      <w:proofErr w:type="spellStart"/>
      <w:r w:rsidRPr="005D0287">
        <w:rPr>
          <w:rFonts w:cstheme="minorHAnsi"/>
          <w:shd w:val="clear" w:color="auto" w:fill="FFFFFF"/>
        </w:rPr>
        <w:t>Freiedrischkova</w:t>
      </w:r>
      <w:proofErr w:type="spellEnd"/>
      <w:r w:rsidRPr="005D0287">
        <w:rPr>
          <w:rFonts w:cstheme="minorHAnsi"/>
          <w:shd w:val="clear" w:color="auto" w:fill="FFFFFF"/>
        </w:rPr>
        <w:t xml:space="preserve">, K., </w:t>
      </w:r>
      <w:proofErr w:type="spellStart"/>
      <w:r w:rsidRPr="005D0287">
        <w:rPr>
          <w:rFonts w:cstheme="minorHAnsi"/>
          <w:shd w:val="clear" w:color="auto" w:fill="FFFFFF"/>
        </w:rPr>
        <w:t>Koziorek</w:t>
      </w:r>
      <w:proofErr w:type="spellEnd"/>
      <w:r w:rsidRPr="005D0287">
        <w:rPr>
          <w:rFonts w:cstheme="minorHAnsi"/>
          <w:shd w:val="clear" w:color="auto" w:fill="FFFFFF"/>
        </w:rPr>
        <w:t xml:space="preserve">, J. and </w:t>
      </w:r>
      <w:proofErr w:type="spellStart"/>
      <w:r w:rsidRPr="005D0287">
        <w:rPr>
          <w:rFonts w:cstheme="minorHAnsi"/>
          <w:shd w:val="clear" w:color="auto" w:fill="FFFFFF"/>
        </w:rPr>
        <w:t>Horak</w:t>
      </w:r>
      <w:proofErr w:type="spellEnd"/>
      <w:r w:rsidRPr="005D0287">
        <w:rPr>
          <w:rFonts w:cstheme="minorHAnsi"/>
          <w:shd w:val="clear" w:color="auto" w:fill="FFFFFF"/>
        </w:rPr>
        <w:t>, B. (2018) 'Proposal Discharging Station Compatible with CHAdeMO Automotive Standard', </w:t>
      </w:r>
      <w:r w:rsidRPr="005D0287">
        <w:rPr>
          <w:rFonts w:cstheme="minorHAnsi"/>
          <w:i/>
          <w:iCs/>
          <w:shd w:val="clear" w:color="auto" w:fill="FFFFFF"/>
        </w:rPr>
        <w:t>IFAC-</w:t>
      </w:r>
      <w:proofErr w:type="spellStart"/>
      <w:proofErr w:type="gramStart"/>
      <w:r w:rsidRPr="005D0287">
        <w:rPr>
          <w:rFonts w:cstheme="minorHAnsi"/>
          <w:i/>
          <w:iCs/>
          <w:shd w:val="clear" w:color="auto" w:fill="FFFFFF"/>
        </w:rPr>
        <w:t>PapersOnLine</w:t>
      </w:r>
      <w:proofErr w:type="spellEnd"/>
      <w:r w:rsidRPr="005D0287">
        <w:rPr>
          <w:rFonts w:cstheme="minorHAnsi"/>
          <w:i/>
          <w:iCs/>
          <w:shd w:val="clear" w:color="auto" w:fill="FFFFFF"/>
        </w:rPr>
        <w:t xml:space="preserve"> ,</w:t>
      </w:r>
      <w:proofErr w:type="gramEnd"/>
      <w:r w:rsidRPr="005D0287">
        <w:rPr>
          <w:rFonts w:cstheme="minorHAnsi"/>
          <w:i/>
          <w:iCs/>
          <w:shd w:val="clear" w:color="auto" w:fill="FFFFFF"/>
        </w:rPr>
        <w:t> </w:t>
      </w:r>
      <w:r w:rsidRPr="005D0287">
        <w:rPr>
          <w:rFonts w:cstheme="minorHAnsi"/>
          <w:shd w:val="clear" w:color="auto" w:fill="FFFFFF"/>
        </w:rPr>
        <w:t>51(6), pp. 277-282 [Online]. Available at: </w:t>
      </w:r>
      <w:r w:rsidRPr="005D0287">
        <w:rPr>
          <w:rFonts w:cstheme="minorHAnsi"/>
          <w:i/>
          <w:iCs/>
          <w:u w:val="single"/>
          <w:shd w:val="clear" w:color="auto" w:fill="FFFFFF"/>
        </w:rPr>
        <w:t>https://www.sciencedirect.com/science/article/pii/S2405896318309121</w:t>
      </w:r>
      <w:r w:rsidRPr="005D0287">
        <w:rPr>
          <w:rFonts w:cstheme="minorHAnsi"/>
          <w:shd w:val="clear" w:color="auto" w:fill="FFFFFF"/>
        </w:rPr>
        <w:t> (Accessed: 21st November 2021 ).</w:t>
      </w:r>
      <w:r w:rsidRPr="005D0287">
        <w:rPr>
          <w:rFonts w:cstheme="minorHAnsi"/>
        </w:rPr>
        <w:br/>
      </w:r>
    </w:p>
    <w:p w14:paraId="2DB59CB5" w14:textId="7DDD077F" w:rsidR="005D0287" w:rsidRDefault="007D7817" w:rsidP="005D0287">
      <w:pPr>
        <w:spacing w:before="240"/>
        <w:rPr>
          <w:rFonts w:cstheme="minorHAnsi"/>
          <w:shd w:val="clear" w:color="auto" w:fill="FFFFFF"/>
        </w:rPr>
      </w:pPr>
      <w:r w:rsidRPr="007D7817">
        <w:rPr>
          <w:rFonts w:cstheme="minorHAnsi"/>
          <w:shd w:val="clear" w:color="auto" w:fill="FFFFFF"/>
        </w:rPr>
        <w:t>Race, M. (2021) New Homes in England to have Electric Car Chargers by Law, Available at: https://www.bbc.co.uk/news/business-59369715 (Accessed: 22nd November 2021).</w:t>
      </w:r>
    </w:p>
    <w:p w14:paraId="439FF8E0" w14:textId="183B1587" w:rsidR="005D0287" w:rsidRPr="005D0287" w:rsidRDefault="005D0287" w:rsidP="005D0287">
      <w:pPr>
        <w:spacing w:before="240"/>
        <w:rPr>
          <w:rFonts w:cstheme="minorHAnsi"/>
          <w:shd w:val="clear" w:color="auto" w:fill="FFFFFF"/>
        </w:rPr>
      </w:pPr>
      <w:r w:rsidRPr="005D0287">
        <w:rPr>
          <w:rFonts w:cstheme="minorHAnsi"/>
          <w:shd w:val="clear" w:color="auto" w:fill="FFFFFF"/>
        </w:rPr>
        <w:t>Shakeel, F. M. and Malik, O. P. (2019) ‘Vehicle-To-Grid Technology in a Micro-grid Using DC Fast Charging Architecture’, </w:t>
      </w:r>
      <w:r w:rsidRPr="005D0287">
        <w:rPr>
          <w:rStyle w:val="Emphasis"/>
          <w:rFonts w:cstheme="minorHAnsi"/>
          <w:shd w:val="clear" w:color="auto" w:fill="FFFFFF"/>
        </w:rPr>
        <w:t>2019 IEEE Canadian Conference of Electrical and Computer Engineering (CCECE)</w:t>
      </w:r>
      <w:r w:rsidRPr="005D0287">
        <w:rPr>
          <w:rFonts w:cstheme="minorHAnsi"/>
          <w:shd w:val="clear" w:color="auto" w:fill="FFFFFF"/>
        </w:rPr>
        <w:t xml:space="preserve">, Edmonton, 5-9 May, pp. 1-4. </w:t>
      </w:r>
      <w:proofErr w:type="spellStart"/>
      <w:r w:rsidRPr="005D0287">
        <w:rPr>
          <w:rFonts w:cstheme="minorHAnsi"/>
          <w:shd w:val="clear" w:color="auto" w:fill="FFFFFF"/>
        </w:rPr>
        <w:t>doi</w:t>
      </w:r>
      <w:proofErr w:type="spellEnd"/>
      <w:r w:rsidRPr="005D0287">
        <w:rPr>
          <w:rFonts w:cstheme="minorHAnsi"/>
          <w:shd w:val="clear" w:color="auto" w:fill="FFFFFF"/>
        </w:rPr>
        <w:t>: 10.1109/CCECE.2019.8861592.</w:t>
      </w:r>
    </w:p>
    <w:p w14:paraId="799095A8" w14:textId="77777777" w:rsidR="005D0287" w:rsidRDefault="005D0287" w:rsidP="001400FE">
      <w:pPr>
        <w:spacing w:before="240"/>
        <w:rPr>
          <w:rFonts w:cstheme="minorHAnsi"/>
          <w:shd w:val="clear" w:color="auto" w:fill="FFFFFF"/>
        </w:rPr>
      </w:pPr>
      <w:proofErr w:type="spellStart"/>
      <w:r w:rsidRPr="005D0287">
        <w:rPr>
          <w:rFonts w:cstheme="minorHAnsi"/>
          <w:shd w:val="clear" w:color="auto" w:fill="FFFFFF"/>
        </w:rPr>
        <w:lastRenderedPageBreak/>
        <w:t>Sterba</w:t>
      </w:r>
      <w:proofErr w:type="spellEnd"/>
      <w:r w:rsidRPr="005D0287">
        <w:rPr>
          <w:rFonts w:cstheme="minorHAnsi"/>
          <w:shd w:val="clear" w:color="auto" w:fill="FFFFFF"/>
        </w:rPr>
        <w:t xml:space="preserve">, J., </w:t>
      </w:r>
      <w:proofErr w:type="spellStart"/>
      <w:r w:rsidRPr="005D0287">
        <w:rPr>
          <w:rFonts w:cstheme="minorHAnsi"/>
          <w:shd w:val="clear" w:color="auto" w:fill="FFFFFF"/>
        </w:rPr>
        <w:t>Krzemień</w:t>
      </w:r>
      <w:proofErr w:type="spellEnd"/>
      <w:r w:rsidRPr="005D0287">
        <w:rPr>
          <w:rFonts w:cstheme="minorHAnsi"/>
          <w:shd w:val="clear" w:color="auto" w:fill="FFFFFF"/>
        </w:rPr>
        <w:t>, A., Fernández, P.R., García-Miranda, C.E. and Valverde, G.F. (2019) 'Lithium Mining: Accelerating the Transition to Sustainable Energy', </w:t>
      </w:r>
      <w:r w:rsidRPr="005D0287">
        <w:rPr>
          <w:rFonts w:cstheme="minorHAnsi"/>
          <w:i/>
          <w:iCs/>
          <w:shd w:val="clear" w:color="auto" w:fill="FFFFFF"/>
        </w:rPr>
        <w:t xml:space="preserve">Resources </w:t>
      </w:r>
      <w:proofErr w:type="gramStart"/>
      <w:r w:rsidRPr="005D0287">
        <w:rPr>
          <w:rFonts w:cstheme="minorHAnsi"/>
          <w:i/>
          <w:iCs/>
          <w:shd w:val="clear" w:color="auto" w:fill="FFFFFF"/>
        </w:rPr>
        <w:t>Policy ,</w:t>
      </w:r>
      <w:proofErr w:type="gramEnd"/>
      <w:r w:rsidRPr="005D0287">
        <w:rPr>
          <w:rFonts w:cstheme="minorHAnsi"/>
          <w:i/>
          <w:iCs/>
          <w:shd w:val="clear" w:color="auto" w:fill="FFFFFF"/>
        </w:rPr>
        <w:t> </w:t>
      </w:r>
      <w:r w:rsidRPr="005D0287">
        <w:rPr>
          <w:rFonts w:cstheme="minorHAnsi"/>
          <w:shd w:val="clear" w:color="auto" w:fill="FFFFFF"/>
        </w:rPr>
        <w:t>62(08), pp. 416-426 [Online]. Available at: </w:t>
      </w:r>
      <w:r w:rsidRPr="005D0287">
        <w:rPr>
          <w:rFonts w:cstheme="minorHAnsi"/>
          <w:i/>
          <w:iCs/>
          <w:u w:val="single"/>
          <w:shd w:val="clear" w:color="auto" w:fill="FFFFFF"/>
        </w:rPr>
        <w:t>https://booksc.org/book/74965204/95021e</w:t>
      </w:r>
      <w:r w:rsidRPr="005D0287">
        <w:rPr>
          <w:rFonts w:cstheme="minorHAnsi"/>
          <w:shd w:val="clear" w:color="auto" w:fill="FFFFFF"/>
        </w:rPr>
        <w:t> (Accessed: 25th October 2021).</w:t>
      </w:r>
      <w:r w:rsidRPr="005D0287">
        <w:rPr>
          <w:rFonts w:cstheme="minorHAnsi"/>
        </w:rPr>
        <w:br/>
      </w:r>
    </w:p>
    <w:p w14:paraId="29F123AF" w14:textId="5C350869" w:rsidR="005D0287" w:rsidRDefault="005D0287" w:rsidP="001400FE">
      <w:pPr>
        <w:spacing w:before="240"/>
        <w:rPr>
          <w:rFonts w:cstheme="minorHAnsi"/>
          <w:shd w:val="clear" w:color="auto" w:fill="FFFFFF"/>
        </w:rPr>
      </w:pPr>
      <w:r w:rsidRPr="005D0287">
        <w:rPr>
          <w:rFonts w:cstheme="minorHAnsi"/>
          <w:shd w:val="clear" w:color="auto" w:fill="FFFFFF"/>
        </w:rPr>
        <w:t xml:space="preserve">Tadesse, B., </w:t>
      </w:r>
      <w:proofErr w:type="spellStart"/>
      <w:r w:rsidRPr="005D0287">
        <w:rPr>
          <w:rFonts w:cstheme="minorHAnsi"/>
          <w:shd w:val="clear" w:color="auto" w:fill="FFFFFF"/>
        </w:rPr>
        <w:t>Makuei</w:t>
      </w:r>
      <w:proofErr w:type="spellEnd"/>
      <w:r w:rsidRPr="005D0287">
        <w:rPr>
          <w:rFonts w:cstheme="minorHAnsi"/>
          <w:shd w:val="clear" w:color="auto" w:fill="FFFFFF"/>
        </w:rPr>
        <w:t xml:space="preserve">, F., </w:t>
      </w:r>
      <w:proofErr w:type="spellStart"/>
      <w:r w:rsidRPr="005D0287">
        <w:rPr>
          <w:rFonts w:cstheme="minorHAnsi"/>
          <w:shd w:val="clear" w:color="auto" w:fill="FFFFFF"/>
        </w:rPr>
        <w:t>Albijanic</w:t>
      </w:r>
      <w:proofErr w:type="spellEnd"/>
      <w:r w:rsidRPr="005D0287">
        <w:rPr>
          <w:rFonts w:cstheme="minorHAnsi"/>
          <w:shd w:val="clear" w:color="auto" w:fill="FFFFFF"/>
        </w:rPr>
        <w:t>, B. and Dyer, L. (2019) 'The beneficiation of lithium minerals from hard rock ores: A review', </w:t>
      </w:r>
      <w:r w:rsidRPr="005D0287">
        <w:rPr>
          <w:rFonts w:cstheme="minorHAnsi"/>
          <w:i/>
          <w:iCs/>
          <w:shd w:val="clear" w:color="auto" w:fill="FFFFFF"/>
        </w:rPr>
        <w:t xml:space="preserve">Minerals </w:t>
      </w:r>
      <w:proofErr w:type="gramStart"/>
      <w:r w:rsidRPr="005D0287">
        <w:rPr>
          <w:rFonts w:cstheme="minorHAnsi"/>
          <w:i/>
          <w:iCs/>
          <w:shd w:val="clear" w:color="auto" w:fill="FFFFFF"/>
        </w:rPr>
        <w:t>Engineering ,</w:t>
      </w:r>
      <w:proofErr w:type="gramEnd"/>
      <w:r w:rsidRPr="005D0287">
        <w:rPr>
          <w:rFonts w:cstheme="minorHAnsi"/>
          <w:i/>
          <w:iCs/>
          <w:shd w:val="clear" w:color="auto" w:fill="FFFFFF"/>
        </w:rPr>
        <w:t> </w:t>
      </w:r>
      <w:r w:rsidRPr="005D0287">
        <w:rPr>
          <w:rFonts w:cstheme="minorHAnsi"/>
          <w:shd w:val="clear" w:color="auto" w:fill="FFFFFF"/>
        </w:rPr>
        <w:t>131(01), pp. 170-184 [Online]. Available at: </w:t>
      </w:r>
      <w:r w:rsidRPr="005D0287">
        <w:rPr>
          <w:rFonts w:cstheme="minorHAnsi"/>
          <w:i/>
          <w:iCs/>
          <w:u w:val="single"/>
          <w:shd w:val="clear" w:color="auto" w:fill="FFFFFF"/>
        </w:rPr>
        <w:t>https://www-sciencedirect-com.ezproxy.uwtsd.ac.uk/science/article/pii/S0892687518305089</w:t>
      </w:r>
      <w:r w:rsidRPr="005D0287">
        <w:rPr>
          <w:rFonts w:cstheme="minorHAnsi"/>
          <w:shd w:val="clear" w:color="auto" w:fill="FFFFFF"/>
        </w:rPr>
        <w:t> (Accessed: 25th October 2021).</w:t>
      </w:r>
      <w:r w:rsidRPr="005D0287">
        <w:rPr>
          <w:rFonts w:cstheme="minorHAnsi"/>
        </w:rPr>
        <w:br/>
      </w:r>
    </w:p>
    <w:p w14:paraId="7F393954" w14:textId="5F253D34" w:rsidR="005D0287" w:rsidRDefault="005D0287" w:rsidP="001400FE">
      <w:pPr>
        <w:spacing w:before="240"/>
        <w:rPr>
          <w:rFonts w:cstheme="minorHAnsi"/>
          <w:shd w:val="clear" w:color="auto" w:fill="FFFFFF"/>
        </w:rPr>
      </w:pPr>
      <w:r w:rsidRPr="005D0287">
        <w:rPr>
          <w:rFonts w:cstheme="minorHAnsi"/>
          <w:shd w:val="clear" w:color="auto" w:fill="FFFFFF"/>
        </w:rPr>
        <w:t>Tamura, S. (2019) ‘A V2G Strategy for Cost-Competitive Primary Frequency Regulation Considering EV Battery Degradation’, </w:t>
      </w:r>
      <w:r w:rsidRPr="005D0287">
        <w:rPr>
          <w:rStyle w:val="Emphasis"/>
          <w:rFonts w:cstheme="minorHAnsi"/>
          <w:shd w:val="clear" w:color="auto" w:fill="FFFFFF"/>
        </w:rPr>
        <w:t xml:space="preserve">2019 IEEE Milan </w:t>
      </w:r>
      <w:proofErr w:type="spellStart"/>
      <w:r w:rsidRPr="005D0287">
        <w:rPr>
          <w:rStyle w:val="Emphasis"/>
          <w:rFonts w:cstheme="minorHAnsi"/>
          <w:shd w:val="clear" w:color="auto" w:fill="FFFFFF"/>
        </w:rPr>
        <w:t>PowerTech</w:t>
      </w:r>
      <w:proofErr w:type="spellEnd"/>
      <w:r w:rsidRPr="005D0287">
        <w:rPr>
          <w:rFonts w:cstheme="minorHAnsi"/>
          <w:shd w:val="clear" w:color="auto" w:fill="FFFFFF"/>
        </w:rPr>
        <w:t xml:space="preserve">, Milan, 23-27 June, pp. 1-6. </w:t>
      </w:r>
      <w:proofErr w:type="spellStart"/>
      <w:r w:rsidRPr="005D0287">
        <w:rPr>
          <w:rFonts w:cstheme="minorHAnsi"/>
          <w:shd w:val="clear" w:color="auto" w:fill="FFFFFF"/>
        </w:rPr>
        <w:t>doi</w:t>
      </w:r>
      <w:proofErr w:type="spellEnd"/>
      <w:r w:rsidRPr="005D0287">
        <w:rPr>
          <w:rFonts w:cstheme="minorHAnsi"/>
          <w:shd w:val="clear" w:color="auto" w:fill="FFFFFF"/>
        </w:rPr>
        <w:t>: 10.1109/PTC.2019.8810775</w:t>
      </w:r>
      <w:r>
        <w:rPr>
          <w:rFonts w:cstheme="minorHAnsi"/>
          <w:shd w:val="clear" w:color="auto" w:fill="FFFFFF"/>
        </w:rPr>
        <w:t>.</w:t>
      </w:r>
    </w:p>
    <w:p w14:paraId="32A9DBF8" w14:textId="56FB59A0" w:rsidR="005D0287" w:rsidRDefault="005D0287" w:rsidP="001400FE">
      <w:pPr>
        <w:spacing w:before="240"/>
        <w:rPr>
          <w:rFonts w:cstheme="minorHAnsi"/>
          <w:shd w:val="clear" w:color="auto" w:fill="FFFFFF"/>
        </w:rPr>
      </w:pPr>
      <w:proofErr w:type="spellStart"/>
      <w:r w:rsidRPr="005D0287">
        <w:rPr>
          <w:rFonts w:cstheme="minorHAnsi"/>
          <w:shd w:val="clear" w:color="auto" w:fill="FFFFFF"/>
        </w:rPr>
        <w:t>Urcan</w:t>
      </w:r>
      <w:proofErr w:type="spellEnd"/>
      <w:r w:rsidRPr="005D0287">
        <w:rPr>
          <w:rFonts w:cstheme="minorHAnsi"/>
          <w:shd w:val="clear" w:color="auto" w:fill="FFFFFF"/>
        </w:rPr>
        <w:t xml:space="preserve">, D. -C. and </w:t>
      </w:r>
      <w:proofErr w:type="spellStart"/>
      <w:r w:rsidRPr="005D0287">
        <w:rPr>
          <w:rFonts w:cstheme="minorHAnsi"/>
          <w:shd w:val="clear" w:color="auto" w:fill="FFFFFF"/>
        </w:rPr>
        <w:t>Bică</w:t>
      </w:r>
      <w:proofErr w:type="spellEnd"/>
      <w:r w:rsidRPr="005D0287">
        <w:rPr>
          <w:rFonts w:cstheme="minorHAnsi"/>
          <w:shd w:val="clear" w:color="auto" w:fill="FFFFFF"/>
        </w:rPr>
        <w:t xml:space="preserve">, D. (2019) ‘Integrating and </w:t>
      </w:r>
      <w:proofErr w:type="spellStart"/>
      <w:r w:rsidRPr="005D0287">
        <w:rPr>
          <w:rFonts w:cstheme="minorHAnsi"/>
          <w:shd w:val="clear" w:color="auto" w:fill="FFFFFF"/>
        </w:rPr>
        <w:t>modeling</w:t>
      </w:r>
      <w:proofErr w:type="spellEnd"/>
      <w:r w:rsidRPr="005D0287">
        <w:rPr>
          <w:rFonts w:cstheme="minorHAnsi"/>
          <w:shd w:val="clear" w:color="auto" w:fill="FFFFFF"/>
        </w:rPr>
        <w:t xml:space="preserve"> the Vehicle to Grid concept in Micro-Grids’, </w:t>
      </w:r>
      <w:r w:rsidRPr="005D0287">
        <w:rPr>
          <w:rStyle w:val="Emphasis"/>
          <w:rFonts w:cstheme="minorHAnsi"/>
          <w:shd w:val="clear" w:color="auto" w:fill="FFFFFF"/>
        </w:rPr>
        <w:t>International Conference on ENERGY and ENVIRONMENT (CIEM)</w:t>
      </w:r>
      <w:r w:rsidRPr="005D0287">
        <w:rPr>
          <w:rFonts w:cstheme="minorHAnsi"/>
          <w:shd w:val="clear" w:color="auto" w:fill="FFFFFF"/>
        </w:rPr>
        <w:t xml:space="preserve">, Timisoara, 17-18 October, pp. 299-303. </w:t>
      </w:r>
      <w:proofErr w:type="spellStart"/>
      <w:r w:rsidRPr="005D0287">
        <w:rPr>
          <w:rFonts w:cstheme="minorHAnsi"/>
          <w:shd w:val="clear" w:color="auto" w:fill="FFFFFF"/>
        </w:rPr>
        <w:t>doi</w:t>
      </w:r>
      <w:proofErr w:type="spellEnd"/>
      <w:r w:rsidRPr="005D0287">
        <w:rPr>
          <w:rFonts w:cstheme="minorHAnsi"/>
          <w:shd w:val="clear" w:color="auto" w:fill="FFFFFF"/>
        </w:rPr>
        <w:t>: 10.1109/CIEM46456.2019.8937610.</w:t>
      </w:r>
    </w:p>
    <w:p w14:paraId="31661934" w14:textId="77777777" w:rsidR="005D0287" w:rsidRDefault="005D0287" w:rsidP="001400FE">
      <w:pPr>
        <w:spacing w:before="240"/>
        <w:rPr>
          <w:rFonts w:cstheme="minorHAnsi"/>
          <w:shd w:val="clear" w:color="auto" w:fill="FFFFFF"/>
        </w:rPr>
      </w:pPr>
      <w:r w:rsidRPr="005D0287">
        <w:rPr>
          <w:rFonts w:cstheme="minorHAnsi"/>
          <w:shd w:val="clear" w:color="auto" w:fill="FFFFFF"/>
        </w:rPr>
        <w:t>Volkswagen (2019) </w:t>
      </w:r>
      <w:r w:rsidRPr="005D0287">
        <w:rPr>
          <w:rFonts w:cstheme="minorHAnsi"/>
          <w:i/>
          <w:iCs/>
          <w:shd w:val="clear" w:color="auto" w:fill="FFFFFF"/>
        </w:rPr>
        <w:t xml:space="preserve">A Vessel for Technology Beyond Motorsport – the Charging of the </w:t>
      </w:r>
      <w:proofErr w:type="gramStart"/>
      <w:r w:rsidRPr="005D0287">
        <w:rPr>
          <w:rFonts w:cstheme="minorHAnsi"/>
          <w:i/>
          <w:iCs/>
          <w:shd w:val="clear" w:color="auto" w:fill="FFFFFF"/>
        </w:rPr>
        <w:t>ID.R</w:t>
      </w:r>
      <w:proofErr w:type="gramEnd"/>
      <w:r w:rsidRPr="005D0287">
        <w:rPr>
          <w:rFonts w:cstheme="minorHAnsi"/>
          <w:i/>
          <w:iCs/>
          <w:shd w:val="clear" w:color="auto" w:fill="FFFFFF"/>
        </w:rPr>
        <w:t xml:space="preserve"> System, </w:t>
      </w:r>
      <w:r w:rsidRPr="005D0287">
        <w:rPr>
          <w:rFonts w:cstheme="minorHAnsi"/>
          <w:shd w:val="clear" w:color="auto" w:fill="FFFFFF"/>
        </w:rPr>
        <w:t>Available at: </w:t>
      </w:r>
      <w:r w:rsidRPr="005D0287">
        <w:rPr>
          <w:rFonts w:cstheme="minorHAnsi"/>
          <w:i/>
          <w:iCs/>
          <w:u w:val="single"/>
          <w:shd w:val="clear" w:color="auto" w:fill="FFFFFF"/>
        </w:rPr>
        <w:t>https://www.volkswagen-newsroom.com/en/press-releases/a-vessel-for-technology-beyond-motorsport-the-charging-of-the-idr-system-5041</w:t>
      </w:r>
      <w:r w:rsidRPr="005D0287">
        <w:rPr>
          <w:rFonts w:cstheme="minorHAnsi"/>
          <w:shd w:val="clear" w:color="auto" w:fill="FFFFFF"/>
        </w:rPr>
        <w:t> (Accessed: 20th November 2021).</w:t>
      </w:r>
      <w:r w:rsidRPr="005D0287">
        <w:rPr>
          <w:rFonts w:cstheme="minorHAnsi"/>
        </w:rPr>
        <w:br/>
      </w:r>
    </w:p>
    <w:p w14:paraId="2715C39E" w14:textId="5DA22B5B" w:rsidR="005D0287" w:rsidRDefault="005D0287" w:rsidP="001400FE">
      <w:pPr>
        <w:spacing w:before="240"/>
        <w:rPr>
          <w:rFonts w:cstheme="minorHAnsi"/>
          <w:shd w:val="clear" w:color="auto" w:fill="FFFFFF"/>
        </w:rPr>
      </w:pPr>
      <w:r w:rsidRPr="005D0287">
        <w:rPr>
          <w:rFonts w:cstheme="minorHAnsi"/>
          <w:shd w:val="clear" w:color="auto" w:fill="FFFFFF"/>
        </w:rPr>
        <w:t>Wang, L. and Chen, B. (2017) </w:t>
      </w:r>
      <w:r w:rsidRPr="005D0287">
        <w:rPr>
          <w:rFonts w:cstheme="minorHAnsi"/>
          <w:i/>
          <w:iCs/>
          <w:shd w:val="clear" w:color="auto" w:fill="FFFFFF"/>
        </w:rPr>
        <w:t>Model-Based Analysis of V2G Impact on Battery Degradation, </w:t>
      </w:r>
      <w:r w:rsidRPr="005D0287">
        <w:rPr>
          <w:rFonts w:cstheme="minorHAnsi"/>
          <w:shd w:val="clear" w:color="auto" w:fill="FFFFFF"/>
        </w:rPr>
        <w:t>Available at: </w:t>
      </w:r>
      <w:r w:rsidRPr="005D0287">
        <w:rPr>
          <w:rFonts w:cstheme="minorHAnsi"/>
          <w:i/>
          <w:iCs/>
          <w:u w:val="single"/>
          <w:shd w:val="clear" w:color="auto" w:fill="FFFFFF"/>
        </w:rPr>
        <w:t>https://saemobilus-sae-org.ezproxy.uwtsd.ac.uk/content/2017-01-1699/</w:t>
      </w:r>
      <w:r w:rsidRPr="005D0287">
        <w:rPr>
          <w:rFonts w:cstheme="minorHAnsi"/>
          <w:shd w:val="clear" w:color="auto" w:fill="FFFFFF"/>
        </w:rPr>
        <w:t> (Accessed: 20th November 2021).</w:t>
      </w:r>
      <w:r w:rsidRPr="005D0287">
        <w:rPr>
          <w:rFonts w:cstheme="minorHAnsi"/>
        </w:rPr>
        <w:br/>
      </w:r>
    </w:p>
    <w:p w14:paraId="2EF1267C" w14:textId="0C1BF1BE" w:rsidR="005D0287" w:rsidRPr="005D0287" w:rsidRDefault="005D0287" w:rsidP="001400FE">
      <w:pPr>
        <w:spacing w:before="240"/>
        <w:rPr>
          <w:rFonts w:cstheme="minorHAnsi"/>
          <w:shd w:val="clear" w:color="auto" w:fill="FFFFFF"/>
        </w:rPr>
      </w:pPr>
      <w:r w:rsidRPr="005D0287">
        <w:rPr>
          <w:rFonts w:cstheme="minorHAnsi"/>
          <w:shd w:val="clear" w:color="auto" w:fill="FFFFFF"/>
        </w:rPr>
        <w:t>Zap Map (2021) </w:t>
      </w:r>
      <w:r w:rsidRPr="005D0287">
        <w:rPr>
          <w:rFonts w:cstheme="minorHAnsi"/>
          <w:i/>
          <w:iCs/>
          <w:shd w:val="clear" w:color="auto" w:fill="FFFFFF"/>
        </w:rPr>
        <w:t>EV Charging Stats 2021, </w:t>
      </w:r>
      <w:r w:rsidRPr="005D0287">
        <w:rPr>
          <w:rFonts w:cstheme="minorHAnsi"/>
          <w:shd w:val="clear" w:color="auto" w:fill="FFFFFF"/>
        </w:rPr>
        <w:t>Available at: </w:t>
      </w:r>
      <w:r w:rsidRPr="005D0287">
        <w:rPr>
          <w:rFonts w:cstheme="minorHAnsi"/>
          <w:i/>
          <w:iCs/>
          <w:u w:val="single"/>
          <w:shd w:val="clear" w:color="auto" w:fill="FFFFFF"/>
        </w:rPr>
        <w:t>https://www.zap-map.com/statistics/#points</w:t>
      </w:r>
      <w:r w:rsidRPr="005D0287">
        <w:rPr>
          <w:rFonts w:cstheme="minorHAnsi"/>
          <w:shd w:val="clear" w:color="auto" w:fill="FFFFFF"/>
        </w:rPr>
        <w:t> (Accessed: 11 November 2021).</w:t>
      </w:r>
    </w:p>
    <w:p w14:paraId="200DEE8F" w14:textId="0CA3C930" w:rsidR="002B51FF" w:rsidRPr="005D0287" w:rsidRDefault="002B51FF" w:rsidP="001400FE">
      <w:pPr>
        <w:spacing w:before="240"/>
        <w:rPr>
          <w:rFonts w:cstheme="minorHAnsi"/>
        </w:rPr>
      </w:pPr>
    </w:p>
    <w:sectPr w:rsidR="002B51FF" w:rsidRPr="005D0287" w:rsidSect="004718D5">
      <w:head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91D4E" w14:textId="77777777" w:rsidR="000F68C0" w:rsidRDefault="000F68C0" w:rsidP="00817D19">
      <w:pPr>
        <w:spacing w:after="0" w:line="240" w:lineRule="auto"/>
      </w:pPr>
      <w:r>
        <w:separator/>
      </w:r>
    </w:p>
  </w:endnote>
  <w:endnote w:type="continuationSeparator" w:id="0">
    <w:p w14:paraId="6DDE5A0C" w14:textId="77777777" w:rsidR="000F68C0" w:rsidRDefault="000F68C0" w:rsidP="00817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909293"/>
      <w:docPartObj>
        <w:docPartGallery w:val="Page Numbers (Bottom of Page)"/>
        <w:docPartUnique/>
      </w:docPartObj>
    </w:sdtPr>
    <w:sdtEndPr>
      <w:rPr>
        <w:noProof/>
      </w:rPr>
    </w:sdtEndPr>
    <w:sdtContent>
      <w:p w14:paraId="3A415622" w14:textId="3D38C605" w:rsidR="00182009" w:rsidRDefault="00182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06E437" w14:textId="77777777" w:rsidR="00182009" w:rsidRDefault="001820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371178"/>
      <w:docPartObj>
        <w:docPartGallery w:val="Page Numbers (Bottom of Page)"/>
        <w:docPartUnique/>
      </w:docPartObj>
    </w:sdtPr>
    <w:sdtEndPr>
      <w:rPr>
        <w:noProof/>
      </w:rPr>
    </w:sdtEndPr>
    <w:sdtContent>
      <w:p w14:paraId="2A21E658" w14:textId="030FD828" w:rsidR="00182009" w:rsidRDefault="001820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0290C9" w14:textId="77777777" w:rsidR="00182009" w:rsidRDefault="00182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72F90" w14:textId="77777777" w:rsidR="000F68C0" w:rsidRDefault="000F68C0" w:rsidP="00817D19">
      <w:pPr>
        <w:spacing w:after="0" w:line="240" w:lineRule="auto"/>
      </w:pPr>
      <w:r>
        <w:separator/>
      </w:r>
    </w:p>
  </w:footnote>
  <w:footnote w:type="continuationSeparator" w:id="0">
    <w:p w14:paraId="4EDC1A09" w14:textId="77777777" w:rsidR="000F68C0" w:rsidRDefault="000F68C0" w:rsidP="00817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40E90" w14:textId="77777777" w:rsidR="00182009" w:rsidRDefault="001820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68463" w14:textId="77777777" w:rsidR="00182009" w:rsidRDefault="001820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66A02"/>
    <w:multiLevelType w:val="hybridMultilevel"/>
    <w:tmpl w:val="2F06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2478C"/>
    <w:multiLevelType w:val="hybridMultilevel"/>
    <w:tmpl w:val="F6D0154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 w15:restartNumberingAfterBreak="0">
    <w:nsid w:val="425F6E3B"/>
    <w:multiLevelType w:val="hybridMultilevel"/>
    <w:tmpl w:val="32DE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B7423E"/>
    <w:multiLevelType w:val="hybridMultilevel"/>
    <w:tmpl w:val="001ECFB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55A609A1"/>
    <w:multiLevelType w:val="hybridMultilevel"/>
    <w:tmpl w:val="25DA6F0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70204833"/>
    <w:multiLevelType w:val="hybridMultilevel"/>
    <w:tmpl w:val="2954D188"/>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6" w15:restartNumberingAfterBreak="0">
    <w:nsid w:val="71C13F26"/>
    <w:multiLevelType w:val="hybridMultilevel"/>
    <w:tmpl w:val="CFDCD32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7" w15:restartNumberingAfterBreak="0">
    <w:nsid w:val="73CE7020"/>
    <w:multiLevelType w:val="hybridMultilevel"/>
    <w:tmpl w:val="7344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5"/>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916"/>
    <w:rsid w:val="00001EA6"/>
    <w:rsid w:val="00004F69"/>
    <w:rsid w:val="00026BC1"/>
    <w:rsid w:val="00037BA5"/>
    <w:rsid w:val="000407E6"/>
    <w:rsid w:val="00057E90"/>
    <w:rsid w:val="00067EF3"/>
    <w:rsid w:val="000732F8"/>
    <w:rsid w:val="00077AFC"/>
    <w:rsid w:val="000937BD"/>
    <w:rsid w:val="000B07CA"/>
    <w:rsid w:val="000B4806"/>
    <w:rsid w:val="000C05B7"/>
    <w:rsid w:val="000C3BB0"/>
    <w:rsid w:val="000C48C5"/>
    <w:rsid w:val="000D044F"/>
    <w:rsid w:val="000D0A07"/>
    <w:rsid w:val="000E27DA"/>
    <w:rsid w:val="000E3EAC"/>
    <w:rsid w:val="000F68C0"/>
    <w:rsid w:val="00100009"/>
    <w:rsid w:val="00100AE9"/>
    <w:rsid w:val="00104450"/>
    <w:rsid w:val="00115478"/>
    <w:rsid w:val="00125004"/>
    <w:rsid w:val="00131AA4"/>
    <w:rsid w:val="00133962"/>
    <w:rsid w:val="00133C53"/>
    <w:rsid w:val="00135B9C"/>
    <w:rsid w:val="001400FE"/>
    <w:rsid w:val="00154A20"/>
    <w:rsid w:val="00181569"/>
    <w:rsid w:val="00182009"/>
    <w:rsid w:val="00190AFD"/>
    <w:rsid w:val="0019497C"/>
    <w:rsid w:val="00196292"/>
    <w:rsid w:val="001971A4"/>
    <w:rsid w:val="001A0998"/>
    <w:rsid w:val="001B0D00"/>
    <w:rsid w:val="001C5531"/>
    <w:rsid w:val="001D24A3"/>
    <w:rsid w:val="001D25C5"/>
    <w:rsid w:val="001D2B5F"/>
    <w:rsid w:val="001D616E"/>
    <w:rsid w:val="001F2E6A"/>
    <w:rsid w:val="0023485E"/>
    <w:rsid w:val="002517F5"/>
    <w:rsid w:val="00267C44"/>
    <w:rsid w:val="00273921"/>
    <w:rsid w:val="00280B63"/>
    <w:rsid w:val="00284EFD"/>
    <w:rsid w:val="00285618"/>
    <w:rsid w:val="002B51FF"/>
    <w:rsid w:val="002B6C57"/>
    <w:rsid w:val="002C0FC7"/>
    <w:rsid w:val="002C1600"/>
    <w:rsid w:val="002C34DB"/>
    <w:rsid w:val="002D567F"/>
    <w:rsid w:val="002F190F"/>
    <w:rsid w:val="002F7404"/>
    <w:rsid w:val="003102E8"/>
    <w:rsid w:val="003177B5"/>
    <w:rsid w:val="00332C8F"/>
    <w:rsid w:val="0034483F"/>
    <w:rsid w:val="003516A8"/>
    <w:rsid w:val="0035691A"/>
    <w:rsid w:val="00374B17"/>
    <w:rsid w:val="0037693B"/>
    <w:rsid w:val="00380377"/>
    <w:rsid w:val="00387191"/>
    <w:rsid w:val="00392D1A"/>
    <w:rsid w:val="00393465"/>
    <w:rsid w:val="003A2D6C"/>
    <w:rsid w:val="003A408B"/>
    <w:rsid w:val="003B045C"/>
    <w:rsid w:val="003B34EA"/>
    <w:rsid w:val="003B7C51"/>
    <w:rsid w:val="003C0C81"/>
    <w:rsid w:val="003D77EA"/>
    <w:rsid w:val="003E22B0"/>
    <w:rsid w:val="003E35C1"/>
    <w:rsid w:val="003E5FC7"/>
    <w:rsid w:val="003F0FE1"/>
    <w:rsid w:val="003F415A"/>
    <w:rsid w:val="003F74A2"/>
    <w:rsid w:val="0040230E"/>
    <w:rsid w:val="004050BE"/>
    <w:rsid w:val="00407849"/>
    <w:rsid w:val="00412DE6"/>
    <w:rsid w:val="0041473C"/>
    <w:rsid w:val="00420073"/>
    <w:rsid w:val="00420975"/>
    <w:rsid w:val="00426E4C"/>
    <w:rsid w:val="004317A6"/>
    <w:rsid w:val="00446146"/>
    <w:rsid w:val="004718D5"/>
    <w:rsid w:val="0047709D"/>
    <w:rsid w:val="00483DBE"/>
    <w:rsid w:val="004949BB"/>
    <w:rsid w:val="004957B1"/>
    <w:rsid w:val="004A6BA2"/>
    <w:rsid w:val="004B0ADA"/>
    <w:rsid w:val="004B5251"/>
    <w:rsid w:val="004B7711"/>
    <w:rsid w:val="004C36A8"/>
    <w:rsid w:val="004C4567"/>
    <w:rsid w:val="004E3A6A"/>
    <w:rsid w:val="004F002E"/>
    <w:rsid w:val="004F3812"/>
    <w:rsid w:val="004F736A"/>
    <w:rsid w:val="004F7371"/>
    <w:rsid w:val="00501321"/>
    <w:rsid w:val="005058B5"/>
    <w:rsid w:val="00514D9A"/>
    <w:rsid w:val="00514FE4"/>
    <w:rsid w:val="00516B20"/>
    <w:rsid w:val="00516C93"/>
    <w:rsid w:val="005267D3"/>
    <w:rsid w:val="00527861"/>
    <w:rsid w:val="0053292E"/>
    <w:rsid w:val="0053365C"/>
    <w:rsid w:val="00537F69"/>
    <w:rsid w:val="00542637"/>
    <w:rsid w:val="00552AA2"/>
    <w:rsid w:val="00553C89"/>
    <w:rsid w:val="00573FF3"/>
    <w:rsid w:val="00575E06"/>
    <w:rsid w:val="00577916"/>
    <w:rsid w:val="00581A15"/>
    <w:rsid w:val="00582B58"/>
    <w:rsid w:val="00585A22"/>
    <w:rsid w:val="00591B62"/>
    <w:rsid w:val="0059389B"/>
    <w:rsid w:val="005964FA"/>
    <w:rsid w:val="005A0A0A"/>
    <w:rsid w:val="005A1DD8"/>
    <w:rsid w:val="005B66F5"/>
    <w:rsid w:val="005C30C0"/>
    <w:rsid w:val="005C44DE"/>
    <w:rsid w:val="005D0287"/>
    <w:rsid w:val="005D52D5"/>
    <w:rsid w:val="005D7795"/>
    <w:rsid w:val="005E2EB6"/>
    <w:rsid w:val="005F1113"/>
    <w:rsid w:val="005F2C85"/>
    <w:rsid w:val="006076C5"/>
    <w:rsid w:val="006129F4"/>
    <w:rsid w:val="006131F6"/>
    <w:rsid w:val="00613D6D"/>
    <w:rsid w:val="00630D1B"/>
    <w:rsid w:val="00634021"/>
    <w:rsid w:val="00635048"/>
    <w:rsid w:val="00651E71"/>
    <w:rsid w:val="00653ACD"/>
    <w:rsid w:val="006569D9"/>
    <w:rsid w:val="0066399A"/>
    <w:rsid w:val="00666F68"/>
    <w:rsid w:val="00671F39"/>
    <w:rsid w:val="0067568E"/>
    <w:rsid w:val="00683257"/>
    <w:rsid w:val="00683790"/>
    <w:rsid w:val="006864B8"/>
    <w:rsid w:val="00686DB6"/>
    <w:rsid w:val="006B437D"/>
    <w:rsid w:val="006B692A"/>
    <w:rsid w:val="006D2B1C"/>
    <w:rsid w:val="006D7417"/>
    <w:rsid w:val="006E0225"/>
    <w:rsid w:val="006E36ED"/>
    <w:rsid w:val="006F3B07"/>
    <w:rsid w:val="006F749E"/>
    <w:rsid w:val="00703BA2"/>
    <w:rsid w:val="00710198"/>
    <w:rsid w:val="0071135A"/>
    <w:rsid w:val="00711A37"/>
    <w:rsid w:val="0071718C"/>
    <w:rsid w:val="0071794D"/>
    <w:rsid w:val="00721724"/>
    <w:rsid w:val="0072266F"/>
    <w:rsid w:val="007372DC"/>
    <w:rsid w:val="00740352"/>
    <w:rsid w:val="007408F2"/>
    <w:rsid w:val="00754781"/>
    <w:rsid w:val="00765A0F"/>
    <w:rsid w:val="0076689B"/>
    <w:rsid w:val="00774017"/>
    <w:rsid w:val="00774EFE"/>
    <w:rsid w:val="007759BD"/>
    <w:rsid w:val="00780C70"/>
    <w:rsid w:val="00781C8B"/>
    <w:rsid w:val="0078217E"/>
    <w:rsid w:val="00793383"/>
    <w:rsid w:val="00794B36"/>
    <w:rsid w:val="007A78B0"/>
    <w:rsid w:val="007B1512"/>
    <w:rsid w:val="007B2C1D"/>
    <w:rsid w:val="007D36A3"/>
    <w:rsid w:val="007D7817"/>
    <w:rsid w:val="007E0214"/>
    <w:rsid w:val="007F75AA"/>
    <w:rsid w:val="007F79E3"/>
    <w:rsid w:val="00813599"/>
    <w:rsid w:val="00816105"/>
    <w:rsid w:val="00817D19"/>
    <w:rsid w:val="008227FA"/>
    <w:rsid w:val="00822CDB"/>
    <w:rsid w:val="008239D4"/>
    <w:rsid w:val="00823BC6"/>
    <w:rsid w:val="008246DE"/>
    <w:rsid w:val="008253A9"/>
    <w:rsid w:val="00833A40"/>
    <w:rsid w:val="00835634"/>
    <w:rsid w:val="0083726E"/>
    <w:rsid w:val="008377C8"/>
    <w:rsid w:val="008414AE"/>
    <w:rsid w:val="008438E0"/>
    <w:rsid w:val="008462E2"/>
    <w:rsid w:val="0086350F"/>
    <w:rsid w:val="00871686"/>
    <w:rsid w:val="008724A0"/>
    <w:rsid w:val="00872D28"/>
    <w:rsid w:val="00875B2F"/>
    <w:rsid w:val="00875ED4"/>
    <w:rsid w:val="00893ED4"/>
    <w:rsid w:val="008A36C9"/>
    <w:rsid w:val="008B282C"/>
    <w:rsid w:val="008D0154"/>
    <w:rsid w:val="008D5937"/>
    <w:rsid w:val="008D5C36"/>
    <w:rsid w:val="008F0985"/>
    <w:rsid w:val="008F719C"/>
    <w:rsid w:val="00913DF4"/>
    <w:rsid w:val="00914267"/>
    <w:rsid w:val="00914882"/>
    <w:rsid w:val="009176A8"/>
    <w:rsid w:val="009260CE"/>
    <w:rsid w:val="009328F4"/>
    <w:rsid w:val="00933220"/>
    <w:rsid w:val="00936180"/>
    <w:rsid w:val="009455C3"/>
    <w:rsid w:val="00956A50"/>
    <w:rsid w:val="00966955"/>
    <w:rsid w:val="00967014"/>
    <w:rsid w:val="009741BA"/>
    <w:rsid w:val="009872E2"/>
    <w:rsid w:val="00990AE5"/>
    <w:rsid w:val="00994487"/>
    <w:rsid w:val="009A3417"/>
    <w:rsid w:val="009A3952"/>
    <w:rsid w:val="009A42DA"/>
    <w:rsid w:val="009B6010"/>
    <w:rsid w:val="009C4714"/>
    <w:rsid w:val="009C49B1"/>
    <w:rsid w:val="009D1A55"/>
    <w:rsid w:val="009E4DC3"/>
    <w:rsid w:val="009E7473"/>
    <w:rsid w:val="009F02E0"/>
    <w:rsid w:val="009F2A7E"/>
    <w:rsid w:val="00A0296C"/>
    <w:rsid w:val="00A2039C"/>
    <w:rsid w:val="00A31439"/>
    <w:rsid w:val="00A317BE"/>
    <w:rsid w:val="00A475DF"/>
    <w:rsid w:val="00A501A7"/>
    <w:rsid w:val="00A51DCB"/>
    <w:rsid w:val="00A561A7"/>
    <w:rsid w:val="00A577D6"/>
    <w:rsid w:val="00A61587"/>
    <w:rsid w:val="00A87CF1"/>
    <w:rsid w:val="00A91893"/>
    <w:rsid w:val="00AA2B26"/>
    <w:rsid w:val="00AA3AF9"/>
    <w:rsid w:val="00AA4969"/>
    <w:rsid w:val="00AB6556"/>
    <w:rsid w:val="00AC2A3F"/>
    <w:rsid w:val="00AC2A9E"/>
    <w:rsid w:val="00AC77B0"/>
    <w:rsid w:val="00AD0588"/>
    <w:rsid w:val="00AE0FD6"/>
    <w:rsid w:val="00AE3388"/>
    <w:rsid w:val="00AF26E8"/>
    <w:rsid w:val="00AF4F4C"/>
    <w:rsid w:val="00B0021C"/>
    <w:rsid w:val="00B018B8"/>
    <w:rsid w:val="00B04575"/>
    <w:rsid w:val="00B04D24"/>
    <w:rsid w:val="00B1546D"/>
    <w:rsid w:val="00B24680"/>
    <w:rsid w:val="00B25998"/>
    <w:rsid w:val="00B263AF"/>
    <w:rsid w:val="00B42B4F"/>
    <w:rsid w:val="00B433F9"/>
    <w:rsid w:val="00B5668C"/>
    <w:rsid w:val="00B75A31"/>
    <w:rsid w:val="00B762D6"/>
    <w:rsid w:val="00B773F8"/>
    <w:rsid w:val="00B77640"/>
    <w:rsid w:val="00B86C4C"/>
    <w:rsid w:val="00B94470"/>
    <w:rsid w:val="00B963A6"/>
    <w:rsid w:val="00B96C0C"/>
    <w:rsid w:val="00BA2A27"/>
    <w:rsid w:val="00BA390D"/>
    <w:rsid w:val="00BB5D71"/>
    <w:rsid w:val="00BC1199"/>
    <w:rsid w:val="00BC3DAE"/>
    <w:rsid w:val="00BE1FBD"/>
    <w:rsid w:val="00BE2EB8"/>
    <w:rsid w:val="00BE592E"/>
    <w:rsid w:val="00BE7A68"/>
    <w:rsid w:val="00BF1CC1"/>
    <w:rsid w:val="00BF34E7"/>
    <w:rsid w:val="00C05264"/>
    <w:rsid w:val="00C211D2"/>
    <w:rsid w:val="00C237C6"/>
    <w:rsid w:val="00C36664"/>
    <w:rsid w:val="00C4567B"/>
    <w:rsid w:val="00C46C62"/>
    <w:rsid w:val="00C46C6A"/>
    <w:rsid w:val="00C50BCF"/>
    <w:rsid w:val="00C547CB"/>
    <w:rsid w:val="00C54D8F"/>
    <w:rsid w:val="00C55453"/>
    <w:rsid w:val="00C631F0"/>
    <w:rsid w:val="00C631F3"/>
    <w:rsid w:val="00C76E7F"/>
    <w:rsid w:val="00C77297"/>
    <w:rsid w:val="00CA7BB7"/>
    <w:rsid w:val="00CB31CE"/>
    <w:rsid w:val="00CB68C0"/>
    <w:rsid w:val="00CC2FC7"/>
    <w:rsid w:val="00CE07C2"/>
    <w:rsid w:val="00CE2251"/>
    <w:rsid w:val="00CE27D6"/>
    <w:rsid w:val="00CE6903"/>
    <w:rsid w:val="00D00A87"/>
    <w:rsid w:val="00D161F1"/>
    <w:rsid w:val="00D178E1"/>
    <w:rsid w:val="00D17ABE"/>
    <w:rsid w:val="00D258AC"/>
    <w:rsid w:val="00D26565"/>
    <w:rsid w:val="00D30491"/>
    <w:rsid w:val="00D414FA"/>
    <w:rsid w:val="00D53150"/>
    <w:rsid w:val="00D62201"/>
    <w:rsid w:val="00D660F8"/>
    <w:rsid w:val="00D949DA"/>
    <w:rsid w:val="00D96C7A"/>
    <w:rsid w:val="00DA4067"/>
    <w:rsid w:val="00DB04BE"/>
    <w:rsid w:val="00DB0BEC"/>
    <w:rsid w:val="00DB5222"/>
    <w:rsid w:val="00DD2CC3"/>
    <w:rsid w:val="00DE2EC7"/>
    <w:rsid w:val="00DF73C3"/>
    <w:rsid w:val="00E0220F"/>
    <w:rsid w:val="00E0342E"/>
    <w:rsid w:val="00E162C3"/>
    <w:rsid w:val="00E25585"/>
    <w:rsid w:val="00E2636C"/>
    <w:rsid w:val="00E422AA"/>
    <w:rsid w:val="00E434B3"/>
    <w:rsid w:val="00E47526"/>
    <w:rsid w:val="00E52803"/>
    <w:rsid w:val="00E56515"/>
    <w:rsid w:val="00E613FA"/>
    <w:rsid w:val="00E63A7D"/>
    <w:rsid w:val="00E70619"/>
    <w:rsid w:val="00E869D8"/>
    <w:rsid w:val="00E910EF"/>
    <w:rsid w:val="00E92F24"/>
    <w:rsid w:val="00EA2823"/>
    <w:rsid w:val="00EB6AEE"/>
    <w:rsid w:val="00EB747B"/>
    <w:rsid w:val="00EC25ED"/>
    <w:rsid w:val="00EC6FDD"/>
    <w:rsid w:val="00ED6D6B"/>
    <w:rsid w:val="00EF2320"/>
    <w:rsid w:val="00F073D6"/>
    <w:rsid w:val="00F100EB"/>
    <w:rsid w:val="00F10131"/>
    <w:rsid w:val="00F11F09"/>
    <w:rsid w:val="00F15C1C"/>
    <w:rsid w:val="00F21D74"/>
    <w:rsid w:val="00F260CC"/>
    <w:rsid w:val="00F40C03"/>
    <w:rsid w:val="00F442BA"/>
    <w:rsid w:val="00F50F64"/>
    <w:rsid w:val="00F51723"/>
    <w:rsid w:val="00F54691"/>
    <w:rsid w:val="00F554B6"/>
    <w:rsid w:val="00F613C1"/>
    <w:rsid w:val="00F636FA"/>
    <w:rsid w:val="00F66113"/>
    <w:rsid w:val="00F740ED"/>
    <w:rsid w:val="00F82E6C"/>
    <w:rsid w:val="00F87670"/>
    <w:rsid w:val="00F952B3"/>
    <w:rsid w:val="00FA14DA"/>
    <w:rsid w:val="00FB0004"/>
    <w:rsid w:val="00FB2285"/>
    <w:rsid w:val="00FB3BD8"/>
    <w:rsid w:val="00FC0D68"/>
    <w:rsid w:val="00FC3558"/>
    <w:rsid w:val="00FC7705"/>
    <w:rsid w:val="00FD11D7"/>
    <w:rsid w:val="00FD1F8D"/>
    <w:rsid w:val="00FD748D"/>
    <w:rsid w:val="00FE66C6"/>
    <w:rsid w:val="00FF3DB5"/>
    <w:rsid w:val="00FF6577"/>
    <w:rsid w:val="00FF7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3DE98"/>
  <w15:chartTrackingRefBased/>
  <w15:docId w15:val="{CAD7DF79-85B2-4E10-8ADA-A88295A4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6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6C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791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77916"/>
    <w:rPr>
      <w:rFonts w:eastAsiaTheme="minorEastAsia"/>
      <w:lang w:val="en-US"/>
    </w:rPr>
  </w:style>
  <w:style w:type="character" w:customStyle="1" w:styleId="Heading1Char">
    <w:name w:val="Heading 1 Char"/>
    <w:basedOn w:val="DefaultParagraphFont"/>
    <w:link w:val="Heading1"/>
    <w:uiPriority w:val="9"/>
    <w:rsid w:val="00AF26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26E8"/>
    <w:pPr>
      <w:outlineLvl w:val="9"/>
    </w:pPr>
    <w:rPr>
      <w:lang w:val="en-US"/>
    </w:rPr>
  </w:style>
  <w:style w:type="paragraph" w:styleId="TOC1">
    <w:name w:val="toc 1"/>
    <w:basedOn w:val="Normal"/>
    <w:next w:val="Normal"/>
    <w:autoRedefine/>
    <w:uiPriority w:val="39"/>
    <w:unhideWhenUsed/>
    <w:rsid w:val="00AF26E8"/>
    <w:pPr>
      <w:spacing w:after="100"/>
    </w:pPr>
  </w:style>
  <w:style w:type="character" w:styleId="Hyperlink">
    <w:name w:val="Hyperlink"/>
    <w:basedOn w:val="DefaultParagraphFont"/>
    <w:uiPriority w:val="99"/>
    <w:unhideWhenUsed/>
    <w:rsid w:val="00AF26E8"/>
    <w:rPr>
      <w:color w:val="0563C1" w:themeColor="hyperlink"/>
      <w:u w:val="single"/>
    </w:rPr>
  </w:style>
  <w:style w:type="character" w:customStyle="1" w:styleId="Heading2Char">
    <w:name w:val="Heading 2 Char"/>
    <w:basedOn w:val="DefaultParagraphFont"/>
    <w:link w:val="Heading2"/>
    <w:uiPriority w:val="9"/>
    <w:rsid w:val="00C46C6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46C62"/>
    <w:pPr>
      <w:spacing w:after="100"/>
      <w:ind w:left="220"/>
    </w:pPr>
  </w:style>
  <w:style w:type="paragraph" w:styleId="ListParagraph">
    <w:name w:val="List Paragraph"/>
    <w:basedOn w:val="Normal"/>
    <w:uiPriority w:val="34"/>
    <w:qFormat/>
    <w:rsid w:val="003B34EA"/>
    <w:pPr>
      <w:ind w:left="720"/>
      <w:contextualSpacing/>
    </w:pPr>
  </w:style>
  <w:style w:type="paragraph" w:styleId="Header">
    <w:name w:val="header"/>
    <w:basedOn w:val="Normal"/>
    <w:link w:val="HeaderChar"/>
    <w:uiPriority w:val="99"/>
    <w:unhideWhenUsed/>
    <w:rsid w:val="00817D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D19"/>
  </w:style>
  <w:style w:type="paragraph" w:styleId="Footer">
    <w:name w:val="footer"/>
    <w:basedOn w:val="Normal"/>
    <w:link w:val="FooterChar"/>
    <w:uiPriority w:val="99"/>
    <w:unhideWhenUsed/>
    <w:rsid w:val="00817D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D19"/>
  </w:style>
  <w:style w:type="paragraph" w:styleId="Caption">
    <w:name w:val="caption"/>
    <w:basedOn w:val="Normal"/>
    <w:next w:val="Normal"/>
    <w:uiPriority w:val="35"/>
    <w:unhideWhenUsed/>
    <w:qFormat/>
    <w:rsid w:val="00AB655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1546D"/>
    <w:pPr>
      <w:spacing w:after="0"/>
    </w:pPr>
  </w:style>
  <w:style w:type="character" w:styleId="FollowedHyperlink">
    <w:name w:val="FollowedHyperlink"/>
    <w:basedOn w:val="DefaultParagraphFont"/>
    <w:uiPriority w:val="99"/>
    <w:semiHidden/>
    <w:unhideWhenUsed/>
    <w:rsid w:val="00D30491"/>
    <w:rPr>
      <w:color w:val="954F72" w:themeColor="followedHyperlink"/>
      <w:u w:val="single"/>
    </w:rPr>
  </w:style>
  <w:style w:type="character" w:styleId="UnresolvedMention">
    <w:name w:val="Unresolved Mention"/>
    <w:basedOn w:val="DefaultParagraphFont"/>
    <w:uiPriority w:val="99"/>
    <w:semiHidden/>
    <w:unhideWhenUsed/>
    <w:rsid w:val="00C631F0"/>
    <w:rPr>
      <w:color w:val="605E5C"/>
      <w:shd w:val="clear" w:color="auto" w:fill="E1DFDD"/>
    </w:rPr>
  </w:style>
  <w:style w:type="character" w:styleId="Emphasis">
    <w:name w:val="Emphasis"/>
    <w:basedOn w:val="DefaultParagraphFont"/>
    <w:uiPriority w:val="20"/>
    <w:qFormat/>
    <w:rsid w:val="001400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29C28-293F-409E-8C7F-76FAF4432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14</Pages>
  <Words>3876</Words>
  <Characters>22096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Vehicle to grid technology (ACHA6012)</vt:lpstr>
    </vt:vector>
  </TitlesOfParts>
  <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Vehicle to grid technology (ACHA6012)</dc:title>
  <dc:subject/>
  <dc:creator>Student Name: Sam Digby Student Number: 1901067</dc:creator>
  <cp:keywords/>
  <dc:description/>
  <cp:lastModifiedBy>sam digby</cp:lastModifiedBy>
  <cp:revision>13</cp:revision>
  <dcterms:created xsi:type="dcterms:W3CDTF">2021-11-17T16:18:00Z</dcterms:created>
  <dcterms:modified xsi:type="dcterms:W3CDTF">2021-11-22T18:13:00Z</dcterms:modified>
</cp:coreProperties>
</file>