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rPr>
        <w:id w:val="-1522475554"/>
        <w:docPartObj>
          <w:docPartGallery w:val="Cover Pages"/>
          <w:docPartUnique/>
        </w:docPartObj>
      </w:sdtPr>
      <w:sdtEndPr>
        <w:rPr>
          <w:rFonts w:ascii="Arial" w:hAnsi="Arial" w:cstheme="minorBidi"/>
          <w:color w:val="auto"/>
          <w:sz w:val="24"/>
          <w:szCs w:val="22"/>
        </w:rPr>
      </w:sdtEndPr>
      <w:sdtContent>
        <w:p w14:paraId="0E730CFC" w14:textId="5BAC0CF1" w:rsidR="007D1947" w:rsidRPr="00903AFD" w:rsidRDefault="007D1947" w:rsidP="00903AFD">
          <w:pPr>
            <w:pStyle w:val="Heading1"/>
            <w:rPr>
              <w:rStyle w:val="BookTitle"/>
              <w:color w:val="FF0000"/>
              <w:sz w:val="40"/>
              <w:szCs w:val="40"/>
            </w:rPr>
          </w:pPr>
          <w:r w:rsidRPr="00903AFD">
            <w:rPr>
              <w:rStyle w:val="BookTitle"/>
            </w:rPr>
            <mc:AlternateContent>
              <mc:Choice Requires="wps">
                <w:drawing>
                  <wp:anchor distT="0" distB="0" distL="114300" distR="114300" simplePos="0" relativeHeight="251659264" behindDoc="0" locked="0" layoutInCell="1" allowOverlap="1" wp14:anchorId="42DF9E28" wp14:editId="17C3365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78492" w14:textId="5E20922D" w:rsidR="007D1947" w:rsidRPr="00903AFD" w:rsidRDefault="007D1947" w:rsidP="00903AFD">
                                <w:pPr>
                                  <w:pStyle w:val="NoSpacing"/>
                                  <w:spacing w:after="40"/>
                                  <w:rPr>
                                    <w:caps/>
                                    <w:color w:val="5B9BD5" w:themeColor="accent1"/>
                                    <w:sz w:val="28"/>
                                    <w:szCs w:val="28"/>
                                  </w:rPr>
                                </w:pPr>
                              </w:p>
                              <w:p w14:paraId="6275C62E" w14:textId="77777777" w:rsidR="007D1947" w:rsidRDefault="00000000">
                                <w:pPr>
                                  <w:pStyle w:val="NoSpacing"/>
                                  <w:jc w:val="center"/>
                                  <w:rPr>
                                    <w:color w:val="5B9BD5" w:themeColor="accent1"/>
                                  </w:rPr>
                                </w:pPr>
                                <w:sdt>
                                  <w:sdtPr>
                                    <w:rPr>
                                      <w:color w:val="5B9BD5" w:themeColor="accent1"/>
                                    </w:rPr>
                                    <w:alias w:val="Address"/>
                                    <w:tag w:val=""/>
                                    <w:id w:val="-2105259017"/>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DF9E2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3078492" w14:textId="5E20922D" w:rsidR="007D1947" w:rsidRPr="00903AFD" w:rsidRDefault="007D1947" w:rsidP="00903AFD">
                          <w:pPr>
                            <w:pStyle w:val="NoSpacing"/>
                            <w:spacing w:after="40"/>
                            <w:rPr>
                              <w:caps/>
                              <w:color w:val="5B9BD5" w:themeColor="accent1"/>
                              <w:sz w:val="28"/>
                              <w:szCs w:val="28"/>
                            </w:rPr>
                          </w:pPr>
                        </w:p>
                        <w:p w14:paraId="6275C62E" w14:textId="77777777" w:rsidR="007D1947" w:rsidRDefault="00000000">
                          <w:pPr>
                            <w:pStyle w:val="NoSpacing"/>
                            <w:jc w:val="center"/>
                            <w:rPr>
                              <w:color w:val="5B9BD5" w:themeColor="accent1"/>
                            </w:rPr>
                          </w:pPr>
                          <w:sdt>
                            <w:sdtPr>
                              <w:rPr>
                                <w:color w:val="5B9BD5" w:themeColor="accent1"/>
                              </w:rPr>
                              <w:alias w:val="Address"/>
                              <w:tag w:val=""/>
                              <w:id w:val="-2105259017"/>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00903AFD">
            <w:rPr>
              <w:rFonts w:eastAsiaTheme="minorHAnsi"/>
              <w:color w:val="5B9BD5" w:themeColor="accent1"/>
            </w:rPr>
            <w:tab/>
          </w:r>
          <w:r w:rsidR="00903AFD">
            <w:rPr>
              <w:rFonts w:eastAsiaTheme="minorHAnsi"/>
              <w:color w:val="5B9BD5" w:themeColor="accent1"/>
            </w:rPr>
            <w:tab/>
          </w:r>
          <w:r w:rsidR="00903AFD">
            <w:rPr>
              <w:rFonts w:eastAsiaTheme="minorHAnsi"/>
              <w:color w:val="5B9BD5" w:themeColor="accent1"/>
            </w:rPr>
            <w:tab/>
          </w:r>
          <w:r w:rsidR="00903AFD">
            <w:rPr>
              <w:rFonts w:eastAsiaTheme="minorHAnsi"/>
              <w:color w:val="5B9BD5" w:themeColor="accent1"/>
            </w:rPr>
            <w:tab/>
          </w:r>
          <w:r w:rsidR="00903AFD">
            <w:rPr>
              <w:rFonts w:eastAsiaTheme="minorHAnsi"/>
              <w:color w:val="5B9BD5" w:themeColor="accent1"/>
            </w:rPr>
            <w:tab/>
          </w:r>
          <w:r w:rsidR="00903AFD" w:rsidRPr="00903AFD">
            <w:rPr>
              <w:rStyle w:val="BookTitle"/>
              <w:color w:val="FF0000"/>
              <w:sz w:val="40"/>
              <w:szCs w:val="40"/>
            </w:rPr>
            <w:t>ASSIGNMENT 2:</w:t>
          </w:r>
        </w:p>
        <w:p w14:paraId="62B3E331" w14:textId="0B3382D0" w:rsidR="00903AFD" w:rsidRPr="00903AFD" w:rsidRDefault="00903AFD" w:rsidP="00903AFD">
          <w:pPr>
            <w:pStyle w:val="Heading1"/>
            <w:ind w:left="1440" w:firstLine="720"/>
            <w:rPr>
              <w:rStyle w:val="BookTitle"/>
              <w:color w:val="FF0000"/>
              <w:sz w:val="40"/>
              <w:szCs w:val="40"/>
            </w:rPr>
          </w:pPr>
          <w:r w:rsidRPr="00903AFD">
            <w:rPr>
              <w:rStyle w:val="BookTitle"/>
              <w:color w:val="FF0000"/>
              <w:sz w:val="40"/>
              <w:szCs w:val="40"/>
            </w:rPr>
            <w:t>MARRIOTT HOTEL INTERNATIONAL</w:t>
          </w:r>
        </w:p>
        <w:p w14:paraId="522E23AD" w14:textId="66DEBC74" w:rsidR="00903AFD" w:rsidRPr="00903AFD" w:rsidRDefault="00903AFD" w:rsidP="00903AFD">
          <w:pPr>
            <w:pStyle w:val="Heading1"/>
            <w:ind w:left="1440"/>
            <w:rPr>
              <w:rStyle w:val="BookTitle"/>
              <w:color w:val="FF0000"/>
            </w:rPr>
          </w:pPr>
          <w:r w:rsidRPr="00903AFD">
            <w:rPr>
              <w:rStyle w:val="BookTitle"/>
              <w:color w:val="FF0000"/>
              <w:sz w:val="40"/>
              <w:szCs w:val="40"/>
            </w:rPr>
            <w:t>Financial Management for the Hotel Industry</w:t>
          </w:r>
        </w:p>
        <w:p w14:paraId="32F70998" w14:textId="77777777" w:rsidR="00903AFD" w:rsidRPr="00903AFD" w:rsidRDefault="00903AFD" w:rsidP="00903AFD">
          <w:pPr>
            <w:pStyle w:val="Heading1"/>
            <w:rPr>
              <w:rStyle w:val="BookTitle"/>
              <w:color w:val="FF0000"/>
            </w:rPr>
          </w:pPr>
        </w:p>
        <w:p w14:paraId="5DA41D91" w14:textId="77777777" w:rsidR="00903AFD" w:rsidRPr="00903AFD" w:rsidRDefault="00903AFD" w:rsidP="00903AFD">
          <w:pPr>
            <w:pStyle w:val="Heading1"/>
            <w:rPr>
              <w:rStyle w:val="BookTitle"/>
              <w:color w:val="FF0000"/>
            </w:rPr>
          </w:pPr>
        </w:p>
        <w:p w14:paraId="6EF13453" w14:textId="77777777" w:rsidR="00903AFD" w:rsidRPr="00903AFD" w:rsidRDefault="00903AFD" w:rsidP="00903AFD">
          <w:pPr>
            <w:pStyle w:val="Heading1"/>
            <w:rPr>
              <w:rStyle w:val="BookTitle"/>
              <w:color w:val="FF0000"/>
            </w:rPr>
          </w:pPr>
        </w:p>
        <w:p w14:paraId="09F08BF4" w14:textId="7E4D5843" w:rsidR="00903AFD" w:rsidRPr="00903AFD" w:rsidRDefault="007310D4" w:rsidP="00903AFD">
          <w:pPr>
            <w:pStyle w:val="Heading1"/>
            <w:rPr>
              <w:rStyle w:val="BookTitle"/>
              <w:color w:val="FF0000"/>
            </w:rPr>
          </w:pPr>
          <w:r w:rsidRPr="00903AFD">
            <w:rPr>
              <w:rStyle w:val="BookTitle"/>
              <w:color w:val="FF0000"/>
            </w:rPr>
            <w:t>Student</w:t>
          </w:r>
          <w:r w:rsidR="00903AFD" w:rsidRPr="00903AFD">
            <w:rPr>
              <w:rStyle w:val="BookTitle"/>
              <w:color w:val="FF0000"/>
            </w:rPr>
            <w:t xml:space="preserve"> Name:</w:t>
          </w:r>
          <w:r>
            <w:rPr>
              <w:rStyle w:val="BookTitle"/>
              <w:color w:val="FF0000"/>
            </w:rPr>
            <w:t xml:space="preserve"> George Costin Andricencu</w:t>
          </w:r>
          <w:r>
            <w:rPr>
              <w:rStyle w:val="BookTitle"/>
              <w:color w:val="FF0000"/>
            </w:rPr>
            <w:tab/>
          </w:r>
        </w:p>
        <w:p w14:paraId="058F1186" w14:textId="4187AD45" w:rsidR="00903AFD" w:rsidRPr="00903AFD" w:rsidRDefault="00903AFD" w:rsidP="00903AFD">
          <w:pPr>
            <w:pStyle w:val="Heading1"/>
            <w:rPr>
              <w:rStyle w:val="BookTitle"/>
              <w:color w:val="FF0000"/>
            </w:rPr>
          </w:pPr>
          <w:r w:rsidRPr="00903AFD">
            <w:rPr>
              <w:rStyle w:val="BookTitle"/>
              <w:color w:val="FF0000"/>
            </w:rPr>
            <w:t>Student ID:</w:t>
          </w:r>
          <w:r w:rsidR="007310D4">
            <w:rPr>
              <w:rStyle w:val="BookTitle"/>
              <w:color w:val="FF0000"/>
            </w:rPr>
            <w:t xml:space="preserve"> 2025562</w:t>
          </w:r>
        </w:p>
        <w:p w14:paraId="60B2C09A" w14:textId="74685CD5" w:rsidR="00903AFD" w:rsidRPr="00903AFD" w:rsidRDefault="00903AFD" w:rsidP="00903AFD">
          <w:pPr>
            <w:pStyle w:val="Heading1"/>
            <w:rPr>
              <w:rStyle w:val="BookTitle"/>
              <w:color w:val="FF0000"/>
            </w:rPr>
          </w:pPr>
          <w:r w:rsidRPr="00903AFD">
            <w:rPr>
              <w:rStyle w:val="BookTitle"/>
              <w:color w:val="FF0000"/>
            </w:rPr>
            <w:t>MODULE NAME:</w:t>
          </w:r>
          <w:r w:rsidR="00B61C1A">
            <w:rPr>
              <w:rStyle w:val="BookTitle"/>
              <w:color w:val="FF0000"/>
            </w:rPr>
            <w:t xml:space="preserve"> BMIH 5007</w:t>
          </w:r>
        </w:p>
        <w:p w14:paraId="7D7359D3" w14:textId="519406DB" w:rsidR="00903AFD" w:rsidRPr="00903AFD" w:rsidRDefault="00903AFD" w:rsidP="00903AFD">
          <w:pPr>
            <w:pStyle w:val="Heading1"/>
            <w:rPr>
              <w:rStyle w:val="BookTitle"/>
              <w:color w:val="FF0000"/>
            </w:rPr>
          </w:pPr>
          <w:r w:rsidRPr="00903AFD">
            <w:rPr>
              <w:rStyle w:val="BookTitle"/>
              <w:color w:val="FF0000"/>
            </w:rPr>
            <w:t>LECTURER’S NAME:</w:t>
          </w:r>
          <w:r w:rsidR="00B61C1A">
            <w:rPr>
              <w:rStyle w:val="BookTitle"/>
              <w:color w:val="FF0000"/>
            </w:rPr>
            <w:t xml:space="preserve"> Dale Clarke</w:t>
          </w:r>
        </w:p>
        <w:p w14:paraId="6EC5CC47" w14:textId="77777777" w:rsidR="007D1947" w:rsidRPr="00903AFD" w:rsidRDefault="007D1947" w:rsidP="007D1947">
          <w:pPr>
            <w:pStyle w:val="Heading1"/>
            <w:rPr>
              <w:color w:val="FF0000"/>
            </w:rPr>
          </w:pPr>
          <w:r>
            <w:br w:type="page"/>
          </w:r>
          <w:bookmarkStart w:id="0" w:name="_Toc463944599"/>
          <w:r w:rsidRPr="00903AFD">
            <w:rPr>
              <w:color w:val="FF0000"/>
            </w:rPr>
            <w:lastRenderedPageBreak/>
            <w:t>Executive Summary</w:t>
          </w:r>
          <w:bookmarkEnd w:id="0"/>
        </w:p>
        <w:p w14:paraId="46F14963" w14:textId="0DDD96E8" w:rsidR="007D1947" w:rsidRDefault="00D6045B">
          <w:r w:rsidRPr="00D6045B">
            <w:t xml:space="preserve">With the use of financial ratios, this study assessed Marriott International Inc's performance indicators. The American international corporation (MNC) formed by J. Williard and Alice Marriott in 1927 includes hotels, resorts, office buildings, and residential properties all over the world. Income, loading, and debt are only a few of the ratios that </w:t>
          </w:r>
          <w:r w:rsidR="00705953">
            <w:t xml:space="preserve">were </w:t>
          </w:r>
          <w:r w:rsidRPr="00D6045B">
            <w:t xml:space="preserve">used to compare the company's performance in 2020 and 2021. The benefits and drawbacks of using ratios in the hospitality industry </w:t>
          </w:r>
          <w:r w:rsidR="00705953">
            <w:t>were</w:t>
          </w:r>
          <w:r w:rsidRPr="00D6045B">
            <w:t xml:space="preserve"> thoroughly </w:t>
          </w:r>
          <w:r w:rsidR="00705953">
            <w:t>analyzed</w:t>
          </w:r>
          <w:r w:rsidRPr="00D6045B">
            <w:t xml:space="preserve">. The report's focus </w:t>
          </w:r>
          <w:r w:rsidR="00705953">
            <w:t>was</w:t>
          </w:r>
          <w:r w:rsidRPr="00D6045B">
            <w:t xml:space="preserve"> on the company's use of ratios in making important </w:t>
          </w:r>
          <w:r w:rsidR="00705953">
            <w:t>judgment</w:t>
          </w:r>
          <w:r w:rsidRPr="00D6045B">
            <w:t xml:space="preserve"> calls.</w:t>
          </w:r>
        </w:p>
        <w:p w14:paraId="319933FB" w14:textId="77777777" w:rsidR="007D1947" w:rsidRDefault="007D1947"/>
        <w:p w14:paraId="5D6BF5EE" w14:textId="77777777" w:rsidR="007D1947" w:rsidRDefault="007D1947"/>
        <w:p w14:paraId="11C68BD2" w14:textId="77777777" w:rsidR="007D1947" w:rsidRDefault="007D1947"/>
        <w:p w14:paraId="08EEC166" w14:textId="77777777" w:rsidR="007D1947" w:rsidRDefault="007D1947"/>
        <w:p w14:paraId="4A7E0BD1" w14:textId="77777777" w:rsidR="007D1947" w:rsidRDefault="007D1947"/>
        <w:p w14:paraId="60983FBE" w14:textId="77777777" w:rsidR="007D1947" w:rsidRDefault="007D1947"/>
        <w:p w14:paraId="4BD24EAA" w14:textId="77777777" w:rsidR="007D1947" w:rsidRDefault="007D1947"/>
        <w:p w14:paraId="5E20A626" w14:textId="77777777" w:rsidR="007D1947" w:rsidRDefault="007D1947"/>
        <w:p w14:paraId="2592EA34" w14:textId="77777777" w:rsidR="007D1947" w:rsidRDefault="007D1947"/>
        <w:p w14:paraId="102FA409" w14:textId="77777777" w:rsidR="007D1947" w:rsidRDefault="007D1947"/>
        <w:p w14:paraId="0EB4AA44" w14:textId="77777777" w:rsidR="007D1947" w:rsidRDefault="007D1947"/>
        <w:p w14:paraId="43F4A0A2" w14:textId="77777777" w:rsidR="007D1947" w:rsidRDefault="007D1947"/>
        <w:p w14:paraId="1AC34DF5" w14:textId="77777777" w:rsidR="007D1947" w:rsidRDefault="007D1947"/>
        <w:p w14:paraId="42C19836" w14:textId="1DCC323A" w:rsidR="007D1947" w:rsidRDefault="00D6045B" w:rsidP="00D6045B">
          <w:pPr>
            <w:spacing w:line="259" w:lineRule="auto"/>
            <w:jc w:val="left"/>
          </w:pPr>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ascii="Arial" w:hAnsi="Arial"/>
              <w:b/>
              <w:bCs/>
              <w:noProof/>
              <w:sz w:val="24"/>
            </w:rPr>
          </w:sdtEndPr>
          <w:sdtContent>
            <w:p w14:paraId="17F927D0" w14:textId="77777777" w:rsidR="007D1947" w:rsidRPr="00903AFD" w:rsidRDefault="007D1947">
              <w:pPr>
                <w:pStyle w:val="TOCHeading"/>
                <w:rPr>
                  <w:color w:val="FF0000"/>
                </w:rPr>
              </w:pPr>
              <w:r w:rsidRPr="00903AFD">
                <w:rPr>
                  <w:color w:val="FF0000"/>
                </w:rPr>
                <w:t>Table of Contents</w:t>
              </w:r>
            </w:p>
            <w:p w14:paraId="4C790205" w14:textId="77777777" w:rsidR="00115B9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3944599" w:history="1">
                <w:r w:rsidR="00115B96" w:rsidRPr="009B0210">
                  <w:rPr>
                    <w:rStyle w:val="Hyperlink"/>
                    <w:noProof/>
                  </w:rPr>
                  <w:t>Executive Summary</w:t>
                </w:r>
                <w:r w:rsidR="00115B96">
                  <w:rPr>
                    <w:noProof/>
                    <w:webHidden/>
                  </w:rPr>
                  <w:tab/>
                </w:r>
                <w:r w:rsidR="00115B96">
                  <w:rPr>
                    <w:noProof/>
                    <w:webHidden/>
                  </w:rPr>
                  <w:fldChar w:fldCharType="begin"/>
                </w:r>
                <w:r w:rsidR="00115B96">
                  <w:rPr>
                    <w:noProof/>
                    <w:webHidden/>
                  </w:rPr>
                  <w:instrText xml:space="preserve"> PAGEREF _Toc463944599 \h </w:instrText>
                </w:r>
                <w:r w:rsidR="00115B96">
                  <w:rPr>
                    <w:noProof/>
                    <w:webHidden/>
                  </w:rPr>
                </w:r>
                <w:r w:rsidR="00115B96">
                  <w:rPr>
                    <w:noProof/>
                    <w:webHidden/>
                  </w:rPr>
                  <w:fldChar w:fldCharType="separate"/>
                </w:r>
                <w:r w:rsidR="00115B96">
                  <w:rPr>
                    <w:noProof/>
                    <w:webHidden/>
                  </w:rPr>
                  <w:t>1</w:t>
                </w:r>
                <w:r w:rsidR="00115B96">
                  <w:rPr>
                    <w:noProof/>
                    <w:webHidden/>
                  </w:rPr>
                  <w:fldChar w:fldCharType="end"/>
                </w:r>
              </w:hyperlink>
            </w:p>
            <w:p w14:paraId="594F6124" w14:textId="77777777" w:rsidR="00115B96" w:rsidRDefault="00000000">
              <w:pPr>
                <w:pStyle w:val="TOC1"/>
                <w:tabs>
                  <w:tab w:val="right" w:leader="dot" w:pos="9016"/>
                </w:tabs>
                <w:rPr>
                  <w:rFonts w:eastAsiaTheme="minorEastAsia"/>
                  <w:noProof/>
                  <w:lang w:eastAsia="en-GB"/>
                </w:rPr>
              </w:pPr>
              <w:hyperlink w:anchor="_Toc463944600" w:history="1">
                <w:r w:rsidR="00115B96" w:rsidRPr="009B0210">
                  <w:rPr>
                    <w:rStyle w:val="Hyperlink"/>
                    <w:noProof/>
                  </w:rPr>
                  <w:t>Introduction</w:t>
                </w:r>
                <w:r w:rsidR="00115B96">
                  <w:rPr>
                    <w:noProof/>
                    <w:webHidden/>
                  </w:rPr>
                  <w:tab/>
                </w:r>
                <w:r w:rsidR="00115B96">
                  <w:rPr>
                    <w:noProof/>
                    <w:webHidden/>
                  </w:rPr>
                  <w:fldChar w:fldCharType="begin"/>
                </w:r>
                <w:r w:rsidR="00115B96">
                  <w:rPr>
                    <w:noProof/>
                    <w:webHidden/>
                  </w:rPr>
                  <w:instrText xml:space="preserve"> PAGEREF _Toc463944600 \h </w:instrText>
                </w:r>
                <w:r w:rsidR="00115B96">
                  <w:rPr>
                    <w:noProof/>
                    <w:webHidden/>
                  </w:rPr>
                </w:r>
                <w:r w:rsidR="00115B96">
                  <w:rPr>
                    <w:noProof/>
                    <w:webHidden/>
                  </w:rPr>
                  <w:fldChar w:fldCharType="separate"/>
                </w:r>
                <w:r w:rsidR="00115B96">
                  <w:rPr>
                    <w:noProof/>
                    <w:webHidden/>
                  </w:rPr>
                  <w:t>3</w:t>
                </w:r>
                <w:r w:rsidR="00115B96">
                  <w:rPr>
                    <w:noProof/>
                    <w:webHidden/>
                  </w:rPr>
                  <w:fldChar w:fldCharType="end"/>
                </w:r>
              </w:hyperlink>
            </w:p>
            <w:p w14:paraId="554E8E6C" w14:textId="77777777" w:rsidR="00115B96" w:rsidRDefault="00000000">
              <w:pPr>
                <w:pStyle w:val="TOC1"/>
                <w:tabs>
                  <w:tab w:val="right" w:leader="dot" w:pos="9016"/>
                </w:tabs>
                <w:rPr>
                  <w:rFonts w:eastAsiaTheme="minorEastAsia"/>
                  <w:noProof/>
                  <w:lang w:eastAsia="en-GB"/>
                </w:rPr>
              </w:pPr>
              <w:hyperlink w:anchor="_Toc463944602" w:history="1">
                <w:r w:rsidR="00115B96" w:rsidRPr="009B0210">
                  <w:rPr>
                    <w:rStyle w:val="Hyperlink"/>
                    <w:noProof/>
                  </w:rPr>
                  <w:t>Financial Analysis Trends</w:t>
                </w:r>
                <w:r w:rsidR="00115B96">
                  <w:rPr>
                    <w:noProof/>
                    <w:webHidden/>
                  </w:rPr>
                  <w:tab/>
                </w:r>
                <w:r w:rsidR="00115B96">
                  <w:rPr>
                    <w:noProof/>
                    <w:webHidden/>
                  </w:rPr>
                  <w:fldChar w:fldCharType="begin"/>
                </w:r>
                <w:r w:rsidR="00115B96">
                  <w:rPr>
                    <w:noProof/>
                    <w:webHidden/>
                  </w:rPr>
                  <w:instrText xml:space="preserve"> PAGEREF _Toc463944602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41BAB81A" w14:textId="77777777" w:rsidR="00115B96" w:rsidRDefault="00000000">
              <w:pPr>
                <w:pStyle w:val="TOC2"/>
                <w:tabs>
                  <w:tab w:val="right" w:leader="dot" w:pos="9016"/>
                </w:tabs>
                <w:rPr>
                  <w:noProof/>
                </w:rPr>
              </w:pPr>
              <w:hyperlink w:anchor="_Toc463944603" w:history="1">
                <w:r w:rsidR="00115B96" w:rsidRPr="009B0210">
                  <w:rPr>
                    <w:rStyle w:val="Hyperlink"/>
                    <w:noProof/>
                  </w:rPr>
                  <w:t>Profitability</w:t>
                </w:r>
                <w:r w:rsidR="00115B96">
                  <w:rPr>
                    <w:noProof/>
                    <w:webHidden/>
                  </w:rPr>
                  <w:tab/>
                </w:r>
                <w:r w:rsidR="00115B96">
                  <w:rPr>
                    <w:noProof/>
                    <w:webHidden/>
                  </w:rPr>
                  <w:fldChar w:fldCharType="begin"/>
                </w:r>
                <w:r w:rsidR="00115B96">
                  <w:rPr>
                    <w:noProof/>
                    <w:webHidden/>
                  </w:rPr>
                  <w:instrText xml:space="preserve"> PAGEREF _Toc463944603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33358261" w14:textId="77777777" w:rsidR="00115B96" w:rsidRDefault="00000000">
              <w:pPr>
                <w:pStyle w:val="TOC2"/>
                <w:tabs>
                  <w:tab w:val="right" w:leader="dot" w:pos="9016"/>
                </w:tabs>
                <w:rPr>
                  <w:noProof/>
                </w:rPr>
              </w:pPr>
              <w:hyperlink w:anchor="_Toc463944604" w:history="1">
                <w:r w:rsidR="00115B96" w:rsidRPr="009B0210">
                  <w:rPr>
                    <w:rStyle w:val="Hyperlink"/>
                    <w:noProof/>
                  </w:rPr>
                  <w:t>Liquidity</w:t>
                </w:r>
                <w:r w:rsidR="00115B96">
                  <w:rPr>
                    <w:noProof/>
                    <w:webHidden/>
                  </w:rPr>
                  <w:tab/>
                </w:r>
                <w:r w:rsidR="00115B96">
                  <w:rPr>
                    <w:noProof/>
                    <w:webHidden/>
                  </w:rPr>
                  <w:fldChar w:fldCharType="begin"/>
                </w:r>
                <w:r w:rsidR="00115B96">
                  <w:rPr>
                    <w:noProof/>
                    <w:webHidden/>
                  </w:rPr>
                  <w:instrText xml:space="preserve"> PAGEREF _Toc463944604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26D7A146" w14:textId="77777777" w:rsidR="00115B96" w:rsidRDefault="00000000">
              <w:pPr>
                <w:pStyle w:val="TOC2"/>
                <w:tabs>
                  <w:tab w:val="right" w:leader="dot" w:pos="9016"/>
                </w:tabs>
                <w:rPr>
                  <w:noProof/>
                </w:rPr>
              </w:pPr>
              <w:hyperlink w:anchor="_Toc463944605" w:history="1">
                <w:r w:rsidR="00115B96" w:rsidRPr="009B0210">
                  <w:rPr>
                    <w:rStyle w:val="Hyperlink"/>
                    <w:noProof/>
                  </w:rPr>
                  <w:t>Gearing</w:t>
                </w:r>
                <w:r w:rsidR="00115B96">
                  <w:rPr>
                    <w:noProof/>
                    <w:webHidden/>
                  </w:rPr>
                  <w:tab/>
                </w:r>
                <w:r w:rsidR="00115B96">
                  <w:rPr>
                    <w:noProof/>
                    <w:webHidden/>
                  </w:rPr>
                  <w:fldChar w:fldCharType="begin"/>
                </w:r>
                <w:r w:rsidR="00115B96">
                  <w:rPr>
                    <w:noProof/>
                    <w:webHidden/>
                  </w:rPr>
                  <w:instrText xml:space="preserve"> PAGEREF _Toc463944605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3952D2B2" w14:textId="77777777" w:rsidR="00115B96" w:rsidRDefault="00000000">
              <w:pPr>
                <w:pStyle w:val="TOC1"/>
                <w:tabs>
                  <w:tab w:val="right" w:leader="dot" w:pos="9016"/>
                </w:tabs>
                <w:rPr>
                  <w:rFonts w:eastAsiaTheme="minorEastAsia"/>
                  <w:noProof/>
                  <w:lang w:eastAsia="en-GB"/>
                </w:rPr>
              </w:pPr>
              <w:hyperlink w:anchor="_Toc463944606" w:history="1">
                <w:r w:rsidR="00115B96" w:rsidRPr="009B0210">
                  <w:rPr>
                    <w:rStyle w:val="Hyperlink"/>
                    <w:noProof/>
                  </w:rPr>
                  <w:t>Knowledge from Ratio Analysis</w:t>
                </w:r>
                <w:r w:rsidR="00115B96">
                  <w:rPr>
                    <w:noProof/>
                    <w:webHidden/>
                  </w:rPr>
                  <w:tab/>
                </w:r>
                <w:r w:rsidR="00115B96">
                  <w:rPr>
                    <w:noProof/>
                    <w:webHidden/>
                  </w:rPr>
                  <w:fldChar w:fldCharType="begin"/>
                </w:r>
                <w:r w:rsidR="00115B96">
                  <w:rPr>
                    <w:noProof/>
                    <w:webHidden/>
                  </w:rPr>
                  <w:instrText xml:space="preserve"> PAGEREF _Toc463944606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3969CF74" w14:textId="77777777" w:rsidR="00115B96" w:rsidRDefault="00000000">
              <w:pPr>
                <w:pStyle w:val="TOC1"/>
                <w:tabs>
                  <w:tab w:val="right" w:leader="dot" w:pos="9016"/>
                </w:tabs>
                <w:rPr>
                  <w:rFonts w:eastAsiaTheme="minorEastAsia"/>
                  <w:noProof/>
                  <w:lang w:eastAsia="en-GB"/>
                </w:rPr>
              </w:pPr>
              <w:hyperlink w:anchor="_Toc463944607" w:history="1">
                <w:r w:rsidR="00115B96" w:rsidRPr="009B0210">
                  <w:rPr>
                    <w:rStyle w:val="Hyperlink"/>
                    <w:noProof/>
                  </w:rPr>
                  <w:t>Benefits and Limitations of Ratio Analysis</w:t>
                </w:r>
                <w:r w:rsidR="00115B96">
                  <w:rPr>
                    <w:noProof/>
                    <w:webHidden/>
                  </w:rPr>
                  <w:tab/>
                </w:r>
                <w:r w:rsidR="00115B96">
                  <w:rPr>
                    <w:noProof/>
                    <w:webHidden/>
                  </w:rPr>
                  <w:fldChar w:fldCharType="begin"/>
                </w:r>
                <w:r w:rsidR="00115B96">
                  <w:rPr>
                    <w:noProof/>
                    <w:webHidden/>
                  </w:rPr>
                  <w:instrText xml:space="preserve"> PAGEREF _Toc463944607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2B487859" w14:textId="77777777" w:rsidR="00115B96" w:rsidRDefault="00000000">
              <w:pPr>
                <w:pStyle w:val="TOC1"/>
                <w:tabs>
                  <w:tab w:val="right" w:leader="dot" w:pos="9016"/>
                </w:tabs>
                <w:rPr>
                  <w:rFonts w:eastAsiaTheme="minorEastAsia"/>
                  <w:noProof/>
                  <w:lang w:eastAsia="en-GB"/>
                </w:rPr>
              </w:pPr>
              <w:hyperlink w:anchor="_Toc463944608" w:history="1">
                <w:r w:rsidR="00115B96" w:rsidRPr="009B0210">
                  <w:rPr>
                    <w:rStyle w:val="Hyperlink"/>
                    <w:noProof/>
                  </w:rPr>
                  <w:t>Conclusion (average of 10% of word count)</w:t>
                </w:r>
                <w:r w:rsidR="00115B96">
                  <w:rPr>
                    <w:noProof/>
                    <w:webHidden/>
                  </w:rPr>
                  <w:tab/>
                </w:r>
                <w:r w:rsidR="00115B96">
                  <w:rPr>
                    <w:noProof/>
                    <w:webHidden/>
                  </w:rPr>
                  <w:fldChar w:fldCharType="begin"/>
                </w:r>
                <w:r w:rsidR="00115B96">
                  <w:rPr>
                    <w:noProof/>
                    <w:webHidden/>
                  </w:rPr>
                  <w:instrText xml:space="preserve"> PAGEREF _Toc463944608 \h </w:instrText>
                </w:r>
                <w:r w:rsidR="00115B96">
                  <w:rPr>
                    <w:noProof/>
                    <w:webHidden/>
                  </w:rPr>
                </w:r>
                <w:r w:rsidR="00115B96">
                  <w:rPr>
                    <w:noProof/>
                    <w:webHidden/>
                  </w:rPr>
                  <w:fldChar w:fldCharType="separate"/>
                </w:r>
                <w:r w:rsidR="00115B96">
                  <w:rPr>
                    <w:noProof/>
                    <w:webHidden/>
                  </w:rPr>
                  <w:t>5</w:t>
                </w:r>
                <w:r w:rsidR="00115B96">
                  <w:rPr>
                    <w:noProof/>
                    <w:webHidden/>
                  </w:rPr>
                  <w:fldChar w:fldCharType="end"/>
                </w:r>
              </w:hyperlink>
            </w:p>
            <w:p w14:paraId="163DB4B1" w14:textId="77777777" w:rsidR="00115B96" w:rsidRDefault="00000000">
              <w:pPr>
                <w:pStyle w:val="TOC1"/>
                <w:tabs>
                  <w:tab w:val="right" w:leader="dot" w:pos="9016"/>
                </w:tabs>
                <w:rPr>
                  <w:rFonts w:eastAsiaTheme="minorEastAsia"/>
                  <w:noProof/>
                  <w:lang w:eastAsia="en-GB"/>
                </w:rPr>
              </w:pPr>
              <w:hyperlink w:anchor="_Toc463944609" w:history="1">
                <w:r w:rsidR="00115B96" w:rsidRPr="009B0210">
                  <w:rPr>
                    <w:rStyle w:val="Hyperlink"/>
                    <w:noProof/>
                  </w:rPr>
                  <w:t>Bibliography</w:t>
                </w:r>
                <w:r w:rsidR="00115B96">
                  <w:rPr>
                    <w:noProof/>
                    <w:webHidden/>
                  </w:rPr>
                  <w:tab/>
                </w:r>
                <w:r w:rsidR="00115B96">
                  <w:rPr>
                    <w:noProof/>
                    <w:webHidden/>
                  </w:rPr>
                  <w:fldChar w:fldCharType="begin"/>
                </w:r>
                <w:r w:rsidR="00115B96">
                  <w:rPr>
                    <w:noProof/>
                    <w:webHidden/>
                  </w:rPr>
                  <w:instrText xml:space="preserve"> PAGEREF _Toc463944609 \h </w:instrText>
                </w:r>
                <w:r w:rsidR="00115B96">
                  <w:rPr>
                    <w:noProof/>
                    <w:webHidden/>
                  </w:rPr>
                </w:r>
                <w:r w:rsidR="00115B96">
                  <w:rPr>
                    <w:noProof/>
                    <w:webHidden/>
                  </w:rPr>
                  <w:fldChar w:fldCharType="separate"/>
                </w:r>
                <w:r w:rsidR="00115B96">
                  <w:rPr>
                    <w:noProof/>
                    <w:webHidden/>
                  </w:rPr>
                  <w:t>6</w:t>
                </w:r>
                <w:r w:rsidR="00115B96">
                  <w:rPr>
                    <w:noProof/>
                    <w:webHidden/>
                  </w:rPr>
                  <w:fldChar w:fldCharType="end"/>
                </w:r>
              </w:hyperlink>
            </w:p>
            <w:p w14:paraId="5849B348" w14:textId="5D04DE9A" w:rsidR="007D1947" w:rsidRDefault="007D1947">
              <w:r>
                <w:rPr>
                  <w:b/>
                  <w:bCs/>
                  <w:noProof/>
                </w:rPr>
                <w:fldChar w:fldCharType="end"/>
              </w:r>
            </w:p>
          </w:sdtContent>
        </w:sdt>
        <w:p w14:paraId="1E6FA7DA" w14:textId="77777777" w:rsidR="007D1947" w:rsidRDefault="007D1947"/>
        <w:p w14:paraId="3C870FBE" w14:textId="77777777" w:rsidR="007D1947" w:rsidRDefault="007D1947"/>
        <w:p w14:paraId="2473B2AF" w14:textId="77777777" w:rsidR="007D1947" w:rsidRDefault="007D1947"/>
        <w:p w14:paraId="059AA211" w14:textId="77777777" w:rsidR="007D1947" w:rsidRDefault="007D1947"/>
        <w:p w14:paraId="2926D74B" w14:textId="77777777" w:rsidR="007D1947" w:rsidRDefault="007D1947"/>
        <w:p w14:paraId="4F61A8F6" w14:textId="77777777" w:rsidR="002703D7" w:rsidRDefault="002703D7">
          <w:pPr>
            <w:spacing w:line="259" w:lineRule="auto"/>
            <w:rPr>
              <w:rFonts w:asciiTheme="majorHAnsi" w:eastAsiaTheme="majorEastAsia" w:hAnsiTheme="majorHAnsi" w:cstheme="majorBidi"/>
              <w:color w:val="2E74B5" w:themeColor="accent1" w:themeShade="BF"/>
              <w:sz w:val="32"/>
              <w:szCs w:val="32"/>
            </w:rPr>
          </w:pPr>
          <w:bookmarkStart w:id="1" w:name="_Toc463944600"/>
          <w:r>
            <w:br w:type="page"/>
          </w:r>
        </w:p>
        <w:p w14:paraId="521E26EC" w14:textId="631FA09E" w:rsidR="007D1947" w:rsidRPr="00903AFD" w:rsidRDefault="007D1947" w:rsidP="007D1947">
          <w:pPr>
            <w:pStyle w:val="Heading1"/>
            <w:rPr>
              <w:color w:val="FF0000"/>
            </w:rPr>
          </w:pPr>
          <w:r w:rsidRPr="00903AFD">
            <w:rPr>
              <w:color w:val="FF0000"/>
            </w:rPr>
            <w:lastRenderedPageBreak/>
            <w:t>Introduction</w:t>
          </w:r>
          <w:bookmarkEnd w:id="1"/>
        </w:p>
        <w:p w14:paraId="02073D06" w14:textId="779A88A4" w:rsidR="0095522F" w:rsidRDefault="0076771D" w:rsidP="0095522F">
          <w:r>
            <w:t xml:space="preserve">The report will evaluate the measurement of performance of Marriott International Inc by using the financial ratio. </w:t>
          </w:r>
          <w:r w:rsidR="00556D1C">
            <w:t xml:space="preserve">The MNC (multinational company) of </w:t>
          </w:r>
          <w:r w:rsidR="002E4697">
            <w:t>America</w:t>
          </w:r>
          <w:r w:rsidR="0095522F">
            <w:t xml:space="preserve"> founded by J. Williard and Alice Marriott in 1927</w:t>
          </w:r>
          <w:r w:rsidR="00556D1C">
            <w:t xml:space="preserve"> </w:t>
          </w:r>
          <w:r w:rsidR="006A383F">
            <w:t>and</w:t>
          </w:r>
          <w:r w:rsidR="00556D1C">
            <w:t xml:space="preserve"> has operations in multiple localities, branches </w:t>
          </w:r>
          <w:r w:rsidR="00685F2E">
            <w:t>in the</w:t>
          </w:r>
          <w:r w:rsidR="00556D1C">
            <w:t xml:space="preserve"> hospitality industry, properties as well as residential. </w:t>
          </w:r>
          <w:r>
            <w:t xml:space="preserve">The </w:t>
          </w:r>
          <w:r w:rsidR="00556D1C">
            <w:t>following ratio such as profitability, gearing and leverage will be use</w:t>
          </w:r>
          <w:r w:rsidR="0095522F">
            <w:t>d</w:t>
          </w:r>
          <w:r w:rsidR="00556D1C">
            <w:t xml:space="preserve"> in the report to analy</w:t>
          </w:r>
          <w:r w:rsidR="00685F2E">
            <w:t>z</w:t>
          </w:r>
          <w:r w:rsidR="00556D1C">
            <w:t xml:space="preserve">e its position in 2021 and </w:t>
          </w:r>
          <w:r w:rsidR="00685F2E">
            <w:t xml:space="preserve">the </w:t>
          </w:r>
          <w:r w:rsidR="00556D1C">
            <w:t xml:space="preserve">preceding year. </w:t>
          </w:r>
          <w:r w:rsidR="009033F2">
            <w:t xml:space="preserve">It will </w:t>
          </w:r>
          <w:r w:rsidR="0095522F">
            <w:t>critically examine the ratio demerits and uses for the hospitality business. The report will cover the use of ratios by the entity to grasp crucial decisions.</w:t>
          </w:r>
        </w:p>
        <w:p w14:paraId="69C7FAEE" w14:textId="71FFEBD5" w:rsidR="007D1947" w:rsidRDefault="0095522F" w:rsidP="007D1947">
          <w:r>
            <w:t xml:space="preserve"> </w:t>
          </w:r>
          <w:r w:rsidR="0076771D">
            <w:t xml:space="preserve"> </w:t>
          </w:r>
        </w:p>
        <w:p w14:paraId="5344B2AD" w14:textId="77777777" w:rsidR="004A11F6" w:rsidRDefault="004A11F6" w:rsidP="007D1947"/>
        <w:p w14:paraId="0D878A77" w14:textId="77777777" w:rsidR="004A11F6" w:rsidRDefault="004A11F6" w:rsidP="007D1947"/>
        <w:p w14:paraId="23D7B520" w14:textId="77777777" w:rsidR="004A11F6" w:rsidRDefault="004A11F6" w:rsidP="007D1947"/>
        <w:p w14:paraId="254C4174" w14:textId="77777777" w:rsidR="004A11F6" w:rsidRDefault="004A11F6" w:rsidP="007D1947"/>
        <w:p w14:paraId="7977B4C9" w14:textId="77777777" w:rsidR="004A11F6" w:rsidRDefault="004A11F6" w:rsidP="007D1947"/>
        <w:p w14:paraId="005F8553" w14:textId="77777777" w:rsidR="004A11F6" w:rsidRDefault="004A11F6" w:rsidP="007D1947"/>
        <w:p w14:paraId="6B8A6FD5" w14:textId="77777777" w:rsidR="004A11F6" w:rsidRDefault="004A11F6" w:rsidP="007D1947"/>
        <w:p w14:paraId="38F11E70" w14:textId="77777777" w:rsidR="004A11F6" w:rsidRDefault="004A11F6" w:rsidP="007D1947"/>
        <w:p w14:paraId="152991AC" w14:textId="77777777" w:rsidR="004A11F6" w:rsidRDefault="004A11F6" w:rsidP="007D1947"/>
        <w:p w14:paraId="76C624EF" w14:textId="77777777" w:rsidR="004A11F6" w:rsidRDefault="004A11F6" w:rsidP="007D1947"/>
        <w:p w14:paraId="2A83E088" w14:textId="77777777" w:rsidR="004A11F6" w:rsidRDefault="004A11F6" w:rsidP="007D1947"/>
        <w:p w14:paraId="2049970D" w14:textId="77777777" w:rsidR="004A11F6" w:rsidRDefault="004A11F6" w:rsidP="007D1947"/>
        <w:p w14:paraId="423498CD" w14:textId="77777777" w:rsidR="004A11F6" w:rsidRDefault="004A11F6" w:rsidP="007D1947"/>
        <w:p w14:paraId="76D6CA75" w14:textId="77777777" w:rsidR="004A11F6" w:rsidRDefault="004A11F6" w:rsidP="007D1947"/>
        <w:p w14:paraId="2921F07A" w14:textId="77777777" w:rsidR="004A11F6" w:rsidRDefault="004A11F6" w:rsidP="007D1947"/>
        <w:p w14:paraId="21842701" w14:textId="77777777" w:rsidR="004A11F6" w:rsidRDefault="004A11F6" w:rsidP="007D1947"/>
        <w:p w14:paraId="53928725" w14:textId="709BBDDB" w:rsidR="00284F1F" w:rsidRPr="00903AFD" w:rsidRDefault="004D519C" w:rsidP="002703D7">
          <w:pPr>
            <w:pStyle w:val="Heading1"/>
            <w:rPr>
              <w:color w:val="FF0000"/>
              <w:lang w:val="en-IN"/>
            </w:rPr>
          </w:pPr>
          <w:bookmarkStart w:id="2" w:name="_Toc463944602"/>
          <w:r w:rsidRPr="00903AFD">
            <w:rPr>
              <w:color w:val="FF0000"/>
            </w:rPr>
            <w:lastRenderedPageBreak/>
            <w:t>Financial Analysis Trends</w:t>
          </w:r>
          <w:bookmarkEnd w:id="2"/>
        </w:p>
        <w:p w14:paraId="31921F49" w14:textId="14B700F2" w:rsidR="00284F1F" w:rsidRPr="00284F1F" w:rsidRDefault="00231261" w:rsidP="00284F1F">
          <w:r>
            <w:t xml:space="preserve">The financials of </w:t>
          </w:r>
          <w:r w:rsidR="00685F2E">
            <w:t xml:space="preserve">the </w:t>
          </w:r>
          <w:r>
            <w:t xml:space="preserve">Marriott entity will be discussed by the following ratio such as profitability, gearing and liquidity to distinguish the performance for the </w:t>
          </w:r>
          <w:r w:rsidR="00685F2E">
            <w:t>years</w:t>
          </w:r>
          <w:r>
            <w:t xml:space="preserve"> 2021 and 2020. The overall performance of Ma</w:t>
          </w:r>
          <w:r w:rsidR="00685F2E">
            <w:t>r</w:t>
          </w:r>
          <w:r>
            <w:t xml:space="preserve">riott increases in 2021 </w:t>
          </w:r>
          <w:r w:rsidR="00685F2E">
            <w:t>in</w:t>
          </w:r>
          <w:r>
            <w:t xml:space="preserve"> contrast to </w:t>
          </w:r>
          <w:r w:rsidR="00685F2E">
            <w:t xml:space="preserve">the </w:t>
          </w:r>
          <w:r>
            <w:t xml:space="preserve">preceding year which is measured below by using key ratios given below. </w:t>
          </w:r>
          <w:r w:rsidR="00093736">
            <w:t xml:space="preserve">The charts are also used to </w:t>
          </w:r>
          <w:r w:rsidR="00685F2E">
            <w:t>analyze</w:t>
          </w:r>
          <w:r w:rsidR="00093736">
            <w:t xml:space="preserve"> the entity’s performance for the year. </w:t>
          </w:r>
          <w:r w:rsidR="00636A4F">
            <w:t xml:space="preserve">There </w:t>
          </w:r>
          <w:r w:rsidR="00F82B12">
            <w:t>is</w:t>
          </w:r>
          <w:r w:rsidR="00636A4F">
            <w:t xml:space="preserve"> also various </w:t>
          </w:r>
          <w:r w:rsidR="00F82B12">
            <w:t>types</w:t>
          </w:r>
          <w:r w:rsidR="00636A4F">
            <w:t xml:space="preserve"> of </w:t>
          </w:r>
          <w:r w:rsidR="00F82B12">
            <w:t>ratios</w:t>
          </w:r>
          <w:r w:rsidR="00636A4F">
            <w:t xml:space="preserve"> </w:t>
          </w:r>
          <w:r w:rsidR="00F82B12">
            <w:t>that</w:t>
          </w:r>
          <w:r w:rsidR="00636A4F">
            <w:t xml:space="preserve"> can be used to analyze the financial position such as the </w:t>
          </w:r>
          <w:r w:rsidR="00B16EEB">
            <w:t xml:space="preserve">efficiency ratio. The time </w:t>
          </w:r>
          <w:r w:rsidR="00F82B12">
            <w:t>taken</w:t>
          </w:r>
          <w:r w:rsidR="00B16EEB">
            <w:t xml:space="preserve"> by the firm to collect its money is 61 days in 2020 to 52 days in 202</w:t>
          </w:r>
          <w:r w:rsidR="00496867">
            <w:t>1 (</w:t>
          </w:r>
          <w:r w:rsidR="00496867" w:rsidRPr="00470473">
            <w:rPr>
              <w:rFonts w:cs="Arial"/>
              <w:color w:val="222222"/>
              <w:szCs w:val="24"/>
              <w:shd w:val="clear" w:color="auto" w:fill="FFFFFF"/>
            </w:rPr>
            <w:t>Abad-Segura, and González-Zamar, 2020</w:t>
          </w:r>
          <w:r w:rsidR="00496867">
            <w:rPr>
              <w:rFonts w:cs="Arial"/>
              <w:color w:val="222222"/>
              <w:szCs w:val="24"/>
              <w:shd w:val="clear" w:color="auto" w:fill="FFFFFF"/>
            </w:rPr>
            <w:t>)</w:t>
          </w:r>
          <w:r w:rsidR="00496867" w:rsidRPr="00470473">
            <w:rPr>
              <w:rFonts w:cs="Arial"/>
              <w:color w:val="222222"/>
              <w:szCs w:val="24"/>
              <w:shd w:val="clear" w:color="auto" w:fill="FFFFFF"/>
            </w:rPr>
            <w:t>.</w:t>
          </w:r>
        </w:p>
        <w:p w14:paraId="4DC6FCCD" w14:textId="7D4E5F6A" w:rsidR="004D519C" w:rsidRPr="00903AFD" w:rsidRDefault="004D519C" w:rsidP="004D519C">
          <w:pPr>
            <w:pStyle w:val="Heading2"/>
            <w:rPr>
              <w:color w:val="FF0000"/>
            </w:rPr>
          </w:pPr>
          <w:bookmarkStart w:id="3" w:name="_Toc463944603"/>
          <w:r w:rsidRPr="00903AFD">
            <w:rPr>
              <w:color w:val="FF0000"/>
            </w:rPr>
            <w:t>Profitability</w:t>
          </w:r>
          <w:bookmarkEnd w:id="3"/>
        </w:p>
        <w:p w14:paraId="42AF700D" w14:textId="72A32850" w:rsidR="0004605E" w:rsidRDefault="0004605E" w:rsidP="0004605E">
          <w:r>
            <w:t xml:space="preserve">There are various ratios available to measure the profitability of the entity but majorly </w:t>
          </w:r>
          <w:r w:rsidR="00093736">
            <w:t xml:space="preserve">the performance is </w:t>
          </w:r>
          <w:r w:rsidR="00685F2E">
            <w:t>measured</w:t>
          </w:r>
          <w:r w:rsidR="00093736">
            <w:t xml:space="preserve"> by </w:t>
          </w:r>
          <w:r w:rsidR="001F0A65">
            <w:t>using the gross income, operating margin</w:t>
          </w:r>
          <w:r w:rsidR="00685F2E">
            <w:t>,</w:t>
          </w:r>
          <w:r w:rsidR="001F0A65">
            <w:t xml:space="preserve"> and net margin ratio. </w:t>
          </w:r>
        </w:p>
        <w:p w14:paraId="089BB2DC" w14:textId="77777777" w:rsidR="001F0A65" w:rsidRDefault="001F0A65" w:rsidP="001F0A65">
          <w:pPr>
            <w:keepNext/>
          </w:pPr>
          <w:r w:rsidRPr="001F0A65">
            <w:rPr>
              <w:noProof/>
              <w:lang w:val="en-US"/>
            </w:rPr>
            <w:drawing>
              <wp:inline distT="0" distB="0" distL="0" distR="0" wp14:anchorId="60902BD5" wp14:editId="39E13616">
                <wp:extent cx="5731510" cy="27813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781300"/>
                        </a:xfrm>
                        <a:prstGeom prst="rect">
                          <a:avLst/>
                        </a:prstGeom>
                      </pic:spPr>
                    </pic:pic>
                  </a:graphicData>
                </a:graphic>
              </wp:inline>
            </w:drawing>
          </w:r>
        </w:p>
        <w:p w14:paraId="4F14A07C" w14:textId="211B5CEF" w:rsidR="001F0A65" w:rsidRPr="00903AFD" w:rsidRDefault="001F0A65" w:rsidP="00D00810">
          <w:pPr>
            <w:pStyle w:val="Caption"/>
            <w:jc w:val="center"/>
            <w:rPr>
              <w:color w:val="FF0000"/>
              <w:sz w:val="24"/>
              <w:szCs w:val="24"/>
            </w:rPr>
          </w:pPr>
          <w:r w:rsidRPr="00903AFD">
            <w:rPr>
              <w:color w:val="FF0000"/>
              <w:sz w:val="24"/>
              <w:szCs w:val="24"/>
            </w:rPr>
            <w:t xml:space="preserve">Figure </w:t>
          </w:r>
          <w:r w:rsidRPr="00903AFD">
            <w:rPr>
              <w:color w:val="FF0000"/>
              <w:sz w:val="24"/>
              <w:szCs w:val="24"/>
            </w:rPr>
            <w:fldChar w:fldCharType="begin"/>
          </w:r>
          <w:r w:rsidRPr="00903AFD">
            <w:rPr>
              <w:color w:val="FF0000"/>
              <w:sz w:val="24"/>
              <w:szCs w:val="24"/>
            </w:rPr>
            <w:instrText xml:space="preserve"> SEQ Figure \* ARABIC </w:instrText>
          </w:r>
          <w:r w:rsidRPr="00903AFD">
            <w:rPr>
              <w:color w:val="FF0000"/>
              <w:sz w:val="24"/>
              <w:szCs w:val="24"/>
            </w:rPr>
            <w:fldChar w:fldCharType="separate"/>
          </w:r>
          <w:r w:rsidR="00242253" w:rsidRPr="00903AFD">
            <w:rPr>
              <w:noProof/>
              <w:color w:val="FF0000"/>
              <w:sz w:val="24"/>
              <w:szCs w:val="24"/>
            </w:rPr>
            <w:t>1</w:t>
          </w:r>
          <w:r w:rsidRPr="00903AFD">
            <w:rPr>
              <w:color w:val="FF0000"/>
              <w:sz w:val="24"/>
              <w:szCs w:val="24"/>
            </w:rPr>
            <w:fldChar w:fldCharType="end"/>
          </w:r>
          <w:r w:rsidRPr="00903AFD">
            <w:rPr>
              <w:color w:val="FF0000"/>
              <w:sz w:val="24"/>
              <w:szCs w:val="24"/>
            </w:rPr>
            <w:t>: Bar chart of Gross Margin</w:t>
          </w:r>
        </w:p>
        <w:p w14:paraId="49ED34F3" w14:textId="65263EE3" w:rsidR="001F0A65" w:rsidRPr="00D00810" w:rsidRDefault="001F0A65" w:rsidP="00D00810">
          <w:pPr>
            <w:jc w:val="center"/>
            <w:rPr>
              <w:szCs w:val="24"/>
            </w:rPr>
          </w:pPr>
          <w:r w:rsidRPr="00D00810">
            <w:rPr>
              <w:szCs w:val="24"/>
            </w:rPr>
            <w:t xml:space="preserve">Source: </w:t>
          </w:r>
          <w:r w:rsidR="00D00810" w:rsidRPr="00D00810">
            <w:rPr>
              <w:szCs w:val="24"/>
            </w:rPr>
            <w:t>Macrotrends</w:t>
          </w:r>
        </w:p>
        <w:p w14:paraId="3F249F56" w14:textId="5FEFECEB" w:rsidR="001F0A65" w:rsidRDefault="001F0A65" w:rsidP="0004605E">
          <w:r>
            <w:t xml:space="preserve">The gross income ratio of Marriot Inc for the year 2020 is 13.80% and year 2021 is 20.21%. This can be </w:t>
          </w:r>
          <w:r w:rsidR="00685F2E">
            <w:t>shown</w:t>
          </w:r>
          <w:r>
            <w:t xml:space="preserve"> in the above chart that the profits are better in 2021 as compared to the preceding period. The pattern followed is positive for the entity as contrasting with the previous results. </w:t>
          </w:r>
        </w:p>
        <w:p w14:paraId="0CBA7B0B" w14:textId="77777777" w:rsidR="00D00810" w:rsidRDefault="001F0A65" w:rsidP="00D00810">
          <w:pPr>
            <w:keepNext/>
          </w:pPr>
          <w:r w:rsidRPr="001F0A65">
            <w:rPr>
              <w:noProof/>
              <w:lang w:val="en-US"/>
            </w:rPr>
            <w:lastRenderedPageBreak/>
            <w:drawing>
              <wp:inline distT="0" distB="0" distL="0" distR="0" wp14:anchorId="6B0D5ACA" wp14:editId="408B9FA2">
                <wp:extent cx="5731510" cy="20040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004060"/>
                        </a:xfrm>
                        <a:prstGeom prst="rect">
                          <a:avLst/>
                        </a:prstGeom>
                      </pic:spPr>
                    </pic:pic>
                  </a:graphicData>
                </a:graphic>
              </wp:inline>
            </w:drawing>
          </w:r>
        </w:p>
        <w:p w14:paraId="4B04C71E" w14:textId="418811DC" w:rsidR="001F0A65" w:rsidRPr="00903AFD" w:rsidRDefault="00D00810" w:rsidP="00D00810">
          <w:pPr>
            <w:pStyle w:val="Caption"/>
            <w:jc w:val="center"/>
            <w:rPr>
              <w:color w:val="FF0000"/>
              <w:sz w:val="24"/>
              <w:szCs w:val="24"/>
            </w:rPr>
          </w:pPr>
          <w:r w:rsidRPr="00903AFD">
            <w:rPr>
              <w:color w:val="FF0000"/>
              <w:sz w:val="24"/>
              <w:szCs w:val="24"/>
            </w:rPr>
            <w:t xml:space="preserve">Figure </w:t>
          </w:r>
          <w:r w:rsidRPr="00903AFD">
            <w:rPr>
              <w:color w:val="FF0000"/>
              <w:sz w:val="24"/>
              <w:szCs w:val="24"/>
            </w:rPr>
            <w:fldChar w:fldCharType="begin"/>
          </w:r>
          <w:r w:rsidRPr="00903AFD">
            <w:rPr>
              <w:color w:val="FF0000"/>
              <w:sz w:val="24"/>
              <w:szCs w:val="24"/>
            </w:rPr>
            <w:instrText xml:space="preserve"> SEQ Figure \* ARABIC </w:instrText>
          </w:r>
          <w:r w:rsidRPr="00903AFD">
            <w:rPr>
              <w:color w:val="FF0000"/>
              <w:sz w:val="24"/>
              <w:szCs w:val="24"/>
            </w:rPr>
            <w:fldChar w:fldCharType="separate"/>
          </w:r>
          <w:r w:rsidR="00242253" w:rsidRPr="00903AFD">
            <w:rPr>
              <w:noProof/>
              <w:color w:val="FF0000"/>
              <w:sz w:val="24"/>
              <w:szCs w:val="24"/>
            </w:rPr>
            <w:t>2</w:t>
          </w:r>
          <w:r w:rsidRPr="00903AFD">
            <w:rPr>
              <w:color w:val="FF0000"/>
              <w:sz w:val="24"/>
              <w:szCs w:val="24"/>
            </w:rPr>
            <w:fldChar w:fldCharType="end"/>
          </w:r>
          <w:r w:rsidRPr="00903AFD">
            <w:rPr>
              <w:color w:val="FF0000"/>
              <w:sz w:val="24"/>
              <w:szCs w:val="24"/>
            </w:rPr>
            <w:t>: Operating income margin</w:t>
          </w:r>
        </w:p>
        <w:p w14:paraId="75BB6A51" w14:textId="6A92A455" w:rsidR="00D00810" w:rsidRDefault="00D00810" w:rsidP="00D00810">
          <w:pPr>
            <w:jc w:val="center"/>
            <w:rPr>
              <w:szCs w:val="24"/>
            </w:rPr>
          </w:pPr>
          <w:r w:rsidRPr="00D00810">
            <w:rPr>
              <w:szCs w:val="24"/>
            </w:rPr>
            <w:t>Source: Macrotrends</w:t>
          </w:r>
        </w:p>
        <w:p w14:paraId="16B73AC1" w14:textId="1486C582" w:rsidR="00D00810" w:rsidRDefault="00D00810" w:rsidP="00D00810">
          <w:pPr>
            <w:jc w:val="left"/>
            <w:rPr>
              <w:szCs w:val="24"/>
            </w:rPr>
          </w:pPr>
          <w:r>
            <w:rPr>
              <w:szCs w:val="24"/>
            </w:rPr>
            <w:t>The above figure shows the operating income earn</w:t>
          </w:r>
          <w:r w:rsidR="00685F2E">
            <w:rPr>
              <w:szCs w:val="24"/>
            </w:rPr>
            <w:t>ed</w:t>
          </w:r>
          <w:r>
            <w:rPr>
              <w:szCs w:val="24"/>
            </w:rPr>
            <w:t xml:space="preserve"> by Marriott in the year 2020 is 0.7% and</w:t>
          </w:r>
          <w:r w:rsidR="00685F2E">
            <w:rPr>
              <w:szCs w:val="24"/>
            </w:rPr>
            <w:t xml:space="preserve"> in the</w:t>
          </w:r>
          <w:r>
            <w:rPr>
              <w:szCs w:val="24"/>
            </w:rPr>
            <w:t xml:space="preserve"> year 2021 is 12.62</w:t>
          </w:r>
          <w:r w:rsidR="003D00A0">
            <w:rPr>
              <w:szCs w:val="24"/>
            </w:rPr>
            <w:t>%</w:t>
          </w:r>
          <w:r>
            <w:rPr>
              <w:szCs w:val="24"/>
            </w:rPr>
            <w:t xml:space="preserve"> a significant shift in the profit </w:t>
          </w:r>
          <w:r w:rsidR="003D00A0">
            <w:rPr>
              <w:szCs w:val="24"/>
            </w:rPr>
            <w:t>is addressed in 2021 which is very optimal for them</w:t>
          </w:r>
          <w:r w:rsidR="001E0A45">
            <w:rPr>
              <w:szCs w:val="24"/>
            </w:rPr>
            <w:t xml:space="preserve"> (</w:t>
          </w:r>
          <w:r w:rsidR="001E0A45" w:rsidRPr="00470473">
            <w:rPr>
              <w:rFonts w:cs="Arial"/>
              <w:color w:val="222222"/>
              <w:szCs w:val="24"/>
              <w:shd w:val="clear" w:color="auto" w:fill="FFFFFF"/>
            </w:rPr>
            <w:t>Abad-Segura, and González-Zamar, 2020</w:t>
          </w:r>
          <w:r w:rsidR="001E0A45">
            <w:rPr>
              <w:rFonts w:cs="Arial"/>
              <w:color w:val="222222"/>
              <w:szCs w:val="24"/>
              <w:shd w:val="clear" w:color="auto" w:fill="FFFFFF"/>
            </w:rPr>
            <w:t>).</w:t>
          </w:r>
        </w:p>
        <w:p w14:paraId="711AFBBC" w14:textId="77777777" w:rsidR="006F2772" w:rsidRDefault="003D00A0" w:rsidP="006F2772">
          <w:pPr>
            <w:keepNext/>
            <w:jc w:val="left"/>
          </w:pPr>
          <w:r w:rsidRPr="003D00A0">
            <w:rPr>
              <w:noProof/>
              <w:szCs w:val="24"/>
              <w:lang w:val="en-US"/>
            </w:rPr>
            <w:drawing>
              <wp:inline distT="0" distB="0" distL="0" distR="0" wp14:anchorId="22CFBBC2" wp14:editId="7A5A8A1B">
                <wp:extent cx="5731510" cy="224028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240280"/>
                        </a:xfrm>
                        <a:prstGeom prst="rect">
                          <a:avLst/>
                        </a:prstGeom>
                      </pic:spPr>
                    </pic:pic>
                  </a:graphicData>
                </a:graphic>
              </wp:inline>
            </w:drawing>
          </w:r>
        </w:p>
        <w:p w14:paraId="26199AD6" w14:textId="3C18D7F4" w:rsidR="003D00A0" w:rsidRPr="006F2772" w:rsidRDefault="006F2772" w:rsidP="006F2772">
          <w:pPr>
            <w:pStyle w:val="Caption"/>
            <w:jc w:val="center"/>
            <w:rPr>
              <w:sz w:val="24"/>
              <w:szCs w:val="24"/>
            </w:rPr>
          </w:pPr>
          <w:r w:rsidRPr="00903AFD">
            <w:rPr>
              <w:color w:val="FF0000"/>
              <w:sz w:val="24"/>
              <w:szCs w:val="24"/>
            </w:rPr>
            <w:t xml:space="preserve">Figure </w:t>
          </w:r>
          <w:r w:rsidRPr="00903AFD">
            <w:rPr>
              <w:color w:val="FF0000"/>
              <w:sz w:val="24"/>
              <w:szCs w:val="24"/>
            </w:rPr>
            <w:fldChar w:fldCharType="begin"/>
          </w:r>
          <w:r w:rsidRPr="00903AFD">
            <w:rPr>
              <w:color w:val="FF0000"/>
              <w:sz w:val="24"/>
              <w:szCs w:val="24"/>
            </w:rPr>
            <w:instrText xml:space="preserve"> SEQ Figure \* ARABIC </w:instrText>
          </w:r>
          <w:r w:rsidRPr="00903AFD">
            <w:rPr>
              <w:color w:val="FF0000"/>
              <w:sz w:val="24"/>
              <w:szCs w:val="24"/>
            </w:rPr>
            <w:fldChar w:fldCharType="separate"/>
          </w:r>
          <w:r w:rsidR="00242253" w:rsidRPr="00903AFD">
            <w:rPr>
              <w:noProof/>
              <w:color w:val="FF0000"/>
              <w:sz w:val="24"/>
              <w:szCs w:val="24"/>
            </w:rPr>
            <w:t>3</w:t>
          </w:r>
          <w:r w:rsidRPr="00903AFD">
            <w:rPr>
              <w:color w:val="FF0000"/>
              <w:sz w:val="24"/>
              <w:szCs w:val="24"/>
            </w:rPr>
            <w:fldChar w:fldCharType="end"/>
          </w:r>
          <w:r w:rsidRPr="00903AFD">
            <w:rPr>
              <w:color w:val="FF0000"/>
              <w:sz w:val="24"/>
              <w:szCs w:val="24"/>
            </w:rPr>
            <w:t>: Net income margin</w:t>
          </w:r>
        </w:p>
        <w:p w14:paraId="7F82FF9A" w14:textId="5F94C1B6" w:rsidR="006F2772" w:rsidRDefault="006F2772" w:rsidP="006F2772">
          <w:pPr>
            <w:jc w:val="center"/>
            <w:rPr>
              <w:szCs w:val="24"/>
            </w:rPr>
          </w:pPr>
          <w:r w:rsidRPr="00D00810">
            <w:rPr>
              <w:szCs w:val="24"/>
            </w:rPr>
            <w:t>Source: Macrotrends</w:t>
          </w:r>
        </w:p>
        <w:p w14:paraId="01F01553" w14:textId="0C7AAFD6" w:rsidR="006F2772" w:rsidRPr="006F2772" w:rsidRDefault="006F2772" w:rsidP="006F2772">
          <w:r>
            <w:t xml:space="preserve">Figure 3 </w:t>
          </w:r>
          <w:r w:rsidR="009D49D4">
            <w:t xml:space="preserve">demonstrates that Marriott Inc in 2020 had </w:t>
          </w:r>
          <w:r w:rsidR="00685F2E">
            <w:t xml:space="preserve">a </w:t>
          </w:r>
          <w:r w:rsidR="009D49D4">
            <w:t xml:space="preserve">net loss of 2.52% and in 2021 it earns </w:t>
          </w:r>
          <w:r w:rsidR="00685F2E">
            <w:t xml:space="preserve">a </w:t>
          </w:r>
          <w:r w:rsidR="009D49D4">
            <w:t>7.93% net profit from its revenue. The rise of 10.45% is noticed in the year as measured with</w:t>
          </w:r>
          <w:r w:rsidR="00685F2E">
            <w:t xml:space="preserve"> the</w:t>
          </w:r>
          <w:r w:rsidR="009D49D4">
            <w:t xml:space="preserve"> previous year. </w:t>
          </w:r>
          <w:r w:rsidR="008765D8">
            <w:t>The positive trend in the results</w:t>
          </w:r>
          <w:r w:rsidR="00685F2E">
            <w:t xml:space="preserve"> is</w:t>
          </w:r>
          <w:r w:rsidR="008765D8">
            <w:t xml:space="preserve"> shown in the Marriott. </w:t>
          </w:r>
        </w:p>
        <w:p w14:paraId="6CD58C45" w14:textId="77842E07" w:rsidR="004D519C" w:rsidRPr="00903AFD" w:rsidRDefault="004D519C" w:rsidP="004D519C">
          <w:pPr>
            <w:pStyle w:val="Heading2"/>
            <w:rPr>
              <w:color w:val="FF0000"/>
            </w:rPr>
          </w:pPr>
          <w:bookmarkStart w:id="4" w:name="_Toc463944604"/>
          <w:r w:rsidRPr="00903AFD">
            <w:rPr>
              <w:color w:val="FF0000"/>
            </w:rPr>
            <w:t>Liquidity</w:t>
          </w:r>
          <w:bookmarkEnd w:id="4"/>
        </w:p>
        <w:p w14:paraId="24E6B69C" w14:textId="57D6C551" w:rsidR="00877919" w:rsidRDefault="00877919" w:rsidP="00877919">
          <w:r>
            <w:t xml:space="preserve">To measure </w:t>
          </w:r>
          <w:r w:rsidR="00F87155">
            <w:t xml:space="preserve">the cash position of the entity this ratio is used which checks </w:t>
          </w:r>
          <w:r w:rsidR="006A383F">
            <w:t xml:space="preserve">whether </w:t>
          </w:r>
          <w:r w:rsidR="00F87155">
            <w:t xml:space="preserve">Marriott has the optimal cash or not. To measure liquidity entity uses </w:t>
          </w:r>
          <w:r w:rsidR="006A383F">
            <w:t xml:space="preserve">the </w:t>
          </w:r>
          <w:r w:rsidR="00F87155">
            <w:t xml:space="preserve">current </w:t>
          </w:r>
          <w:r w:rsidR="009D10A0">
            <w:t xml:space="preserve">ratio. </w:t>
          </w:r>
        </w:p>
        <w:p w14:paraId="5EE70893" w14:textId="77777777" w:rsidR="002177FC" w:rsidRDefault="002177FC" w:rsidP="002177FC">
          <w:pPr>
            <w:keepNext/>
          </w:pPr>
          <w:r w:rsidRPr="002177FC">
            <w:rPr>
              <w:noProof/>
              <w:lang w:val="en-US"/>
            </w:rPr>
            <w:lastRenderedPageBreak/>
            <w:drawing>
              <wp:inline distT="0" distB="0" distL="0" distR="0" wp14:anchorId="3AC9638C" wp14:editId="07E8990B">
                <wp:extent cx="5730206" cy="2154382"/>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47770" cy="2160985"/>
                        </a:xfrm>
                        <a:prstGeom prst="rect">
                          <a:avLst/>
                        </a:prstGeom>
                      </pic:spPr>
                    </pic:pic>
                  </a:graphicData>
                </a:graphic>
              </wp:inline>
            </w:drawing>
          </w:r>
        </w:p>
        <w:p w14:paraId="7D0FBF26" w14:textId="02076068" w:rsidR="009D10A0" w:rsidRPr="00903AFD" w:rsidRDefault="002177FC" w:rsidP="002177FC">
          <w:pPr>
            <w:pStyle w:val="Caption"/>
            <w:jc w:val="center"/>
            <w:rPr>
              <w:color w:val="FF0000"/>
            </w:rPr>
          </w:pPr>
          <w:r w:rsidRPr="00903AFD">
            <w:rPr>
              <w:color w:val="FF0000"/>
            </w:rPr>
            <w:t xml:space="preserve">Figure </w:t>
          </w:r>
          <w:r w:rsidR="00E72CB0" w:rsidRPr="00903AFD">
            <w:rPr>
              <w:color w:val="FF0000"/>
            </w:rPr>
            <w:fldChar w:fldCharType="begin"/>
          </w:r>
          <w:r w:rsidR="00E72CB0" w:rsidRPr="00903AFD">
            <w:rPr>
              <w:color w:val="FF0000"/>
            </w:rPr>
            <w:instrText xml:space="preserve"> SEQ Figure \* ARABIC </w:instrText>
          </w:r>
          <w:r w:rsidR="00E72CB0" w:rsidRPr="00903AFD">
            <w:rPr>
              <w:color w:val="FF0000"/>
            </w:rPr>
            <w:fldChar w:fldCharType="separate"/>
          </w:r>
          <w:r w:rsidR="00242253" w:rsidRPr="00903AFD">
            <w:rPr>
              <w:noProof/>
              <w:color w:val="FF0000"/>
            </w:rPr>
            <w:t>4</w:t>
          </w:r>
          <w:r w:rsidR="00E72CB0" w:rsidRPr="00903AFD">
            <w:rPr>
              <w:noProof/>
              <w:color w:val="FF0000"/>
            </w:rPr>
            <w:fldChar w:fldCharType="end"/>
          </w:r>
          <w:r w:rsidRPr="00903AFD">
            <w:rPr>
              <w:color w:val="FF0000"/>
            </w:rPr>
            <w:t>: Current ratio</w:t>
          </w:r>
        </w:p>
        <w:p w14:paraId="15291347" w14:textId="2149AD07" w:rsidR="002177FC" w:rsidRPr="002177FC" w:rsidRDefault="002177FC" w:rsidP="002177FC">
          <w:pPr>
            <w:jc w:val="center"/>
          </w:pPr>
          <w:r>
            <w:t>Source: Macrotrends</w:t>
          </w:r>
        </w:p>
        <w:p w14:paraId="293E5878" w14:textId="4D998132" w:rsidR="00F87155" w:rsidRPr="00877919" w:rsidRDefault="00087676" w:rsidP="00877919">
          <w:r>
            <w:t xml:space="preserve">To check the firm’s capacity to pay its regular costs the current ratio will be used. The result of Marriott for the year 2020 is 0.49 and for the year 2021 is 0.56. The ratio improves in 2021 </w:t>
          </w:r>
          <w:r w:rsidR="006A383F">
            <w:t>in</w:t>
          </w:r>
          <w:r>
            <w:t xml:space="preserve"> </w:t>
          </w:r>
          <w:r w:rsidR="006A383F">
            <w:t xml:space="preserve">a </w:t>
          </w:r>
          <w:r>
            <w:t xml:space="preserve">contrast to </w:t>
          </w:r>
          <w:r w:rsidR="006A383F">
            <w:t xml:space="preserve">the </w:t>
          </w:r>
          <w:r>
            <w:t>preceding year. In general ratio equal or above to 2x would be the ideal case for any entity as the cash required by every entity to pay out its liabilities on time</w:t>
          </w:r>
          <w:r w:rsidR="00917B67">
            <w:t xml:space="preserve"> (</w:t>
          </w:r>
          <w:r w:rsidR="00917B67" w:rsidRPr="00470473">
            <w:rPr>
              <w:rFonts w:cs="Arial"/>
              <w:color w:val="222222"/>
              <w:szCs w:val="24"/>
              <w:shd w:val="clear" w:color="auto" w:fill="FFFFFF"/>
            </w:rPr>
            <w:t>Alshehhi,  Nobanee, and Khare,  2018</w:t>
          </w:r>
          <w:r w:rsidR="00917B67">
            <w:rPr>
              <w:rFonts w:cs="Arial"/>
              <w:color w:val="222222"/>
              <w:szCs w:val="24"/>
              <w:shd w:val="clear" w:color="auto" w:fill="FFFFFF"/>
            </w:rPr>
            <w:t>).</w:t>
          </w:r>
        </w:p>
        <w:p w14:paraId="76DC4E55" w14:textId="28F0E584" w:rsidR="004D519C" w:rsidRPr="007310D4" w:rsidRDefault="004D519C" w:rsidP="004D519C">
          <w:pPr>
            <w:pStyle w:val="Heading2"/>
            <w:rPr>
              <w:color w:val="FF0000"/>
            </w:rPr>
          </w:pPr>
          <w:bookmarkStart w:id="5" w:name="_Toc463944605"/>
          <w:r w:rsidRPr="007310D4">
            <w:rPr>
              <w:color w:val="FF0000"/>
            </w:rPr>
            <w:t>Gearing</w:t>
          </w:r>
          <w:bookmarkEnd w:id="5"/>
        </w:p>
        <w:p w14:paraId="3CA1CDA0" w14:textId="56F315C4" w:rsidR="000B01EE" w:rsidRDefault="000B01EE" w:rsidP="000B01EE">
          <w:r>
            <w:t xml:space="preserve">To measure the gearing ratio debt-to-equity and long-term </w:t>
          </w:r>
          <w:r w:rsidR="006A383F">
            <w:t>debt-to-capital</w:t>
          </w:r>
          <w:r>
            <w:t xml:space="preserve"> </w:t>
          </w:r>
          <w:r w:rsidR="006A383F">
            <w:t xml:space="preserve">are </w:t>
          </w:r>
          <w:r>
            <w:t xml:space="preserve">also measured to check the firm’s proportion of debt and equity to generate funding for the </w:t>
          </w:r>
          <w:r w:rsidR="006A383F">
            <w:t>organization</w:t>
          </w:r>
          <w:r>
            <w:t xml:space="preserve">. </w:t>
          </w:r>
        </w:p>
        <w:p w14:paraId="5B23C52E" w14:textId="77777777" w:rsidR="000B01EE" w:rsidRDefault="000B01EE" w:rsidP="000B01EE">
          <w:pPr>
            <w:keepNext/>
          </w:pPr>
          <w:r w:rsidRPr="000B01EE">
            <w:rPr>
              <w:noProof/>
              <w:lang w:val="en-US"/>
            </w:rPr>
            <w:drawing>
              <wp:inline distT="0" distB="0" distL="0" distR="0" wp14:anchorId="1FC8293D" wp14:editId="2ABA8448">
                <wp:extent cx="5730257" cy="2251363"/>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40656" cy="2255449"/>
                        </a:xfrm>
                        <a:prstGeom prst="rect">
                          <a:avLst/>
                        </a:prstGeom>
                      </pic:spPr>
                    </pic:pic>
                  </a:graphicData>
                </a:graphic>
              </wp:inline>
            </w:drawing>
          </w:r>
        </w:p>
        <w:p w14:paraId="4A818F0A" w14:textId="2C6DCB34" w:rsidR="000B01EE" w:rsidRPr="007310D4" w:rsidRDefault="000B01EE" w:rsidP="000B01EE">
          <w:pPr>
            <w:pStyle w:val="Caption"/>
            <w:jc w:val="center"/>
            <w:rPr>
              <w:color w:val="FF0000"/>
              <w:sz w:val="24"/>
              <w:szCs w:val="24"/>
            </w:rPr>
          </w:pPr>
          <w:r w:rsidRPr="007310D4">
            <w:rPr>
              <w:color w:val="FF0000"/>
              <w:sz w:val="24"/>
              <w:szCs w:val="24"/>
            </w:rPr>
            <w:t xml:space="preserve">Figure </w:t>
          </w:r>
          <w:r w:rsidRPr="007310D4">
            <w:rPr>
              <w:color w:val="FF0000"/>
              <w:sz w:val="24"/>
              <w:szCs w:val="24"/>
            </w:rPr>
            <w:fldChar w:fldCharType="begin"/>
          </w:r>
          <w:r w:rsidRPr="007310D4">
            <w:rPr>
              <w:color w:val="FF0000"/>
              <w:sz w:val="24"/>
              <w:szCs w:val="24"/>
            </w:rPr>
            <w:instrText xml:space="preserve"> SEQ Figure \* ARABIC </w:instrText>
          </w:r>
          <w:r w:rsidRPr="007310D4">
            <w:rPr>
              <w:color w:val="FF0000"/>
              <w:sz w:val="24"/>
              <w:szCs w:val="24"/>
            </w:rPr>
            <w:fldChar w:fldCharType="separate"/>
          </w:r>
          <w:r w:rsidR="00242253" w:rsidRPr="007310D4">
            <w:rPr>
              <w:noProof/>
              <w:color w:val="FF0000"/>
              <w:sz w:val="24"/>
              <w:szCs w:val="24"/>
            </w:rPr>
            <w:t>5</w:t>
          </w:r>
          <w:r w:rsidRPr="007310D4">
            <w:rPr>
              <w:color w:val="FF0000"/>
              <w:sz w:val="24"/>
              <w:szCs w:val="24"/>
            </w:rPr>
            <w:fldChar w:fldCharType="end"/>
          </w:r>
          <w:r w:rsidRPr="007310D4">
            <w:rPr>
              <w:color w:val="FF0000"/>
              <w:sz w:val="24"/>
              <w:szCs w:val="24"/>
            </w:rPr>
            <w:t>: Long-term debt over capital</w:t>
          </w:r>
        </w:p>
        <w:p w14:paraId="5EC13458" w14:textId="34692099" w:rsidR="000B01EE" w:rsidRDefault="000B01EE" w:rsidP="000B01EE">
          <w:pPr>
            <w:jc w:val="center"/>
            <w:rPr>
              <w:szCs w:val="24"/>
            </w:rPr>
          </w:pPr>
          <w:r w:rsidRPr="000B01EE">
            <w:rPr>
              <w:szCs w:val="24"/>
            </w:rPr>
            <w:t>Source: Macrotrends</w:t>
          </w:r>
        </w:p>
        <w:p w14:paraId="401462A0" w14:textId="024F93BD" w:rsidR="000B01EE" w:rsidRDefault="000B01EE" w:rsidP="000B01EE">
          <w:pPr>
            <w:rPr>
              <w:szCs w:val="24"/>
            </w:rPr>
          </w:pPr>
        </w:p>
        <w:p w14:paraId="41E35A41" w14:textId="2CB331D8" w:rsidR="000B01EE" w:rsidRDefault="000B01EE" w:rsidP="000B01EE">
          <w:pPr>
            <w:rPr>
              <w:szCs w:val="24"/>
            </w:rPr>
          </w:pPr>
          <w:r>
            <w:rPr>
              <w:szCs w:val="24"/>
            </w:rPr>
            <w:lastRenderedPageBreak/>
            <w:t xml:space="preserve">The above graph demonstrates that both year 2020 and 2021 in proportion </w:t>
          </w:r>
          <w:r w:rsidR="006A383F">
            <w:rPr>
              <w:szCs w:val="24"/>
            </w:rPr>
            <w:t>to</w:t>
          </w:r>
          <w:r>
            <w:rPr>
              <w:szCs w:val="24"/>
            </w:rPr>
            <w:t xml:space="preserve"> </w:t>
          </w:r>
          <w:r w:rsidR="006A383F">
            <w:rPr>
              <w:szCs w:val="24"/>
            </w:rPr>
            <w:t>long-term</w:t>
          </w:r>
          <w:r>
            <w:rPr>
              <w:szCs w:val="24"/>
            </w:rPr>
            <w:t xml:space="preserve"> borrowing over capital has not </w:t>
          </w:r>
          <w:r w:rsidR="006A383F">
            <w:rPr>
              <w:szCs w:val="24"/>
            </w:rPr>
            <w:t xml:space="preserve">had </w:t>
          </w:r>
          <w:r>
            <w:rPr>
              <w:szCs w:val="24"/>
            </w:rPr>
            <w:t xml:space="preserve">much variability. The proportion decreases a little in 2021 </w:t>
          </w:r>
          <w:r w:rsidR="006A383F">
            <w:rPr>
              <w:szCs w:val="24"/>
            </w:rPr>
            <w:t>in</w:t>
          </w:r>
          <w:r>
            <w:rPr>
              <w:szCs w:val="24"/>
            </w:rPr>
            <w:t xml:space="preserve"> contrast with the year 2020.</w:t>
          </w:r>
          <w:r w:rsidR="006A383F">
            <w:rPr>
              <w:szCs w:val="24"/>
            </w:rPr>
            <w:t xml:space="preserve"> The proportion of the ratio in the year 2020 is 0.95 and in the year 2020 is 0.86. The firm needs to operate with a better proportion of borrowing and capital</w:t>
          </w:r>
          <w:r w:rsidR="00315FFF">
            <w:rPr>
              <w:szCs w:val="24"/>
            </w:rPr>
            <w:t xml:space="preserve"> (</w:t>
          </w:r>
          <w:r w:rsidR="00315FFF" w:rsidRPr="00470473">
            <w:rPr>
              <w:rFonts w:cs="Arial"/>
              <w:color w:val="222222"/>
              <w:szCs w:val="24"/>
              <w:shd w:val="clear" w:color="auto" w:fill="FFFFFF"/>
            </w:rPr>
            <w:t>Gundes, Atakul, and Buyukyoran, 2019</w:t>
          </w:r>
          <w:r w:rsidR="00315FFF">
            <w:rPr>
              <w:rFonts w:cs="Arial"/>
              <w:color w:val="222222"/>
              <w:szCs w:val="24"/>
              <w:shd w:val="clear" w:color="auto" w:fill="FFFFFF"/>
            </w:rPr>
            <w:t>).</w:t>
          </w:r>
        </w:p>
        <w:p w14:paraId="133EA0A3" w14:textId="77777777" w:rsidR="00242253" w:rsidRDefault="00242253" w:rsidP="00242253">
          <w:pPr>
            <w:keepNext/>
          </w:pPr>
          <w:r w:rsidRPr="00242253">
            <w:rPr>
              <w:noProof/>
              <w:szCs w:val="24"/>
              <w:lang w:val="en-US"/>
            </w:rPr>
            <w:drawing>
              <wp:inline distT="0" distB="0" distL="0" distR="0" wp14:anchorId="2D74D940" wp14:editId="5A03E191">
                <wp:extent cx="5731510" cy="2182091"/>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5527" cy="2183620"/>
                        </a:xfrm>
                        <a:prstGeom prst="rect">
                          <a:avLst/>
                        </a:prstGeom>
                      </pic:spPr>
                    </pic:pic>
                  </a:graphicData>
                </a:graphic>
              </wp:inline>
            </w:drawing>
          </w:r>
        </w:p>
        <w:p w14:paraId="580A43AE" w14:textId="64E111D8" w:rsidR="00242253" w:rsidRPr="007310D4" w:rsidRDefault="00242253" w:rsidP="00242253">
          <w:pPr>
            <w:pStyle w:val="Caption"/>
            <w:jc w:val="center"/>
            <w:rPr>
              <w:color w:val="FF0000"/>
              <w:sz w:val="24"/>
              <w:szCs w:val="24"/>
            </w:rPr>
          </w:pPr>
          <w:r w:rsidRPr="007310D4">
            <w:rPr>
              <w:color w:val="FF0000"/>
              <w:sz w:val="24"/>
              <w:szCs w:val="24"/>
            </w:rPr>
            <w:t xml:space="preserve">Figure </w:t>
          </w:r>
          <w:r w:rsidRPr="007310D4">
            <w:rPr>
              <w:color w:val="FF0000"/>
              <w:sz w:val="24"/>
              <w:szCs w:val="24"/>
            </w:rPr>
            <w:fldChar w:fldCharType="begin"/>
          </w:r>
          <w:r w:rsidRPr="007310D4">
            <w:rPr>
              <w:color w:val="FF0000"/>
              <w:sz w:val="24"/>
              <w:szCs w:val="24"/>
            </w:rPr>
            <w:instrText xml:space="preserve"> SEQ Figure \* ARABIC </w:instrText>
          </w:r>
          <w:r w:rsidRPr="007310D4">
            <w:rPr>
              <w:color w:val="FF0000"/>
              <w:sz w:val="24"/>
              <w:szCs w:val="24"/>
            </w:rPr>
            <w:fldChar w:fldCharType="separate"/>
          </w:r>
          <w:r w:rsidRPr="007310D4">
            <w:rPr>
              <w:noProof/>
              <w:color w:val="FF0000"/>
              <w:sz w:val="24"/>
              <w:szCs w:val="24"/>
            </w:rPr>
            <w:t>6</w:t>
          </w:r>
          <w:r w:rsidRPr="007310D4">
            <w:rPr>
              <w:color w:val="FF0000"/>
              <w:sz w:val="24"/>
              <w:szCs w:val="24"/>
            </w:rPr>
            <w:fldChar w:fldCharType="end"/>
          </w:r>
          <w:r w:rsidRPr="007310D4">
            <w:rPr>
              <w:color w:val="FF0000"/>
              <w:sz w:val="24"/>
              <w:szCs w:val="24"/>
            </w:rPr>
            <w:t>: Debt-to-equity ratio</w:t>
          </w:r>
        </w:p>
        <w:p w14:paraId="29768408" w14:textId="3B6F10B8" w:rsidR="00242253" w:rsidRDefault="00242253" w:rsidP="00242253">
          <w:pPr>
            <w:jc w:val="center"/>
          </w:pPr>
          <w:r>
            <w:t>Source: Macrotrends</w:t>
          </w:r>
        </w:p>
        <w:p w14:paraId="2EE12455" w14:textId="1A2A88C5" w:rsidR="003C4ABB" w:rsidRPr="00242253" w:rsidRDefault="003C4ABB" w:rsidP="003C4ABB">
          <w:r>
            <w:t xml:space="preserve">The debt-to-equity ratio of Marriott for the year 2020 is 24.13 which means the entity uses its current debt more as its long-term debt proportion is not much high. The entity might take the overdraft in that year to meet its expenses. The downfall in the debt was also reflected in the year 2021 as there is a significant shift from 24.13 to 7.16.  </w:t>
          </w:r>
        </w:p>
        <w:p w14:paraId="6D469E22" w14:textId="77777777" w:rsidR="00AA2A91" w:rsidRPr="007310D4" w:rsidRDefault="00AA2A91" w:rsidP="00AA2A91">
          <w:pPr>
            <w:pStyle w:val="Heading1"/>
            <w:rPr>
              <w:color w:val="FF0000"/>
            </w:rPr>
          </w:pPr>
          <w:bookmarkStart w:id="6" w:name="_Toc463944606"/>
          <w:r w:rsidRPr="007310D4">
            <w:rPr>
              <w:color w:val="FF0000"/>
            </w:rPr>
            <w:t>Knowledge from Ratio Analysis</w:t>
          </w:r>
          <w:bookmarkEnd w:id="6"/>
        </w:p>
        <w:p w14:paraId="6F79F50F" w14:textId="22312957" w:rsidR="00AA2A91" w:rsidRDefault="00284F1F" w:rsidP="00AA2A91">
          <w:r>
            <w:t xml:space="preserve">b) </w:t>
          </w:r>
          <w:r w:rsidR="00DA75D2">
            <w:t xml:space="preserve">Need </w:t>
          </w:r>
          <w:r>
            <w:t xml:space="preserve">to </w:t>
          </w:r>
          <w:r w:rsidR="00DA75D2">
            <w:t>examine</w:t>
          </w:r>
          <w:r>
            <w:t xml:space="preserve"> the </w:t>
          </w:r>
          <w:r w:rsidR="00DA75D2">
            <w:t>drawback</w:t>
          </w:r>
          <w:r>
            <w:t xml:space="preserve"> of ratio analysis, including </w:t>
          </w:r>
          <w:r w:rsidR="00DA75D2">
            <w:t xml:space="preserve">the </w:t>
          </w:r>
          <w:r>
            <w:t xml:space="preserve">fluctuations </w:t>
          </w:r>
          <w:r w:rsidR="00DA75D2">
            <w:t>arised in</w:t>
          </w:r>
          <w:r>
            <w:t xml:space="preserve"> Hotel management </w:t>
          </w:r>
          <w:r w:rsidR="00DA75D2">
            <w:t>and</w:t>
          </w:r>
          <w:r>
            <w:t xml:space="preserve"> </w:t>
          </w:r>
          <w:r w:rsidR="000B01F4">
            <w:t>analysing</w:t>
          </w:r>
          <w:r>
            <w:t xml:space="preserve"> the information seen in their financial statements</w:t>
          </w:r>
          <w:r w:rsidR="000B431B">
            <w:t xml:space="preserve"> (</w:t>
          </w:r>
          <w:r w:rsidR="00DA75D2">
            <w:rPr>
              <w:rFonts w:cs="Arial"/>
              <w:color w:val="222222"/>
              <w:szCs w:val="24"/>
              <w:shd w:val="clear" w:color="auto" w:fill="FFFFFF"/>
            </w:rPr>
            <w:t>Pascal</w:t>
          </w:r>
          <w:r w:rsidR="000B431B">
            <w:rPr>
              <w:rFonts w:cs="Arial"/>
              <w:color w:val="222222"/>
              <w:szCs w:val="24"/>
              <w:shd w:val="clear" w:color="auto" w:fill="FFFFFF"/>
            </w:rPr>
            <w:t xml:space="preserve"> et al., 2021).</w:t>
          </w:r>
        </w:p>
        <w:p w14:paraId="14C7CED0" w14:textId="17AA4C6D" w:rsidR="006C40CF" w:rsidRPr="007310D4" w:rsidRDefault="00AA2A91" w:rsidP="006C40CF">
          <w:pPr>
            <w:pStyle w:val="Heading1"/>
            <w:rPr>
              <w:color w:val="FF0000"/>
            </w:rPr>
          </w:pPr>
          <w:bookmarkStart w:id="7" w:name="_Toc463944607"/>
          <w:r w:rsidRPr="007310D4">
            <w:rPr>
              <w:color w:val="FF0000"/>
            </w:rPr>
            <w:t>Benefits and Limitations of Ratio Analysis</w:t>
          </w:r>
          <w:bookmarkEnd w:id="7"/>
        </w:p>
        <w:p w14:paraId="032EB0E3" w14:textId="7769EDF4" w:rsidR="006C40CF" w:rsidRDefault="006C40CF" w:rsidP="006C40CF">
          <w:r>
            <w:t>Ratio analyses are only useful if they are based on comparable data. Lack of data on norms in the sector or historical results will restrict study. In order to evaluate the hotel sector's success, sufficient data is required for comparison with earlier periods. Hotel operations take place in an ever-evolving dynamic environment, making it difficult to draw meaningful comparisons and rendering financial ratios mostly irrelevant</w:t>
          </w:r>
          <w:r w:rsidR="00E13383">
            <w:t xml:space="preserve"> (</w:t>
          </w:r>
          <w:r w:rsidR="00E13383" w:rsidRPr="00470473">
            <w:rPr>
              <w:rFonts w:cs="Arial"/>
              <w:color w:val="000000"/>
              <w:szCs w:val="24"/>
            </w:rPr>
            <w:t>EDUCBA. 2020</w:t>
          </w:r>
          <w:r w:rsidR="00E13383">
            <w:rPr>
              <w:rFonts w:cs="Arial"/>
              <w:color w:val="000000"/>
              <w:szCs w:val="24"/>
            </w:rPr>
            <w:t>).</w:t>
          </w:r>
        </w:p>
        <w:p w14:paraId="30CF0708" w14:textId="21C5D4DB" w:rsidR="006C40CF" w:rsidRDefault="006C40CF" w:rsidP="006C40CF">
          <w:r>
            <w:lastRenderedPageBreak/>
            <w:t>Ratios are calculated using financial documents like the income statement/profit and loss account and the balance sheet, which are both limited by the nature of historical cost accounting. Inter-company and historical pricing comparisons might be skewed by inflation, different asset valuation methodologies, and other factors. Although this ratio is useful for comparing hotel performance over time, the fact that it is based on past costs means that it may not be able to account for fluctuations in the hotel industry's pricing strategy throughout the period covered by the ratio</w:t>
          </w:r>
          <w:r w:rsidR="003058AE">
            <w:t xml:space="preserve"> (</w:t>
          </w:r>
          <w:r w:rsidR="003058AE" w:rsidRPr="00470473">
            <w:rPr>
              <w:rFonts w:cs="Arial"/>
              <w:color w:val="000000"/>
              <w:szCs w:val="24"/>
            </w:rPr>
            <w:t>‌Vaidya, 2019</w:t>
          </w:r>
          <w:r w:rsidR="003058AE">
            <w:rPr>
              <w:rFonts w:cs="Arial"/>
              <w:color w:val="000000"/>
              <w:szCs w:val="24"/>
            </w:rPr>
            <w:t>).</w:t>
          </w:r>
        </w:p>
        <w:p w14:paraId="644B3F87" w14:textId="3106B9A1" w:rsidR="006C40CF" w:rsidRDefault="006C40CF" w:rsidP="006C40CF">
          <w:r>
            <w:t>You may learn more about a corporation by analysing its ratios. The accuracy of the ratios and the depth of the image both rely on the accuracy of the underlying financial data. Poorly prepared accounts (such as those with inaccurate estimates of depreciation, bad debts, etc.) may lead to erroneous inferences derived from accounting ratios. There might be a number of reasons why a company's performance drops that the ratio doesn't pick up on, leading it in the incorrect direction. The company needs professional evaluation of the financial analysis of the corporation since it might lead to false conclusions.</w:t>
          </w:r>
        </w:p>
        <w:p w14:paraId="258456BC" w14:textId="4B71555A" w:rsidR="006C40CF" w:rsidRDefault="006C40CF" w:rsidP="006C40CF">
          <w:r>
            <w:t>The success of a firm in the past does not guarantee its continued success in the future. In fact, data may become stale by the time it is released and analysed. For example, Marriott's 2020 results are disastrous but might improve in 2021. While the ratio might provide you a general idea of the entity's financial health, it can't pinpoint the exact cause of a decline in performance</w:t>
          </w:r>
          <w:r w:rsidR="00B45A3B">
            <w:t xml:space="preserve"> (</w:t>
          </w:r>
          <w:r w:rsidR="00B45A3B" w:rsidRPr="00470473">
            <w:rPr>
              <w:rFonts w:cs="Arial"/>
              <w:color w:val="222222"/>
              <w:szCs w:val="24"/>
              <w:shd w:val="clear" w:color="auto" w:fill="FFFFFF"/>
            </w:rPr>
            <w:t>Soonthornchai,</w:t>
          </w:r>
          <w:r w:rsidR="00B45A3B">
            <w:rPr>
              <w:rFonts w:cs="Arial"/>
              <w:color w:val="222222"/>
              <w:szCs w:val="24"/>
              <w:shd w:val="clear" w:color="auto" w:fill="FFFFFF"/>
            </w:rPr>
            <w:t xml:space="preserve"> </w:t>
          </w:r>
          <w:r w:rsidR="00B45A3B" w:rsidRPr="00470473">
            <w:rPr>
              <w:rFonts w:cs="Arial"/>
              <w:color w:val="222222"/>
              <w:szCs w:val="24"/>
              <w:shd w:val="clear" w:color="auto" w:fill="FFFFFF"/>
            </w:rPr>
            <w:t>Namnai,</w:t>
          </w:r>
          <w:r w:rsidR="00B45A3B">
            <w:rPr>
              <w:rFonts w:cs="Arial"/>
              <w:color w:val="222222"/>
              <w:szCs w:val="24"/>
              <w:shd w:val="clear" w:color="auto" w:fill="FFFFFF"/>
            </w:rPr>
            <w:t xml:space="preserve"> </w:t>
          </w:r>
          <w:r w:rsidR="00B45A3B" w:rsidRPr="00470473">
            <w:rPr>
              <w:rFonts w:cs="Arial"/>
              <w:color w:val="222222"/>
              <w:szCs w:val="24"/>
              <w:shd w:val="clear" w:color="auto" w:fill="FFFFFF"/>
            </w:rPr>
            <w:t>and Apichottanakun, 2019</w:t>
          </w:r>
          <w:r w:rsidR="00B45A3B">
            <w:rPr>
              <w:rFonts w:cs="Arial"/>
              <w:color w:val="222222"/>
              <w:szCs w:val="24"/>
              <w:shd w:val="clear" w:color="auto" w:fill="FFFFFF"/>
            </w:rPr>
            <w:t>).</w:t>
          </w:r>
        </w:p>
        <w:p w14:paraId="0A2B6C5A" w14:textId="787B193E" w:rsidR="00284F1F" w:rsidRDefault="00284F1F" w:rsidP="00284F1F">
          <w:r>
            <w:t xml:space="preserve">c) Outline your understanding of ratios and </w:t>
          </w:r>
          <w:r w:rsidR="006A383F">
            <w:t>their</w:t>
          </w:r>
          <w:r>
            <w:t xml:space="preserve"> importance for </w:t>
          </w:r>
          <w:r w:rsidR="00685F2E">
            <w:t>decision-making</w:t>
          </w:r>
          <w:r>
            <w:t>.</w:t>
          </w:r>
        </w:p>
        <w:p w14:paraId="5EE529C3" w14:textId="068A898D" w:rsidR="00CD3C82" w:rsidRDefault="00CD3C82" w:rsidP="00CD3C82">
          <w:r>
            <w:t>Examination of Financial Reports</w:t>
          </w:r>
        </w:p>
        <w:p w14:paraId="0338FE43" w14:textId="4402B9DE" w:rsidR="00CD3C82" w:rsidRDefault="00CD3C82" w:rsidP="00CD3C82">
          <w:r>
            <w:t>For both internal and external stakeholders, it is crucial that the company's financial statements and data be properly interpreted. We analyse the statistics in the income statement and balance sheet with the use of ratios. When it comes to monetary returns, each stakeholder has their own priorities. Long-term profit growth and dividend payments are of greater importance to equity investors. Creditors need prompt payment in order to avoid late fees and interest</w:t>
          </w:r>
          <w:r w:rsidR="00C23A91">
            <w:t xml:space="preserve"> (</w:t>
          </w:r>
          <w:r w:rsidR="00C23A91" w:rsidRPr="00470473">
            <w:rPr>
              <w:rFonts w:cs="Arial"/>
              <w:color w:val="000000"/>
              <w:szCs w:val="24"/>
            </w:rPr>
            <w:t>Bragg, 2022</w:t>
          </w:r>
          <w:r w:rsidR="00C23A91">
            <w:rPr>
              <w:rFonts w:cs="Arial"/>
              <w:color w:val="000000"/>
              <w:szCs w:val="24"/>
            </w:rPr>
            <w:t>).</w:t>
          </w:r>
        </w:p>
        <w:p w14:paraId="701876B8" w14:textId="0C5E3779" w:rsidR="00CD3C82" w:rsidRDefault="00CD3C82" w:rsidP="00CD3C82">
          <w:r>
            <w:t>Facilitates an Appreciation of the Business' Profitability</w:t>
          </w:r>
        </w:p>
        <w:p w14:paraId="174A7537" w14:textId="60D2A704" w:rsidR="00CD3C82" w:rsidRDefault="00CD3C82" w:rsidP="00CD3C82">
          <w:r>
            <w:lastRenderedPageBreak/>
            <w:t>The profitability of a business may be gauged using several profitability ratios. Knowing the company's ROA and ROE might shed light on how profitable it is. The return on assets metric is calculated by dividing net income by total assets. It indicates how much money a business makes back on every dollar it spends. Profit after tax divided by stockholders' equity is known as return on equity. This ratio indicates the efficiency with which a business spends its investors' money. Profit margins (both gross and net) and other such ratios. Profit margins are a useful metric for assessing a company's capacity to generate revenue that can be reinvested.</w:t>
          </w:r>
        </w:p>
        <w:p w14:paraId="1BDDB297" w14:textId="1ADA5077" w:rsidR="00CD3C82" w:rsidRDefault="00CD3C82" w:rsidP="00CD3C82">
          <w:r>
            <w:t>Evaluation of Businesses' Productivity in Their Own Operations</w:t>
          </w:r>
        </w:p>
        <w:p w14:paraId="1F543F7D" w14:textId="4860F49C" w:rsidR="00CD3C82" w:rsidRDefault="00CD3C82" w:rsidP="00CD3C82">
          <w:r>
            <w:t>We may evaluate the level of efficiency of the businesses by using a variety of ratios. Calculations such as the accounts receivable turnover ratio Receivables Turnover Statements Accounts receivable turnover, also known as debtor's turnover, is a metric used to assess a business's efficiency in offering credit to customers and collecting payments from them in a timely manner. Read more about the formula for calculating the accounts receivable turnover ratio, the fixed asset turnover ratio, and the inventory turnover ratio here. These ratios may be compared to similar businesses in the same sector to see which ones are being handled most effectively. To continue, it is a gauge of an organization's capacity to turn its assets into cash. Third, it analyses the company in its whole, including its cash flow, debtor payment terms, and inventory conversion times. That's why efficiency ratios are so important; boosting them means more money in your pocket</w:t>
          </w:r>
          <w:r w:rsidR="002D2174">
            <w:t xml:space="preserve"> (</w:t>
          </w:r>
          <w:r w:rsidR="002D2174" w:rsidRPr="00470473">
            <w:rPr>
              <w:rFonts w:cs="Arial"/>
              <w:color w:val="000000"/>
              <w:szCs w:val="24"/>
            </w:rPr>
            <w:t>‌BBC Bitesize</w:t>
          </w:r>
          <w:r w:rsidR="002D2174">
            <w:rPr>
              <w:rFonts w:cs="Arial"/>
              <w:color w:val="000000"/>
              <w:szCs w:val="24"/>
            </w:rPr>
            <w:t>,</w:t>
          </w:r>
          <w:r w:rsidR="002D2174" w:rsidRPr="00470473">
            <w:rPr>
              <w:rFonts w:cs="Arial"/>
              <w:color w:val="000000"/>
              <w:szCs w:val="24"/>
            </w:rPr>
            <w:t xml:space="preserve"> 2022</w:t>
          </w:r>
          <w:r w:rsidR="002D2174">
            <w:rPr>
              <w:rFonts w:cs="Arial"/>
              <w:color w:val="000000"/>
              <w:szCs w:val="24"/>
            </w:rPr>
            <w:t>).</w:t>
          </w:r>
        </w:p>
        <w:p w14:paraId="28406299" w14:textId="70B8138B" w:rsidR="00CD3C82" w:rsidRDefault="00CD3C82" w:rsidP="00CD3C82">
          <w:r>
            <w:t>Companies' Availability of Working Capital</w:t>
          </w:r>
        </w:p>
        <w:p w14:paraId="3EE87C95" w14:textId="49135AAD" w:rsidR="004D519C" w:rsidRDefault="00CD3C82" w:rsidP="00CD3C82">
          <w:r>
            <w:t>The company's ability to meet its short-term commitments is a measure of its liquidity. To clarify, we're referring to financial commitments and liabilities that may be settled in a year's time or less, or the business cycle. Things include unpaid wages, bills, taxes, and other such costs. Firm liquidity is measured by the current and quick ratios.</w:t>
          </w:r>
        </w:p>
        <w:p w14:paraId="78002955" w14:textId="77777777" w:rsidR="00AA2A91" w:rsidRDefault="00AA2A91" w:rsidP="004D519C"/>
        <w:p w14:paraId="393E8D7A" w14:textId="77777777" w:rsidR="00AA2A91" w:rsidRDefault="00AA2A91" w:rsidP="004D519C"/>
        <w:p w14:paraId="2FC654DE" w14:textId="77777777" w:rsidR="00AA2A91" w:rsidRDefault="00AA2A91" w:rsidP="004D519C"/>
        <w:p w14:paraId="66B2906D" w14:textId="77777777" w:rsidR="00AA2A91" w:rsidRDefault="00AA2A91" w:rsidP="004D519C"/>
        <w:p w14:paraId="6B5BA63F" w14:textId="77777777" w:rsidR="00AA2A91" w:rsidRDefault="00AA2A91" w:rsidP="004D519C"/>
        <w:p w14:paraId="515275D2" w14:textId="77777777" w:rsidR="00AA2A91" w:rsidRDefault="00AA2A91" w:rsidP="004D519C"/>
        <w:p w14:paraId="637ECABC" w14:textId="28B9BC25" w:rsidR="00AA2A91" w:rsidRPr="007310D4" w:rsidRDefault="00AA2A91" w:rsidP="00AA2A91">
          <w:pPr>
            <w:pStyle w:val="Heading1"/>
            <w:rPr>
              <w:color w:val="FF0000"/>
            </w:rPr>
          </w:pPr>
          <w:bookmarkStart w:id="8" w:name="_Toc463944608"/>
          <w:r w:rsidRPr="007310D4">
            <w:rPr>
              <w:color w:val="FF0000"/>
            </w:rPr>
            <w:t>Conclusion</w:t>
          </w:r>
          <w:r w:rsidR="00D854A5" w:rsidRPr="007310D4">
            <w:rPr>
              <w:color w:val="FF0000"/>
            </w:rPr>
            <w:t xml:space="preserve"> </w:t>
          </w:r>
          <w:bookmarkEnd w:id="8"/>
        </w:p>
        <w:p w14:paraId="73269A76" w14:textId="77777777" w:rsidR="00A00EE8" w:rsidRDefault="0043326A" w:rsidP="00AA2A91">
          <w:r>
            <w:t xml:space="preserve">The report evaluated the financial ratio of Marriott Inc for the </w:t>
          </w:r>
          <w:r w:rsidR="002E4697">
            <w:t>years</w:t>
          </w:r>
          <w:r>
            <w:t xml:space="preserve"> 2020 and 2021. The result of the entity was measured in the study and provides that the result of Marriott Inc is better in 2021 as contrasted with the previous year </w:t>
          </w:r>
          <w:r w:rsidR="002E4697">
            <w:t>which</w:t>
          </w:r>
          <w:r>
            <w:t xml:space="preserve"> is 2020. The report helped to understand the concept of financial </w:t>
          </w:r>
          <w:r w:rsidR="002E4697">
            <w:t>ratios</w:t>
          </w:r>
          <w:r>
            <w:t xml:space="preserve"> used by enterprises and significantly hospitality sect</w:t>
          </w:r>
          <w:r w:rsidR="002E4697">
            <w:t xml:space="preserve">or such as profitability, gearing as well as liquidity ratios. </w:t>
          </w:r>
        </w:p>
        <w:p w14:paraId="5AE4B1BA" w14:textId="380BAA78" w:rsidR="00A00EE8" w:rsidRDefault="00A00EE8" w:rsidP="00AA2A91">
          <w:r>
            <w:t xml:space="preserve">The report critically discussed the financial ratio used by the entity to take significant decisions. </w:t>
          </w:r>
          <w:r w:rsidR="00F82B12">
            <w:t>The</w:t>
          </w:r>
          <w:r>
            <w:t xml:space="preserve"> merits of the financial ratio to take essential decisions would be covered with its various limitations</w:t>
          </w:r>
          <w:r w:rsidR="00F82B12">
            <w:t xml:space="preserve"> in this report</w:t>
          </w:r>
          <w:r>
            <w:t xml:space="preserve">. The report helped to analyze that there are various reasons which can affect the financial position of the hospitality sector. </w:t>
          </w:r>
        </w:p>
        <w:p w14:paraId="0812BA51" w14:textId="77777777" w:rsidR="00AA2A91" w:rsidRDefault="00AA2A91" w:rsidP="00AA2A91"/>
        <w:p w14:paraId="51827809" w14:textId="77777777" w:rsidR="00AA2A91" w:rsidRDefault="00AA2A91" w:rsidP="00AA2A91"/>
        <w:p w14:paraId="1543DD78" w14:textId="77777777" w:rsidR="00AA2A91" w:rsidRDefault="00AA2A91" w:rsidP="00AA2A91"/>
        <w:p w14:paraId="67940328" w14:textId="77777777" w:rsidR="00AA2A91" w:rsidRDefault="00AA2A91" w:rsidP="00AA2A91"/>
        <w:p w14:paraId="344A0912" w14:textId="77777777" w:rsidR="00AA2A91" w:rsidRDefault="00AA2A91" w:rsidP="00AA2A91"/>
        <w:p w14:paraId="174AD4D4" w14:textId="77777777" w:rsidR="00AA2A91" w:rsidRDefault="00AA2A91" w:rsidP="00AA2A91"/>
        <w:p w14:paraId="2CD381F6" w14:textId="77777777" w:rsidR="00AA2A91" w:rsidRDefault="00AA2A91" w:rsidP="00AA2A91"/>
        <w:p w14:paraId="492D9601" w14:textId="77777777" w:rsidR="00AA2A91" w:rsidRDefault="00AA2A91" w:rsidP="00AA2A91"/>
        <w:p w14:paraId="74E083D2" w14:textId="77777777" w:rsidR="00AA2A91" w:rsidRDefault="00AA2A91" w:rsidP="00AA2A91"/>
        <w:p w14:paraId="642DF8DC" w14:textId="77777777" w:rsidR="00AA2A91" w:rsidRDefault="00AA2A91" w:rsidP="00AA2A91"/>
        <w:p w14:paraId="52B10D93" w14:textId="77777777" w:rsidR="00AA2A91" w:rsidRDefault="00AA2A91" w:rsidP="00AA2A91"/>
        <w:p w14:paraId="6D62B1B1" w14:textId="77777777" w:rsidR="00AA2A91" w:rsidRDefault="00AA2A91" w:rsidP="00AA2A91"/>
        <w:p w14:paraId="7E47C5B6" w14:textId="77777777" w:rsidR="00AA2A91" w:rsidRDefault="00AA2A91" w:rsidP="00AA2A91"/>
        <w:p w14:paraId="134E5C77" w14:textId="77777777" w:rsidR="00AA2A91" w:rsidRDefault="00AA2A91" w:rsidP="00AA2A91"/>
        <w:p w14:paraId="403DF109" w14:textId="7FBE19CC" w:rsidR="00AA2A91" w:rsidRPr="007310D4" w:rsidRDefault="00AA2A91" w:rsidP="00AA2A91">
          <w:pPr>
            <w:pStyle w:val="Heading1"/>
            <w:rPr>
              <w:color w:val="FF0000"/>
            </w:rPr>
          </w:pPr>
          <w:bookmarkStart w:id="9" w:name="_Toc463944609"/>
          <w:r w:rsidRPr="007310D4">
            <w:rPr>
              <w:color w:val="FF0000"/>
            </w:rPr>
            <w:lastRenderedPageBreak/>
            <w:t>Bibliography</w:t>
          </w:r>
          <w:bookmarkEnd w:id="9"/>
        </w:p>
        <w:p w14:paraId="6DB67C30" w14:textId="77777777" w:rsidR="00705953" w:rsidRPr="00470473" w:rsidRDefault="00705953" w:rsidP="00470473">
          <w:pPr>
            <w:jc w:val="left"/>
            <w:rPr>
              <w:rFonts w:cs="Arial"/>
              <w:color w:val="222222"/>
              <w:szCs w:val="24"/>
              <w:shd w:val="clear" w:color="auto" w:fill="FFFFFF"/>
            </w:rPr>
          </w:pPr>
          <w:r w:rsidRPr="00470473">
            <w:rPr>
              <w:rFonts w:cs="Arial"/>
              <w:color w:val="222222"/>
              <w:szCs w:val="24"/>
              <w:shd w:val="clear" w:color="auto" w:fill="FFFFFF"/>
            </w:rPr>
            <w:t>Abad-Segura, E. and González-Zamar, M.D., 2020. Global research trends in financial transactions. </w:t>
          </w:r>
          <w:r w:rsidRPr="00470473">
            <w:rPr>
              <w:rFonts w:cs="Arial"/>
              <w:i/>
              <w:iCs/>
              <w:color w:val="222222"/>
              <w:szCs w:val="24"/>
              <w:shd w:val="clear" w:color="auto" w:fill="FFFFFF"/>
            </w:rPr>
            <w:t>Mathematics</w:t>
          </w:r>
          <w:r w:rsidRPr="00470473">
            <w:rPr>
              <w:rFonts w:cs="Arial"/>
              <w:color w:val="222222"/>
              <w:szCs w:val="24"/>
              <w:shd w:val="clear" w:color="auto" w:fill="FFFFFF"/>
            </w:rPr>
            <w:t>, </w:t>
          </w:r>
          <w:r w:rsidRPr="00470473">
            <w:rPr>
              <w:rFonts w:cs="Arial"/>
              <w:i/>
              <w:iCs/>
              <w:color w:val="222222"/>
              <w:szCs w:val="24"/>
              <w:shd w:val="clear" w:color="auto" w:fill="FFFFFF"/>
            </w:rPr>
            <w:t>8</w:t>
          </w:r>
          <w:r w:rsidRPr="00470473">
            <w:rPr>
              <w:rFonts w:cs="Arial"/>
              <w:color w:val="222222"/>
              <w:szCs w:val="24"/>
              <w:shd w:val="clear" w:color="auto" w:fill="FFFFFF"/>
            </w:rPr>
            <w:t>(4), p.614.</w:t>
          </w:r>
          <w:r w:rsidRPr="00470473">
            <w:rPr>
              <w:rFonts w:cs="Arial"/>
              <w:szCs w:val="24"/>
            </w:rPr>
            <w:t xml:space="preserve"> </w:t>
          </w:r>
          <w:hyperlink r:id="rId16" w:history="1">
            <w:r w:rsidRPr="00470473">
              <w:rPr>
                <w:rStyle w:val="Hyperlink"/>
                <w:rFonts w:cs="Arial"/>
                <w:szCs w:val="24"/>
                <w:shd w:val="clear" w:color="auto" w:fill="FFFFFF"/>
              </w:rPr>
              <w:t>https://www.mdpi.com/2227-7390/8/4/614/pdf</w:t>
            </w:r>
          </w:hyperlink>
          <w:r w:rsidRPr="00470473">
            <w:rPr>
              <w:rFonts w:cs="Arial"/>
              <w:color w:val="222222"/>
              <w:szCs w:val="24"/>
              <w:shd w:val="clear" w:color="auto" w:fill="FFFFFF"/>
            </w:rPr>
            <w:t xml:space="preserve"> </w:t>
          </w:r>
        </w:p>
        <w:p w14:paraId="0CC71EC6" w14:textId="77777777" w:rsidR="00705953" w:rsidRPr="00470473" w:rsidRDefault="00705953" w:rsidP="00470473">
          <w:pPr>
            <w:jc w:val="left"/>
            <w:rPr>
              <w:rFonts w:cs="Arial"/>
              <w:color w:val="222222"/>
              <w:szCs w:val="24"/>
              <w:shd w:val="clear" w:color="auto" w:fill="FFFFFF"/>
            </w:rPr>
          </w:pPr>
          <w:r w:rsidRPr="00470473">
            <w:rPr>
              <w:rFonts w:cs="Arial"/>
              <w:color w:val="222222"/>
              <w:szCs w:val="24"/>
              <w:shd w:val="clear" w:color="auto" w:fill="FFFFFF"/>
            </w:rPr>
            <w:t>Alshehhi, A., Nobanee, H. and Khare, N., 2018. The impact of sustainability practices on corporate financial performance: Literature trends and future research potential. </w:t>
          </w:r>
          <w:r w:rsidRPr="00470473">
            <w:rPr>
              <w:rFonts w:cs="Arial"/>
              <w:i/>
              <w:iCs/>
              <w:color w:val="222222"/>
              <w:szCs w:val="24"/>
              <w:shd w:val="clear" w:color="auto" w:fill="FFFFFF"/>
            </w:rPr>
            <w:t>Sustainability</w:t>
          </w:r>
          <w:r w:rsidRPr="00470473">
            <w:rPr>
              <w:rFonts w:cs="Arial"/>
              <w:color w:val="222222"/>
              <w:szCs w:val="24"/>
              <w:shd w:val="clear" w:color="auto" w:fill="FFFFFF"/>
            </w:rPr>
            <w:t>, </w:t>
          </w:r>
          <w:r w:rsidRPr="00470473">
            <w:rPr>
              <w:rFonts w:cs="Arial"/>
              <w:i/>
              <w:iCs/>
              <w:color w:val="222222"/>
              <w:szCs w:val="24"/>
              <w:shd w:val="clear" w:color="auto" w:fill="FFFFFF"/>
            </w:rPr>
            <w:t>10</w:t>
          </w:r>
          <w:r w:rsidRPr="00470473">
            <w:rPr>
              <w:rFonts w:cs="Arial"/>
              <w:color w:val="222222"/>
              <w:szCs w:val="24"/>
              <w:shd w:val="clear" w:color="auto" w:fill="FFFFFF"/>
            </w:rPr>
            <w:t>(2), p.494.</w:t>
          </w:r>
          <w:r w:rsidRPr="00470473">
            <w:rPr>
              <w:rFonts w:cs="Arial"/>
              <w:szCs w:val="24"/>
            </w:rPr>
            <w:t xml:space="preserve"> </w:t>
          </w:r>
          <w:hyperlink r:id="rId17" w:history="1">
            <w:r w:rsidRPr="00470473">
              <w:rPr>
                <w:rStyle w:val="Hyperlink"/>
                <w:rFonts w:cs="Arial"/>
                <w:szCs w:val="24"/>
                <w:shd w:val="clear" w:color="auto" w:fill="FFFFFF"/>
              </w:rPr>
              <w:t>https://www.mdpi.com/2071-1050/10/2/494/pdf</w:t>
            </w:r>
          </w:hyperlink>
          <w:r w:rsidRPr="00470473">
            <w:rPr>
              <w:rFonts w:cs="Arial"/>
              <w:color w:val="222222"/>
              <w:szCs w:val="24"/>
              <w:shd w:val="clear" w:color="auto" w:fill="FFFFFF"/>
            </w:rPr>
            <w:t xml:space="preserve"> </w:t>
          </w:r>
        </w:p>
        <w:p w14:paraId="4DF4439B" w14:textId="77777777" w:rsidR="00705953" w:rsidRPr="00470473" w:rsidRDefault="00705953" w:rsidP="00470473">
          <w:pPr>
            <w:pStyle w:val="NormalWeb"/>
            <w:spacing w:before="0" w:beforeAutospacing="0" w:after="240" w:afterAutospacing="0" w:line="360" w:lineRule="atLeast"/>
            <w:rPr>
              <w:rFonts w:ascii="Arial" w:hAnsi="Arial" w:cs="Arial"/>
              <w:color w:val="000000"/>
            </w:rPr>
          </w:pPr>
          <w:r w:rsidRPr="00470473">
            <w:rPr>
              <w:rFonts w:ascii="Arial" w:hAnsi="Arial" w:cs="Arial"/>
              <w:color w:val="000000"/>
            </w:rPr>
            <w:t>‌BBC Bitesize. 2022. </w:t>
          </w:r>
          <w:r w:rsidRPr="00470473">
            <w:rPr>
              <w:rFonts w:ascii="Arial" w:hAnsi="Arial" w:cs="Arial"/>
              <w:i/>
              <w:iCs/>
              <w:color w:val="000000"/>
            </w:rPr>
            <w:t>Purpose and limitations of Ratio Analysis - Ratios - Higher Business management Revision - BBC Bitesize</w:t>
          </w:r>
          <w:r w:rsidRPr="00470473">
            <w:rPr>
              <w:rFonts w:ascii="Arial" w:hAnsi="Arial" w:cs="Arial"/>
              <w:color w:val="000000"/>
            </w:rPr>
            <w:t>. [online] Available at: https://www.bbc.co.uk/bitesize/guides/zrxn47h/revision/5 [Accessed 26 Nov. 2022].</w:t>
          </w:r>
        </w:p>
        <w:p w14:paraId="2ED27B8F" w14:textId="77777777" w:rsidR="00705953" w:rsidRPr="00470473" w:rsidRDefault="00705953" w:rsidP="00470473">
          <w:pPr>
            <w:pStyle w:val="NormalWeb"/>
            <w:spacing w:before="0" w:beforeAutospacing="0" w:after="240" w:afterAutospacing="0" w:line="360" w:lineRule="atLeast"/>
            <w:rPr>
              <w:rFonts w:ascii="Arial" w:hAnsi="Arial" w:cs="Arial"/>
              <w:color w:val="000000"/>
            </w:rPr>
          </w:pPr>
          <w:r w:rsidRPr="00470473">
            <w:rPr>
              <w:rFonts w:ascii="Arial" w:hAnsi="Arial" w:cs="Arial"/>
              <w:color w:val="000000"/>
            </w:rPr>
            <w:t>‌Bragg, S. 2022. </w:t>
          </w:r>
          <w:r w:rsidRPr="00470473">
            <w:rPr>
              <w:rFonts w:ascii="Arial" w:hAnsi="Arial" w:cs="Arial"/>
              <w:i/>
              <w:iCs/>
              <w:color w:val="000000"/>
            </w:rPr>
            <w:t>AccountingTools</w:t>
          </w:r>
          <w:r w:rsidRPr="00470473">
            <w:rPr>
              <w:rFonts w:ascii="Arial" w:hAnsi="Arial" w:cs="Arial"/>
              <w:color w:val="000000"/>
            </w:rPr>
            <w:t>. [online] AccountingTools. Available at: https://www.accountingtools.com/articles/what-are-the-limitations-of-ratio-analysis.html [Accessed 26 Nov. 2022].</w:t>
          </w:r>
        </w:p>
        <w:p w14:paraId="5BDAE627" w14:textId="77777777" w:rsidR="00705953" w:rsidRPr="00470473" w:rsidRDefault="00705953" w:rsidP="00470473">
          <w:pPr>
            <w:pStyle w:val="NormalWeb"/>
            <w:spacing w:before="0" w:beforeAutospacing="0" w:after="240" w:afterAutospacing="0" w:line="360" w:lineRule="atLeast"/>
            <w:rPr>
              <w:rFonts w:ascii="Arial" w:hAnsi="Arial" w:cs="Arial"/>
              <w:color w:val="000000"/>
            </w:rPr>
          </w:pPr>
          <w:r w:rsidRPr="00470473">
            <w:rPr>
              <w:rFonts w:ascii="Arial" w:hAnsi="Arial" w:cs="Arial"/>
              <w:color w:val="000000"/>
            </w:rPr>
            <w:t>EDUCBA. 2020. </w:t>
          </w:r>
          <w:r w:rsidRPr="00470473">
            <w:rPr>
              <w:rFonts w:ascii="Arial" w:hAnsi="Arial" w:cs="Arial"/>
              <w:i/>
              <w:iCs/>
              <w:color w:val="000000"/>
            </w:rPr>
            <w:t>Advantages of Ratio Analysis | Top 10 Advantages with Explanation</w:t>
          </w:r>
          <w:r w:rsidRPr="00470473">
            <w:rPr>
              <w:rFonts w:ascii="Arial" w:hAnsi="Arial" w:cs="Arial"/>
              <w:color w:val="000000"/>
            </w:rPr>
            <w:t>. [online] Available at: https://www.educba.com/advantages-of-ratio-analysis/ [Accessed 26 Nov. 2022].</w:t>
          </w:r>
        </w:p>
        <w:p w14:paraId="77BC51C3" w14:textId="77777777" w:rsidR="00705953" w:rsidRPr="00470473" w:rsidRDefault="00705953" w:rsidP="00470473">
          <w:pPr>
            <w:jc w:val="left"/>
            <w:rPr>
              <w:rFonts w:cs="Arial"/>
              <w:color w:val="222222"/>
              <w:szCs w:val="24"/>
              <w:shd w:val="clear" w:color="auto" w:fill="FFFFFF"/>
            </w:rPr>
          </w:pPr>
          <w:r w:rsidRPr="00470473">
            <w:rPr>
              <w:rFonts w:cs="Arial"/>
              <w:color w:val="222222"/>
              <w:szCs w:val="24"/>
              <w:shd w:val="clear" w:color="auto" w:fill="FFFFFF"/>
            </w:rPr>
            <w:t>Gundes, S., Atakul, N. and Buyukyoran, F., 2019. Financial issues in construction companies: bibliometric analysis and trends. </w:t>
          </w:r>
          <w:r w:rsidRPr="00470473">
            <w:rPr>
              <w:rFonts w:cs="Arial"/>
              <w:i/>
              <w:iCs/>
              <w:color w:val="222222"/>
              <w:szCs w:val="24"/>
              <w:shd w:val="clear" w:color="auto" w:fill="FFFFFF"/>
            </w:rPr>
            <w:t>Canadian Journal of Civil Engineering</w:t>
          </w:r>
          <w:r w:rsidRPr="00470473">
            <w:rPr>
              <w:rFonts w:cs="Arial"/>
              <w:color w:val="222222"/>
              <w:szCs w:val="24"/>
              <w:shd w:val="clear" w:color="auto" w:fill="FFFFFF"/>
            </w:rPr>
            <w:t>, </w:t>
          </w:r>
          <w:r w:rsidRPr="00470473">
            <w:rPr>
              <w:rFonts w:cs="Arial"/>
              <w:i/>
              <w:iCs/>
              <w:color w:val="222222"/>
              <w:szCs w:val="24"/>
              <w:shd w:val="clear" w:color="auto" w:fill="FFFFFF"/>
            </w:rPr>
            <w:t>46</w:t>
          </w:r>
          <w:r w:rsidRPr="00470473">
            <w:rPr>
              <w:rFonts w:cs="Arial"/>
              <w:color w:val="222222"/>
              <w:szCs w:val="24"/>
              <w:shd w:val="clear" w:color="auto" w:fill="FFFFFF"/>
            </w:rPr>
            <w:t>(6), pp.329-337.</w:t>
          </w:r>
          <w:r w:rsidRPr="00470473">
            <w:rPr>
              <w:rFonts w:cs="Arial"/>
              <w:szCs w:val="24"/>
            </w:rPr>
            <w:t xml:space="preserve"> </w:t>
          </w:r>
          <w:hyperlink r:id="rId18" w:history="1">
            <w:r w:rsidRPr="00470473">
              <w:rPr>
                <w:rStyle w:val="Hyperlink"/>
                <w:rFonts w:cs="Arial"/>
                <w:szCs w:val="24"/>
                <w:shd w:val="clear" w:color="auto" w:fill="FFFFFF"/>
              </w:rPr>
              <w:t>https://www.academia.edu/download/61325499/Financial_issues_in_construction_companies.pdf</w:t>
            </w:r>
          </w:hyperlink>
          <w:r w:rsidRPr="00470473">
            <w:rPr>
              <w:rFonts w:cs="Arial"/>
              <w:color w:val="222222"/>
              <w:szCs w:val="24"/>
              <w:shd w:val="clear" w:color="auto" w:fill="FFFFFF"/>
            </w:rPr>
            <w:t xml:space="preserve"> </w:t>
          </w:r>
        </w:p>
        <w:p w14:paraId="0E999FC0" w14:textId="77777777" w:rsidR="00705953" w:rsidRPr="00470473" w:rsidRDefault="00705953" w:rsidP="00470473">
          <w:pPr>
            <w:pStyle w:val="NormalWeb"/>
            <w:spacing w:before="0" w:beforeAutospacing="0" w:after="240" w:afterAutospacing="0" w:line="360" w:lineRule="atLeast"/>
            <w:rPr>
              <w:rFonts w:ascii="Arial" w:hAnsi="Arial" w:cs="Arial"/>
              <w:color w:val="000000"/>
            </w:rPr>
          </w:pPr>
          <w:r w:rsidRPr="00470473">
            <w:rPr>
              <w:rFonts w:ascii="Arial" w:hAnsi="Arial" w:cs="Arial"/>
              <w:color w:val="000000"/>
            </w:rPr>
            <w:t>Macrotrends.net. (2022). </w:t>
          </w:r>
          <w:r w:rsidRPr="00470473">
            <w:rPr>
              <w:rFonts w:ascii="Arial" w:hAnsi="Arial" w:cs="Arial"/>
              <w:i/>
              <w:iCs/>
              <w:color w:val="000000"/>
            </w:rPr>
            <w:t>Marriott Financial Ratios for Analysis 2009-2022 | MAR</w:t>
          </w:r>
          <w:r w:rsidRPr="00470473">
            <w:rPr>
              <w:rFonts w:ascii="Arial" w:hAnsi="Arial" w:cs="Arial"/>
              <w:color w:val="000000"/>
            </w:rPr>
            <w:t>. [online] Available at: https://www.macrotrends.net/stocks/charts/MAR/marriott/financial-ratios [Accessed 25 Nov. 2022].</w:t>
          </w:r>
        </w:p>
        <w:p w14:paraId="3692509B" w14:textId="77777777" w:rsidR="00705953" w:rsidRPr="00470473" w:rsidRDefault="00705953" w:rsidP="00470473">
          <w:pPr>
            <w:jc w:val="left"/>
            <w:rPr>
              <w:rFonts w:cs="Arial"/>
              <w:color w:val="222222"/>
              <w:szCs w:val="24"/>
              <w:shd w:val="clear" w:color="auto" w:fill="FFFFFF"/>
            </w:rPr>
          </w:pPr>
          <w:r w:rsidRPr="00470473">
            <w:rPr>
              <w:rFonts w:cs="Arial"/>
              <w:color w:val="222222"/>
              <w:szCs w:val="24"/>
              <w:shd w:val="clear" w:color="auto" w:fill="FFFFFF"/>
            </w:rPr>
            <w:t>Pascal, M., Moreno, C., Dávila, I., Tabar, A.I., Bartra, J., Labrador, M. and Luengo, O., 2021. Integration of in vitro allergy test results and ratio analysis for the diagnosis and treatment of allergic patients (INTEGRA). </w:t>
          </w:r>
          <w:r w:rsidRPr="00470473">
            <w:rPr>
              <w:rFonts w:cs="Arial"/>
              <w:i/>
              <w:iCs/>
              <w:color w:val="222222"/>
              <w:szCs w:val="24"/>
              <w:shd w:val="clear" w:color="auto" w:fill="FFFFFF"/>
            </w:rPr>
            <w:t>Clinical and Translational Allergy</w:t>
          </w:r>
          <w:r w:rsidRPr="00470473">
            <w:rPr>
              <w:rFonts w:cs="Arial"/>
              <w:color w:val="222222"/>
              <w:szCs w:val="24"/>
              <w:shd w:val="clear" w:color="auto" w:fill="FFFFFF"/>
            </w:rPr>
            <w:t>, </w:t>
          </w:r>
          <w:r w:rsidRPr="00470473">
            <w:rPr>
              <w:rFonts w:cs="Arial"/>
              <w:i/>
              <w:iCs/>
              <w:color w:val="222222"/>
              <w:szCs w:val="24"/>
              <w:shd w:val="clear" w:color="auto" w:fill="FFFFFF"/>
            </w:rPr>
            <w:t>11</w:t>
          </w:r>
          <w:r w:rsidRPr="00470473">
            <w:rPr>
              <w:rFonts w:cs="Arial"/>
              <w:color w:val="222222"/>
              <w:szCs w:val="24"/>
              <w:shd w:val="clear" w:color="auto" w:fill="FFFFFF"/>
            </w:rPr>
            <w:t>(7), p.e12052.</w:t>
          </w:r>
          <w:r w:rsidRPr="00470473">
            <w:rPr>
              <w:rFonts w:cs="Arial"/>
              <w:szCs w:val="24"/>
            </w:rPr>
            <w:t xml:space="preserve"> </w:t>
          </w:r>
          <w:hyperlink r:id="rId19" w:history="1">
            <w:r w:rsidRPr="00470473">
              <w:rPr>
                <w:rStyle w:val="Hyperlink"/>
                <w:rFonts w:cs="Arial"/>
                <w:szCs w:val="24"/>
                <w:shd w:val="clear" w:color="auto" w:fill="FFFFFF"/>
              </w:rPr>
              <w:t>https://onlinelibrary.wiley.com/doi/pdf/10.1002/clt2.12052</w:t>
            </w:r>
          </w:hyperlink>
          <w:r w:rsidRPr="00470473">
            <w:rPr>
              <w:rFonts w:cs="Arial"/>
              <w:color w:val="222222"/>
              <w:szCs w:val="24"/>
              <w:shd w:val="clear" w:color="auto" w:fill="FFFFFF"/>
            </w:rPr>
            <w:t xml:space="preserve"> </w:t>
          </w:r>
        </w:p>
        <w:p w14:paraId="262B2B91" w14:textId="77777777" w:rsidR="00705953" w:rsidRPr="00470473" w:rsidRDefault="00705953" w:rsidP="00470473">
          <w:pPr>
            <w:jc w:val="left"/>
            <w:rPr>
              <w:rFonts w:cs="Arial"/>
              <w:color w:val="222222"/>
              <w:szCs w:val="24"/>
              <w:shd w:val="clear" w:color="auto" w:fill="FFFFFF"/>
            </w:rPr>
          </w:pPr>
          <w:r w:rsidRPr="00470473">
            <w:rPr>
              <w:rFonts w:cs="Arial"/>
              <w:color w:val="222222"/>
              <w:szCs w:val="24"/>
              <w:shd w:val="clear" w:color="auto" w:fill="FFFFFF"/>
            </w:rPr>
            <w:t xml:space="preserve">Soonthornchai, P., Namnai, K. and Apichottanakun, R., 2019. Financial Ratio Analysis that Challenges the Dairy Farmers to Enhance their Ability in Financial </w:t>
          </w:r>
          <w:r w:rsidRPr="00470473">
            <w:rPr>
              <w:rFonts w:cs="Arial"/>
              <w:color w:val="222222"/>
              <w:szCs w:val="24"/>
              <w:shd w:val="clear" w:color="auto" w:fill="FFFFFF"/>
            </w:rPr>
            <w:lastRenderedPageBreak/>
            <w:t>Management. </w:t>
          </w:r>
          <w:r w:rsidRPr="00470473">
            <w:rPr>
              <w:rFonts w:cs="Arial"/>
              <w:i/>
              <w:iCs/>
              <w:color w:val="222222"/>
              <w:szCs w:val="24"/>
              <w:shd w:val="clear" w:color="auto" w:fill="FFFFFF"/>
            </w:rPr>
            <w:t>Veridian E-Journal, Silpakorn University (Humanities, Social Sciences and arts)</w:t>
          </w:r>
          <w:r w:rsidRPr="00470473">
            <w:rPr>
              <w:rFonts w:cs="Arial"/>
              <w:color w:val="222222"/>
              <w:szCs w:val="24"/>
              <w:shd w:val="clear" w:color="auto" w:fill="FFFFFF"/>
            </w:rPr>
            <w:t>, </w:t>
          </w:r>
          <w:r w:rsidRPr="00470473">
            <w:rPr>
              <w:rFonts w:cs="Arial"/>
              <w:i/>
              <w:iCs/>
              <w:color w:val="222222"/>
              <w:szCs w:val="24"/>
              <w:shd w:val="clear" w:color="auto" w:fill="FFFFFF"/>
            </w:rPr>
            <w:t>12</w:t>
          </w:r>
          <w:r w:rsidRPr="00470473">
            <w:rPr>
              <w:rFonts w:cs="Arial"/>
              <w:color w:val="222222"/>
              <w:szCs w:val="24"/>
              <w:shd w:val="clear" w:color="auto" w:fill="FFFFFF"/>
            </w:rPr>
            <w:t>(6), pp.2093-2109.</w:t>
          </w:r>
          <w:r w:rsidRPr="00470473">
            <w:rPr>
              <w:rFonts w:cs="Arial"/>
              <w:szCs w:val="24"/>
            </w:rPr>
            <w:t xml:space="preserve"> </w:t>
          </w:r>
          <w:hyperlink r:id="rId20" w:history="1">
            <w:r w:rsidRPr="00470473">
              <w:rPr>
                <w:rStyle w:val="Hyperlink"/>
                <w:rFonts w:cs="Arial"/>
                <w:szCs w:val="24"/>
                <w:shd w:val="clear" w:color="auto" w:fill="FFFFFF"/>
              </w:rPr>
              <w:t>https://he02.tci-thaijo.org/index.php/Veridian-E-Journal/article/download/193431/161142</w:t>
            </w:r>
          </w:hyperlink>
          <w:r w:rsidRPr="00470473">
            <w:rPr>
              <w:rFonts w:cs="Arial"/>
              <w:color w:val="222222"/>
              <w:szCs w:val="24"/>
              <w:shd w:val="clear" w:color="auto" w:fill="FFFFFF"/>
            </w:rPr>
            <w:t xml:space="preserve"> </w:t>
          </w:r>
        </w:p>
        <w:p w14:paraId="61332AAC" w14:textId="77777777" w:rsidR="00705953" w:rsidRPr="00470473" w:rsidRDefault="00705953" w:rsidP="00470473">
          <w:pPr>
            <w:pStyle w:val="NormalWeb"/>
            <w:spacing w:before="0" w:beforeAutospacing="0" w:after="240" w:afterAutospacing="0" w:line="360" w:lineRule="atLeast"/>
            <w:rPr>
              <w:rFonts w:ascii="Arial" w:hAnsi="Arial" w:cs="Arial"/>
              <w:color w:val="000000"/>
            </w:rPr>
          </w:pPr>
          <w:r w:rsidRPr="00470473">
            <w:rPr>
              <w:rFonts w:ascii="Arial" w:hAnsi="Arial" w:cs="Arial"/>
              <w:color w:val="000000"/>
            </w:rPr>
            <w:t>‌Vaidya, D. 2019. </w:t>
          </w:r>
          <w:r w:rsidRPr="00470473">
            <w:rPr>
              <w:rFonts w:ascii="Arial" w:hAnsi="Arial" w:cs="Arial"/>
              <w:i/>
              <w:iCs/>
              <w:color w:val="000000"/>
            </w:rPr>
            <w:t>Ratio Analysis Advantages</w:t>
          </w:r>
          <w:r w:rsidRPr="00470473">
            <w:rPr>
              <w:rFonts w:ascii="Arial" w:hAnsi="Arial" w:cs="Arial"/>
              <w:color w:val="000000"/>
            </w:rPr>
            <w:t>. [online] WallStreetMojo. Available at: https://www.wallstreetmojo.com/ratio-analysis-advantages/ [Accessed 26 Nov. 2022].</w:t>
          </w:r>
        </w:p>
        <w:p w14:paraId="55ECA804" w14:textId="484C1F6D" w:rsidR="006717EC" w:rsidRPr="007D1947" w:rsidRDefault="00000000" w:rsidP="007D1947"/>
      </w:sdtContent>
    </w:sdt>
    <w:p w14:paraId="04B40B59" w14:textId="7509EAC8" w:rsidR="00CA09F3" w:rsidRDefault="00CA09F3"/>
    <w:sectPr w:rsidR="00CA09F3" w:rsidSect="007D1947">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C30D1" w14:textId="77777777" w:rsidR="00DE5662" w:rsidRDefault="00DE5662" w:rsidP="00705953">
      <w:pPr>
        <w:spacing w:after="0" w:line="240" w:lineRule="auto"/>
      </w:pPr>
      <w:r>
        <w:separator/>
      </w:r>
    </w:p>
  </w:endnote>
  <w:endnote w:type="continuationSeparator" w:id="0">
    <w:p w14:paraId="15F48922" w14:textId="77777777" w:rsidR="00DE5662" w:rsidRDefault="00DE5662" w:rsidP="00705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4720189"/>
      <w:docPartObj>
        <w:docPartGallery w:val="Page Numbers (Bottom of Page)"/>
        <w:docPartUnique/>
      </w:docPartObj>
    </w:sdtPr>
    <w:sdtEndPr>
      <w:rPr>
        <w:noProof/>
      </w:rPr>
    </w:sdtEndPr>
    <w:sdtContent>
      <w:p w14:paraId="39B071E8" w14:textId="696BC594" w:rsidR="00705953" w:rsidRDefault="00705953">
        <w:pPr>
          <w:pStyle w:val="Footer"/>
          <w:jc w:val="right"/>
        </w:pPr>
        <w:r>
          <w:fldChar w:fldCharType="begin"/>
        </w:r>
        <w:r>
          <w:instrText xml:space="preserve"> PAGE   \* MERGEFORMAT </w:instrText>
        </w:r>
        <w:r>
          <w:fldChar w:fldCharType="separate"/>
        </w:r>
        <w:r w:rsidR="007C012C">
          <w:rPr>
            <w:noProof/>
          </w:rPr>
          <w:t>8</w:t>
        </w:r>
        <w:r>
          <w:rPr>
            <w:noProof/>
          </w:rPr>
          <w:fldChar w:fldCharType="end"/>
        </w:r>
      </w:p>
    </w:sdtContent>
  </w:sdt>
  <w:p w14:paraId="13BC871B" w14:textId="77777777" w:rsidR="00705953" w:rsidRDefault="00705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4571B" w14:textId="77777777" w:rsidR="00DE5662" w:rsidRDefault="00DE5662" w:rsidP="00705953">
      <w:pPr>
        <w:spacing w:after="0" w:line="240" w:lineRule="auto"/>
      </w:pPr>
      <w:r>
        <w:separator/>
      </w:r>
    </w:p>
  </w:footnote>
  <w:footnote w:type="continuationSeparator" w:id="0">
    <w:p w14:paraId="739C29A4" w14:textId="77777777" w:rsidR="00DE5662" w:rsidRDefault="00DE5662" w:rsidP="007059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4605E"/>
    <w:rsid w:val="00087676"/>
    <w:rsid w:val="00093736"/>
    <w:rsid w:val="000B01EE"/>
    <w:rsid w:val="000B01F4"/>
    <w:rsid w:val="000B431B"/>
    <w:rsid w:val="00115B96"/>
    <w:rsid w:val="001E0A45"/>
    <w:rsid w:val="001F0A65"/>
    <w:rsid w:val="002177FC"/>
    <w:rsid w:val="00231261"/>
    <w:rsid w:val="00242253"/>
    <w:rsid w:val="002703D7"/>
    <w:rsid w:val="00284F1F"/>
    <w:rsid w:val="002D2174"/>
    <w:rsid w:val="002E4697"/>
    <w:rsid w:val="003058AE"/>
    <w:rsid w:val="00315FFF"/>
    <w:rsid w:val="00324CCD"/>
    <w:rsid w:val="00352715"/>
    <w:rsid w:val="00360CB5"/>
    <w:rsid w:val="003C4ABB"/>
    <w:rsid w:val="003D00A0"/>
    <w:rsid w:val="0043326A"/>
    <w:rsid w:val="004604FD"/>
    <w:rsid w:val="00470473"/>
    <w:rsid w:val="00496867"/>
    <w:rsid w:val="004A11F6"/>
    <w:rsid w:val="004D519C"/>
    <w:rsid w:val="00556D1C"/>
    <w:rsid w:val="00577F92"/>
    <w:rsid w:val="00636A4F"/>
    <w:rsid w:val="006717EC"/>
    <w:rsid w:val="00685F2E"/>
    <w:rsid w:val="006A383F"/>
    <w:rsid w:val="006C40CF"/>
    <w:rsid w:val="006F2772"/>
    <w:rsid w:val="00705953"/>
    <w:rsid w:val="007310D4"/>
    <w:rsid w:val="00757D2B"/>
    <w:rsid w:val="0076771D"/>
    <w:rsid w:val="007C012C"/>
    <w:rsid w:val="007D1947"/>
    <w:rsid w:val="007F63D7"/>
    <w:rsid w:val="008765D8"/>
    <w:rsid w:val="00877919"/>
    <w:rsid w:val="009033F2"/>
    <w:rsid w:val="00903AFD"/>
    <w:rsid w:val="00917B67"/>
    <w:rsid w:val="00936C02"/>
    <w:rsid w:val="0095522F"/>
    <w:rsid w:val="009D10A0"/>
    <w:rsid w:val="009D49D4"/>
    <w:rsid w:val="00A00EE8"/>
    <w:rsid w:val="00AA2A91"/>
    <w:rsid w:val="00B16EEB"/>
    <w:rsid w:val="00B32377"/>
    <w:rsid w:val="00B45A3B"/>
    <w:rsid w:val="00B61C1A"/>
    <w:rsid w:val="00C23A91"/>
    <w:rsid w:val="00C71FB5"/>
    <w:rsid w:val="00CA09F3"/>
    <w:rsid w:val="00CD3C82"/>
    <w:rsid w:val="00D00810"/>
    <w:rsid w:val="00D6045B"/>
    <w:rsid w:val="00D854A5"/>
    <w:rsid w:val="00DA75D2"/>
    <w:rsid w:val="00DE5662"/>
    <w:rsid w:val="00E13383"/>
    <w:rsid w:val="00E72CB0"/>
    <w:rsid w:val="00F82B12"/>
    <w:rsid w:val="00F87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3F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05E"/>
    <w:pPr>
      <w:spacing w:line="360" w:lineRule="auto"/>
      <w:jc w:val="both"/>
    </w:pPr>
    <w:rPr>
      <w:rFonts w:ascii="Arial" w:hAnsi="Arial"/>
      <w:sz w:val="24"/>
    </w:rPr>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Caption">
    <w:name w:val="caption"/>
    <w:basedOn w:val="Normal"/>
    <w:next w:val="Normal"/>
    <w:uiPriority w:val="35"/>
    <w:unhideWhenUsed/>
    <w:qFormat/>
    <w:rsid w:val="001F0A65"/>
    <w:pPr>
      <w:spacing w:after="200" w:line="240" w:lineRule="auto"/>
    </w:pPr>
    <w:rPr>
      <w:i/>
      <w:iCs/>
      <w:color w:val="44546A" w:themeColor="text2"/>
      <w:sz w:val="18"/>
      <w:szCs w:val="18"/>
    </w:rPr>
  </w:style>
  <w:style w:type="paragraph" w:styleId="NormalWeb">
    <w:name w:val="Normal (Web)"/>
    <w:basedOn w:val="Normal"/>
    <w:uiPriority w:val="99"/>
    <w:unhideWhenUsed/>
    <w:rsid w:val="00352715"/>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character" w:customStyle="1" w:styleId="UnresolvedMention1">
    <w:name w:val="Unresolved Mention1"/>
    <w:basedOn w:val="DefaultParagraphFont"/>
    <w:uiPriority w:val="99"/>
    <w:semiHidden/>
    <w:unhideWhenUsed/>
    <w:rsid w:val="00360CB5"/>
    <w:rPr>
      <w:color w:val="605E5C"/>
      <w:shd w:val="clear" w:color="auto" w:fill="E1DFDD"/>
    </w:rPr>
  </w:style>
  <w:style w:type="paragraph" w:styleId="Header">
    <w:name w:val="header"/>
    <w:basedOn w:val="Normal"/>
    <w:link w:val="HeaderChar"/>
    <w:uiPriority w:val="99"/>
    <w:unhideWhenUsed/>
    <w:rsid w:val="007059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5953"/>
    <w:rPr>
      <w:rFonts w:ascii="Arial" w:hAnsi="Arial"/>
      <w:sz w:val="24"/>
    </w:rPr>
  </w:style>
  <w:style w:type="paragraph" w:styleId="Footer">
    <w:name w:val="footer"/>
    <w:basedOn w:val="Normal"/>
    <w:link w:val="FooterChar"/>
    <w:uiPriority w:val="99"/>
    <w:unhideWhenUsed/>
    <w:rsid w:val="00705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5953"/>
    <w:rPr>
      <w:rFonts w:ascii="Arial" w:hAnsi="Arial"/>
      <w:sz w:val="24"/>
    </w:rPr>
  </w:style>
  <w:style w:type="character" w:styleId="BookTitle">
    <w:name w:val="Book Title"/>
    <w:basedOn w:val="DefaultParagraphFont"/>
    <w:uiPriority w:val="33"/>
    <w:qFormat/>
    <w:rsid w:val="00903AFD"/>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88462">
      <w:bodyDiv w:val="1"/>
      <w:marLeft w:val="0"/>
      <w:marRight w:val="0"/>
      <w:marTop w:val="0"/>
      <w:marBottom w:val="0"/>
      <w:divBdr>
        <w:top w:val="none" w:sz="0" w:space="0" w:color="auto"/>
        <w:left w:val="none" w:sz="0" w:space="0" w:color="auto"/>
        <w:bottom w:val="none" w:sz="0" w:space="0" w:color="auto"/>
        <w:right w:val="none" w:sz="0" w:space="0" w:color="auto"/>
      </w:divBdr>
    </w:div>
    <w:div w:id="87190857">
      <w:bodyDiv w:val="1"/>
      <w:marLeft w:val="0"/>
      <w:marRight w:val="0"/>
      <w:marTop w:val="0"/>
      <w:marBottom w:val="0"/>
      <w:divBdr>
        <w:top w:val="none" w:sz="0" w:space="0" w:color="auto"/>
        <w:left w:val="none" w:sz="0" w:space="0" w:color="auto"/>
        <w:bottom w:val="none" w:sz="0" w:space="0" w:color="auto"/>
        <w:right w:val="none" w:sz="0" w:space="0" w:color="auto"/>
      </w:divBdr>
    </w:div>
    <w:div w:id="1347754199">
      <w:bodyDiv w:val="1"/>
      <w:marLeft w:val="0"/>
      <w:marRight w:val="0"/>
      <w:marTop w:val="0"/>
      <w:marBottom w:val="0"/>
      <w:divBdr>
        <w:top w:val="none" w:sz="0" w:space="0" w:color="auto"/>
        <w:left w:val="none" w:sz="0" w:space="0" w:color="auto"/>
        <w:bottom w:val="none" w:sz="0" w:space="0" w:color="auto"/>
        <w:right w:val="none" w:sz="0" w:space="0" w:color="auto"/>
      </w:divBdr>
    </w:div>
    <w:div w:id="1504781405">
      <w:bodyDiv w:val="1"/>
      <w:marLeft w:val="0"/>
      <w:marRight w:val="0"/>
      <w:marTop w:val="0"/>
      <w:marBottom w:val="0"/>
      <w:divBdr>
        <w:top w:val="none" w:sz="0" w:space="0" w:color="auto"/>
        <w:left w:val="none" w:sz="0" w:space="0" w:color="auto"/>
        <w:bottom w:val="none" w:sz="0" w:space="0" w:color="auto"/>
        <w:right w:val="none" w:sz="0" w:space="0" w:color="auto"/>
      </w:divBdr>
    </w:div>
    <w:div w:id="190136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academia.edu/download/61325499/Financial_issues_in_construction_compani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mdpi.com/2071-1050/10/2/494/pdf" TargetMode="External"/><Relationship Id="rId2" Type="http://schemas.openxmlformats.org/officeDocument/2006/relationships/customXml" Target="../customXml/item2.xml"/><Relationship Id="rId16" Type="http://schemas.openxmlformats.org/officeDocument/2006/relationships/hyperlink" Target="https://www.mdpi.com/2227-7390/8/4/614/pdf" TargetMode="External"/><Relationship Id="rId20" Type="http://schemas.openxmlformats.org/officeDocument/2006/relationships/hyperlink" Target="https://he02.tci-thaijo.org/index.php/Veridian-E-Journal/article/download/193431/16114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onlinelibrary.wiley.com/doi/pdf/10.1002/clt2.12052"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5" ma:contentTypeDescription="Create a new document." ma:contentTypeScope="" ma:versionID="2bbf414c7904c1dc8e1cce7499068dfc">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1299ba2e209a94c4e81664d4fa415346"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F4F2A-CF7C-401C-BB08-257D9F0C0488}">
  <ds:schemaRefs>
    <ds:schemaRef ds:uri="http://schemas.microsoft.com/sharepoint/v3/contenttype/forms"/>
  </ds:schemaRefs>
</ds:datastoreItem>
</file>

<file path=customXml/itemProps2.xml><?xml version="1.0" encoding="utf-8"?>
<ds:datastoreItem xmlns:ds="http://schemas.openxmlformats.org/officeDocument/2006/customXml" ds:itemID="{67966E1F-1CAE-4025-9E7C-4B7C36E7B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A531A7-2A6C-4247-BEF2-F5F7AC812B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16CF463-B937-422B-A2CB-C9A5E0F77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2217</Words>
  <Characters>12638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cp:keywords/>
  <dc:description/>
  <cp:lastModifiedBy>George Andricencu (2025562)</cp:lastModifiedBy>
  <cp:revision>4</cp:revision>
  <dcterms:created xsi:type="dcterms:W3CDTF">2022-11-26T16:05:00Z</dcterms:created>
  <dcterms:modified xsi:type="dcterms:W3CDTF">2022-12-08T20:53:00Z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y fmtid="{D5CDD505-2E9C-101B-9397-08002B2CF9AE}" pid="3" name="GrammarlyDocumentId">
    <vt:lpwstr>6157900a5ee590a05ec80cea99a33a77c3ae8093e8aa02f9caadc7001011498e</vt:lpwstr>
  </property>
</Properties>
</file>