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90524" w14:textId="77777777" w:rsidR="00534DCE" w:rsidRPr="009A7B87" w:rsidRDefault="00534DCE">
      <w:pPr>
        <w:pStyle w:val="Normal1"/>
        <w:spacing w:before="200" w:line="360" w:lineRule="auto"/>
        <w:jc w:val="center"/>
        <w:rPr>
          <w:rFonts w:ascii="Times New Roman" w:eastAsia="Times New Roman" w:hAnsi="Times New Roman" w:cs="Times New Roman"/>
          <w:b/>
          <w:sz w:val="36"/>
          <w:szCs w:val="36"/>
          <w:u w:val="single"/>
          <w:lang w:val="en-GB"/>
        </w:rPr>
      </w:pPr>
    </w:p>
    <w:p w14:paraId="7976F7DD" w14:textId="77777777" w:rsidR="00534DCE" w:rsidRPr="009D5580" w:rsidRDefault="00992A45">
      <w:pPr>
        <w:pStyle w:val="Normal1"/>
        <w:spacing w:before="200" w:line="360" w:lineRule="auto"/>
        <w:jc w:val="center"/>
        <w:rPr>
          <w:rFonts w:ascii="Times New Roman" w:eastAsia="Times New Roman" w:hAnsi="Times New Roman" w:cs="Times New Roman"/>
          <w:b/>
          <w:sz w:val="32"/>
          <w:szCs w:val="36"/>
          <w:u w:val="single"/>
          <w:lang w:val="en-GB"/>
        </w:rPr>
      </w:pPr>
      <w:r w:rsidRPr="009D5580">
        <w:rPr>
          <w:rFonts w:ascii="Times New Roman" w:eastAsia="Times New Roman" w:hAnsi="Times New Roman" w:cs="Times New Roman"/>
          <w:b/>
          <w:sz w:val="32"/>
          <w:szCs w:val="36"/>
          <w:u w:val="single"/>
          <w:lang w:val="en-GB"/>
        </w:rPr>
        <w:t xml:space="preserve">Law portfolio </w:t>
      </w:r>
    </w:p>
    <w:p w14:paraId="640FC58E" w14:textId="0668E807" w:rsidR="00534DCE" w:rsidRPr="009A7B87" w:rsidRDefault="00992A45">
      <w:pPr>
        <w:pStyle w:val="Normal1"/>
        <w:spacing w:before="200" w:line="360" w:lineRule="auto"/>
        <w:jc w:val="center"/>
        <w:rPr>
          <w:rFonts w:ascii="Times New Roman" w:eastAsia="Times New Roman" w:hAnsi="Times New Roman" w:cs="Times New Roman"/>
          <w:b/>
          <w:i/>
          <w:sz w:val="24"/>
          <w:szCs w:val="24"/>
          <w:lang w:val="en-GB"/>
        </w:rPr>
      </w:pPr>
      <w:r w:rsidRPr="009A7B87">
        <w:rPr>
          <w:rFonts w:ascii="Times New Roman" w:eastAsia="Times New Roman" w:hAnsi="Times New Roman" w:cs="Times New Roman"/>
          <w:b/>
          <w:i/>
          <w:sz w:val="24"/>
          <w:szCs w:val="24"/>
          <w:lang w:val="en-GB"/>
        </w:rPr>
        <w:t>Student name:</w:t>
      </w:r>
      <w:r w:rsidR="00010F08">
        <w:rPr>
          <w:rFonts w:ascii="Times New Roman" w:eastAsia="Times New Roman" w:hAnsi="Times New Roman" w:cs="Times New Roman"/>
          <w:b/>
          <w:i/>
          <w:sz w:val="24"/>
          <w:szCs w:val="24"/>
          <w:lang w:val="en-GB"/>
        </w:rPr>
        <w:t xml:space="preserve"> Florin Doditoiu</w:t>
      </w:r>
    </w:p>
    <w:p w14:paraId="4C1AC48F" w14:textId="0D40D8D8" w:rsidR="00534DCE" w:rsidRPr="009A7B87" w:rsidRDefault="00992A45">
      <w:pPr>
        <w:pStyle w:val="Normal1"/>
        <w:spacing w:before="200" w:line="360" w:lineRule="auto"/>
        <w:jc w:val="center"/>
        <w:rPr>
          <w:rFonts w:ascii="Times New Roman" w:eastAsia="Times New Roman" w:hAnsi="Times New Roman" w:cs="Times New Roman"/>
          <w:b/>
          <w:i/>
          <w:sz w:val="24"/>
          <w:szCs w:val="24"/>
          <w:lang w:val="en-GB"/>
        </w:rPr>
      </w:pPr>
      <w:r w:rsidRPr="009A7B87">
        <w:rPr>
          <w:rFonts w:ascii="Times New Roman" w:eastAsia="Times New Roman" w:hAnsi="Times New Roman" w:cs="Times New Roman"/>
          <w:b/>
          <w:i/>
          <w:sz w:val="24"/>
          <w:szCs w:val="24"/>
          <w:lang w:val="en-GB"/>
        </w:rPr>
        <w:t xml:space="preserve">Student id: </w:t>
      </w:r>
      <w:r w:rsidR="00010F08">
        <w:rPr>
          <w:rFonts w:ascii="Times New Roman" w:eastAsia="Times New Roman" w:hAnsi="Times New Roman" w:cs="Times New Roman"/>
          <w:b/>
          <w:i/>
          <w:sz w:val="24"/>
          <w:szCs w:val="24"/>
          <w:lang w:val="en-GB"/>
        </w:rPr>
        <w:t>2132424</w:t>
      </w:r>
    </w:p>
    <w:p w14:paraId="39F371F9" w14:textId="0A25223F" w:rsidR="00534DCE" w:rsidRPr="009A7B87" w:rsidRDefault="00992A45">
      <w:pPr>
        <w:pStyle w:val="Normal1"/>
        <w:spacing w:before="200" w:line="360" w:lineRule="auto"/>
        <w:jc w:val="center"/>
        <w:rPr>
          <w:rFonts w:ascii="Times New Roman" w:eastAsia="Times New Roman" w:hAnsi="Times New Roman" w:cs="Times New Roman"/>
          <w:b/>
          <w:i/>
          <w:sz w:val="24"/>
          <w:szCs w:val="24"/>
          <w:lang w:val="en-GB"/>
        </w:rPr>
      </w:pPr>
      <w:r w:rsidRPr="009A7B87">
        <w:rPr>
          <w:rFonts w:ascii="Times New Roman" w:eastAsia="Times New Roman" w:hAnsi="Times New Roman" w:cs="Times New Roman"/>
          <w:b/>
          <w:i/>
          <w:sz w:val="24"/>
          <w:szCs w:val="24"/>
          <w:lang w:val="en-GB"/>
        </w:rPr>
        <w:t xml:space="preserve">Course name: </w:t>
      </w:r>
      <w:r w:rsidR="00010F08">
        <w:rPr>
          <w:rFonts w:ascii="Times New Roman" w:eastAsia="Times New Roman" w:hAnsi="Times New Roman" w:cs="Times New Roman"/>
          <w:b/>
          <w:i/>
          <w:sz w:val="24"/>
          <w:szCs w:val="24"/>
          <w:lang w:val="en-GB"/>
        </w:rPr>
        <w:t>Criminal Law</w:t>
      </w:r>
    </w:p>
    <w:p w14:paraId="4B6836FF" w14:textId="69AEE79B" w:rsidR="009A7B87" w:rsidRDefault="009D5580">
      <w:pPr>
        <w:pStyle w:val="Normal1"/>
        <w:spacing w:before="200" w:line="360" w:lineRule="auto"/>
        <w:jc w:val="center"/>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Subject name</w:t>
      </w:r>
      <w:r w:rsidR="00992A45" w:rsidRPr="009A7B87">
        <w:rPr>
          <w:rFonts w:ascii="Times New Roman" w:eastAsia="Times New Roman" w:hAnsi="Times New Roman" w:cs="Times New Roman"/>
          <w:b/>
          <w:i/>
          <w:sz w:val="24"/>
          <w:szCs w:val="24"/>
          <w:lang w:val="en-GB"/>
        </w:rPr>
        <w:t>:</w:t>
      </w:r>
      <w:r w:rsidR="00010F08">
        <w:rPr>
          <w:rFonts w:ascii="Times New Roman" w:eastAsia="Times New Roman" w:hAnsi="Times New Roman" w:cs="Times New Roman"/>
          <w:b/>
          <w:i/>
          <w:sz w:val="24"/>
          <w:szCs w:val="24"/>
          <w:lang w:val="en-GB"/>
        </w:rPr>
        <w:t xml:space="preserve"> Scenario question</w:t>
      </w:r>
    </w:p>
    <w:p w14:paraId="7812B0CC" w14:textId="77777777" w:rsidR="009A7B87" w:rsidRDefault="009A7B87">
      <w:pPr>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br w:type="page"/>
      </w:r>
    </w:p>
    <w:sdt>
      <w:sdtPr>
        <w:rPr>
          <w:rFonts w:ascii="Arial" w:eastAsia="Arial" w:hAnsi="Arial" w:cs="Arial"/>
          <w:b w:val="0"/>
          <w:bCs w:val="0"/>
          <w:color w:val="auto"/>
          <w:sz w:val="22"/>
          <w:szCs w:val="22"/>
          <w:lang w:val="en-IN"/>
        </w:rPr>
        <w:id w:val="23800590"/>
        <w:docPartObj>
          <w:docPartGallery w:val="Table of Contents"/>
          <w:docPartUnique/>
        </w:docPartObj>
      </w:sdtPr>
      <w:sdtEndPr/>
      <w:sdtContent>
        <w:p w14:paraId="00156BFD" w14:textId="77777777" w:rsidR="009A7B87" w:rsidRPr="009A7B87" w:rsidRDefault="009A7B87" w:rsidP="009A7B87">
          <w:pPr>
            <w:pStyle w:val="TOCHeading"/>
            <w:spacing w:before="0" w:line="360" w:lineRule="auto"/>
            <w:jc w:val="center"/>
            <w:rPr>
              <w:rFonts w:ascii="Times New Roman" w:hAnsi="Times New Roman" w:cs="Times New Roman"/>
              <w:color w:val="000000" w:themeColor="text1"/>
              <w:sz w:val="24"/>
              <w:szCs w:val="24"/>
            </w:rPr>
          </w:pPr>
          <w:r w:rsidRPr="009A7B87">
            <w:rPr>
              <w:rFonts w:ascii="Times New Roman" w:hAnsi="Times New Roman" w:cs="Times New Roman"/>
              <w:color w:val="000000" w:themeColor="text1"/>
              <w:sz w:val="24"/>
              <w:szCs w:val="24"/>
            </w:rPr>
            <w:t>Table of Contents</w:t>
          </w:r>
        </w:p>
        <w:p w14:paraId="50DC6F59" w14:textId="77777777" w:rsidR="009A7B87" w:rsidRPr="009A7B87" w:rsidRDefault="009A7B87" w:rsidP="009A7B87">
          <w:pPr>
            <w:pStyle w:val="TOC1"/>
            <w:tabs>
              <w:tab w:val="right" w:leader="dot" w:pos="9019"/>
            </w:tabs>
            <w:spacing w:line="360" w:lineRule="auto"/>
            <w:jc w:val="both"/>
            <w:rPr>
              <w:rFonts w:ascii="Times New Roman" w:hAnsi="Times New Roman" w:cs="Times New Roman"/>
              <w:noProof/>
              <w:color w:val="000000" w:themeColor="text1"/>
              <w:sz w:val="24"/>
              <w:szCs w:val="24"/>
            </w:rPr>
          </w:pPr>
          <w:r w:rsidRPr="009A7B87">
            <w:rPr>
              <w:rFonts w:ascii="Times New Roman" w:hAnsi="Times New Roman" w:cs="Times New Roman"/>
              <w:color w:val="000000" w:themeColor="text1"/>
              <w:sz w:val="24"/>
              <w:szCs w:val="24"/>
            </w:rPr>
            <w:fldChar w:fldCharType="begin"/>
          </w:r>
          <w:r w:rsidRPr="009A7B87">
            <w:rPr>
              <w:rFonts w:ascii="Times New Roman" w:hAnsi="Times New Roman" w:cs="Times New Roman"/>
              <w:color w:val="000000" w:themeColor="text1"/>
              <w:sz w:val="24"/>
              <w:szCs w:val="24"/>
            </w:rPr>
            <w:instrText xml:space="preserve"> TOC \o "1-3" \h \z \u </w:instrText>
          </w:r>
          <w:r w:rsidRPr="009A7B87">
            <w:rPr>
              <w:rFonts w:ascii="Times New Roman" w:hAnsi="Times New Roman" w:cs="Times New Roman"/>
              <w:color w:val="000000" w:themeColor="text1"/>
              <w:sz w:val="24"/>
              <w:szCs w:val="24"/>
            </w:rPr>
            <w:fldChar w:fldCharType="separate"/>
          </w:r>
          <w:hyperlink w:anchor="_Toc121930449" w:history="1">
            <w:r w:rsidRPr="009A7B87">
              <w:rPr>
                <w:rStyle w:val="Hyperlink"/>
                <w:rFonts w:ascii="Times New Roman" w:hAnsi="Times New Roman" w:cs="Times New Roman"/>
                <w:noProof/>
                <w:color w:val="000000" w:themeColor="text1"/>
                <w:sz w:val="24"/>
                <w:szCs w:val="24"/>
              </w:rPr>
              <w:t>Introduction</w:t>
            </w:r>
            <w:r w:rsidRPr="009A7B87">
              <w:rPr>
                <w:rFonts w:ascii="Times New Roman" w:hAnsi="Times New Roman" w:cs="Times New Roman"/>
                <w:noProof/>
                <w:webHidden/>
                <w:color w:val="000000" w:themeColor="text1"/>
                <w:sz w:val="24"/>
                <w:szCs w:val="24"/>
              </w:rPr>
              <w:tab/>
            </w:r>
            <w:r w:rsidRPr="009A7B87">
              <w:rPr>
                <w:rFonts w:ascii="Times New Roman" w:hAnsi="Times New Roman" w:cs="Times New Roman"/>
                <w:noProof/>
                <w:webHidden/>
                <w:color w:val="000000" w:themeColor="text1"/>
                <w:sz w:val="24"/>
                <w:szCs w:val="24"/>
              </w:rPr>
              <w:fldChar w:fldCharType="begin"/>
            </w:r>
            <w:r w:rsidRPr="009A7B87">
              <w:rPr>
                <w:rFonts w:ascii="Times New Roman" w:hAnsi="Times New Roman" w:cs="Times New Roman"/>
                <w:noProof/>
                <w:webHidden/>
                <w:color w:val="000000" w:themeColor="text1"/>
                <w:sz w:val="24"/>
                <w:szCs w:val="24"/>
              </w:rPr>
              <w:instrText xml:space="preserve"> PAGEREF _Toc121930449 \h </w:instrText>
            </w:r>
            <w:r w:rsidRPr="009A7B87">
              <w:rPr>
                <w:rFonts w:ascii="Times New Roman" w:hAnsi="Times New Roman" w:cs="Times New Roman"/>
                <w:noProof/>
                <w:webHidden/>
                <w:color w:val="000000" w:themeColor="text1"/>
                <w:sz w:val="24"/>
                <w:szCs w:val="24"/>
              </w:rPr>
            </w:r>
            <w:r w:rsidRPr="009A7B87">
              <w:rPr>
                <w:rFonts w:ascii="Times New Roman" w:hAnsi="Times New Roman" w:cs="Times New Roman"/>
                <w:noProof/>
                <w:webHidden/>
                <w:color w:val="000000" w:themeColor="text1"/>
                <w:sz w:val="24"/>
                <w:szCs w:val="24"/>
              </w:rPr>
              <w:fldChar w:fldCharType="separate"/>
            </w:r>
            <w:r w:rsidRPr="009A7B87">
              <w:rPr>
                <w:rFonts w:ascii="Times New Roman" w:hAnsi="Times New Roman" w:cs="Times New Roman"/>
                <w:noProof/>
                <w:webHidden/>
                <w:color w:val="000000" w:themeColor="text1"/>
                <w:sz w:val="24"/>
                <w:szCs w:val="24"/>
              </w:rPr>
              <w:t>3</w:t>
            </w:r>
            <w:r w:rsidRPr="009A7B87">
              <w:rPr>
                <w:rFonts w:ascii="Times New Roman" w:hAnsi="Times New Roman" w:cs="Times New Roman"/>
                <w:noProof/>
                <w:webHidden/>
                <w:color w:val="000000" w:themeColor="text1"/>
                <w:sz w:val="24"/>
                <w:szCs w:val="24"/>
              </w:rPr>
              <w:fldChar w:fldCharType="end"/>
            </w:r>
          </w:hyperlink>
        </w:p>
        <w:p w14:paraId="33A88A24" w14:textId="77777777" w:rsidR="009A7B87" w:rsidRPr="009A7B87" w:rsidRDefault="00A4444B" w:rsidP="009A7B87">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21930450" w:history="1">
            <w:r w:rsidR="009A7B87" w:rsidRPr="009A7B87">
              <w:rPr>
                <w:rStyle w:val="Hyperlink"/>
                <w:rFonts w:ascii="Times New Roman" w:hAnsi="Times New Roman" w:cs="Times New Roman"/>
                <w:noProof/>
                <w:color w:val="000000" w:themeColor="text1"/>
                <w:sz w:val="24"/>
                <w:szCs w:val="24"/>
              </w:rPr>
              <w:t>Task a) Advise Hadley which offences he could be criminally liable for.</w:t>
            </w:r>
            <w:r w:rsidR="009A7B87" w:rsidRPr="009A7B87">
              <w:rPr>
                <w:rFonts w:ascii="Times New Roman" w:hAnsi="Times New Roman" w:cs="Times New Roman"/>
                <w:noProof/>
                <w:webHidden/>
                <w:color w:val="000000" w:themeColor="text1"/>
                <w:sz w:val="24"/>
                <w:szCs w:val="24"/>
              </w:rPr>
              <w:tab/>
            </w:r>
            <w:r w:rsidR="009A7B87" w:rsidRPr="009A7B87">
              <w:rPr>
                <w:rFonts w:ascii="Times New Roman" w:hAnsi="Times New Roman" w:cs="Times New Roman"/>
                <w:noProof/>
                <w:webHidden/>
                <w:color w:val="000000" w:themeColor="text1"/>
                <w:sz w:val="24"/>
                <w:szCs w:val="24"/>
              </w:rPr>
              <w:fldChar w:fldCharType="begin"/>
            </w:r>
            <w:r w:rsidR="009A7B87" w:rsidRPr="009A7B87">
              <w:rPr>
                <w:rFonts w:ascii="Times New Roman" w:hAnsi="Times New Roman" w:cs="Times New Roman"/>
                <w:noProof/>
                <w:webHidden/>
                <w:color w:val="000000" w:themeColor="text1"/>
                <w:sz w:val="24"/>
                <w:szCs w:val="24"/>
              </w:rPr>
              <w:instrText xml:space="preserve"> PAGEREF _Toc121930450 \h </w:instrText>
            </w:r>
            <w:r w:rsidR="009A7B87" w:rsidRPr="009A7B87">
              <w:rPr>
                <w:rFonts w:ascii="Times New Roman" w:hAnsi="Times New Roman" w:cs="Times New Roman"/>
                <w:noProof/>
                <w:webHidden/>
                <w:color w:val="000000" w:themeColor="text1"/>
                <w:sz w:val="24"/>
                <w:szCs w:val="24"/>
              </w:rPr>
            </w:r>
            <w:r w:rsidR="009A7B87" w:rsidRPr="009A7B87">
              <w:rPr>
                <w:rFonts w:ascii="Times New Roman" w:hAnsi="Times New Roman" w:cs="Times New Roman"/>
                <w:noProof/>
                <w:webHidden/>
                <w:color w:val="000000" w:themeColor="text1"/>
                <w:sz w:val="24"/>
                <w:szCs w:val="24"/>
              </w:rPr>
              <w:fldChar w:fldCharType="separate"/>
            </w:r>
            <w:r w:rsidR="009A7B87" w:rsidRPr="009A7B87">
              <w:rPr>
                <w:rFonts w:ascii="Times New Roman" w:hAnsi="Times New Roman" w:cs="Times New Roman"/>
                <w:noProof/>
                <w:webHidden/>
                <w:color w:val="000000" w:themeColor="text1"/>
                <w:sz w:val="24"/>
                <w:szCs w:val="24"/>
              </w:rPr>
              <w:t>3</w:t>
            </w:r>
            <w:r w:rsidR="009A7B87" w:rsidRPr="009A7B87">
              <w:rPr>
                <w:rFonts w:ascii="Times New Roman" w:hAnsi="Times New Roman" w:cs="Times New Roman"/>
                <w:noProof/>
                <w:webHidden/>
                <w:color w:val="000000" w:themeColor="text1"/>
                <w:sz w:val="24"/>
                <w:szCs w:val="24"/>
              </w:rPr>
              <w:fldChar w:fldCharType="end"/>
            </w:r>
          </w:hyperlink>
        </w:p>
        <w:p w14:paraId="63C86244" w14:textId="77777777" w:rsidR="009A7B87" w:rsidRPr="009A7B87" w:rsidRDefault="00A4444B" w:rsidP="009A7B87">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21930451" w:history="1">
            <w:r w:rsidR="009A7B87" w:rsidRPr="009A7B87">
              <w:rPr>
                <w:rStyle w:val="Hyperlink"/>
                <w:rFonts w:ascii="Times New Roman" w:hAnsi="Times New Roman" w:cs="Times New Roman"/>
                <w:noProof/>
                <w:color w:val="000000" w:themeColor="text1"/>
                <w:sz w:val="24"/>
                <w:szCs w:val="24"/>
              </w:rPr>
              <w:t>Task b) Advise her of whether she would be able to rely on the defences of intoxication and automatism</w:t>
            </w:r>
            <w:r w:rsidR="009A7B87" w:rsidRPr="009A7B87">
              <w:rPr>
                <w:rFonts w:ascii="Times New Roman" w:hAnsi="Times New Roman" w:cs="Times New Roman"/>
                <w:noProof/>
                <w:webHidden/>
                <w:color w:val="000000" w:themeColor="text1"/>
                <w:sz w:val="24"/>
                <w:szCs w:val="24"/>
              </w:rPr>
              <w:tab/>
            </w:r>
            <w:r w:rsidR="009A7B87" w:rsidRPr="009A7B87">
              <w:rPr>
                <w:rFonts w:ascii="Times New Roman" w:hAnsi="Times New Roman" w:cs="Times New Roman"/>
                <w:noProof/>
                <w:webHidden/>
                <w:color w:val="000000" w:themeColor="text1"/>
                <w:sz w:val="24"/>
                <w:szCs w:val="24"/>
              </w:rPr>
              <w:fldChar w:fldCharType="begin"/>
            </w:r>
            <w:r w:rsidR="009A7B87" w:rsidRPr="009A7B87">
              <w:rPr>
                <w:rFonts w:ascii="Times New Roman" w:hAnsi="Times New Roman" w:cs="Times New Roman"/>
                <w:noProof/>
                <w:webHidden/>
                <w:color w:val="000000" w:themeColor="text1"/>
                <w:sz w:val="24"/>
                <w:szCs w:val="24"/>
              </w:rPr>
              <w:instrText xml:space="preserve"> PAGEREF _Toc121930451 \h </w:instrText>
            </w:r>
            <w:r w:rsidR="009A7B87" w:rsidRPr="009A7B87">
              <w:rPr>
                <w:rFonts w:ascii="Times New Roman" w:hAnsi="Times New Roman" w:cs="Times New Roman"/>
                <w:noProof/>
                <w:webHidden/>
                <w:color w:val="000000" w:themeColor="text1"/>
                <w:sz w:val="24"/>
                <w:szCs w:val="24"/>
              </w:rPr>
            </w:r>
            <w:r w:rsidR="009A7B87" w:rsidRPr="009A7B87">
              <w:rPr>
                <w:rFonts w:ascii="Times New Roman" w:hAnsi="Times New Roman" w:cs="Times New Roman"/>
                <w:noProof/>
                <w:webHidden/>
                <w:color w:val="000000" w:themeColor="text1"/>
                <w:sz w:val="24"/>
                <w:szCs w:val="24"/>
              </w:rPr>
              <w:fldChar w:fldCharType="separate"/>
            </w:r>
            <w:r w:rsidR="009A7B87" w:rsidRPr="009A7B87">
              <w:rPr>
                <w:rFonts w:ascii="Times New Roman" w:hAnsi="Times New Roman" w:cs="Times New Roman"/>
                <w:noProof/>
                <w:webHidden/>
                <w:color w:val="000000" w:themeColor="text1"/>
                <w:sz w:val="24"/>
                <w:szCs w:val="24"/>
              </w:rPr>
              <w:t>5</w:t>
            </w:r>
            <w:r w:rsidR="009A7B87" w:rsidRPr="009A7B87">
              <w:rPr>
                <w:rFonts w:ascii="Times New Roman" w:hAnsi="Times New Roman" w:cs="Times New Roman"/>
                <w:noProof/>
                <w:webHidden/>
                <w:color w:val="000000" w:themeColor="text1"/>
                <w:sz w:val="24"/>
                <w:szCs w:val="24"/>
              </w:rPr>
              <w:fldChar w:fldCharType="end"/>
            </w:r>
          </w:hyperlink>
        </w:p>
        <w:p w14:paraId="196EA6B8" w14:textId="77777777" w:rsidR="009A7B87" w:rsidRPr="009A7B87" w:rsidRDefault="00A4444B" w:rsidP="009A7B87">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21930452" w:history="1">
            <w:r w:rsidR="009A7B87" w:rsidRPr="009A7B87">
              <w:rPr>
                <w:rStyle w:val="Hyperlink"/>
                <w:rFonts w:ascii="Times New Roman" w:hAnsi="Times New Roman" w:cs="Times New Roman"/>
                <w:noProof/>
                <w:color w:val="000000" w:themeColor="text1"/>
                <w:sz w:val="24"/>
                <w:szCs w:val="24"/>
              </w:rPr>
              <w:t>Conclusion</w:t>
            </w:r>
            <w:r w:rsidR="009A7B87" w:rsidRPr="009A7B87">
              <w:rPr>
                <w:rFonts w:ascii="Times New Roman" w:hAnsi="Times New Roman" w:cs="Times New Roman"/>
                <w:noProof/>
                <w:webHidden/>
                <w:color w:val="000000" w:themeColor="text1"/>
                <w:sz w:val="24"/>
                <w:szCs w:val="24"/>
              </w:rPr>
              <w:tab/>
            </w:r>
            <w:r w:rsidR="009A7B87" w:rsidRPr="009A7B87">
              <w:rPr>
                <w:rFonts w:ascii="Times New Roman" w:hAnsi="Times New Roman" w:cs="Times New Roman"/>
                <w:noProof/>
                <w:webHidden/>
                <w:color w:val="000000" w:themeColor="text1"/>
                <w:sz w:val="24"/>
                <w:szCs w:val="24"/>
              </w:rPr>
              <w:fldChar w:fldCharType="begin"/>
            </w:r>
            <w:r w:rsidR="009A7B87" w:rsidRPr="009A7B87">
              <w:rPr>
                <w:rFonts w:ascii="Times New Roman" w:hAnsi="Times New Roman" w:cs="Times New Roman"/>
                <w:noProof/>
                <w:webHidden/>
                <w:color w:val="000000" w:themeColor="text1"/>
                <w:sz w:val="24"/>
                <w:szCs w:val="24"/>
              </w:rPr>
              <w:instrText xml:space="preserve"> PAGEREF _Toc121930452 \h </w:instrText>
            </w:r>
            <w:r w:rsidR="009A7B87" w:rsidRPr="009A7B87">
              <w:rPr>
                <w:rFonts w:ascii="Times New Roman" w:hAnsi="Times New Roman" w:cs="Times New Roman"/>
                <w:noProof/>
                <w:webHidden/>
                <w:color w:val="000000" w:themeColor="text1"/>
                <w:sz w:val="24"/>
                <w:szCs w:val="24"/>
              </w:rPr>
            </w:r>
            <w:r w:rsidR="009A7B87" w:rsidRPr="009A7B87">
              <w:rPr>
                <w:rFonts w:ascii="Times New Roman" w:hAnsi="Times New Roman" w:cs="Times New Roman"/>
                <w:noProof/>
                <w:webHidden/>
                <w:color w:val="000000" w:themeColor="text1"/>
                <w:sz w:val="24"/>
                <w:szCs w:val="24"/>
              </w:rPr>
              <w:fldChar w:fldCharType="separate"/>
            </w:r>
            <w:r w:rsidR="009A7B87" w:rsidRPr="009A7B87">
              <w:rPr>
                <w:rFonts w:ascii="Times New Roman" w:hAnsi="Times New Roman" w:cs="Times New Roman"/>
                <w:noProof/>
                <w:webHidden/>
                <w:color w:val="000000" w:themeColor="text1"/>
                <w:sz w:val="24"/>
                <w:szCs w:val="24"/>
              </w:rPr>
              <w:t>6</w:t>
            </w:r>
            <w:r w:rsidR="009A7B87" w:rsidRPr="009A7B87">
              <w:rPr>
                <w:rFonts w:ascii="Times New Roman" w:hAnsi="Times New Roman" w:cs="Times New Roman"/>
                <w:noProof/>
                <w:webHidden/>
                <w:color w:val="000000" w:themeColor="text1"/>
                <w:sz w:val="24"/>
                <w:szCs w:val="24"/>
              </w:rPr>
              <w:fldChar w:fldCharType="end"/>
            </w:r>
          </w:hyperlink>
        </w:p>
        <w:p w14:paraId="44FE966B" w14:textId="77777777" w:rsidR="009A7B87" w:rsidRPr="009A7B87" w:rsidRDefault="00A4444B" w:rsidP="009A7B87">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21930453" w:history="1">
            <w:r w:rsidR="009A7B87" w:rsidRPr="009A7B87">
              <w:rPr>
                <w:rStyle w:val="Hyperlink"/>
                <w:rFonts w:ascii="Times New Roman" w:hAnsi="Times New Roman" w:cs="Times New Roman"/>
                <w:noProof/>
                <w:color w:val="000000" w:themeColor="text1"/>
                <w:sz w:val="24"/>
                <w:szCs w:val="24"/>
              </w:rPr>
              <w:t>References</w:t>
            </w:r>
            <w:r w:rsidR="009A7B87" w:rsidRPr="009A7B87">
              <w:rPr>
                <w:rFonts w:ascii="Times New Roman" w:hAnsi="Times New Roman" w:cs="Times New Roman"/>
                <w:noProof/>
                <w:webHidden/>
                <w:color w:val="000000" w:themeColor="text1"/>
                <w:sz w:val="24"/>
                <w:szCs w:val="24"/>
              </w:rPr>
              <w:tab/>
            </w:r>
            <w:r w:rsidR="009A7B87" w:rsidRPr="009A7B87">
              <w:rPr>
                <w:rFonts w:ascii="Times New Roman" w:hAnsi="Times New Roman" w:cs="Times New Roman"/>
                <w:noProof/>
                <w:webHidden/>
                <w:color w:val="000000" w:themeColor="text1"/>
                <w:sz w:val="24"/>
                <w:szCs w:val="24"/>
              </w:rPr>
              <w:fldChar w:fldCharType="begin"/>
            </w:r>
            <w:r w:rsidR="009A7B87" w:rsidRPr="009A7B87">
              <w:rPr>
                <w:rFonts w:ascii="Times New Roman" w:hAnsi="Times New Roman" w:cs="Times New Roman"/>
                <w:noProof/>
                <w:webHidden/>
                <w:color w:val="000000" w:themeColor="text1"/>
                <w:sz w:val="24"/>
                <w:szCs w:val="24"/>
              </w:rPr>
              <w:instrText xml:space="preserve"> PAGEREF _Toc121930453 \h </w:instrText>
            </w:r>
            <w:r w:rsidR="009A7B87" w:rsidRPr="009A7B87">
              <w:rPr>
                <w:rFonts w:ascii="Times New Roman" w:hAnsi="Times New Roman" w:cs="Times New Roman"/>
                <w:noProof/>
                <w:webHidden/>
                <w:color w:val="000000" w:themeColor="text1"/>
                <w:sz w:val="24"/>
                <w:szCs w:val="24"/>
              </w:rPr>
            </w:r>
            <w:r w:rsidR="009A7B87" w:rsidRPr="009A7B87">
              <w:rPr>
                <w:rFonts w:ascii="Times New Roman" w:hAnsi="Times New Roman" w:cs="Times New Roman"/>
                <w:noProof/>
                <w:webHidden/>
                <w:color w:val="000000" w:themeColor="text1"/>
                <w:sz w:val="24"/>
                <w:szCs w:val="24"/>
              </w:rPr>
              <w:fldChar w:fldCharType="separate"/>
            </w:r>
            <w:r w:rsidR="009A7B87" w:rsidRPr="009A7B87">
              <w:rPr>
                <w:rFonts w:ascii="Times New Roman" w:hAnsi="Times New Roman" w:cs="Times New Roman"/>
                <w:noProof/>
                <w:webHidden/>
                <w:color w:val="000000" w:themeColor="text1"/>
                <w:sz w:val="24"/>
                <w:szCs w:val="24"/>
              </w:rPr>
              <w:t>7</w:t>
            </w:r>
            <w:r w:rsidR="009A7B87" w:rsidRPr="009A7B87">
              <w:rPr>
                <w:rFonts w:ascii="Times New Roman" w:hAnsi="Times New Roman" w:cs="Times New Roman"/>
                <w:noProof/>
                <w:webHidden/>
                <w:color w:val="000000" w:themeColor="text1"/>
                <w:sz w:val="24"/>
                <w:szCs w:val="24"/>
              </w:rPr>
              <w:fldChar w:fldCharType="end"/>
            </w:r>
          </w:hyperlink>
        </w:p>
        <w:p w14:paraId="75DD5BD6" w14:textId="77777777" w:rsidR="009A7B87" w:rsidRDefault="009A7B87" w:rsidP="009A7B87">
          <w:pPr>
            <w:spacing w:line="360" w:lineRule="auto"/>
            <w:jc w:val="both"/>
          </w:pPr>
          <w:r w:rsidRPr="009A7B87">
            <w:rPr>
              <w:rFonts w:ascii="Times New Roman" w:hAnsi="Times New Roman" w:cs="Times New Roman"/>
              <w:color w:val="000000" w:themeColor="text1"/>
              <w:sz w:val="24"/>
              <w:szCs w:val="24"/>
            </w:rPr>
            <w:fldChar w:fldCharType="end"/>
          </w:r>
        </w:p>
      </w:sdtContent>
    </w:sdt>
    <w:p w14:paraId="48192032" w14:textId="77777777" w:rsidR="00534DCE" w:rsidRPr="009A7B87" w:rsidRDefault="00992A45">
      <w:pPr>
        <w:pStyle w:val="Normal1"/>
        <w:spacing w:before="200" w:line="360" w:lineRule="auto"/>
        <w:jc w:val="center"/>
        <w:rPr>
          <w:rFonts w:ascii="Times New Roman" w:eastAsia="Times New Roman" w:hAnsi="Times New Roman" w:cs="Times New Roman"/>
          <w:b/>
          <w:sz w:val="24"/>
          <w:szCs w:val="24"/>
          <w:lang w:val="en-GB"/>
        </w:rPr>
      </w:pPr>
      <w:r w:rsidRPr="009A7B87">
        <w:rPr>
          <w:lang w:val="en-GB"/>
        </w:rPr>
        <w:br w:type="page"/>
      </w:r>
    </w:p>
    <w:p w14:paraId="06F4F6F5" w14:textId="77777777" w:rsidR="00534DCE" w:rsidRPr="009A7B87" w:rsidRDefault="00992A45" w:rsidP="009A7B87">
      <w:pPr>
        <w:pStyle w:val="Heading1"/>
      </w:pPr>
      <w:bookmarkStart w:id="0" w:name="_Toc121930449"/>
      <w:r w:rsidRPr="009A7B87">
        <w:lastRenderedPageBreak/>
        <w:t>Introduction</w:t>
      </w:r>
      <w:bookmarkEnd w:id="0"/>
      <w:r w:rsidRPr="009A7B87">
        <w:t xml:space="preserve"> </w:t>
      </w:r>
    </w:p>
    <w:p w14:paraId="7EB2D1D8" w14:textId="77777777" w:rsidR="00534DCE" w:rsidRPr="009A7B87" w:rsidRDefault="00992A45">
      <w:pPr>
        <w:pStyle w:val="Normal1"/>
        <w:spacing w:before="200" w:line="360" w:lineRule="auto"/>
        <w:jc w:val="both"/>
        <w:rPr>
          <w:rFonts w:ascii="Times New Roman" w:eastAsia="Times New Roman" w:hAnsi="Times New Roman" w:cs="Times New Roman"/>
          <w:sz w:val="24"/>
          <w:szCs w:val="24"/>
          <w:lang w:val="en-GB"/>
        </w:rPr>
      </w:pPr>
      <w:r w:rsidRPr="009A7B87">
        <w:rPr>
          <w:rFonts w:ascii="Times New Roman" w:eastAsia="Times New Roman" w:hAnsi="Times New Roman" w:cs="Times New Roman"/>
          <w:sz w:val="24"/>
          <w:szCs w:val="24"/>
          <w:lang w:val="en-GB"/>
        </w:rPr>
        <w:t xml:space="preserve">The current assignment is </w:t>
      </w:r>
      <w:r w:rsidR="009A7B87" w:rsidRPr="009A7B87">
        <w:rPr>
          <w:rFonts w:ascii="Times New Roman" w:eastAsia="Times New Roman" w:hAnsi="Times New Roman" w:cs="Times New Roman"/>
          <w:sz w:val="24"/>
          <w:szCs w:val="24"/>
          <w:lang w:val="en-GB"/>
        </w:rPr>
        <w:t>over viewing</w:t>
      </w:r>
      <w:r w:rsidRPr="009A7B87">
        <w:rPr>
          <w:rFonts w:ascii="Times New Roman" w:eastAsia="Times New Roman" w:hAnsi="Times New Roman" w:cs="Times New Roman"/>
          <w:sz w:val="24"/>
          <w:szCs w:val="24"/>
          <w:lang w:val="en-GB"/>
        </w:rPr>
        <w:t xml:space="preserve"> two different case studies based on Criminal offences, trespassing, property damage and intoxication. The current assignment provides advice to the claimants to understand the legal context and evaluate possible measures to reduce consequences. The first case study is focused on listing the criminal offences of the defender but the second case study is based on searching for possible solutions to get rid of the situation. </w:t>
      </w:r>
    </w:p>
    <w:p w14:paraId="2D293831" w14:textId="77777777" w:rsidR="00534DCE" w:rsidRPr="009A7B87" w:rsidRDefault="00992A45" w:rsidP="009A7B87">
      <w:pPr>
        <w:pStyle w:val="Heading1"/>
      </w:pPr>
      <w:bookmarkStart w:id="1" w:name="_Toc121930450"/>
      <w:r w:rsidRPr="009A7B87">
        <w:t>Task a) Advise Hadley which offences he could be criminally liable for.</w:t>
      </w:r>
      <w:bookmarkEnd w:id="1"/>
      <w:r w:rsidRPr="009A7B87">
        <w:t xml:space="preserve"> </w:t>
      </w:r>
    </w:p>
    <w:p w14:paraId="215D78DC" w14:textId="77777777" w:rsidR="00534DCE" w:rsidRPr="009A7B87" w:rsidRDefault="00992A45">
      <w:pPr>
        <w:pStyle w:val="Normal1"/>
        <w:spacing w:before="200" w:line="360" w:lineRule="auto"/>
        <w:jc w:val="both"/>
        <w:rPr>
          <w:rFonts w:ascii="Times New Roman" w:eastAsia="Times New Roman" w:hAnsi="Times New Roman" w:cs="Times New Roman"/>
          <w:sz w:val="24"/>
          <w:szCs w:val="24"/>
          <w:lang w:val="en-GB"/>
        </w:rPr>
      </w:pPr>
      <w:r w:rsidRPr="009A7B87">
        <w:rPr>
          <w:rFonts w:ascii="Times New Roman" w:eastAsia="Times New Roman" w:hAnsi="Times New Roman" w:cs="Times New Roman"/>
          <w:sz w:val="24"/>
          <w:szCs w:val="24"/>
          <w:lang w:val="en-GB"/>
        </w:rPr>
        <w:t xml:space="preserve">As per the case study, it has been observed that Ronan is the victim of Hadly who has been entitled to several offences he has done with Ronan. As the case study, it can be evaluated that Ronan had bought a Bucci trainer which he shows his friend in the local club and they are planning to take off for a vacation trip in the Maldives. However, Hadley planned to rob Ronan's house to steal his Bucci trainer but certainly, when he reached his house on Saturday he found that Bucci trainers were missing. Before entering the house Hadley already destroyed a bench in the garden and after reaching his room of Ronan he saw a Kolex watch then he decided to rob the watch instead of the trainers. However, after stealing when he came back he decided to set fire to aftershave in the bin near Ronan's closet and dressing room. Throughout the scenario, it can be seen that Hadley had performed several criminal offences. </w:t>
      </w:r>
    </w:p>
    <w:p w14:paraId="19F24739" w14:textId="77777777" w:rsidR="00534DCE" w:rsidRPr="009A7B87" w:rsidRDefault="00992A45">
      <w:pPr>
        <w:pStyle w:val="Normal1"/>
        <w:spacing w:before="200" w:line="360" w:lineRule="auto"/>
        <w:jc w:val="both"/>
        <w:rPr>
          <w:rFonts w:ascii="Times New Roman" w:eastAsia="Times New Roman" w:hAnsi="Times New Roman" w:cs="Times New Roman"/>
          <w:sz w:val="24"/>
          <w:szCs w:val="24"/>
          <w:lang w:val="en-GB"/>
        </w:rPr>
      </w:pPr>
      <w:r w:rsidRPr="009A7B87">
        <w:rPr>
          <w:rFonts w:ascii="Times New Roman" w:eastAsia="Times New Roman" w:hAnsi="Times New Roman" w:cs="Times New Roman"/>
          <w:sz w:val="24"/>
          <w:szCs w:val="24"/>
          <w:lang w:val="en-GB"/>
        </w:rPr>
        <w:t xml:space="preserve">At first, He trespasses Ronan’s house without his permission or knowledge which comes under the Trespasser laws of the UK. Trespass in British law is a significant area of </w:t>
      </w:r>
      <w:r w:rsidRPr="009A7B87">
        <w:rPr>
          <w:rFonts w:ascii="Times New Roman" w:eastAsia="Times New Roman" w:hAnsi="Times New Roman" w:cs="Times New Roman"/>
          <w:i/>
          <w:sz w:val="24"/>
          <w:szCs w:val="24"/>
          <w:lang w:val="en-GB"/>
        </w:rPr>
        <w:t>UK’s Tort Law</w:t>
      </w:r>
      <w:r w:rsidRPr="009A7B87">
        <w:rPr>
          <w:rFonts w:ascii="Times New Roman" w:eastAsia="Times New Roman" w:hAnsi="Times New Roman" w:cs="Times New Roman"/>
          <w:sz w:val="24"/>
          <w:szCs w:val="24"/>
          <w:lang w:val="en-GB"/>
        </w:rPr>
        <w:t xml:space="preserve"> that is broadly divided into three segments; trespass to the person, trespass to goods and trespass to the land. In addition, trespass to the person comes in three significant variants: assault which is a direct attack on the victim, battery which is a direct application of force on an individual and false imprisonment which refers to depriving freedom of an individual. </w:t>
      </w:r>
    </w:p>
    <w:p w14:paraId="7EA30B21" w14:textId="77777777" w:rsidR="00534DCE" w:rsidRPr="009A7B87" w:rsidRDefault="00992A45">
      <w:pPr>
        <w:pStyle w:val="Normal1"/>
        <w:spacing w:before="200" w:line="360" w:lineRule="auto"/>
        <w:jc w:val="both"/>
        <w:rPr>
          <w:rFonts w:ascii="Times New Roman" w:eastAsia="Times New Roman" w:hAnsi="Times New Roman" w:cs="Times New Roman"/>
          <w:sz w:val="24"/>
          <w:szCs w:val="24"/>
          <w:lang w:val="en-GB"/>
        </w:rPr>
      </w:pPr>
      <w:r w:rsidRPr="009A7B87">
        <w:rPr>
          <w:rFonts w:ascii="Times New Roman" w:eastAsia="Times New Roman" w:hAnsi="Times New Roman" w:cs="Times New Roman"/>
          <w:sz w:val="24"/>
          <w:szCs w:val="24"/>
          <w:lang w:val="en-GB"/>
        </w:rPr>
        <w:t xml:space="preserve">On the other hand, trespass to goods is denoted as wrong physical interference with the commodities that are in the procession of any other people. It is covered by the Tort act 1977 significantly used for interference with goods. Hadley has entered into Ronan’s personal property and interference with his goods which refers to Hadley being criminally liable for </w:t>
      </w:r>
      <w:r w:rsidRPr="009A7B87">
        <w:rPr>
          <w:rFonts w:ascii="Times New Roman" w:eastAsia="Times New Roman" w:hAnsi="Times New Roman" w:cs="Times New Roman"/>
          <w:i/>
          <w:sz w:val="24"/>
          <w:szCs w:val="24"/>
          <w:lang w:val="en-GB"/>
        </w:rPr>
        <w:t>UK’s Tort law 1977</w:t>
      </w:r>
      <w:r w:rsidRPr="009A7B87">
        <w:rPr>
          <w:rFonts w:ascii="Times New Roman" w:eastAsia="Times New Roman" w:hAnsi="Times New Roman" w:cs="Times New Roman"/>
          <w:sz w:val="24"/>
          <w:szCs w:val="24"/>
          <w:lang w:val="en-GB"/>
        </w:rPr>
        <w:t xml:space="preserve"> in terms of interference in the goods and products that belong to another person (digestiblenotes.com, 2022). </w:t>
      </w:r>
    </w:p>
    <w:p w14:paraId="4FEEDE62" w14:textId="77777777" w:rsidR="00534DCE" w:rsidRPr="009A7B87" w:rsidRDefault="00992A45">
      <w:pPr>
        <w:pStyle w:val="Normal1"/>
        <w:spacing w:before="200" w:line="360" w:lineRule="auto"/>
        <w:jc w:val="both"/>
        <w:rPr>
          <w:rFonts w:ascii="Times New Roman" w:eastAsia="Times New Roman" w:hAnsi="Times New Roman" w:cs="Times New Roman"/>
          <w:sz w:val="24"/>
          <w:szCs w:val="24"/>
          <w:lang w:val="en-GB"/>
        </w:rPr>
      </w:pPr>
      <w:r w:rsidRPr="009A7B87">
        <w:rPr>
          <w:rFonts w:ascii="Times New Roman" w:eastAsia="Times New Roman" w:hAnsi="Times New Roman" w:cs="Times New Roman"/>
          <w:sz w:val="24"/>
          <w:szCs w:val="24"/>
          <w:lang w:val="en-GB"/>
        </w:rPr>
        <w:t xml:space="preserve">Trespass to the land refers to the unjustified deprivation of land which is in the exclusive possession of an individual. It is also controlled by the </w:t>
      </w:r>
      <w:r w:rsidRPr="009A7B87">
        <w:rPr>
          <w:rFonts w:ascii="Times New Roman" w:eastAsia="Times New Roman" w:hAnsi="Times New Roman" w:cs="Times New Roman"/>
          <w:i/>
          <w:sz w:val="24"/>
          <w:szCs w:val="24"/>
          <w:lang w:val="en-GB"/>
        </w:rPr>
        <w:t>UK’s Tort act 1977</w:t>
      </w:r>
      <w:r w:rsidRPr="009A7B87">
        <w:rPr>
          <w:rFonts w:ascii="Times New Roman" w:eastAsia="Times New Roman" w:hAnsi="Times New Roman" w:cs="Times New Roman"/>
          <w:sz w:val="24"/>
          <w:szCs w:val="24"/>
          <w:lang w:val="en-GB"/>
        </w:rPr>
        <w:t xml:space="preserve"> but in terms of </w:t>
      </w:r>
      <w:r w:rsidRPr="009A7B87">
        <w:rPr>
          <w:rFonts w:ascii="Times New Roman" w:eastAsia="Times New Roman" w:hAnsi="Times New Roman" w:cs="Times New Roman"/>
          <w:sz w:val="24"/>
          <w:szCs w:val="24"/>
          <w:lang w:val="en-GB"/>
        </w:rPr>
        <w:lastRenderedPageBreak/>
        <w:t xml:space="preserve">criminal circumstances, this activity is a crime that falls under the </w:t>
      </w:r>
      <w:r w:rsidR="009D5580">
        <w:rPr>
          <w:rFonts w:ascii="Times New Roman" w:eastAsia="Times New Roman" w:hAnsi="Times New Roman" w:cs="Times New Roman"/>
          <w:i/>
          <w:sz w:val="24"/>
          <w:szCs w:val="24"/>
          <w:lang w:val="en-GB"/>
        </w:rPr>
        <w:t>UK’s Criminal Justice a</w:t>
      </w:r>
      <w:r w:rsidRPr="009A7B87">
        <w:rPr>
          <w:rFonts w:ascii="Times New Roman" w:eastAsia="Times New Roman" w:hAnsi="Times New Roman" w:cs="Times New Roman"/>
          <w:i/>
          <w:sz w:val="24"/>
          <w:szCs w:val="24"/>
          <w:lang w:val="en-GB"/>
        </w:rPr>
        <w:t>nd Public Order act 1994</w:t>
      </w:r>
      <w:r w:rsidRPr="009A7B87">
        <w:rPr>
          <w:rFonts w:ascii="Times New Roman" w:eastAsia="Times New Roman" w:hAnsi="Times New Roman" w:cs="Times New Roman"/>
          <w:sz w:val="24"/>
          <w:szCs w:val="24"/>
          <w:lang w:val="en-GB"/>
        </w:rPr>
        <w:t xml:space="preserve">. Under this act, it is not required to prove that harm was suffered by the calumet or not because trespassing on someone's land without a person is entitled as a crime in English laws. In English law Trespassing on the other's land is an unjustified criminal offence, however, the case law of </w:t>
      </w:r>
      <w:r w:rsidRPr="009A7B87">
        <w:rPr>
          <w:rFonts w:ascii="Times New Roman" w:eastAsia="Times New Roman" w:hAnsi="Times New Roman" w:cs="Times New Roman"/>
          <w:i/>
          <w:sz w:val="24"/>
          <w:szCs w:val="24"/>
          <w:lang w:val="en-GB"/>
        </w:rPr>
        <w:t>League Against Cruel Sports vs Scott</w:t>
      </w:r>
      <w:r w:rsidRPr="009A7B87">
        <w:rPr>
          <w:rFonts w:ascii="Times New Roman" w:eastAsia="Times New Roman" w:hAnsi="Times New Roman" w:cs="Times New Roman"/>
          <w:sz w:val="24"/>
          <w:szCs w:val="24"/>
          <w:lang w:val="en-GB"/>
        </w:rPr>
        <w:t xml:space="preserve"> elaborates on the context of trespassing on others' land. In this case, the court decided that trespassing occurred based on negligence but it is not required to be entitled to harm to the claimant in the case of Trespass on the land (Mylawyer.co.uk, 2022). Similarly, Hadley might face consequences on behalf of the Tort act and the Criminal justice act for entering Ronan’s property despite having not faced any physical harm. However, it can be evident through the case study that Hadley falls under the criminal offence of the </w:t>
      </w:r>
      <w:r w:rsidRPr="009A7B87">
        <w:rPr>
          <w:rFonts w:ascii="Times New Roman" w:eastAsia="Times New Roman" w:hAnsi="Times New Roman" w:cs="Times New Roman"/>
          <w:i/>
          <w:sz w:val="24"/>
          <w:szCs w:val="24"/>
          <w:lang w:val="en-GB"/>
        </w:rPr>
        <w:t>Criminal justice and public order act 1994</w:t>
      </w:r>
      <w:r w:rsidRPr="009A7B87">
        <w:rPr>
          <w:rFonts w:ascii="Times New Roman" w:eastAsia="Times New Roman" w:hAnsi="Times New Roman" w:cs="Times New Roman"/>
          <w:sz w:val="24"/>
          <w:szCs w:val="24"/>
          <w:lang w:val="en-GB"/>
        </w:rPr>
        <w:t xml:space="preserve"> as well because he has entered Ronan's house and damaged his land property as well. </w:t>
      </w:r>
    </w:p>
    <w:p w14:paraId="19D636F0" w14:textId="77777777" w:rsidR="00534DCE" w:rsidRPr="009A7B87" w:rsidRDefault="00992A45">
      <w:pPr>
        <w:pStyle w:val="Normal1"/>
        <w:spacing w:before="200" w:line="360" w:lineRule="auto"/>
        <w:jc w:val="both"/>
        <w:rPr>
          <w:rFonts w:ascii="Times New Roman" w:eastAsia="Times New Roman" w:hAnsi="Times New Roman" w:cs="Times New Roman"/>
          <w:sz w:val="24"/>
          <w:szCs w:val="24"/>
          <w:lang w:val="en-GB"/>
        </w:rPr>
      </w:pPr>
      <w:r w:rsidRPr="009A7B87">
        <w:rPr>
          <w:rFonts w:ascii="Times New Roman" w:eastAsia="Times New Roman" w:hAnsi="Times New Roman" w:cs="Times New Roman"/>
          <w:sz w:val="24"/>
          <w:szCs w:val="24"/>
          <w:lang w:val="en-GB"/>
        </w:rPr>
        <w:t xml:space="preserve">Besides trespassing, Hadley stole goods from Ronan as well which falls under the </w:t>
      </w:r>
      <w:r w:rsidRPr="009A7B87">
        <w:rPr>
          <w:rFonts w:ascii="Times New Roman" w:eastAsia="Times New Roman" w:hAnsi="Times New Roman" w:cs="Times New Roman"/>
          <w:i/>
          <w:sz w:val="24"/>
          <w:szCs w:val="24"/>
          <w:lang w:val="en-GB"/>
        </w:rPr>
        <w:t>Theft Act 1968</w:t>
      </w:r>
      <w:r w:rsidRPr="009A7B87">
        <w:rPr>
          <w:rFonts w:ascii="Times New Roman" w:eastAsia="Times New Roman" w:hAnsi="Times New Roman" w:cs="Times New Roman"/>
          <w:sz w:val="24"/>
          <w:szCs w:val="24"/>
          <w:lang w:val="en-GB"/>
        </w:rPr>
        <w:t xml:space="preserve"> by the UK parliament. Hadley falls under </w:t>
      </w:r>
      <w:r w:rsidRPr="009A7B87">
        <w:rPr>
          <w:rFonts w:ascii="Times New Roman" w:eastAsia="Times New Roman" w:hAnsi="Times New Roman" w:cs="Times New Roman"/>
          <w:i/>
          <w:sz w:val="24"/>
          <w:szCs w:val="24"/>
          <w:lang w:val="en-GB"/>
        </w:rPr>
        <w:t xml:space="preserve">Section 5 of the Theft act 1968 </w:t>
      </w:r>
      <w:r w:rsidRPr="009A7B87">
        <w:rPr>
          <w:rFonts w:ascii="Times New Roman" w:eastAsia="Times New Roman" w:hAnsi="Times New Roman" w:cs="Times New Roman"/>
          <w:sz w:val="24"/>
          <w:szCs w:val="24"/>
          <w:lang w:val="en-GB"/>
        </w:rPr>
        <w:t xml:space="preserve">which refers to the property belonging to another where an individual has possession or control over it and is the beneficiary of the trust by which the property is core subject. In this case, Hadley stole a Kolex watch Ronan which belongs to another section of the act and Hadley has to face major consequences regarding this (Gov.UK, 2022). </w:t>
      </w:r>
    </w:p>
    <w:p w14:paraId="4A0646CA" w14:textId="4FF7D738" w:rsidR="00534DCE" w:rsidRDefault="00992A45">
      <w:pPr>
        <w:pStyle w:val="Normal1"/>
        <w:spacing w:before="200" w:line="360" w:lineRule="auto"/>
        <w:jc w:val="both"/>
        <w:rPr>
          <w:rFonts w:ascii="Times New Roman" w:eastAsia="Times New Roman" w:hAnsi="Times New Roman" w:cs="Times New Roman"/>
          <w:sz w:val="24"/>
          <w:szCs w:val="24"/>
          <w:lang w:val="en-GB"/>
        </w:rPr>
      </w:pPr>
      <w:r w:rsidRPr="009A7B87">
        <w:rPr>
          <w:rFonts w:ascii="Times New Roman" w:eastAsia="Times New Roman" w:hAnsi="Times New Roman" w:cs="Times New Roman"/>
          <w:sz w:val="24"/>
          <w:szCs w:val="24"/>
          <w:lang w:val="en-GB"/>
        </w:rPr>
        <w:t xml:space="preserve">In addition, he set fire to the bin in Ronan’s dressing room which refers to a criminal offence under the </w:t>
      </w:r>
      <w:r w:rsidRPr="009A7B87">
        <w:rPr>
          <w:rFonts w:ascii="Times New Roman" w:eastAsia="Times New Roman" w:hAnsi="Times New Roman" w:cs="Times New Roman"/>
          <w:i/>
          <w:sz w:val="24"/>
          <w:szCs w:val="24"/>
          <w:lang w:val="en-GB"/>
        </w:rPr>
        <w:t>UK’s Criminal damage act 1971 b</w:t>
      </w:r>
      <w:r w:rsidRPr="009A7B87">
        <w:rPr>
          <w:rFonts w:ascii="Times New Roman" w:eastAsia="Times New Roman" w:hAnsi="Times New Roman" w:cs="Times New Roman"/>
          <w:sz w:val="24"/>
          <w:szCs w:val="24"/>
          <w:lang w:val="en-GB"/>
        </w:rPr>
        <w:t xml:space="preserve">y the UK parliament. As per </w:t>
      </w:r>
      <w:r w:rsidRPr="009A7B87">
        <w:rPr>
          <w:rFonts w:ascii="Times New Roman" w:eastAsia="Times New Roman" w:hAnsi="Times New Roman" w:cs="Times New Roman"/>
          <w:i/>
          <w:sz w:val="24"/>
          <w:szCs w:val="24"/>
          <w:lang w:val="en-GB"/>
        </w:rPr>
        <w:t>section 1 (1), the Criminal damage act 1971</w:t>
      </w:r>
      <w:r w:rsidRPr="009A7B87">
        <w:rPr>
          <w:rFonts w:ascii="Times New Roman" w:eastAsia="Times New Roman" w:hAnsi="Times New Roman" w:cs="Times New Roman"/>
          <w:sz w:val="24"/>
          <w:szCs w:val="24"/>
          <w:lang w:val="en-GB"/>
        </w:rPr>
        <w:t xml:space="preserve"> refers to an individual without any reliable lawful excuse destroying or damaging property which belongs to another person or intending to destroy or damage any such goods or property (GOV.UK, 2022). In addition, this act covers reckless surveillance on such property that might be destroyed or damaged and is entitled as guilty of an offence. Hadley not only steals Ronan’s goods or trespasses but destroyed his property which develops several criminal activities of him in Ronan’s house and as a consequence, he has to face certain laws such </w:t>
      </w:r>
      <w:r w:rsidRPr="009A7B87">
        <w:rPr>
          <w:rFonts w:ascii="Times New Roman" w:eastAsia="Times New Roman" w:hAnsi="Times New Roman" w:cs="Times New Roman"/>
          <w:i/>
          <w:sz w:val="24"/>
          <w:szCs w:val="24"/>
          <w:lang w:val="en-GB"/>
        </w:rPr>
        <w:t xml:space="preserve">as Tort act 1977 </w:t>
      </w:r>
      <w:r w:rsidRPr="009A7B87">
        <w:rPr>
          <w:rFonts w:ascii="Times New Roman" w:eastAsia="Times New Roman" w:hAnsi="Times New Roman" w:cs="Times New Roman"/>
          <w:sz w:val="24"/>
          <w:szCs w:val="24"/>
          <w:lang w:val="en-GB"/>
        </w:rPr>
        <w:t xml:space="preserve">for trespassing goods, </w:t>
      </w:r>
      <w:r w:rsidRPr="009A7B87">
        <w:rPr>
          <w:rFonts w:ascii="Times New Roman" w:eastAsia="Times New Roman" w:hAnsi="Times New Roman" w:cs="Times New Roman"/>
          <w:i/>
          <w:sz w:val="24"/>
          <w:szCs w:val="24"/>
          <w:lang w:val="en-GB"/>
        </w:rPr>
        <w:t xml:space="preserve">Criminal justice and public order act 1994 for </w:t>
      </w:r>
      <w:r w:rsidRPr="009A7B87">
        <w:rPr>
          <w:rFonts w:ascii="Times New Roman" w:eastAsia="Times New Roman" w:hAnsi="Times New Roman" w:cs="Times New Roman"/>
          <w:sz w:val="24"/>
          <w:szCs w:val="24"/>
          <w:lang w:val="en-GB"/>
        </w:rPr>
        <w:t>trespass in the land,</w:t>
      </w:r>
      <w:r w:rsidRPr="009A7B87">
        <w:rPr>
          <w:rFonts w:ascii="Times New Roman" w:eastAsia="Times New Roman" w:hAnsi="Times New Roman" w:cs="Times New Roman"/>
          <w:i/>
          <w:sz w:val="24"/>
          <w:szCs w:val="24"/>
          <w:lang w:val="en-GB"/>
        </w:rPr>
        <w:t xml:space="preserve"> Theft act section 5 </w:t>
      </w:r>
      <w:r w:rsidRPr="009A7B87">
        <w:rPr>
          <w:rFonts w:ascii="Times New Roman" w:eastAsia="Times New Roman" w:hAnsi="Times New Roman" w:cs="Times New Roman"/>
          <w:sz w:val="24"/>
          <w:szCs w:val="24"/>
          <w:lang w:val="en-GB"/>
        </w:rPr>
        <w:t>for stealing others goods and lastly</w:t>
      </w:r>
      <w:r w:rsidRPr="009A7B87">
        <w:rPr>
          <w:rFonts w:ascii="Times New Roman" w:eastAsia="Times New Roman" w:hAnsi="Times New Roman" w:cs="Times New Roman"/>
          <w:i/>
          <w:sz w:val="24"/>
          <w:szCs w:val="24"/>
          <w:lang w:val="en-GB"/>
        </w:rPr>
        <w:t xml:space="preserve"> Criminal damage act 1971 </w:t>
      </w:r>
      <w:r w:rsidRPr="009A7B87">
        <w:rPr>
          <w:rFonts w:ascii="Times New Roman" w:eastAsia="Times New Roman" w:hAnsi="Times New Roman" w:cs="Times New Roman"/>
          <w:sz w:val="24"/>
          <w:szCs w:val="24"/>
          <w:lang w:val="en-GB"/>
        </w:rPr>
        <w:t xml:space="preserve">for destroying property of another person (Legislation.gov.uk, 2022). </w:t>
      </w:r>
    </w:p>
    <w:p w14:paraId="72084E17" w14:textId="43A8C4E3" w:rsidR="00010F08" w:rsidRDefault="00010F08">
      <w:pPr>
        <w:pStyle w:val="Normal1"/>
        <w:spacing w:before="200" w:line="360" w:lineRule="auto"/>
        <w:jc w:val="both"/>
        <w:rPr>
          <w:rFonts w:ascii="Times New Roman" w:eastAsia="Times New Roman" w:hAnsi="Times New Roman" w:cs="Times New Roman"/>
          <w:sz w:val="24"/>
          <w:szCs w:val="24"/>
          <w:lang w:val="en-GB"/>
        </w:rPr>
      </w:pPr>
    </w:p>
    <w:p w14:paraId="3C960E1C" w14:textId="77777777" w:rsidR="00010F08" w:rsidRPr="009A7B87" w:rsidRDefault="00010F08">
      <w:pPr>
        <w:pStyle w:val="Normal1"/>
        <w:spacing w:before="200" w:line="360" w:lineRule="auto"/>
        <w:jc w:val="both"/>
        <w:rPr>
          <w:rFonts w:ascii="Times New Roman" w:eastAsia="Times New Roman" w:hAnsi="Times New Roman" w:cs="Times New Roman"/>
          <w:sz w:val="24"/>
          <w:szCs w:val="24"/>
          <w:lang w:val="en-GB"/>
        </w:rPr>
      </w:pPr>
    </w:p>
    <w:p w14:paraId="6DD696A9" w14:textId="77777777" w:rsidR="00534DCE" w:rsidRPr="009A7B87" w:rsidRDefault="00992A45" w:rsidP="009A7B87">
      <w:pPr>
        <w:pStyle w:val="Heading1"/>
      </w:pPr>
      <w:bookmarkStart w:id="2" w:name="_Toc121930451"/>
      <w:r w:rsidRPr="009A7B87">
        <w:lastRenderedPageBreak/>
        <w:t>Task b) Advise her of whether she would be able to rely on the defences of intoxication and automatism</w:t>
      </w:r>
      <w:bookmarkEnd w:id="2"/>
      <w:r w:rsidRPr="009A7B87">
        <w:t xml:space="preserve"> </w:t>
      </w:r>
    </w:p>
    <w:p w14:paraId="5C5EC515" w14:textId="77777777" w:rsidR="00534DCE" w:rsidRPr="009A7B87" w:rsidRDefault="00992A45">
      <w:pPr>
        <w:pStyle w:val="Normal1"/>
        <w:spacing w:before="200" w:line="360" w:lineRule="auto"/>
        <w:jc w:val="both"/>
        <w:rPr>
          <w:rFonts w:ascii="Times New Roman" w:eastAsia="Times New Roman" w:hAnsi="Times New Roman" w:cs="Times New Roman"/>
          <w:sz w:val="24"/>
          <w:szCs w:val="24"/>
          <w:lang w:val="en-GB"/>
        </w:rPr>
      </w:pPr>
      <w:r w:rsidRPr="009A7B87">
        <w:rPr>
          <w:rFonts w:ascii="Times New Roman" w:eastAsia="Times New Roman" w:hAnsi="Times New Roman" w:cs="Times New Roman"/>
          <w:sz w:val="24"/>
          <w:szCs w:val="24"/>
          <w:lang w:val="en-GB"/>
        </w:rPr>
        <w:t xml:space="preserve">As per the case scenario, it can be evident that Freya and Nicky go to the club and before reaching the club they consume a bottle of gin. Moreover, in the club, they have also taken 6 gin shots and tonics each that develop intoxication and build automatism due to unconscious minds. However, Freya is diagnosed with Epilepsy but she does not face severe seizures in the last 10 years which refers to a stoppage in the medication after consuming a huge amount of alcohol she suddenly faces seizures. However, Nicky was confused regarding her activity thus she called Mike who stayed near their room. </w:t>
      </w:r>
    </w:p>
    <w:p w14:paraId="3ABBA1DA" w14:textId="77777777" w:rsidR="00534DCE" w:rsidRPr="009A7B87" w:rsidRDefault="00992A45">
      <w:pPr>
        <w:pStyle w:val="Normal1"/>
        <w:spacing w:before="200" w:line="360" w:lineRule="auto"/>
        <w:jc w:val="both"/>
        <w:rPr>
          <w:rFonts w:ascii="Times New Roman" w:eastAsia="Times New Roman" w:hAnsi="Times New Roman" w:cs="Times New Roman"/>
          <w:sz w:val="24"/>
          <w:szCs w:val="24"/>
          <w:lang w:val="en-GB"/>
        </w:rPr>
      </w:pPr>
      <w:r w:rsidRPr="009A7B87">
        <w:rPr>
          <w:rFonts w:ascii="Times New Roman" w:eastAsia="Times New Roman" w:hAnsi="Times New Roman" w:cs="Times New Roman"/>
          <w:sz w:val="24"/>
          <w:szCs w:val="24"/>
          <w:lang w:val="en-GB"/>
        </w:rPr>
        <w:t xml:space="preserve">Moreover, Mike came to the scene and tried to pick Freya but in their unconscious mind she punched Mike in the face and he left with black eye harm in his face. However, in the current situation, Freya is charged under the </w:t>
      </w:r>
      <w:r w:rsidRPr="009A7B87">
        <w:rPr>
          <w:rFonts w:ascii="Times New Roman" w:eastAsia="Times New Roman" w:hAnsi="Times New Roman" w:cs="Times New Roman"/>
          <w:i/>
          <w:sz w:val="24"/>
          <w:szCs w:val="24"/>
          <w:lang w:val="en-GB"/>
        </w:rPr>
        <w:t>UK’s Offence against the Person act 1871</w:t>
      </w:r>
      <w:r w:rsidRPr="009A7B87">
        <w:rPr>
          <w:rFonts w:ascii="Times New Roman" w:eastAsia="Times New Roman" w:hAnsi="Times New Roman" w:cs="Times New Roman"/>
          <w:sz w:val="24"/>
          <w:szCs w:val="24"/>
          <w:lang w:val="en-GB"/>
        </w:rPr>
        <w:t xml:space="preserve"> because she punched Mike and he faced physical damage as well. The Offences against the Person Act 1861 including sections 24 &amp; 25, is an act of UK and Ireland parliament that consolidates provinces regarding offences against an individual which can be an expression including offensive nature or violence. In most of the parts, these provisions are entitled according to the Draftsman of the act incorporated with quite or no variation in their phraseology. This act was performed with the </w:t>
      </w:r>
      <w:r w:rsidRPr="009A7B87">
        <w:rPr>
          <w:rFonts w:ascii="Times New Roman" w:eastAsia="Times New Roman" w:hAnsi="Times New Roman" w:cs="Times New Roman"/>
          <w:i/>
          <w:sz w:val="24"/>
          <w:szCs w:val="24"/>
          <w:lang w:val="en-GB"/>
        </w:rPr>
        <w:t xml:space="preserve">UK’s Criminal law Consolidation Act 1861 </w:t>
      </w:r>
      <w:r w:rsidRPr="009A7B87">
        <w:rPr>
          <w:rFonts w:ascii="Times New Roman" w:eastAsia="Times New Roman" w:hAnsi="Times New Roman" w:cs="Times New Roman"/>
          <w:sz w:val="24"/>
          <w:szCs w:val="24"/>
          <w:lang w:val="en-GB"/>
        </w:rPr>
        <w:t xml:space="preserve">which essentially covers offences regarding expression or other outbreaks of violence. Nevertheless, throughout the case, it can be evident that the only way available for Freya is to surrender based on her Intoxication and automatism because at the moment of the scenario she was unconscious and hence developed issues for Mike. In addition, she can claim that she has epilepsy which is an uncertain condition and makes people violent at certain times. </w:t>
      </w:r>
    </w:p>
    <w:p w14:paraId="4B3CFF43" w14:textId="77777777" w:rsidR="00534DCE" w:rsidRPr="009A7B87" w:rsidRDefault="00992A45">
      <w:pPr>
        <w:pStyle w:val="Normal1"/>
        <w:spacing w:before="200" w:line="360" w:lineRule="auto"/>
        <w:jc w:val="both"/>
        <w:rPr>
          <w:rFonts w:ascii="Times New Roman" w:eastAsia="Times New Roman" w:hAnsi="Times New Roman" w:cs="Times New Roman"/>
          <w:sz w:val="24"/>
          <w:szCs w:val="24"/>
          <w:lang w:val="en-GB"/>
        </w:rPr>
      </w:pPr>
      <w:r w:rsidRPr="009A7B87">
        <w:rPr>
          <w:rFonts w:ascii="Times New Roman" w:eastAsia="Times New Roman" w:hAnsi="Times New Roman" w:cs="Times New Roman"/>
          <w:sz w:val="24"/>
          <w:szCs w:val="24"/>
          <w:lang w:val="en-GB"/>
        </w:rPr>
        <w:t xml:space="preserve">As stated by </w:t>
      </w:r>
      <w:r w:rsidRPr="009A7B87">
        <w:rPr>
          <w:rFonts w:ascii="Times New Roman" w:eastAsia="Times New Roman" w:hAnsi="Times New Roman" w:cs="Times New Roman"/>
          <w:color w:val="222222"/>
          <w:sz w:val="24"/>
          <w:szCs w:val="24"/>
          <w:highlight w:val="white"/>
          <w:lang w:val="en-GB"/>
        </w:rPr>
        <w:t xml:space="preserve">Lightowlers, (2019, p.700), </w:t>
      </w:r>
      <w:r w:rsidRPr="009A7B87">
        <w:rPr>
          <w:rFonts w:ascii="Times New Roman" w:eastAsia="Times New Roman" w:hAnsi="Times New Roman" w:cs="Times New Roman"/>
          <w:i/>
          <w:sz w:val="24"/>
          <w:szCs w:val="24"/>
          <w:lang w:val="en-GB"/>
        </w:rPr>
        <w:t xml:space="preserve">Intoxication </w:t>
      </w:r>
      <w:r w:rsidRPr="009A7B87">
        <w:rPr>
          <w:rFonts w:ascii="Times New Roman" w:eastAsia="Times New Roman" w:hAnsi="Times New Roman" w:cs="Times New Roman"/>
          <w:sz w:val="24"/>
          <w:szCs w:val="24"/>
          <w:lang w:val="en-GB"/>
        </w:rPr>
        <w:t xml:space="preserve">in the UK whether voluntary or involuntary is not described as a defensive activity because when a person is intoxicated by any drink or drugs and commits a crime, the stage of their intoxication might prevent that person from forming the required measure of the crime. As argued by </w:t>
      </w:r>
      <w:r w:rsidRPr="009A7B87">
        <w:rPr>
          <w:rFonts w:ascii="Times New Roman" w:eastAsia="Times New Roman" w:hAnsi="Times New Roman" w:cs="Times New Roman"/>
          <w:color w:val="222222"/>
          <w:sz w:val="24"/>
          <w:szCs w:val="24"/>
          <w:highlight w:val="white"/>
          <w:lang w:val="en-GB"/>
        </w:rPr>
        <w:t xml:space="preserve">Robinson, (2018, p.700), </w:t>
      </w:r>
      <w:r w:rsidRPr="009A7B87">
        <w:rPr>
          <w:rFonts w:ascii="Times New Roman" w:eastAsia="Times New Roman" w:hAnsi="Times New Roman" w:cs="Times New Roman"/>
          <w:sz w:val="24"/>
          <w:szCs w:val="24"/>
          <w:lang w:val="en-GB"/>
        </w:rPr>
        <w:t xml:space="preserve">intoxication conditions influence the nerves and develop certain changes in the body by which bran can lose control over the body. However, intoxication in the UK is considered in two contexts: voluntary intoxication and involuntary toxication. Freya consumes Gin and tonics in her choice which indicates the situation is the case of voluntary toxication. In general mistakes </w:t>
      </w:r>
      <w:r w:rsidRPr="009A7B87">
        <w:rPr>
          <w:rFonts w:ascii="Times New Roman" w:eastAsia="Times New Roman" w:hAnsi="Times New Roman" w:cs="Times New Roman"/>
          <w:sz w:val="24"/>
          <w:szCs w:val="24"/>
          <w:lang w:val="en-GB"/>
        </w:rPr>
        <w:lastRenderedPageBreak/>
        <w:t xml:space="preserve">in voluntary intoxication are not considered a crime but in certain conditions, it falls under the Criminal damage act of 1971 (cps.gov.uk, 2022). </w:t>
      </w:r>
    </w:p>
    <w:p w14:paraId="7E1989B9" w14:textId="77777777" w:rsidR="00534DCE" w:rsidRPr="009A7B87" w:rsidRDefault="00992A45">
      <w:pPr>
        <w:pStyle w:val="Normal1"/>
        <w:spacing w:before="200" w:line="360" w:lineRule="auto"/>
        <w:jc w:val="both"/>
        <w:rPr>
          <w:rFonts w:ascii="Times New Roman" w:eastAsia="Times New Roman" w:hAnsi="Times New Roman" w:cs="Times New Roman"/>
          <w:sz w:val="24"/>
          <w:szCs w:val="24"/>
          <w:lang w:val="en-GB"/>
        </w:rPr>
      </w:pPr>
      <w:r w:rsidRPr="009A7B87">
        <w:rPr>
          <w:rFonts w:ascii="Times New Roman" w:eastAsia="Times New Roman" w:hAnsi="Times New Roman" w:cs="Times New Roman"/>
          <w:sz w:val="24"/>
          <w:szCs w:val="24"/>
          <w:lang w:val="en-GB"/>
        </w:rPr>
        <w:t xml:space="preserve">Nevertheless, a statute such as </w:t>
      </w:r>
      <w:r w:rsidRPr="009A7B87">
        <w:rPr>
          <w:rFonts w:ascii="Times New Roman" w:eastAsia="Times New Roman" w:hAnsi="Times New Roman" w:cs="Times New Roman"/>
          <w:i/>
          <w:sz w:val="24"/>
          <w:szCs w:val="24"/>
          <w:lang w:val="en-GB"/>
        </w:rPr>
        <w:t>section 5(2) (a) of the UK’s Criminal damage act 1971</w:t>
      </w:r>
      <w:r w:rsidRPr="009A7B87">
        <w:rPr>
          <w:rFonts w:ascii="Times New Roman" w:eastAsia="Times New Roman" w:hAnsi="Times New Roman" w:cs="Times New Roman"/>
          <w:sz w:val="24"/>
          <w:szCs w:val="24"/>
          <w:lang w:val="en-GB"/>
        </w:rPr>
        <w:t xml:space="preserve"> serves a limited defence based on the genuine context that the mistake might rely on even if the mistake was induced by voluntary intoxication. As per the case law </w:t>
      </w:r>
      <w:r w:rsidRPr="009A7B87">
        <w:rPr>
          <w:rFonts w:ascii="Times New Roman" w:eastAsia="Times New Roman" w:hAnsi="Times New Roman" w:cs="Times New Roman"/>
          <w:i/>
          <w:sz w:val="24"/>
          <w:szCs w:val="24"/>
          <w:lang w:val="en-GB"/>
        </w:rPr>
        <w:t xml:space="preserve">Jaggard vs Dickinson </w:t>
      </w:r>
      <w:r w:rsidRPr="009A7B87">
        <w:rPr>
          <w:rFonts w:ascii="Times New Roman" w:eastAsia="Times New Roman" w:hAnsi="Times New Roman" w:cs="Times New Roman"/>
          <w:sz w:val="24"/>
          <w:szCs w:val="24"/>
          <w:lang w:val="en-GB"/>
        </w:rPr>
        <w:t xml:space="preserve">1981, it can be evident that the applicant was drunk and went to her friend's house without money. However, her friend was not in the house at that time but she knocked and thought her friend had consented to break into the house, certainly the house did not belong to her friend at all. However, the rule set in </w:t>
      </w:r>
      <w:r w:rsidRPr="009A7B87">
        <w:rPr>
          <w:rFonts w:ascii="Times New Roman" w:eastAsia="Times New Roman" w:hAnsi="Times New Roman" w:cs="Times New Roman"/>
          <w:i/>
          <w:sz w:val="24"/>
          <w:szCs w:val="24"/>
          <w:lang w:val="en-GB"/>
        </w:rPr>
        <w:t>DPP v claimant</w:t>
      </w:r>
      <w:r w:rsidRPr="009A7B87">
        <w:rPr>
          <w:rFonts w:ascii="Times New Roman" w:eastAsia="Times New Roman" w:hAnsi="Times New Roman" w:cs="Times New Roman"/>
          <w:sz w:val="24"/>
          <w:szCs w:val="24"/>
          <w:lang w:val="en-GB"/>
        </w:rPr>
        <w:t xml:space="preserve"> is that a person </w:t>
      </w:r>
      <w:r w:rsidR="009D5580" w:rsidRPr="009A7B87">
        <w:rPr>
          <w:rFonts w:ascii="Times New Roman" w:eastAsia="Times New Roman" w:hAnsi="Times New Roman" w:cs="Times New Roman"/>
          <w:sz w:val="24"/>
          <w:szCs w:val="24"/>
          <w:lang w:val="en-GB"/>
        </w:rPr>
        <w:t>cannot</w:t>
      </w:r>
      <w:r w:rsidRPr="009A7B87">
        <w:rPr>
          <w:rFonts w:ascii="Times New Roman" w:eastAsia="Times New Roman" w:hAnsi="Times New Roman" w:cs="Times New Roman"/>
          <w:sz w:val="24"/>
          <w:szCs w:val="24"/>
          <w:lang w:val="en-GB"/>
        </w:rPr>
        <w:t xml:space="preserve"> rely on a mistake that is influenced by voluntary intoxication where the criminal offence is one of the basic contents (E-lawresources.co.uk, 2022). Similarly, Freya can get over the offence through special defence under section 5(2) (a) of the Criminal damage act 1971 since it is required to provide genuine belief for the overall scenario. </w:t>
      </w:r>
    </w:p>
    <w:p w14:paraId="34C57CFD" w14:textId="77777777" w:rsidR="00534DCE" w:rsidRPr="009A7B87" w:rsidRDefault="00992A45" w:rsidP="009A7B87">
      <w:pPr>
        <w:pStyle w:val="Heading1"/>
      </w:pPr>
      <w:bookmarkStart w:id="3" w:name="_Toc121930452"/>
      <w:r w:rsidRPr="009A7B87">
        <w:t>Conclusion</w:t>
      </w:r>
      <w:bookmarkEnd w:id="3"/>
      <w:r w:rsidRPr="009A7B87">
        <w:t xml:space="preserve"> </w:t>
      </w:r>
    </w:p>
    <w:p w14:paraId="1758B647" w14:textId="77777777" w:rsidR="00534DCE" w:rsidRPr="009A7B87" w:rsidRDefault="009D5580">
      <w:pPr>
        <w:pStyle w:val="Normal1"/>
        <w:spacing w:before="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Lastly, i</w:t>
      </w:r>
      <w:r w:rsidR="00992A45" w:rsidRPr="009A7B87">
        <w:rPr>
          <w:rFonts w:ascii="Times New Roman" w:eastAsia="Times New Roman" w:hAnsi="Times New Roman" w:cs="Times New Roman"/>
          <w:sz w:val="24"/>
          <w:szCs w:val="24"/>
          <w:lang w:val="en-GB"/>
        </w:rPr>
        <w:t xml:space="preserve">t can be concluded that the current assignment provides accurate insights into Hadley in the first case study to understand his offences and charges that might develop against him. On the other hand, in terms of the second case, the current assignment provides accurate insights to Freya for overcoming the situation positively with help of legal structures. </w:t>
      </w:r>
    </w:p>
    <w:p w14:paraId="41557665" w14:textId="77777777" w:rsidR="00534DCE" w:rsidRPr="009A7B87" w:rsidRDefault="00992A45">
      <w:pPr>
        <w:pStyle w:val="Normal1"/>
        <w:spacing w:before="200" w:line="360" w:lineRule="auto"/>
        <w:jc w:val="both"/>
        <w:rPr>
          <w:rFonts w:ascii="Times New Roman" w:eastAsia="Times New Roman" w:hAnsi="Times New Roman" w:cs="Times New Roman"/>
          <w:b/>
          <w:sz w:val="24"/>
          <w:szCs w:val="24"/>
          <w:lang w:val="en-GB"/>
        </w:rPr>
      </w:pPr>
      <w:r w:rsidRPr="009A7B87">
        <w:rPr>
          <w:lang w:val="en-GB"/>
        </w:rPr>
        <w:br w:type="page"/>
      </w:r>
    </w:p>
    <w:p w14:paraId="06ABC7CD" w14:textId="77777777" w:rsidR="00534DCE" w:rsidRPr="009A7B87" w:rsidRDefault="00992A45" w:rsidP="009A7B87">
      <w:pPr>
        <w:pStyle w:val="Heading1"/>
      </w:pPr>
      <w:bookmarkStart w:id="4" w:name="_Toc121930453"/>
      <w:r w:rsidRPr="009A7B87">
        <w:lastRenderedPageBreak/>
        <w:t>References</w:t>
      </w:r>
      <w:bookmarkEnd w:id="4"/>
      <w:r w:rsidRPr="009A7B87">
        <w:t xml:space="preserve"> </w:t>
      </w:r>
    </w:p>
    <w:p w14:paraId="071CC56A" w14:textId="77777777" w:rsidR="00534DCE" w:rsidRPr="009A7B87" w:rsidRDefault="00992A45">
      <w:pPr>
        <w:pStyle w:val="Normal1"/>
        <w:spacing w:before="200" w:line="360" w:lineRule="auto"/>
        <w:jc w:val="both"/>
        <w:rPr>
          <w:rFonts w:ascii="Times New Roman" w:eastAsia="Times New Roman" w:hAnsi="Times New Roman" w:cs="Times New Roman"/>
          <w:b/>
          <w:i/>
          <w:color w:val="222222"/>
          <w:sz w:val="24"/>
          <w:szCs w:val="24"/>
          <w:highlight w:val="white"/>
          <w:lang w:val="en-GB"/>
        </w:rPr>
      </w:pPr>
      <w:r w:rsidRPr="009A7B87">
        <w:rPr>
          <w:rFonts w:ascii="Times New Roman" w:eastAsia="Times New Roman" w:hAnsi="Times New Roman" w:cs="Times New Roman"/>
          <w:b/>
          <w:i/>
          <w:color w:val="222222"/>
          <w:sz w:val="24"/>
          <w:szCs w:val="24"/>
          <w:highlight w:val="white"/>
          <w:lang w:val="en-GB"/>
        </w:rPr>
        <w:t xml:space="preserve">Articles: </w:t>
      </w:r>
    </w:p>
    <w:p w14:paraId="75CE20FD" w14:textId="77777777" w:rsidR="00534DCE" w:rsidRPr="009A7B87" w:rsidRDefault="00992A45">
      <w:pPr>
        <w:pStyle w:val="Normal1"/>
        <w:spacing w:before="200" w:line="360" w:lineRule="auto"/>
        <w:jc w:val="both"/>
        <w:rPr>
          <w:rFonts w:ascii="Times New Roman" w:eastAsia="Times New Roman" w:hAnsi="Times New Roman" w:cs="Times New Roman"/>
          <w:color w:val="222222"/>
          <w:sz w:val="24"/>
          <w:szCs w:val="24"/>
          <w:highlight w:val="white"/>
          <w:lang w:val="en-GB"/>
        </w:rPr>
      </w:pPr>
      <w:r w:rsidRPr="009A7B87">
        <w:rPr>
          <w:rFonts w:ascii="Times New Roman" w:eastAsia="Times New Roman" w:hAnsi="Times New Roman" w:cs="Times New Roman"/>
          <w:color w:val="222222"/>
          <w:sz w:val="24"/>
          <w:szCs w:val="24"/>
          <w:highlight w:val="white"/>
          <w:lang w:val="en-GB"/>
        </w:rPr>
        <w:t xml:space="preserve">Lightowlers, C., 2019. Drunk and doubly deviant? The role of gender and intoxication in sentencing assault offences. </w:t>
      </w:r>
      <w:r w:rsidRPr="009A7B87">
        <w:rPr>
          <w:rFonts w:ascii="Times New Roman" w:eastAsia="Times New Roman" w:hAnsi="Times New Roman" w:cs="Times New Roman"/>
          <w:i/>
          <w:color w:val="222222"/>
          <w:sz w:val="24"/>
          <w:szCs w:val="24"/>
          <w:highlight w:val="white"/>
          <w:lang w:val="en-GB"/>
        </w:rPr>
        <w:t>The British Journal of Criminology</w:t>
      </w:r>
      <w:r w:rsidRPr="009A7B87">
        <w:rPr>
          <w:rFonts w:ascii="Times New Roman" w:eastAsia="Times New Roman" w:hAnsi="Times New Roman" w:cs="Times New Roman"/>
          <w:color w:val="222222"/>
          <w:sz w:val="24"/>
          <w:szCs w:val="24"/>
          <w:highlight w:val="white"/>
          <w:lang w:val="en-GB"/>
        </w:rPr>
        <w:t xml:space="preserve">, </w:t>
      </w:r>
      <w:r w:rsidRPr="009A7B87">
        <w:rPr>
          <w:rFonts w:ascii="Times New Roman" w:eastAsia="Times New Roman" w:hAnsi="Times New Roman" w:cs="Times New Roman"/>
          <w:i/>
          <w:color w:val="222222"/>
          <w:sz w:val="24"/>
          <w:szCs w:val="24"/>
          <w:highlight w:val="white"/>
          <w:lang w:val="en-GB"/>
        </w:rPr>
        <w:t>59</w:t>
      </w:r>
      <w:r w:rsidRPr="009A7B87">
        <w:rPr>
          <w:rFonts w:ascii="Times New Roman" w:eastAsia="Times New Roman" w:hAnsi="Times New Roman" w:cs="Times New Roman"/>
          <w:color w:val="222222"/>
          <w:sz w:val="24"/>
          <w:szCs w:val="24"/>
          <w:highlight w:val="white"/>
          <w:lang w:val="en-GB"/>
        </w:rPr>
        <w:t xml:space="preserve">(3), pp.693-717. </w:t>
      </w:r>
      <w:hyperlink r:id="rId7">
        <w:r w:rsidRPr="009A7B87">
          <w:rPr>
            <w:rFonts w:ascii="Times New Roman" w:eastAsia="Times New Roman" w:hAnsi="Times New Roman" w:cs="Times New Roman"/>
            <w:color w:val="1155CC"/>
            <w:sz w:val="24"/>
            <w:szCs w:val="24"/>
            <w:highlight w:val="white"/>
            <w:u w:val="single"/>
            <w:lang w:val="en-GB"/>
          </w:rPr>
          <w:t>https://academic.oup.com/bjc/article-abstract/59/3/693/5136478</w:t>
        </w:r>
      </w:hyperlink>
    </w:p>
    <w:p w14:paraId="7FD46D90" w14:textId="77777777" w:rsidR="00534DCE" w:rsidRPr="009A7B87" w:rsidRDefault="00992A45">
      <w:pPr>
        <w:pStyle w:val="Normal1"/>
        <w:spacing w:before="200" w:line="360" w:lineRule="auto"/>
        <w:jc w:val="both"/>
        <w:rPr>
          <w:rFonts w:ascii="Times New Roman" w:eastAsia="Times New Roman" w:hAnsi="Times New Roman" w:cs="Times New Roman"/>
          <w:sz w:val="24"/>
          <w:szCs w:val="24"/>
          <w:lang w:val="en-GB"/>
        </w:rPr>
      </w:pPr>
      <w:r w:rsidRPr="009A7B87">
        <w:rPr>
          <w:rFonts w:ascii="Times New Roman" w:eastAsia="Times New Roman" w:hAnsi="Times New Roman" w:cs="Times New Roman"/>
          <w:color w:val="222222"/>
          <w:sz w:val="24"/>
          <w:szCs w:val="24"/>
          <w:highlight w:val="white"/>
          <w:lang w:val="en-GB"/>
        </w:rPr>
        <w:t xml:space="preserve">Robinson, P.H., 2018. A summary and critique of criminal liability rules for intoxicated conduct. </w:t>
      </w:r>
      <w:r w:rsidRPr="009A7B87">
        <w:rPr>
          <w:rFonts w:ascii="Times New Roman" w:eastAsia="Times New Roman" w:hAnsi="Times New Roman" w:cs="Times New Roman"/>
          <w:i/>
          <w:color w:val="222222"/>
          <w:sz w:val="24"/>
          <w:szCs w:val="24"/>
          <w:highlight w:val="white"/>
          <w:lang w:val="en-GB"/>
        </w:rPr>
        <w:t>The Journal of Criminal Law</w:t>
      </w:r>
      <w:r w:rsidRPr="009A7B87">
        <w:rPr>
          <w:rFonts w:ascii="Times New Roman" w:eastAsia="Times New Roman" w:hAnsi="Times New Roman" w:cs="Times New Roman"/>
          <w:color w:val="222222"/>
          <w:sz w:val="24"/>
          <w:szCs w:val="24"/>
          <w:highlight w:val="white"/>
          <w:lang w:val="en-GB"/>
        </w:rPr>
        <w:t xml:space="preserve">, </w:t>
      </w:r>
      <w:r w:rsidRPr="009A7B87">
        <w:rPr>
          <w:rFonts w:ascii="Times New Roman" w:eastAsia="Times New Roman" w:hAnsi="Times New Roman" w:cs="Times New Roman"/>
          <w:i/>
          <w:color w:val="222222"/>
          <w:sz w:val="24"/>
          <w:szCs w:val="24"/>
          <w:highlight w:val="white"/>
          <w:lang w:val="en-GB"/>
        </w:rPr>
        <w:t>82</w:t>
      </w:r>
      <w:r w:rsidRPr="009A7B87">
        <w:rPr>
          <w:rFonts w:ascii="Times New Roman" w:eastAsia="Times New Roman" w:hAnsi="Times New Roman" w:cs="Times New Roman"/>
          <w:color w:val="222222"/>
          <w:sz w:val="24"/>
          <w:szCs w:val="24"/>
          <w:highlight w:val="white"/>
          <w:lang w:val="en-GB"/>
        </w:rPr>
        <w:t xml:space="preserve">(5), pp.381-387. </w:t>
      </w:r>
      <w:hyperlink r:id="rId8">
        <w:r w:rsidRPr="009A7B87">
          <w:rPr>
            <w:rFonts w:ascii="Times New Roman" w:eastAsia="Times New Roman" w:hAnsi="Times New Roman" w:cs="Times New Roman"/>
            <w:color w:val="1155CC"/>
            <w:sz w:val="24"/>
            <w:szCs w:val="24"/>
            <w:highlight w:val="white"/>
            <w:u w:val="single"/>
            <w:lang w:val="en-GB"/>
          </w:rPr>
          <w:t>https://journals.sagepub.com/doi/abs/10.1177/0022018318787390</w:t>
        </w:r>
      </w:hyperlink>
    </w:p>
    <w:p w14:paraId="137C1DA2" w14:textId="77777777" w:rsidR="00534DCE" w:rsidRPr="009A7B87" w:rsidRDefault="00992A45">
      <w:pPr>
        <w:pStyle w:val="Normal1"/>
        <w:spacing w:line="360" w:lineRule="auto"/>
        <w:jc w:val="both"/>
        <w:rPr>
          <w:rFonts w:ascii="Times New Roman" w:eastAsia="Times New Roman" w:hAnsi="Times New Roman" w:cs="Times New Roman"/>
          <w:b/>
          <w:i/>
          <w:sz w:val="24"/>
          <w:szCs w:val="24"/>
          <w:lang w:val="en-GB"/>
        </w:rPr>
      </w:pPr>
      <w:r w:rsidRPr="009A7B87">
        <w:rPr>
          <w:rFonts w:ascii="Times New Roman" w:eastAsia="Times New Roman" w:hAnsi="Times New Roman" w:cs="Times New Roman"/>
          <w:b/>
          <w:i/>
          <w:sz w:val="24"/>
          <w:szCs w:val="24"/>
          <w:lang w:val="en-GB"/>
        </w:rPr>
        <w:t xml:space="preserve">Websites: </w:t>
      </w:r>
    </w:p>
    <w:p w14:paraId="1B898E1F" w14:textId="77777777" w:rsidR="00534DCE" w:rsidRPr="009A7B87" w:rsidRDefault="00992A45">
      <w:pPr>
        <w:pStyle w:val="Normal1"/>
        <w:spacing w:after="240" w:line="360" w:lineRule="auto"/>
        <w:jc w:val="both"/>
        <w:rPr>
          <w:rFonts w:ascii="Times New Roman" w:eastAsia="Times New Roman" w:hAnsi="Times New Roman" w:cs="Times New Roman"/>
          <w:sz w:val="24"/>
          <w:szCs w:val="24"/>
          <w:lang w:val="en-GB"/>
        </w:rPr>
      </w:pPr>
      <w:r w:rsidRPr="009A7B87">
        <w:rPr>
          <w:rFonts w:ascii="Times New Roman" w:eastAsia="Times New Roman" w:hAnsi="Times New Roman" w:cs="Times New Roman"/>
          <w:sz w:val="24"/>
          <w:szCs w:val="24"/>
          <w:lang w:val="en-GB"/>
        </w:rPr>
        <w:t xml:space="preserve">cps.gov.uk (2022). </w:t>
      </w:r>
      <w:r w:rsidRPr="009A7B87">
        <w:rPr>
          <w:rFonts w:ascii="Times New Roman" w:eastAsia="Times New Roman" w:hAnsi="Times New Roman" w:cs="Times New Roman"/>
          <w:i/>
          <w:sz w:val="24"/>
          <w:szCs w:val="24"/>
          <w:lang w:val="en-GB"/>
        </w:rPr>
        <w:t>Intoxication | The Crown Prosecution Service</w:t>
      </w:r>
      <w:r w:rsidRPr="009A7B87">
        <w:rPr>
          <w:rFonts w:ascii="Times New Roman" w:eastAsia="Times New Roman" w:hAnsi="Times New Roman" w:cs="Times New Roman"/>
          <w:sz w:val="24"/>
          <w:szCs w:val="24"/>
          <w:lang w:val="en-GB"/>
        </w:rPr>
        <w:t>.  www.cps.gov.uk. Available at: https://www.cps.gov.uk/legal-guidance/intoxication#:~:text=Intoxication%2C%20whether%20voluntary%20or%20involuntary [Accessed 14 Dec. 2022].</w:t>
      </w:r>
    </w:p>
    <w:p w14:paraId="071DEC91" w14:textId="77777777" w:rsidR="00534DCE" w:rsidRPr="009A7B87" w:rsidRDefault="00992A45">
      <w:pPr>
        <w:pStyle w:val="Normal1"/>
        <w:spacing w:after="240" w:line="360" w:lineRule="auto"/>
        <w:jc w:val="both"/>
        <w:rPr>
          <w:rFonts w:ascii="Times New Roman" w:eastAsia="Times New Roman" w:hAnsi="Times New Roman" w:cs="Times New Roman"/>
          <w:sz w:val="24"/>
          <w:szCs w:val="24"/>
          <w:lang w:val="en-GB"/>
        </w:rPr>
      </w:pPr>
      <w:r w:rsidRPr="009A7B87">
        <w:rPr>
          <w:rFonts w:ascii="Times New Roman" w:eastAsia="Times New Roman" w:hAnsi="Times New Roman" w:cs="Times New Roman"/>
          <w:sz w:val="24"/>
          <w:szCs w:val="24"/>
          <w:lang w:val="en-GB"/>
        </w:rPr>
        <w:t xml:space="preserve">digestiblenotes.com. (2022). </w:t>
      </w:r>
      <w:r w:rsidRPr="009A7B87">
        <w:rPr>
          <w:rFonts w:ascii="Times New Roman" w:eastAsia="Times New Roman" w:hAnsi="Times New Roman" w:cs="Times New Roman"/>
          <w:i/>
          <w:sz w:val="24"/>
          <w:szCs w:val="24"/>
          <w:lang w:val="en-GB"/>
        </w:rPr>
        <w:t>Trespass to Land Cases | Digestible Notes</w:t>
      </w:r>
      <w:r w:rsidRPr="009A7B87">
        <w:rPr>
          <w:rFonts w:ascii="Times New Roman" w:eastAsia="Times New Roman" w:hAnsi="Times New Roman" w:cs="Times New Roman"/>
          <w:sz w:val="24"/>
          <w:szCs w:val="24"/>
          <w:lang w:val="en-GB"/>
        </w:rPr>
        <w:t>.  Available at: https://digestiblenotes.com/law/tort_cases/trespass.php#:~:text=League%20Against%20Cruel%20Sports%20v%20Scott%20%5B1986%5D [Accessed 14 Dec. 2022].</w:t>
      </w:r>
    </w:p>
    <w:p w14:paraId="22093E16" w14:textId="77777777" w:rsidR="00534DCE" w:rsidRPr="009A7B87" w:rsidRDefault="00992A45">
      <w:pPr>
        <w:pStyle w:val="Normal1"/>
        <w:spacing w:after="240" w:line="360" w:lineRule="auto"/>
        <w:jc w:val="both"/>
        <w:rPr>
          <w:rFonts w:ascii="Times New Roman" w:eastAsia="Times New Roman" w:hAnsi="Times New Roman" w:cs="Times New Roman"/>
          <w:sz w:val="24"/>
          <w:szCs w:val="24"/>
          <w:lang w:val="en-GB"/>
        </w:rPr>
      </w:pPr>
      <w:r w:rsidRPr="009A7B87">
        <w:rPr>
          <w:rFonts w:ascii="Times New Roman" w:eastAsia="Times New Roman" w:hAnsi="Times New Roman" w:cs="Times New Roman"/>
          <w:sz w:val="24"/>
          <w:szCs w:val="24"/>
          <w:lang w:val="en-GB"/>
        </w:rPr>
        <w:t xml:space="preserve">E-lawresources.co.uk. (2022). </w:t>
      </w:r>
      <w:r w:rsidRPr="009A7B87">
        <w:rPr>
          <w:rFonts w:ascii="Times New Roman" w:eastAsia="Times New Roman" w:hAnsi="Times New Roman" w:cs="Times New Roman"/>
          <w:i/>
          <w:sz w:val="24"/>
          <w:szCs w:val="24"/>
          <w:lang w:val="en-GB"/>
        </w:rPr>
        <w:t>Jaggard v Dickinson</w:t>
      </w:r>
      <w:r w:rsidRPr="009A7B87">
        <w:rPr>
          <w:rFonts w:ascii="Times New Roman" w:eastAsia="Times New Roman" w:hAnsi="Times New Roman" w:cs="Times New Roman"/>
          <w:sz w:val="24"/>
          <w:szCs w:val="24"/>
          <w:lang w:val="en-GB"/>
        </w:rPr>
        <w:t>.  Available at: http://www.e-lawresources.co.uk/Jaggard-v-Dickinson.php [Accessed 14 Dec. 2022].</w:t>
      </w:r>
    </w:p>
    <w:p w14:paraId="579F8970" w14:textId="77777777" w:rsidR="00534DCE" w:rsidRPr="009A7B87" w:rsidRDefault="00992A45">
      <w:pPr>
        <w:pStyle w:val="Normal1"/>
        <w:spacing w:after="240" w:line="360" w:lineRule="auto"/>
        <w:jc w:val="both"/>
        <w:rPr>
          <w:rFonts w:ascii="Times New Roman" w:eastAsia="Times New Roman" w:hAnsi="Times New Roman" w:cs="Times New Roman"/>
          <w:sz w:val="24"/>
          <w:szCs w:val="24"/>
          <w:lang w:val="en-GB"/>
        </w:rPr>
      </w:pPr>
      <w:r w:rsidRPr="009A7B87">
        <w:rPr>
          <w:rFonts w:ascii="Times New Roman" w:eastAsia="Times New Roman" w:hAnsi="Times New Roman" w:cs="Times New Roman"/>
          <w:sz w:val="24"/>
          <w:szCs w:val="24"/>
          <w:lang w:val="en-GB"/>
        </w:rPr>
        <w:t xml:space="preserve">GOV.UK (2022). </w:t>
      </w:r>
      <w:r w:rsidRPr="009A7B87">
        <w:rPr>
          <w:rFonts w:ascii="Times New Roman" w:eastAsia="Times New Roman" w:hAnsi="Times New Roman" w:cs="Times New Roman"/>
          <w:i/>
          <w:sz w:val="24"/>
          <w:szCs w:val="24"/>
          <w:lang w:val="en-GB"/>
        </w:rPr>
        <w:t>Criminal Damage | The Crown Prosecution Service</w:t>
      </w:r>
      <w:r w:rsidRPr="009A7B87">
        <w:rPr>
          <w:rFonts w:ascii="Times New Roman" w:eastAsia="Times New Roman" w:hAnsi="Times New Roman" w:cs="Times New Roman"/>
          <w:sz w:val="24"/>
          <w:szCs w:val="24"/>
          <w:lang w:val="en-GB"/>
        </w:rPr>
        <w:t>.  www.cps.gov.uk. Available at: https://www.cps.gov.uk/legal-guidance/criminal-damage#:~:text=for%20Crown%20Prosecutors.- [Accessed 14 Dec. 2022].</w:t>
      </w:r>
    </w:p>
    <w:p w14:paraId="1E68776A" w14:textId="77777777" w:rsidR="00534DCE" w:rsidRPr="009A7B87" w:rsidRDefault="00992A45">
      <w:pPr>
        <w:pStyle w:val="Normal1"/>
        <w:spacing w:after="240" w:line="360" w:lineRule="auto"/>
        <w:jc w:val="both"/>
        <w:rPr>
          <w:rFonts w:ascii="Times New Roman" w:eastAsia="Times New Roman" w:hAnsi="Times New Roman" w:cs="Times New Roman"/>
          <w:sz w:val="24"/>
          <w:szCs w:val="24"/>
          <w:lang w:val="en-GB"/>
        </w:rPr>
      </w:pPr>
      <w:r w:rsidRPr="009A7B87">
        <w:rPr>
          <w:rFonts w:ascii="Times New Roman" w:eastAsia="Times New Roman" w:hAnsi="Times New Roman" w:cs="Times New Roman"/>
          <w:sz w:val="24"/>
          <w:szCs w:val="24"/>
          <w:lang w:val="en-GB"/>
        </w:rPr>
        <w:t xml:space="preserve">Gov.UK (2022). </w:t>
      </w:r>
      <w:r w:rsidRPr="009A7B87">
        <w:rPr>
          <w:rFonts w:ascii="Times New Roman" w:eastAsia="Times New Roman" w:hAnsi="Times New Roman" w:cs="Times New Roman"/>
          <w:i/>
          <w:sz w:val="24"/>
          <w:szCs w:val="24"/>
          <w:lang w:val="en-GB"/>
        </w:rPr>
        <w:t>Theft Act Offences | The Crown Prosecution Service</w:t>
      </w:r>
      <w:r w:rsidRPr="009A7B87">
        <w:rPr>
          <w:rFonts w:ascii="Times New Roman" w:eastAsia="Times New Roman" w:hAnsi="Times New Roman" w:cs="Times New Roman"/>
          <w:sz w:val="24"/>
          <w:szCs w:val="24"/>
          <w:lang w:val="en-GB"/>
        </w:rPr>
        <w:t>.  www.cps.gov.uk. Available at: https://www.cps.gov.uk/legal-guidance/theft-act-offences#:~:text=Theft%20is%20defined%20bysection [Accessed 14 Dec. 2022].</w:t>
      </w:r>
    </w:p>
    <w:p w14:paraId="28B9DC4D" w14:textId="77777777" w:rsidR="00534DCE" w:rsidRPr="009A7B87" w:rsidRDefault="00992A45">
      <w:pPr>
        <w:pStyle w:val="Normal1"/>
        <w:spacing w:after="240" w:line="360" w:lineRule="auto"/>
        <w:jc w:val="both"/>
        <w:rPr>
          <w:rFonts w:ascii="Times New Roman" w:eastAsia="Times New Roman" w:hAnsi="Times New Roman" w:cs="Times New Roman"/>
          <w:sz w:val="24"/>
          <w:szCs w:val="24"/>
          <w:lang w:val="en-GB"/>
        </w:rPr>
      </w:pPr>
      <w:r w:rsidRPr="009A7B87">
        <w:rPr>
          <w:rFonts w:ascii="Times New Roman" w:eastAsia="Times New Roman" w:hAnsi="Times New Roman" w:cs="Times New Roman"/>
          <w:sz w:val="24"/>
          <w:szCs w:val="24"/>
          <w:lang w:val="en-GB"/>
        </w:rPr>
        <w:t xml:space="preserve">Legislation.gov.uk (2022). </w:t>
      </w:r>
      <w:r w:rsidRPr="009A7B87">
        <w:rPr>
          <w:rFonts w:ascii="Times New Roman" w:eastAsia="Times New Roman" w:hAnsi="Times New Roman" w:cs="Times New Roman"/>
          <w:i/>
          <w:sz w:val="24"/>
          <w:szCs w:val="24"/>
          <w:lang w:val="en-GB"/>
        </w:rPr>
        <w:t>Criminal Damage Act 1971</w:t>
      </w:r>
      <w:r w:rsidRPr="009A7B87">
        <w:rPr>
          <w:rFonts w:ascii="Times New Roman" w:eastAsia="Times New Roman" w:hAnsi="Times New Roman" w:cs="Times New Roman"/>
          <w:sz w:val="24"/>
          <w:szCs w:val="24"/>
          <w:lang w:val="en-GB"/>
        </w:rPr>
        <w:t>.  Legislation.gov.uk. Available at: https://www.legislation.gov.uk/ukpga/1971/48 [Accessed 14 Dec. 2022].</w:t>
      </w:r>
    </w:p>
    <w:p w14:paraId="7D4531B0" w14:textId="77777777" w:rsidR="00534DCE" w:rsidRPr="009A7B87" w:rsidRDefault="00992A45">
      <w:pPr>
        <w:pStyle w:val="Normal1"/>
        <w:spacing w:after="240" w:line="360" w:lineRule="auto"/>
        <w:jc w:val="both"/>
        <w:rPr>
          <w:rFonts w:ascii="Times New Roman" w:eastAsia="Times New Roman" w:hAnsi="Times New Roman" w:cs="Times New Roman"/>
          <w:sz w:val="24"/>
          <w:szCs w:val="24"/>
          <w:lang w:val="en-GB"/>
        </w:rPr>
      </w:pPr>
      <w:r w:rsidRPr="009A7B87">
        <w:rPr>
          <w:rFonts w:ascii="Times New Roman" w:eastAsia="Times New Roman" w:hAnsi="Times New Roman" w:cs="Times New Roman"/>
          <w:sz w:val="24"/>
          <w:szCs w:val="24"/>
          <w:lang w:val="en-GB"/>
        </w:rPr>
        <w:t xml:space="preserve">Mylawyer.co.uk. (2022). </w:t>
      </w:r>
      <w:r w:rsidRPr="009A7B87">
        <w:rPr>
          <w:rFonts w:ascii="Times New Roman" w:eastAsia="Times New Roman" w:hAnsi="Times New Roman" w:cs="Times New Roman"/>
          <w:i/>
          <w:sz w:val="24"/>
          <w:szCs w:val="24"/>
          <w:lang w:val="en-GB"/>
        </w:rPr>
        <w:t>Trespassing | MyLawyer</w:t>
      </w:r>
      <w:r w:rsidRPr="009A7B87">
        <w:rPr>
          <w:rFonts w:ascii="Times New Roman" w:eastAsia="Times New Roman" w:hAnsi="Times New Roman" w:cs="Times New Roman"/>
          <w:sz w:val="24"/>
          <w:szCs w:val="24"/>
          <w:lang w:val="en-GB"/>
        </w:rPr>
        <w:t>.  Available at: https://www.mylawyer.co.uk/trespassing-a-A76076D34460/ [Accessed 14 Dec. 2022].</w:t>
      </w:r>
    </w:p>
    <w:sectPr w:rsidR="00534DCE" w:rsidRPr="009A7B87" w:rsidSect="00534DCE">
      <w:footerReference w:type="default" r:id="rId9"/>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CDF09" w14:textId="77777777" w:rsidR="00A4444B" w:rsidRDefault="00A4444B" w:rsidP="00534DCE">
      <w:pPr>
        <w:spacing w:line="240" w:lineRule="auto"/>
      </w:pPr>
      <w:r>
        <w:separator/>
      </w:r>
    </w:p>
  </w:endnote>
  <w:endnote w:type="continuationSeparator" w:id="0">
    <w:p w14:paraId="37F1959D" w14:textId="77777777" w:rsidR="00A4444B" w:rsidRDefault="00A4444B" w:rsidP="00534D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2B61F" w14:textId="77777777" w:rsidR="00534DCE" w:rsidRDefault="00534DCE">
    <w:pPr>
      <w:pStyle w:val="Normal1"/>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sidR="00992A45">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9D5580">
      <w:rPr>
        <w:rFonts w:ascii="Times New Roman" w:eastAsia="Times New Roman" w:hAnsi="Times New Roman" w:cs="Times New Roman"/>
        <w:noProof/>
        <w:sz w:val="24"/>
        <w:szCs w:val="24"/>
      </w:rPr>
      <w:t>3</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B32C3" w14:textId="77777777" w:rsidR="00A4444B" w:rsidRDefault="00A4444B" w:rsidP="00534DCE">
      <w:pPr>
        <w:spacing w:line="240" w:lineRule="auto"/>
      </w:pPr>
      <w:r>
        <w:separator/>
      </w:r>
    </w:p>
  </w:footnote>
  <w:footnote w:type="continuationSeparator" w:id="0">
    <w:p w14:paraId="54A61883" w14:textId="77777777" w:rsidR="00A4444B" w:rsidRDefault="00A4444B" w:rsidP="00534DC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4DCE"/>
    <w:rsid w:val="00010F08"/>
    <w:rsid w:val="004F7E9B"/>
    <w:rsid w:val="00534DCE"/>
    <w:rsid w:val="00992A45"/>
    <w:rsid w:val="009A7B87"/>
    <w:rsid w:val="009D5580"/>
    <w:rsid w:val="00A4444B"/>
    <w:rsid w:val="00C4433E"/>
    <w:rsid w:val="00FF24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9D794"/>
  <w15:docId w15:val="{4BA9F667-212F-4B45-9768-D63E3A87A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9A7B87"/>
    <w:pPr>
      <w:spacing w:before="200"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1"/>
    <w:next w:val="Normal1"/>
    <w:rsid w:val="00534DCE"/>
    <w:pPr>
      <w:keepNext/>
      <w:keepLines/>
      <w:spacing w:before="360" w:after="120"/>
      <w:outlineLvl w:val="1"/>
    </w:pPr>
    <w:rPr>
      <w:sz w:val="32"/>
      <w:szCs w:val="32"/>
    </w:rPr>
  </w:style>
  <w:style w:type="paragraph" w:styleId="Heading3">
    <w:name w:val="heading 3"/>
    <w:basedOn w:val="Normal1"/>
    <w:next w:val="Normal1"/>
    <w:rsid w:val="00534DCE"/>
    <w:pPr>
      <w:keepNext/>
      <w:keepLines/>
      <w:spacing w:before="320" w:after="80"/>
      <w:outlineLvl w:val="2"/>
    </w:pPr>
    <w:rPr>
      <w:color w:val="434343"/>
      <w:sz w:val="28"/>
      <w:szCs w:val="28"/>
    </w:rPr>
  </w:style>
  <w:style w:type="paragraph" w:styleId="Heading4">
    <w:name w:val="heading 4"/>
    <w:basedOn w:val="Normal1"/>
    <w:next w:val="Normal1"/>
    <w:rsid w:val="00534DCE"/>
    <w:pPr>
      <w:keepNext/>
      <w:keepLines/>
      <w:spacing w:before="280" w:after="80"/>
      <w:outlineLvl w:val="3"/>
    </w:pPr>
    <w:rPr>
      <w:color w:val="666666"/>
      <w:sz w:val="24"/>
      <w:szCs w:val="24"/>
    </w:rPr>
  </w:style>
  <w:style w:type="paragraph" w:styleId="Heading5">
    <w:name w:val="heading 5"/>
    <w:basedOn w:val="Normal1"/>
    <w:next w:val="Normal1"/>
    <w:rsid w:val="00534DCE"/>
    <w:pPr>
      <w:keepNext/>
      <w:keepLines/>
      <w:spacing w:before="240" w:after="80"/>
      <w:outlineLvl w:val="4"/>
    </w:pPr>
    <w:rPr>
      <w:color w:val="666666"/>
    </w:rPr>
  </w:style>
  <w:style w:type="paragraph" w:styleId="Heading6">
    <w:name w:val="heading 6"/>
    <w:basedOn w:val="Normal1"/>
    <w:next w:val="Normal1"/>
    <w:rsid w:val="00534DC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34DCE"/>
  </w:style>
  <w:style w:type="table" w:customStyle="1" w:styleId="TableNormal1">
    <w:name w:val="Table Normal1"/>
    <w:rsid w:val="00534DCE"/>
    <w:tblPr>
      <w:tblCellMar>
        <w:top w:w="0" w:type="dxa"/>
        <w:left w:w="0" w:type="dxa"/>
        <w:bottom w:w="0" w:type="dxa"/>
        <w:right w:w="0" w:type="dxa"/>
      </w:tblCellMar>
    </w:tblPr>
  </w:style>
  <w:style w:type="paragraph" w:styleId="Title">
    <w:name w:val="Title"/>
    <w:basedOn w:val="Normal1"/>
    <w:next w:val="Normal1"/>
    <w:rsid w:val="00534DCE"/>
    <w:pPr>
      <w:keepNext/>
      <w:keepLines/>
      <w:spacing w:after="60"/>
    </w:pPr>
    <w:rPr>
      <w:sz w:val="52"/>
      <w:szCs w:val="52"/>
    </w:rPr>
  </w:style>
  <w:style w:type="paragraph" w:styleId="Subtitle">
    <w:name w:val="Subtitle"/>
    <w:basedOn w:val="Normal1"/>
    <w:next w:val="Normal1"/>
    <w:rsid w:val="00534DCE"/>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534DCE"/>
    <w:pPr>
      <w:spacing w:line="240" w:lineRule="auto"/>
    </w:pPr>
    <w:rPr>
      <w:sz w:val="20"/>
      <w:szCs w:val="20"/>
    </w:rPr>
  </w:style>
  <w:style w:type="character" w:customStyle="1" w:styleId="CommentTextChar">
    <w:name w:val="Comment Text Char"/>
    <w:basedOn w:val="DefaultParagraphFont"/>
    <w:link w:val="CommentText"/>
    <w:uiPriority w:val="99"/>
    <w:semiHidden/>
    <w:rsid w:val="00534DCE"/>
    <w:rPr>
      <w:sz w:val="20"/>
      <w:szCs w:val="20"/>
    </w:rPr>
  </w:style>
  <w:style w:type="character" w:styleId="CommentReference">
    <w:name w:val="annotation reference"/>
    <w:basedOn w:val="DefaultParagraphFont"/>
    <w:uiPriority w:val="99"/>
    <w:semiHidden/>
    <w:unhideWhenUsed/>
    <w:rsid w:val="00534DCE"/>
    <w:rPr>
      <w:sz w:val="16"/>
      <w:szCs w:val="16"/>
    </w:rPr>
  </w:style>
  <w:style w:type="paragraph" w:styleId="BalloonText">
    <w:name w:val="Balloon Text"/>
    <w:basedOn w:val="Normal"/>
    <w:link w:val="BalloonTextChar"/>
    <w:uiPriority w:val="99"/>
    <w:semiHidden/>
    <w:unhideWhenUsed/>
    <w:rsid w:val="009A7B8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7B87"/>
    <w:rPr>
      <w:rFonts w:ascii="Tahoma" w:hAnsi="Tahoma" w:cs="Tahoma"/>
      <w:sz w:val="16"/>
      <w:szCs w:val="16"/>
    </w:rPr>
  </w:style>
  <w:style w:type="paragraph" w:styleId="TOCHeading">
    <w:name w:val="TOC Heading"/>
    <w:basedOn w:val="Heading1"/>
    <w:next w:val="Normal"/>
    <w:uiPriority w:val="39"/>
    <w:semiHidden/>
    <w:unhideWhenUsed/>
    <w:qFormat/>
    <w:rsid w:val="009A7B87"/>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9A7B87"/>
    <w:pPr>
      <w:spacing w:after="100"/>
    </w:pPr>
  </w:style>
  <w:style w:type="character" w:styleId="Hyperlink">
    <w:name w:val="Hyperlink"/>
    <w:basedOn w:val="DefaultParagraphFont"/>
    <w:uiPriority w:val="99"/>
    <w:unhideWhenUsed/>
    <w:rsid w:val="009A7B8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abs/10.1177/0022018318787390" TargetMode="External"/><Relationship Id="rId3" Type="http://schemas.openxmlformats.org/officeDocument/2006/relationships/settings" Target="settings.xml"/><Relationship Id="rId7" Type="http://schemas.openxmlformats.org/officeDocument/2006/relationships/hyperlink" Target="https://academic.oup.com/bjc/article-abstract/59/3/693/5136478"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8EC9BF-1368-4ED2-A8C0-C57B676E3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1826</Words>
  <Characters>10413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Florin Doditoiu</cp:lastModifiedBy>
  <cp:revision>4</cp:revision>
  <dcterms:created xsi:type="dcterms:W3CDTF">2022-12-16T11:49:00Z</dcterms:created>
  <dcterms:modified xsi:type="dcterms:W3CDTF">2022-12-16T18:35:00Z</dcterms:modified>
</cp:coreProperties>
</file>