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8E7B6" w14:textId="7507D314" w:rsidR="00445A98" w:rsidRDefault="00445A98" w:rsidP="0051278D">
      <w:pPr>
        <w:rPr>
          <w:rFonts w:ascii="Arial" w:hAnsi="Arial" w:cs="Arial"/>
          <w:b/>
          <w:bCs/>
          <w:sz w:val="32"/>
          <w:szCs w:val="32"/>
          <w:lang w:val="en-GB"/>
        </w:rPr>
      </w:pPr>
      <w:r w:rsidRPr="00E413AA">
        <w:rPr>
          <w:rFonts w:ascii="Arial" w:hAnsi="Arial" w:cs="Arial"/>
          <w:b/>
          <w:bCs/>
          <w:sz w:val="32"/>
          <w:szCs w:val="32"/>
          <w:u w:val="single"/>
          <w:lang w:val="en-GB"/>
        </w:rPr>
        <w:t>Name</w:t>
      </w:r>
      <w:r>
        <w:rPr>
          <w:rFonts w:ascii="Arial" w:hAnsi="Arial" w:cs="Arial"/>
          <w:b/>
          <w:bCs/>
          <w:sz w:val="32"/>
          <w:szCs w:val="32"/>
          <w:lang w:val="en-GB"/>
        </w:rPr>
        <w:t>: Rabina Bi</w:t>
      </w:r>
    </w:p>
    <w:p w14:paraId="3E5E00EB" w14:textId="47D0382C" w:rsidR="00445A98" w:rsidRPr="00105C97" w:rsidRDefault="00445A98" w:rsidP="0051278D">
      <w:pPr>
        <w:rPr>
          <w:rFonts w:ascii="Arial" w:hAnsi="Arial" w:cs="Arial"/>
          <w:b/>
          <w:bCs/>
          <w:sz w:val="32"/>
          <w:szCs w:val="32"/>
          <w:lang w:val="en-GB"/>
        </w:rPr>
      </w:pPr>
      <w:r w:rsidRPr="00E413AA">
        <w:rPr>
          <w:rFonts w:ascii="Arial" w:hAnsi="Arial" w:cs="Arial"/>
          <w:b/>
          <w:bCs/>
          <w:sz w:val="32"/>
          <w:szCs w:val="32"/>
          <w:u w:val="single"/>
          <w:lang w:val="en-GB"/>
        </w:rPr>
        <w:t>Student Number</w:t>
      </w:r>
      <w:r>
        <w:rPr>
          <w:rFonts w:ascii="Arial" w:hAnsi="Arial" w:cs="Arial"/>
          <w:b/>
          <w:bCs/>
          <w:sz w:val="32"/>
          <w:szCs w:val="32"/>
          <w:lang w:val="en-GB"/>
        </w:rPr>
        <w:t xml:space="preserve">: 2235612 </w:t>
      </w:r>
    </w:p>
    <w:p w14:paraId="3755FC02" w14:textId="77777777" w:rsidR="00445A98" w:rsidRPr="00105C97" w:rsidRDefault="00445A98" w:rsidP="0051278D">
      <w:pPr>
        <w:spacing w:line="278" w:lineRule="auto"/>
        <w:rPr>
          <w:b/>
          <w:bCs/>
          <w:sz w:val="32"/>
          <w:szCs w:val="32"/>
          <w:lang w:val="en-GB"/>
        </w:rPr>
      </w:pPr>
      <w:r w:rsidRPr="00E413AA">
        <w:rPr>
          <w:b/>
          <w:bCs/>
          <w:sz w:val="32"/>
          <w:szCs w:val="32"/>
          <w:u w:val="single"/>
          <w:lang w:val="en-GB"/>
        </w:rPr>
        <w:t>Course</w:t>
      </w:r>
      <w:r w:rsidRPr="00105C97">
        <w:rPr>
          <w:b/>
          <w:bCs/>
          <w:sz w:val="32"/>
          <w:szCs w:val="32"/>
          <w:lang w:val="en-GB"/>
        </w:rPr>
        <w:t>: BSc (Hons) Health and Social Care</w:t>
      </w:r>
    </w:p>
    <w:p w14:paraId="78B19AE3" w14:textId="77777777" w:rsidR="00445A98" w:rsidRDefault="00445A98" w:rsidP="0051278D">
      <w:pPr>
        <w:spacing w:line="278" w:lineRule="auto"/>
        <w:rPr>
          <w:b/>
          <w:bCs/>
          <w:sz w:val="32"/>
          <w:szCs w:val="32"/>
          <w:lang w:val="en-GB"/>
        </w:rPr>
      </w:pPr>
      <w:r w:rsidRPr="00E413AA">
        <w:rPr>
          <w:b/>
          <w:bCs/>
          <w:sz w:val="32"/>
          <w:szCs w:val="32"/>
          <w:u w:val="single"/>
          <w:lang w:val="en-GB"/>
        </w:rPr>
        <w:t>Module</w:t>
      </w:r>
      <w:r w:rsidRPr="00105C97">
        <w:rPr>
          <w:b/>
          <w:bCs/>
          <w:sz w:val="32"/>
          <w:szCs w:val="32"/>
          <w:lang w:val="en-GB"/>
        </w:rPr>
        <w:t>: Independent Project (BMHP6020_BIRM)</w:t>
      </w:r>
    </w:p>
    <w:p w14:paraId="508FDF37" w14:textId="77777777" w:rsidR="00445A98" w:rsidRDefault="00445A98" w:rsidP="0051278D">
      <w:pPr>
        <w:spacing w:line="278" w:lineRule="auto"/>
        <w:rPr>
          <w:b/>
          <w:bCs/>
          <w:sz w:val="32"/>
          <w:szCs w:val="32"/>
          <w:lang w:val="en-GB"/>
        </w:rPr>
      </w:pPr>
      <w:r w:rsidRPr="00E413AA">
        <w:rPr>
          <w:b/>
          <w:bCs/>
          <w:sz w:val="32"/>
          <w:szCs w:val="32"/>
          <w:u w:val="single"/>
          <w:lang w:val="en-GB"/>
        </w:rPr>
        <w:t>Assignment Title</w:t>
      </w:r>
      <w:r w:rsidRPr="00AF4477">
        <w:rPr>
          <w:b/>
          <w:bCs/>
          <w:sz w:val="32"/>
          <w:szCs w:val="32"/>
          <w:lang w:val="en-GB"/>
        </w:rPr>
        <w:t>:</w:t>
      </w:r>
      <w:r>
        <w:rPr>
          <w:b/>
          <w:bCs/>
          <w:sz w:val="32"/>
          <w:szCs w:val="32"/>
          <w:lang w:val="en-GB"/>
        </w:rPr>
        <w:t xml:space="preserve"> </w:t>
      </w:r>
      <w:r w:rsidRPr="00AF4477">
        <w:rPr>
          <w:b/>
          <w:bCs/>
          <w:sz w:val="32"/>
          <w:szCs w:val="32"/>
          <w:lang w:val="en-GB"/>
        </w:rPr>
        <w:t>Component 1: Portfolio (including 3 elements)</w:t>
      </w:r>
    </w:p>
    <w:p w14:paraId="3A73186C" w14:textId="77777777" w:rsidR="00445A98" w:rsidRDefault="00445A98" w:rsidP="00445A98">
      <w:pPr>
        <w:spacing w:line="278" w:lineRule="auto"/>
        <w:jc w:val="center"/>
        <w:rPr>
          <w:b/>
          <w:bCs/>
          <w:sz w:val="32"/>
          <w:szCs w:val="32"/>
          <w:lang w:val="en-GB"/>
        </w:rPr>
      </w:pPr>
    </w:p>
    <w:p w14:paraId="6C7CC019" w14:textId="77777777" w:rsidR="00445A98" w:rsidRPr="00AF4477" w:rsidRDefault="00445A98" w:rsidP="00445A98">
      <w:pPr>
        <w:spacing w:line="278" w:lineRule="auto"/>
        <w:jc w:val="center"/>
        <w:rPr>
          <w:b/>
          <w:bCs/>
          <w:sz w:val="32"/>
          <w:szCs w:val="32"/>
          <w:lang w:val="en-GB"/>
        </w:rPr>
      </w:pPr>
    </w:p>
    <w:p w14:paraId="658696F7" w14:textId="6F1A2CEB" w:rsidR="000B743B" w:rsidRPr="0072539E" w:rsidRDefault="00445A98" w:rsidP="00445A98">
      <w:pPr>
        <w:pStyle w:val="Heading1"/>
        <w:jc w:val="center"/>
        <w:rPr>
          <w:rFonts w:ascii="Arial" w:hAnsi="Arial" w:cs="Arial"/>
          <w:szCs w:val="22"/>
          <w:lang w:val="en-GB"/>
        </w:rPr>
      </w:pPr>
      <w:r w:rsidRPr="00E413AA">
        <w:rPr>
          <w:u w:val="single"/>
        </w:rPr>
        <w:t>Project Title</w:t>
      </w:r>
      <w:r w:rsidRPr="00420362">
        <w:t>:</w:t>
      </w:r>
      <w:r w:rsidR="00E413AA">
        <w:rPr>
          <w:lang w:val="en-US"/>
        </w:rPr>
        <w:t xml:space="preserve"> </w:t>
      </w:r>
      <w:r w:rsidRPr="00445A98">
        <w:rPr>
          <w:lang w:val="en-GB"/>
        </w:rPr>
        <w:t>The Impact of Social Isolation on Mental Health in Older Adults from the UK</w:t>
      </w:r>
    </w:p>
    <w:p w14:paraId="31542422" w14:textId="52ED9897" w:rsidR="00AF744E" w:rsidRPr="0072539E" w:rsidRDefault="00445A98" w:rsidP="002A4FA7">
      <w:pPr>
        <w:spacing w:line="278" w:lineRule="auto"/>
        <w:rPr>
          <w:rFonts w:ascii="Arial" w:hAnsi="Arial" w:cs="Arial"/>
          <w:szCs w:val="22"/>
          <w:lang w:val="en-GB"/>
        </w:rPr>
      </w:pPr>
      <w:r>
        <w:rPr>
          <w:rFonts w:ascii="Arial" w:hAnsi="Arial" w:cs="Arial"/>
          <w:szCs w:val="22"/>
          <w:lang w:val="en-GB"/>
        </w:rPr>
        <w:br w:type="page"/>
      </w:r>
    </w:p>
    <w:p w14:paraId="34D276A4" w14:textId="77777777" w:rsidR="00AC14BC" w:rsidRPr="00AC14BC" w:rsidRDefault="00AC14BC" w:rsidP="0072539E">
      <w:pPr>
        <w:spacing w:before="100" w:beforeAutospacing="1" w:after="100" w:afterAutospacing="1"/>
        <w:jc w:val="both"/>
        <w:rPr>
          <w:rFonts w:ascii="Arial" w:eastAsia="Times New Roman" w:hAnsi="Arial" w:cs="Arial"/>
          <w:b/>
          <w:bCs/>
          <w:kern w:val="0"/>
          <w:szCs w:val="22"/>
          <w:lang w:eastAsia="en-GB"/>
          <w14:ligatures w14:val="none"/>
        </w:rPr>
      </w:pPr>
      <w:r w:rsidRPr="00AC14BC">
        <w:rPr>
          <w:rFonts w:ascii="Arial" w:eastAsia="Times New Roman" w:hAnsi="Arial" w:cs="Arial"/>
          <w:b/>
          <w:bCs/>
          <w:kern w:val="0"/>
          <w:szCs w:val="22"/>
          <w:lang w:eastAsia="en-GB"/>
          <w14:ligatures w14:val="none"/>
        </w:rPr>
        <w:lastRenderedPageBreak/>
        <w:t>CHAPTER 1: Introduction</w:t>
      </w:r>
    </w:p>
    <w:p w14:paraId="091E4DD2"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1.1 Introduction</w:t>
      </w:r>
    </w:p>
    <w:p w14:paraId="6A9C1567" w14:textId="6BDE42DC"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Population ageing and mental health are major concerns in the UK, where a growing proportion of adults are aged 65 years and over. Older adults often experience changes such as retirement, bereavement, reduced mobility, and relocation, which can disrupt social networks and everyday roles. These changes do not automatically lead to poor mental health, but they can increase the risk of becoming socially isolated if social contact and meaningful activities are not maintained</w:t>
      </w:r>
      <w:r w:rsidR="00F06369" w:rsidRPr="0072539E">
        <w:rPr>
          <w:rFonts w:ascii="Arial" w:eastAsia="Times New Roman" w:hAnsi="Arial" w:cs="Arial"/>
          <w:kern w:val="0"/>
          <w:szCs w:val="22"/>
          <w:lang w:eastAsia="en-GB"/>
          <w14:ligatures w14:val="none"/>
        </w:rPr>
        <w:t xml:space="preserve"> </w:t>
      </w:r>
      <w:r w:rsidR="00F06369" w:rsidRPr="0072539E">
        <w:rPr>
          <w:rFonts w:ascii="Arial" w:hAnsi="Arial" w:cs="Arial"/>
          <w:szCs w:val="22"/>
        </w:rPr>
        <w:t>(Lutz and Van Orden, 2020)</w:t>
      </w:r>
      <w:r w:rsidRPr="00AC14BC">
        <w:rPr>
          <w:rFonts w:ascii="Arial" w:eastAsia="Times New Roman" w:hAnsi="Arial" w:cs="Arial"/>
          <w:kern w:val="0"/>
          <w:szCs w:val="22"/>
          <w:lang w:eastAsia="en-GB"/>
          <w14:ligatures w14:val="none"/>
        </w:rPr>
        <w:t>. Social isolation has been recognised as a determinant of health alongside more traditional risk factors, yet it is still not addressed consistently in routine practice</w:t>
      </w:r>
      <w:r w:rsidR="00F06369" w:rsidRPr="0072539E">
        <w:rPr>
          <w:rFonts w:ascii="Arial" w:eastAsia="Times New Roman" w:hAnsi="Arial" w:cs="Arial"/>
          <w:kern w:val="0"/>
          <w:szCs w:val="22"/>
          <w:lang w:eastAsia="en-GB"/>
          <w14:ligatures w14:val="none"/>
        </w:rPr>
        <w:t xml:space="preserve"> </w:t>
      </w:r>
      <w:r w:rsidR="00F06369" w:rsidRPr="0072539E">
        <w:rPr>
          <w:rFonts w:ascii="Arial" w:hAnsi="Arial" w:cs="Arial"/>
          <w:szCs w:val="22"/>
        </w:rPr>
        <w:t>(Holt</w:t>
      </w:r>
      <w:r w:rsidR="00F06369" w:rsidRPr="0072539E">
        <w:rPr>
          <w:rFonts w:ascii="Cambria Math" w:hAnsi="Cambria Math" w:cs="Cambria Math"/>
          <w:szCs w:val="22"/>
        </w:rPr>
        <w:t>‐</w:t>
      </w:r>
      <w:r w:rsidR="00F06369" w:rsidRPr="0072539E">
        <w:rPr>
          <w:rFonts w:ascii="Arial" w:hAnsi="Arial" w:cs="Arial"/>
          <w:szCs w:val="22"/>
        </w:rPr>
        <w:t>Lunstad, 2024)</w:t>
      </w:r>
      <w:r w:rsidRPr="00AC14BC">
        <w:rPr>
          <w:rFonts w:ascii="Arial" w:eastAsia="Times New Roman" w:hAnsi="Arial" w:cs="Arial"/>
          <w:kern w:val="0"/>
          <w:szCs w:val="22"/>
          <w:lang w:eastAsia="en-GB"/>
          <w14:ligatures w14:val="none"/>
        </w:rPr>
        <w:t>.</w:t>
      </w:r>
    </w:p>
    <w:p w14:paraId="3D4F53AC" w14:textId="2749B3D8" w:rsidR="00F06369"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This dissertation focuses on the links between social isolation and mental health among older adults in the UK who are aged 65 and above. It draws only on secondary sources and critically examines how isolation is defined and measured, how it is associated with outcomes such as depression, anxiety, and cognitive decline, and how current interventions and policies attempt to respond. The aim of the dissertation is to investigate how social isolation affects mental health in older adults and to consider its impact on physical and cognitive health. By synthesising existing evidence, the study intends to provide clear, practical recommendations that can support healthcare providers, policymakers, and community organisations in reducing isolation and promoting mental wellbeing in later life.</w:t>
      </w:r>
    </w:p>
    <w:p w14:paraId="4162D9DD"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1.2 Definitions and Terminology</w:t>
      </w:r>
    </w:p>
    <w:p w14:paraId="084CC389"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Clear definitions are essential because many studies use the terms social isolation and loneliness interchangeably, which can limit the accuracy of findings and the design of interventions. In this dissertation:</w:t>
      </w:r>
    </w:p>
    <w:p w14:paraId="03F626DB" w14:textId="1AB0C550" w:rsidR="00AC14BC" w:rsidRPr="00AC14BC" w:rsidRDefault="00AC14BC" w:rsidP="0072539E">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Older adults</w:t>
      </w:r>
      <w:r w:rsidRPr="00AC14BC">
        <w:rPr>
          <w:rFonts w:ascii="Arial" w:eastAsia="Times New Roman" w:hAnsi="Arial" w:cs="Arial"/>
          <w:kern w:val="0"/>
          <w:szCs w:val="22"/>
          <w:lang w:eastAsia="en-GB"/>
          <w14:ligatures w14:val="none"/>
        </w:rPr>
        <w:t xml:space="preserve"> refers to people aged 65 years and over living in the UK</w:t>
      </w:r>
      <w:r w:rsidR="00A77575" w:rsidRPr="0072539E">
        <w:rPr>
          <w:rFonts w:ascii="Arial" w:eastAsia="Times New Roman" w:hAnsi="Arial" w:cs="Arial"/>
          <w:kern w:val="0"/>
          <w:szCs w:val="22"/>
          <w:lang w:eastAsia="en-GB"/>
          <w14:ligatures w14:val="none"/>
        </w:rPr>
        <w:t xml:space="preserve"> </w:t>
      </w:r>
      <w:r w:rsidR="00A77575" w:rsidRPr="0072539E">
        <w:rPr>
          <w:rFonts w:ascii="Arial" w:hAnsi="Arial" w:cs="Arial"/>
          <w:szCs w:val="22"/>
        </w:rPr>
        <w:t>(ONS, 2023)</w:t>
      </w:r>
      <w:r w:rsidRPr="00AC14BC">
        <w:rPr>
          <w:rFonts w:ascii="Arial" w:eastAsia="Times New Roman" w:hAnsi="Arial" w:cs="Arial"/>
          <w:kern w:val="0"/>
          <w:szCs w:val="22"/>
          <w:lang w:eastAsia="en-GB"/>
          <w14:ligatures w14:val="none"/>
        </w:rPr>
        <w:t>.</w:t>
      </w:r>
    </w:p>
    <w:p w14:paraId="153D48FF" w14:textId="4E1E6549" w:rsidR="00AC14BC" w:rsidRPr="00AC14BC" w:rsidRDefault="00AC14BC" w:rsidP="0072539E">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Social isolation</w:t>
      </w:r>
      <w:r w:rsidRPr="00AC14BC">
        <w:rPr>
          <w:rFonts w:ascii="Arial" w:eastAsia="Times New Roman" w:hAnsi="Arial" w:cs="Arial"/>
          <w:kern w:val="0"/>
          <w:szCs w:val="22"/>
          <w:lang w:eastAsia="en-GB"/>
          <w14:ligatures w14:val="none"/>
        </w:rPr>
        <w:t xml:space="preserve"> is understood as an objective lack of or limited contact with family, friends, and wider community networks, including low participation in social activities and roles</w:t>
      </w:r>
      <w:r w:rsidR="00E162CA" w:rsidRPr="0072539E">
        <w:rPr>
          <w:rFonts w:ascii="Arial" w:eastAsia="Times New Roman" w:hAnsi="Arial" w:cs="Arial"/>
          <w:kern w:val="0"/>
          <w:szCs w:val="22"/>
          <w:lang w:eastAsia="en-GB"/>
          <w14:ligatures w14:val="none"/>
        </w:rPr>
        <w:t xml:space="preserve"> </w:t>
      </w:r>
      <w:r w:rsidR="00E162CA" w:rsidRPr="0072539E">
        <w:rPr>
          <w:rFonts w:ascii="Arial" w:hAnsi="Arial" w:cs="Arial"/>
          <w:szCs w:val="22"/>
        </w:rPr>
        <w:t>(Holt</w:t>
      </w:r>
      <w:r w:rsidR="00E162CA" w:rsidRPr="0072539E">
        <w:rPr>
          <w:rFonts w:ascii="Cambria Math" w:hAnsi="Cambria Math" w:cs="Cambria Math"/>
          <w:szCs w:val="22"/>
        </w:rPr>
        <w:t>‐</w:t>
      </w:r>
      <w:r w:rsidR="00E162CA" w:rsidRPr="0072539E">
        <w:rPr>
          <w:rFonts w:ascii="Arial" w:hAnsi="Arial" w:cs="Arial"/>
          <w:szCs w:val="22"/>
        </w:rPr>
        <w:t>Lunstad, 2024)</w:t>
      </w:r>
      <w:r w:rsidRPr="00AC14BC">
        <w:rPr>
          <w:rFonts w:ascii="Arial" w:eastAsia="Times New Roman" w:hAnsi="Arial" w:cs="Arial"/>
          <w:kern w:val="0"/>
          <w:szCs w:val="22"/>
          <w:lang w:eastAsia="en-GB"/>
          <w14:ligatures w14:val="none"/>
        </w:rPr>
        <w:t>.</w:t>
      </w:r>
    </w:p>
    <w:p w14:paraId="6B262345" w14:textId="016E8210" w:rsidR="00AC14BC" w:rsidRPr="00AC14BC" w:rsidRDefault="00AC14BC" w:rsidP="0072539E">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Loneliness</w:t>
      </w:r>
      <w:r w:rsidRPr="00AC14BC">
        <w:rPr>
          <w:rFonts w:ascii="Arial" w:eastAsia="Times New Roman" w:hAnsi="Arial" w:cs="Arial"/>
          <w:kern w:val="0"/>
          <w:szCs w:val="22"/>
          <w:lang w:eastAsia="en-GB"/>
          <w14:ligatures w14:val="none"/>
        </w:rPr>
        <w:t xml:space="preserve"> is treated as a subjective feeling of distress arising from a gap between desired and actual social relationships, which may occur with or without objective isolation</w:t>
      </w:r>
      <w:r w:rsidR="00E162CA" w:rsidRPr="0072539E">
        <w:rPr>
          <w:rFonts w:ascii="Arial" w:eastAsia="Times New Roman" w:hAnsi="Arial" w:cs="Arial"/>
          <w:kern w:val="0"/>
          <w:szCs w:val="22"/>
          <w:lang w:eastAsia="en-GB"/>
          <w14:ligatures w14:val="none"/>
        </w:rPr>
        <w:t xml:space="preserve"> </w:t>
      </w:r>
      <w:r w:rsidR="00E162CA" w:rsidRPr="0072539E">
        <w:rPr>
          <w:rFonts w:ascii="Arial" w:hAnsi="Arial" w:cs="Arial"/>
          <w:szCs w:val="22"/>
        </w:rPr>
        <w:t>(Lutz and Van Orden, 2020)</w:t>
      </w:r>
      <w:r w:rsidRPr="00AC14BC">
        <w:rPr>
          <w:rFonts w:ascii="Arial" w:eastAsia="Times New Roman" w:hAnsi="Arial" w:cs="Arial"/>
          <w:kern w:val="0"/>
          <w:szCs w:val="22"/>
          <w:lang w:eastAsia="en-GB"/>
          <w14:ligatures w14:val="none"/>
        </w:rPr>
        <w:t>.</w:t>
      </w:r>
    </w:p>
    <w:p w14:paraId="3123F698" w14:textId="2189B2A0" w:rsidR="00AC14BC" w:rsidRPr="00AC14BC" w:rsidRDefault="00AC14BC" w:rsidP="0072539E">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lastRenderedPageBreak/>
        <w:t>Mental health outcomes</w:t>
      </w:r>
      <w:r w:rsidRPr="00AC14BC">
        <w:rPr>
          <w:rFonts w:ascii="Arial" w:eastAsia="Times New Roman" w:hAnsi="Arial" w:cs="Arial"/>
          <w:kern w:val="0"/>
          <w:szCs w:val="22"/>
          <w:lang w:eastAsia="en-GB"/>
          <w14:ligatures w14:val="none"/>
        </w:rPr>
        <w:t xml:space="preserve"> include depression, anxiety, psychological wellbeing and cognitive outcomes such as memory, assessed through validated scales or clinical diagnoses</w:t>
      </w:r>
      <w:r w:rsidR="00E162CA" w:rsidRPr="0072539E">
        <w:rPr>
          <w:rFonts w:ascii="Arial" w:eastAsia="Times New Roman" w:hAnsi="Arial" w:cs="Arial"/>
          <w:kern w:val="0"/>
          <w:szCs w:val="22"/>
          <w:lang w:eastAsia="en-GB"/>
          <w14:ligatures w14:val="none"/>
        </w:rPr>
        <w:t xml:space="preserve"> </w:t>
      </w:r>
      <w:r w:rsidR="00E162CA" w:rsidRPr="0072539E">
        <w:rPr>
          <w:rFonts w:ascii="Arial" w:hAnsi="Arial" w:cs="Arial"/>
          <w:szCs w:val="22"/>
        </w:rPr>
        <w:t xml:space="preserve">(Bhatta </w:t>
      </w:r>
      <w:r w:rsidR="00E162CA" w:rsidRPr="0072539E">
        <w:rPr>
          <w:rFonts w:ascii="Arial" w:hAnsi="Arial" w:cs="Arial"/>
          <w:i/>
          <w:iCs/>
          <w:szCs w:val="22"/>
        </w:rPr>
        <w:t>et al.</w:t>
      </w:r>
      <w:r w:rsidR="00E162CA" w:rsidRPr="0072539E">
        <w:rPr>
          <w:rFonts w:ascii="Arial" w:hAnsi="Arial" w:cs="Arial"/>
          <w:szCs w:val="22"/>
        </w:rPr>
        <w:t>, 2025)</w:t>
      </w:r>
      <w:r w:rsidRPr="00AC14BC">
        <w:rPr>
          <w:rFonts w:ascii="Arial" w:eastAsia="Times New Roman" w:hAnsi="Arial" w:cs="Arial"/>
          <w:kern w:val="0"/>
          <w:szCs w:val="22"/>
          <w:lang w:eastAsia="en-GB"/>
          <w14:ligatures w14:val="none"/>
        </w:rPr>
        <w:t>.</w:t>
      </w:r>
    </w:p>
    <w:p w14:paraId="4BB7E7AE" w14:textId="00F98017" w:rsidR="00AC14BC" w:rsidRPr="00AC14BC" w:rsidRDefault="00AC14BC" w:rsidP="0072539E">
      <w:pPr>
        <w:numPr>
          <w:ilvl w:val="0"/>
          <w:numId w:val="1"/>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Interventions</w:t>
      </w:r>
      <w:r w:rsidRPr="00AC14BC">
        <w:rPr>
          <w:rFonts w:ascii="Arial" w:eastAsia="Times New Roman" w:hAnsi="Arial" w:cs="Arial"/>
          <w:kern w:val="0"/>
          <w:szCs w:val="22"/>
          <w:lang w:eastAsia="en-GB"/>
          <w14:ligatures w14:val="none"/>
        </w:rPr>
        <w:t xml:space="preserve"> include programmes or policy measures that intend to increase social contact, strengthen social support, or reduce barriers to participation for older adults</w:t>
      </w:r>
      <w:r w:rsidR="00E162CA" w:rsidRPr="0072539E">
        <w:rPr>
          <w:rFonts w:ascii="Arial" w:eastAsia="Times New Roman" w:hAnsi="Arial" w:cs="Arial"/>
          <w:kern w:val="0"/>
          <w:szCs w:val="22"/>
          <w:lang w:eastAsia="en-GB"/>
          <w14:ligatures w14:val="none"/>
        </w:rPr>
        <w:t xml:space="preserve"> </w:t>
      </w:r>
      <w:r w:rsidR="00E162CA" w:rsidRPr="0072539E">
        <w:rPr>
          <w:rFonts w:ascii="Arial" w:hAnsi="Arial" w:cs="Arial"/>
          <w:szCs w:val="22"/>
        </w:rPr>
        <w:t>(Suragarn, Hain and Pfaff, 2021)</w:t>
      </w:r>
      <w:r w:rsidRPr="00AC14BC">
        <w:rPr>
          <w:rFonts w:ascii="Arial" w:eastAsia="Times New Roman" w:hAnsi="Arial" w:cs="Arial"/>
          <w:kern w:val="0"/>
          <w:szCs w:val="22"/>
          <w:lang w:eastAsia="en-GB"/>
          <w14:ligatures w14:val="none"/>
        </w:rPr>
        <w:t>.</w:t>
      </w:r>
    </w:p>
    <w:p w14:paraId="693FDC78"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Acronyms and abbreviations used in this dissertation include:</w:t>
      </w:r>
    </w:p>
    <w:p w14:paraId="51F9D4C3" w14:textId="77777777" w:rsidR="00AC14BC" w:rsidRPr="00AC14BC" w:rsidRDefault="00AC14BC" w:rsidP="0072539E">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UK: United Kingdom</w:t>
      </w:r>
    </w:p>
    <w:p w14:paraId="78642FA0" w14:textId="77777777" w:rsidR="00AC14BC" w:rsidRPr="00AC14BC" w:rsidRDefault="00AC14BC" w:rsidP="0072539E">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NHS: National Health Service</w:t>
      </w:r>
    </w:p>
    <w:p w14:paraId="368417D1" w14:textId="77777777" w:rsidR="00AC14BC" w:rsidRPr="00AC14BC" w:rsidRDefault="00AC14BC" w:rsidP="0072539E">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NGO: Non-governmental organisation</w:t>
      </w:r>
    </w:p>
    <w:p w14:paraId="04928F29" w14:textId="77777777" w:rsidR="00AC14BC" w:rsidRPr="00AC14BC" w:rsidRDefault="00AC14BC" w:rsidP="0072539E">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GP: General practitioner</w:t>
      </w:r>
    </w:p>
    <w:p w14:paraId="058AD065" w14:textId="77777777" w:rsidR="00AC14BC" w:rsidRPr="00AC14BC" w:rsidRDefault="00AC14BC" w:rsidP="0072539E">
      <w:pPr>
        <w:numPr>
          <w:ilvl w:val="0"/>
          <w:numId w:val="2"/>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WHO: World Health Organization</w:t>
      </w:r>
    </w:p>
    <w:p w14:paraId="1B421424" w14:textId="66FE97BE"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These terms will be used consistently to support clarity and to allow comparison across different studies and policy documents.</w:t>
      </w:r>
    </w:p>
    <w:p w14:paraId="510B6A0A"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1.3 Rationale for Research</w:t>
      </w:r>
    </w:p>
    <w:p w14:paraId="3DEFEDFB" w14:textId="2364338C"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The choice of topic reflects concern about how structural and social changes are shaping experiences of ageing in the UK. Although the health impacts of loneliness and isolation are widely discussed in public discourse, the evidence base is uneven. Many studies concentrate on self-reported loneliness</w:t>
      </w:r>
      <w:r w:rsidR="00280624" w:rsidRPr="0072539E">
        <w:rPr>
          <w:rFonts w:ascii="Arial" w:eastAsia="Times New Roman" w:hAnsi="Arial" w:cs="Arial"/>
          <w:kern w:val="0"/>
          <w:szCs w:val="22"/>
          <w:lang w:eastAsia="en-GB"/>
          <w14:ligatures w14:val="none"/>
        </w:rPr>
        <w:t xml:space="preserve"> </w:t>
      </w:r>
      <w:r w:rsidR="00280624" w:rsidRPr="0072539E">
        <w:rPr>
          <w:rFonts w:ascii="Arial" w:hAnsi="Arial" w:cs="Arial"/>
          <w:szCs w:val="22"/>
        </w:rPr>
        <w:t xml:space="preserve">(La Grow </w:t>
      </w:r>
      <w:r w:rsidR="00280624" w:rsidRPr="0072539E">
        <w:rPr>
          <w:rFonts w:ascii="Arial" w:hAnsi="Arial" w:cs="Arial"/>
          <w:i/>
          <w:iCs/>
          <w:szCs w:val="22"/>
        </w:rPr>
        <w:t>et al.</w:t>
      </w:r>
      <w:r w:rsidR="00280624" w:rsidRPr="0072539E">
        <w:rPr>
          <w:rFonts w:ascii="Arial" w:hAnsi="Arial" w:cs="Arial"/>
          <w:szCs w:val="22"/>
        </w:rPr>
        <w:t>, 2012; Richardson, 2004)</w:t>
      </w:r>
      <w:r w:rsidRPr="00AC14BC">
        <w:rPr>
          <w:rFonts w:ascii="Arial" w:eastAsia="Times New Roman" w:hAnsi="Arial" w:cs="Arial"/>
          <w:kern w:val="0"/>
          <w:szCs w:val="22"/>
          <w:lang w:eastAsia="en-GB"/>
          <w14:ligatures w14:val="none"/>
        </w:rPr>
        <w:t>, while fewer examine objective social isolation and its specific links to mental health and cognitive decline</w:t>
      </w:r>
      <w:r w:rsidR="00280624" w:rsidRPr="0072539E">
        <w:rPr>
          <w:rFonts w:ascii="Arial" w:eastAsia="Times New Roman" w:hAnsi="Arial" w:cs="Arial"/>
          <w:kern w:val="0"/>
          <w:szCs w:val="22"/>
          <w:lang w:eastAsia="en-GB"/>
          <w14:ligatures w14:val="none"/>
        </w:rPr>
        <w:t xml:space="preserve"> </w:t>
      </w:r>
      <w:r w:rsidR="00280624" w:rsidRPr="0072539E">
        <w:rPr>
          <w:rFonts w:ascii="Arial" w:hAnsi="Arial" w:cs="Arial"/>
          <w:szCs w:val="22"/>
        </w:rPr>
        <w:t>(Guarnera, Yuen and Macpherson, 2023; Zhang, Zhang and Gao, 2025)</w:t>
      </w:r>
      <w:r w:rsidRPr="00AC14BC">
        <w:rPr>
          <w:rFonts w:ascii="Arial" w:eastAsia="Times New Roman" w:hAnsi="Arial" w:cs="Arial"/>
          <w:kern w:val="0"/>
          <w:szCs w:val="22"/>
          <w:lang w:eastAsia="en-GB"/>
          <w14:ligatures w14:val="none"/>
        </w:rPr>
        <w:t>. This imbalance can lead services to rely on screening tools that capture subjective feelings but may miss people who are socially disconnected yet reluctant to report loneliness.</w:t>
      </w:r>
    </w:p>
    <w:p w14:paraId="388982B0" w14:textId="400BF4E2"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At the same time, health and social care systems are under pressure from rising demand, workforce shortages, and widening inequalities. Older adults who are socially isolated may struggle to access services, engage with preventative care, or sustain informal support networks</w:t>
      </w:r>
      <w:r w:rsidR="00A314A9" w:rsidRPr="0072539E">
        <w:rPr>
          <w:rFonts w:ascii="Arial" w:eastAsia="Times New Roman" w:hAnsi="Arial" w:cs="Arial"/>
          <w:kern w:val="0"/>
          <w:szCs w:val="22"/>
          <w:lang w:eastAsia="en-GB"/>
          <w14:ligatures w14:val="none"/>
        </w:rPr>
        <w:t xml:space="preserve"> </w:t>
      </w:r>
      <w:r w:rsidR="00A314A9" w:rsidRPr="0072539E">
        <w:rPr>
          <w:rFonts w:ascii="Arial" w:hAnsi="Arial" w:cs="Arial"/>
          <w:szCs w:val="22"/>
        </w:rPr>
        <w:t>(Lutz and Van Orden, 2020)</w:t>
      </w:r>
      <w:r w:rsidRPr="00AC14BC">
        <w:rPr>
          <w:rFonts w:ascii="Arial" w:eastAsia="Times New Roman" w:hAnsi="Arial" w:cs="Arial"/>
          <w:kern w:val="0"/>
          <w:szCs w:val="22"/>
          <w:lang w:eastAsia="en-GB"/>
          <w14:ligatures w14:val="none"/>
        </w:rPr>
        <w:t>. There has been growth in initiatives such as social prescribing, digital inclusion projects, and community-based groups, but evaluations often show mixed or modest effects. It is therefore important to review systematically what is known about the relationship between social isolation and mental health in later life, and to consider which approaches appear most promising, which groups benefit, and where there are risks of widening inequalities</w:t>
      </w:r>
      <w:r w:rsidR="00A314A9" w:rsidRPr="0072539E">
        <w:rPr>
          <w:rFonts w:ascii="Arial" w:eastAsia="Times New Roman" w:hAnsi="Arial" w:cs="Arial"/>
          <w:kern w:val="0"/>
          <w:szCs w:val="22"/>
          <w:lang w:eastAsia="en-GB"/>
          <w14:ligatures w14:val="none"/>
        </w:rPr>
        <w:t xml:space="preserve"> </w:t>
      </w:r>
      <w:r w:rsidR="00A314A9" w:rsidRPr="0072539E">
        <w:rPr>
          <w:rFonts w:ascii="Arial" w:hAnsi="Arial" w:cs="Arial"/>
          <w:szCs w:val="22"/>
        </w:rPr>
        <w:t xml:space="preserve">(La Grow </w:t>
      </w:r>
      <w:r w:rsidR="00A314A9" w:rsidRPr="0072539E">
        <w:rPr>
          <w:rFonts w:ascii="Arial" w:hAnsi="Arial" w:cs="Arial"/>
          <w:i/>
          <w:iCs/>
          <w:szCs w:val="22"/>
        </w:rPr>
        <w:t>et al.</w:t>
      </w:r>
      <w:r w:rsidR="00A314A9" w:rsidRPr="0072539E">
        <w:rPr>
          <w:rFonts w:ascii="Arial" w:hAnsi="Arial" w:cs="Arial"/>
          <w:szCs w:val="22"/>
        </w:rPr>
        <w:t>, 2012)</w:t>
      </w:r>
      <w:r w:rsidRPr="00AC14BC">
        <w:rPr>
          <w:rFonts w:ascii="Arial" w:eastAsia="Times New Roman" w:hAnsi="Arial" w:cs="Arial"/>
          <w:kern w:val="0"/>
          <w:szCs w:val="22"/>
          <w:lang w:eastAsia="en-GB"/>
          <w14:ligatures w14:val="none"/>
        </w:rPr>
        <w:t>.</w:t>
      </w:r>
    </w:p>
    <w:p w14:paraId="2EAF6F0C" w14:textId="611E740A"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lastRenderedPageBreak/>
        <w:t>There are also clear research gaps. Evidence is fragmented across disciplines, with limited synthesis that brings together quantitative, qualitative, and policy-focused work. Some groups of older adults, such as those from minority ethnic backgrounds, rural communities, or low-income households, remain under-represented in existing research</w:t>
      </w:r>
      <w:r w:rsidR="00BD7D7C" w:rsidRPr="0072539E">
        <w:rPr>
          <w:rFonts w:ascii="Arial" w:eastAsia="Times New Roman" w:hAnsi="Arial" w:cs="Arial"/>
          <w:kern w:val="0"/>
          <w:szCs w:val="22"/>
          <w:lang w:eastAsia="en-GB"/>
          <w14:ligatures w14:val="none"/>
        </w:rPr>
        <w:t xml:space="preserve"> </w:t>
      </w:r>
      <w:r w:rsidR="00BD7D7C" w:rsidRPr="0072539E">
        <w:rPr>
          <w:rFonts w:ascii="Arial" w:hAnsi="Arial" w:cs="Arial"/>
          <w:szCs w:val="22"/>
        </w:rPr>
        <w:t xml:space="preserve">(Guarnera, Yuen and Macpherson, 2023; La Grow </w:t>
      </w:r>
      <w:r w:rsidR="00BD7D7C" w:rsidRPr="0072539E">
        <w:rPr>
          <w:rFonts w:ascii="Arial" w:hAnsi="Arial" w:cs="Arial"/>
          <w:i/>
          <w:iCs/>
          <w:szCs w:val="22"/>
        </w:rPr>
        <w:t>et al.</w:t>
      </w:r>
      <w:r w:rsidR="00BD7D7C" w:rsidRPr="0072539E">
        <w:rPr>
          <w:rFonts w:ascii="Arial" w:hAnsi="Arial" w:cs="Arial"/>
          <w:szCs w:val="22"/>
        </w:rPr>
        <w:t>, 2012; Zhang, Zhang and Gao, 2025)</w:t>
      </w:r>
      <w:r w:rsidRPr="00AC14BC">
        <w:rPr>
          <w:rFonts w:ascii="Arial" w:eastAsia="Times New Roman" w:hAnsi="Arial" w:cs="Arial"/>
          <w:kern w:val="0"/>
          <w:szCs w:val="22"/>
          <w:lang w:eastAsia="en-GB"/>
          <w14:ligatures w14:val="none"/>
        </w:rPr>
        <w:t>. By focusing on social isolation rather than loneliness alone, and by examining both outcomes and interventions, this dissertation aims to address part of this gap and to inform more coherent and equitable responses.</w:t>
      </w:r>
    </w:p>
    <w:p w14:paraId="1B43F7A1"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1.4 Aim and Objectives</w:t>
      </w:r>
    </w:p>
    <w:p w14:paraId="197F8DEB"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The overall aim of this dissertation is to investigate how social isolation affects mental health in older adults (65+), drawing solely on secondary sources, and to consider its impact on physical and cognitive health.</w:t>
      </w:r>
    </w:p>
    <w:p w14:paraId="4D742D36"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The specific research objectives are:</w:t>
      </w:r>
    </w:p>
    <w:p w14:paraId="7CF75D56" w14:textId="77777777" w:rsidR="00AC14BC" w:rsidRPr="00AC14BC" w:rsidRDefault="00AC14BC" w:rsidP="0072539E">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To define and examine the concept of social isolation in older adults, distinguish it from loneliness, and summarise prevalence patterns reported in peer-reviewed studies and official reports.</w:t>
      </w:r>
    </w:p>
    <w:p w14:paraId="38C49B96" w14:textId="77777777" w:rsidR="00AC14BC" w:rsidRPr="00AC14BC" w:rsidRDefault="00AC14BC" w:rsidP="0072539E">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To analyse the relationship between mental health outcomes such as anxiety and depression and social isolation.</w:t>
      </w:r>
    </w:p>
    <w:p w14:paraId="6991A02F" w14:textId="77777777" w:rsidR="00AC14BC" w:rsidRPr="00AC14BC" w:rsidRDefault="00AC14BC" w:rsidP="0072539E">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To evaluate through a thematic analysis the effectiveness of current interventions, community programmes, and policy frameworks that aim to reduce isolation and promote mental wellbeing in older age.</w:t>
      </w:r>
    </w:p>
    <w:p w14:paraId="12BB0AFC" w14:textId="77777777" w:rsidR="00AC14BC" w:rsidRPr="00AC14BC" w:rsidRDefault="00AC14BC" w:rsidP="0072539E">
      <w:pPr>
        <w:numPr>
          <w:ilvl w:val="0"/>
          <w:numId w:val="3"/>
        </w:num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To provide recommendations for healthcare providers, policymakers, and community organisations to identify, prevent, and mitigate social isolation and improve mental health outcomes among older adults.</w:t>
      </w:r>
    </w:p>
    <w:p w14:paraId="5FAE8498"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b/>
          <w:bCs/>
          <w:kern w:val="0"/>
          <w:szCs w:val="22"/>
          <w:lang w:eastAsia="en-GB"/>
          <w14:ligatures w14:val="none"/>
        </w:rPr>
        <w:t>1.5 Conclusion</w:t>
      </w:r>
    </w:p>
    <w:p w14:paraId="45219CA0"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t>This chapter has introduced the topic of social isolation and mental health in older adults, outlined key definitions and terms, and set out the rationale, aim, and objectives for the study. It has highlighted why a focus on older adults aged 65 and over in the UK is needed, and why it is important to distinguish social isolation from loneliness and to take account of inequalities in who is most affected.</w:t>
      </w:r>
    </w:p>
    <w:p w14:paraId="3582850F" w14:textId="77777777" w:rsidR="00AC14BC" w:rsidRPr="00AC14BC" w:rsidRDefault="00AC14BC" w:rsidP="0072539E">
      <w:pPr>
        <w:spacing w:before="100" w:beforeAutospacing="1" w:after="100" w:afterAutospacing="1"/>
        <w:jc w:val="both"/>
        <w:rPr>
          <w:rFonts w:ascii="Arial" w:eastAsia="Times New Roman" w:hAnsi="Arial" w:cs="Arial"/>
          <w:kern w:val="0"/>
          <w:szCs w:val="22"/>
          <w:lang w:eastAsia="en-GB"/>
          <w14:ligatures w14:val="none"/>
        </w:rPr>
      </w:pPr>
      <w:r w:rsidRPr="00AC14BC">
        <w:rPr>
          <w:rFonts w:ascii="Arial" w:eastAsia="Times New Roman" w:hAnsi="Arial" w:cs="Arial"/>
          <w:kern w:val="0"/>
          <w:szCs w:val="22"/>
          <w:lang w:eastAsia="en-GB"/>
          <w14:ligatures w14:val="none"/>
        </w:rPr>
        <w:lastRenderedPageBreak/>
        <w:t>The next chapter will review the existing literature in more depth. It will examine how social isolation and related concepts have been defined and measured, summarise evidence on prevalence and mental health outcomes, and explore what is currently known about the effectiveness of interventions and policy responses. This provides the foundation for the later thematic analysis and for the development of evidence-informed recommendations.</w:t>
      </w:r>
    </w:p>
    <w:p w14:paraId="0CA12236" w14:textId="53B9CDAA" w:rsidR="00AF744E" w:rsidRPr="0072539E" w:rsidRDefault="00240B01" w:rsidP="0072539E">
      <w:pPr>
        <w:jc w:val="both"/>
        <w:rPr>
          <w:rFonts w:ascii="Arial" w:hAnsi="Arial" w:cs="Arial"/>
          <w:b/>
          <w:bCs/>
          <w:szCs w:val="22"/>
          <w:lang w:val="en-GB"/>
        </w:rPr>
      </w:pPr>
      <w:r w:rsidRPr="0072539E">
        <w:rPr>
          <w:rFonts w:ascii="Arial" w:hAnsi="Arial" w:cs="Arial"/>
          <w:b/>
          <w:bCs/>
          <w:szCs w:val="22"/>
          <w:lang w:val="en-GB"/>
        </w:rPr>
        <w:t>Chapter 2: Background</w:t>
      </w:r>
    </w:p>
    <w:p w14:paraId="58879464" w14:textId="77777777"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2.1 Introduction</w:t>
      </w:r>
    </w:p>
    <w:p w14:paraId="1DDEC775" w14:textId="2C5C8B1F"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This chapter provides background and context for the dissertation on social isolation and mental health in older adults in the UK. It situates the topic within wider historical, theoretical, and policy developments, and clarifies why social isolation in later life should be treated as a significant public health and social care issue rather than a purely individual problem. The chapter first outlines how understandings of ageing, social relationships, and mental health have evolved over time. It then introduces key theories and concepts that help to explain why social connections matter for psychological wellbeing and cognitive functioning in older age. Finally, it positions social isolation in both international and UK contexts, drawing attention to demographic change, inequalities, and system pressures. By mapping this broader landscape, the chapter provides a foundation for the later analysis of empirical evidence and interventions, and for the development of targeted recommendations in everyday practice.</w:t>
      </w:r>
    </w:p>
    <w:p w14:paraId="069699F1" w14:textId="77777777"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2.2 Historical Background</w:t>
      </w:r>
    </w:p>
    <w:p w14:paraId="5A9C5C22" w14:textId="370AAA7E"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Historically, social relationships in later life were often discussed in terms of family duty and community cohesion rather than as explicit determinants of health. Early gerontology in the mid-twentieth century tended to view withdrawal from social roles as a natural stage of ageing, reflected in disengagement perspectives that framed reduced participation as an adaptive response rather than a risk factor</w:t>
      </w:r>
      <w:r w:rsidR="00E80314" w:rsidRPr="0072539E">
        <w:rPr>
          <w:rFonts w:ascii="Arial" w:eastAsia="Times New Roman" w:hAnsi="Arial" w:cs="Arial"/>
          <w:kern w:val="0"/>
          <w:szCs w:val="22"/>
          <w:lang w:eastAsia="en-GB"/>
          <w14:ligatures w14:val="none"/>
        </w:rPr>
        <w:t xml:space="preserve"> </w:t>
      </w:r>
      <w:r w:rsidR="00E80314" w:rsidRPr="0072539E">
        <w:rPr>
          <w:rFonts w:ascii="Arial" w:hAnsi="Arial" w:cs="Arial"/>
          <w:szCs w:val="22"/>
        </w:rPr>
        <w:t>(Johnson and Mutchler, 2014)</w:t>
      </w:r>
      <w:r w:rsidRPr="00240B01">
        <w:rPr>
          <w:rFonts w:ascii="Arial" w:eastAsia="Times New Roman" w:hAnsi="Arial" w:cs="Arial"/>
          <w:kern w:val="0"/>
          <w:szCs w:val="22"/>
          <w:lang w:eastAsia="en-GB"/>
          <w14:ligatures w14:val="none"/>
        </w:rPr>
        <w:t>. In this context, limited contact was sometimes normalised, and mental health outcomes received relatively little attention. Older adults’ emotional distress was frequently interpreted as an inevitable consequence of ageing rather than as a potential signal of preventable social disadvantage</w:t>
      </w:r>
      <w:r w:rsidR="00E80314" w:rsidRPr="0072539E">
        <w:rPr>
          <w:rFonts w:ascii="Arial" w:eastAsia="Times New Roman" w:hAnsi="Arial" w:cs="Arial"/>
          <w:kern w:val="0"/>
          <w:szCs w:val="22"/>
          <w:lang w:eastAsia="en-GB"/>
          <w14:ligatures w14:val="none"/>
        </w:rPr>
        <w:t xml:space="preserve"> </w:t>
      </w:r>
      <w:r w:rsidR="00E80314" w:rsidRPr="0072539E">
        <w:rPr>
          <w:rFonts w:ascii="Arial" w:hAnsi="Arial" w:cs="Arial"/>
          <w:szCs w:val="22"/>
        </w:rPr>
        <w:t>(Augusto and Ivbijaro, 2013; Guarnera, Yuen and Macpherson, 2023)</w:t>
      </w:r>
      <w:r w:rsidRPr="00240B01">
        <w:rPr>
          <w:rFonts w:ascii="Arial" w:eastAsia="Times New Roman" w:hAnsi="Arial" w:cs="Arial"/>
          <w:kern w:val="0"/>
          <w:szCs w:val="22"/>
          <w:lang w:eastAsia="en-GB"/>
          <w14:ligatures w14:val="none"/>
        </w:rPr>
        <w:t>.</w:t>
      </w:r>
    </w:p>
    <w:p w14:paraId="3B877D49" w14:textId="6B4A0259"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From the 1970s onwards, longitudinal and epidemiological studies began to show that social networks and participation were associated with mortality, morbidity, and mental health outcomes</w:t>
      </w:r>
      <w:r w:rsidR="005C3210" w:rsidRPr="0072539E">
        <w:rPr>
          <w:rFonts w:ascii="Arial" w:eastAsia="Times New Roman" w:hAnsi="Arial" w:cs="Arial"/>
          <w:kern w:val="0"/>
          <w:szCs w:val="22"/>
          <w:lang w:eastAsia="en-GB"/>
          <w14:ligatures w14:val="none"/>
        </w:rPr>
        <w:t xml:space="preserve"> </w:t>
      </w:r>
      <w:r w:rsidR="005C3210" w:rsidRPr="0072539E">
        <w:rPr>
          <w:rFonts w:ascii="Arial" w:hAnsi="Arial" w:cs="Arial"/>
          <w:szCs w:val="22"/>
        </w:rPr>
        <w:t>(Greenberg, 2025)</w:t>
      </w:r>
      <w:r w:rsidRPr="00240B01">
        <w:rPr>
          <w:rFonts w:ascii="Arial" w:eastAsia="Times New Roman" w:hAnsi="Arial" w:cs="Arial"/>
          <w:kern w:val="0"/>
          <w:szCs w:val="22"/>
          <w:lang w:eastAsia="en-GB"/>
          <w14:ligatures w14:val="none"/>
        </w:rPr>
        <w:t xml:space="preserve">. </w:t>
      </w:r>
      <w:r w:rsidR="005C3210" w:rsidRPr="0072539E">
        <w:rPr>
          <w:rFonts w:ascii="Arial" w:hAnsi="Arial" w:cs="Arial"/>
          <w:szCs w:val="22"/>
        </w:rPr>
        <w:t xml:space="preserve">Lee </w:t>
      </w:r>
      <w:r w:rsidR="005C3210" w:rsidRPr="0072539E">
        <w:rPr>
          <w:rFonts w:ascii="Arial" w:hAnsi="Arial" w:cs="Arial"/>
          <w:i/>
          <w:iCs/>
          <w:szCs w:val="22"/>
        </w:rPr>
        <w:t>et al.</w:t>
      </w:r>
      <w:r w:rsidR="005C3210" w:rsidRPr="0072539E">
        <w:rPr>
          <w:rFonts w:ascii="Arial" w:hAnsi="Arial" w:cs="Arial"/>
          <w:szCs w:val="22"/>
        </w:rPr>
        <w:t xml:space="preserve"> (2019)</w:t>
      </w:r>
      <w:r w:rsidR="005C3210" w:rsidRPr="0072539E">
        <w:rPr>
          <w:rFonts w:ascii="Arial" w:eastAsia="Times New Roman" w:hAnsi="Arial" w:cs="Arial"/>
          <w:kern w:val="0"/>
          <w:szCs w:val="22"/>
          <w:lang w:eastAsia="en-GB"/>
          <w14:ligatures w14:val="none"/>
        </w:rPr>
        <w:t xml:space="preserve"> </w:t>
      </w:r>
      <w:r w:rsidRPr="00240B01">
        <w:rPr>
          <w:rFonts w:ascii="Arial" w:eastAsia="Times New Roman" w:hAnsi="Arial" w:cs="Arial"/>
          <w:kern w:val="0"/>
          <w:szCs w:val="22"/>
          <w:lang w:eastAsia="en-GB"/>
          <w14:ligatures w14:val="none"/>
        </w:rPr>
        <w:t xml:space="preserve">demonstrated that people with few social ties were more likely to experience depressive symptoms, anxiety, and poorer self-rated health. </w:t>
      </w:r>
      <w:r w:rsidRPr="00240B01">
        <w:rPr>
          <w:rFonts w:ascii="Arial" w:eastAsia="Times New Roman" w:hAnsi="Arial" w:cs="Arial"/>
          <w:kern w:val="0"/>
          <w:szCs w:val="22"/>
          <w:lang w:eastAsia="en-GB"/>
          <w14:ligatures w14:val="none"/>
        </w:rPr>
        <w:lastRenderedPageBreak/>
        <w:t>Standardised scales to measure loneliness and social networks, such as the UCLA Loneliness Scale and the Lubben Social Network Scale, were developed to provide more systematic assessment</w:t>
      </w:r>
      <w:r w:rsidR="005C3210" w:rsidRPr="0072539E">
        <w:rPr>
          <w:rFonts w:ascii="Arial" w:eastAsia="Times New Roman" w:hAnsi="Arial" w:cs="Arial"/>
          <w:kern w:val="0"/>
          <w:szCs w:val="22"/>
          <w:lang w:eastAsia="en-GB"/>
          <w14:ligatures w14:val="none"/>
        </w:rPr>
        <w:t xml:space="preserve"> </w:t>
      </w:r>
      <w:r w:rsidR="005C3210" w:rsidRPr="0072539E">
        <w:rPr>
          <w:rFonts w:ascii="Arial" w:hAnsi="Arial" w:cs="Arial"/>
          <w:szCs w:val="22"/>
        </w:rPr>
        <w:t xml:space="preserve">(Prabhu </w:t>
      </w:r>
      <w:r w:rsidR="005C3210" w:rsidRPr="0072539E">
        <w:rPr>
          <w:rFonts w:ascii="Arial" w:hAnsi="Arial" w:cs="Arial"/>
          <w:i/>
          <w:iCs/>
          <w:szCs w:val="22"/>
        </w:rPr>
        <w:t>et al.</w:t>
      </w:r>
      <w:r w:rsidR="005C3210" w:rsidRPr="0072539E">
        <w:rPr>
          <w:rFonts w:ascii="Arial" w:hAnsi="Arial" w:cs="Arial"/>
          <w:szCs w:val="22"/>
        </w:rPr>
        <w:t>, 2022)</w:t>
      </w:r>
      <w:r w:rsidRPr="00240B01">
        <w:rPr>
          <w:rFonts w:ascii="Arial" w:eastAsia="Times New Roman" w:hAnsi="Arial" w:cs="Arial"/>
          <w:kern w:val="0"/>
          <w:szCs w:val="22"/>
          <w:lang w:eastAsia="en-GB"/>
          <w14:ligatures w14:val="none"/>
        </w:rPr>
        <w:t xml:space="preserve">. However, </w:t>
      </w:r>
      <w:r w:rsidR="005C3210" w:rsidRPr="0072539E">
        <w:rPr>
          <w:rFonts w:ascii="Arial" w:hAnsi="Arial" w:cs="Arial"/>
          <w:szCs w:val="22"/>
        </w:rPr>
        <w:t xml:space="preserve">Daniel </w:t>
      </w:r>
      <w:r w:rsidR="005C3210" w:rsidRPr="0072539E">
        <w:rPr>
          <w:rFonts w:ascii="Arial" w:hAnsi="Arial" w:cs="Arial"/>
          <w:i/>
          <w:iCs/>
          <w:szCs w:val="22"/>
        </w:rPr>
        <w:t>et al.</w:t>
      </w:r>
      <w:r w:rsidR="005C3210" w:rsidRPr="0072539E">
        <w:rPr>
          <w:rFonts w:ascii="Arial" w:hAnsi="Arial" w:cs="Arial"/>
          <w:szCs w:val="22"/>
        </w:rPr>
        <w:t xml:space="preserve"> (2023)</w:t>
      </w:r>
      <w:r w:rsidR="005C3210" w:rsidRPr="0072539E">
        <w:rPr>
          <w:rFonts w:ascii="Arial" w:eastAsia="Times New Roman" w:hAnsi="Arial" w:cs="Arial"/>
          <w:kern w:val="0"/>
          <w:szCs w:val="22"/>
          <w:lang w:eastAsia="en-GB"/>
          <w14:ligatures w14:val="none"/>
        </w:rPr>
        <w:t xml:space="preserve"> argue that </w:t>
      </w:r>
      <w:r w:rsidRPr="00240B01">
        <w:rPr>
          <w:rFonts w:ascii="Arial" w:eastAsia="Times New Roman" w:hAnsi="Arial" w:cs="Arial"/>
          <w:kern w:val="0"/>
          <w:szCs w:val="22"/>
          <w:lang w:eastAsia="en-GB"/>
          <w14:ligatures w14:val="none"/>
        </w:rPr>
        <w:t>these measures often blurred the distinction between objective isolation and subjective loneliness, which complicates interpretation of trends and intervention effects.</w:t>
      </w:r>
    </w:p>
    <w:p w14:paraId="57DE39CD" w14:textId="42EF8D9F"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In the 1990s and 2000s, policy interest in successful or active ageing grew, linking continued engagement in social, economic, and civic life with better health and reduced service use</w:t>
      </w:r>
      <w:r w:rsidR="007F3A40" w:rsidRPr="0072539E">
        <w:rPr>
          <w:rFonts w:ascii="Arial" w:eastAsia="Times New Roman" w:hAnsi="Arial" w:cs="Arial"/>
          <w:kern w:val="0"/>
          <w:szCs w:val="22"/>
          <w:lang w:eastAsia="en-GB"/>
          <w14:ligatures w14:val="none"/>
        </w:rPr>
        <w:t xml:space="preserve"> </w:t>
      </w:r>
      <w:r w:rsidR="00E40EE9" w:rsidRPr="0072539E">
        <w:rPr>
          <w:rFonts w:ascii="Arial" w:hAnsi="Arial" w:cs="Arial"/>
          <w:szCs w:val="22"/>
        </w:rPr>
        <w:t xml:space="preserve">(Del Barrio </w:t>
      </w:r>
      <w:r w:rsidR="00E40EE9" w:rsidRPr="0072539E">
        <w:rPr>
          <w:rFonts w:ascii="Arial" w:hAnsi="Arial" w:cs="Arial"/>
          <w:i/>
          <w:iCs/>
          <w:szCs w:val="22"/>
        </w:rPr>
        <w:t>et al.</w:t>
      </w:r>
      <w:r w:rsidR="00E40EE9" w:rsidRPr="0072539E">
        <w:rPr>
          <w:rFonts w:ascii="Arial" w:hAnsi="Arial" w:cs="Arial"/>
          <w:szCs w:val="22"/>
        </w:rPr>
        <w:t>, 2018)</w:t>
      </w:r>
      <w:r w:rsidRPr="00240B01">
        <w:rPr>
          <w:rFonts w:ascii="Arial" w:eastAsia="Times New Roman" w:hAnsi="Arial" w:cs="Arial"/>
          <w:kern w:val="0"/>
          <w:szCs w:val="22"/>
          <w:lang w:eastAsia="en-GB"/>
          <w14:ligatures w14:val="none"/>
        </w:rPr>
        <w:t>. International bodies such as the World Health Organization promoted age-friendly cities and communities, and highlighted social participation as a key pillar of healthy ageing. At the same time, demographic ageing and rising costs of long-term care brought questions of independence, informal caregiving, and community support to the foreground</w:t>
      </w:r>
      <w:r w:rsidR="00E40EE9" w:rsidRPr="0072539E">
        <w:rPr>
          <w:rFonts w:ascii="Arial" w:eastAsia="Times New Roman" w:hAnsi="Arial" w:cs="Arial"/>
          <w:kern w:val="0"/>
          <w:szCs w:val="22"/>
          <w:lang w:eastAsia="en-GB"/>
          <w14:ligatures w14:val="none"/>
        </w:rPr>
        <w:t xml:space="preserve"> </w:t>
      </w:r>
      <w:r w:rsidR="00E40EE9" w:rsidRPr="0072539E">
        <w:rPr>
          <w:rFonts w:ascii="Arial" w:hAnsi="Arial" w:cs="Arial"/>
          <w:szCs w:val="22"/>
        </w:rPr>
        <w:t xml:space="preserve">(Rudnicka </w:t>
      </w:r>
      <w:r w:rsidR="00E40EE9" w:rsidRPr="0072539E">
        <w:rPr>
          <w:rFonts w:ascii="Arial" w:hAnsi="Arial" w:cs="Arial"/>
          <w:i/>
          <w:iCs/>
          <w:szCs w:val="22"/>
        </w:rPr>
        <w:t>et al.</w:t>
      </w:r>
      <w:r w:rsidR="00E40EE9" w:rsidRPr="0072539E">
        <w:rPr>
          <w:rFonts w:ascii="Arial" w:hAnsi="Arial" w:cs="Arial"/>
          <w:szCs w:val="22"/>
        </w:rPr>
        <w:t>, 2020)</w:t>
      </w:r>
      <w:r w:rsidRPr="00240B01">
        <w:rPr>
          <w:rFonts w:ascii="Arial" w:eastAsia="Times New Roman" w:hAnsi="Arial" w:cs="Arial"/>
          <w:kern w:val="0"/>
          <w:szCs w:val="22"/>
          <w:lang w:eastAsia="en-GB"/>
          <w14:ligatures w14:val="none"/>
        </w:rPr>
        <w:t>. Yet much of this discourse risked placing responsibility on older individuals to remain active, with less focus on structural barriers such as poverty, transport, housing, and discrimination</w:t>
      </w:r>
      <w:r w:rsidR="00E40EE9" w:rsidRPr="0072539E">
        <w:rPr>
          <w:rFonts w:ascii="Arial" w:eastAsia="Times New Roman" w:hAnsi="Arial" w:cs="Arial"/>
          <w:kern w:val="0"/>
          <w:szCs w:val="22"/>
          <w:lang w:eastAsia="en-GB"/>
          <w14:ligatures w14:val="none"/>
        </w:rPr>
        <w:t xml:space="preserve"> </w:t>
      </w:r>
      <w:r w:rsidR="00E40EE9" w:rsidRPr="0072539E">
        <w:rPr>
          <w:rFonts w:ascii="Arial" w:hAnsi="Arial" w:cs="Arial"/>
          <w:szCs w:val="22"/>
        </w:rPr>
        <w:t>(Richardson, 2004)</w:t>
      </w:r>
      <w:r w:rsidRPr="00240B01">
        <w:rPr>
          <w:rFonts w:ascii="Arial" w:eastAsia="Times New Roman" w:hAnsi="Arial" w:cs="Arial"/>
          <w:kern w:val="0"/>
          <w:szCs w:val="22"/>
          <w:lang w:eastAsia="en-GB"/>
          <w14:ligatures w14:val="none"/>
        </w:rPr>
        <w:t>.</w:t>
      </w:r>
    </w:p>
    <w:p w14:paraId="08815EB5" w14:textId="13518E72"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Over the last decade, public and political attention to loneliness and social isolation has intensified, particularly in high-income countries. Media narratives have described a loneliness epidemic, and high-profile campaigns by charities and advocacy organisations have pushed the issue up the agenda</w:t>
      </w:r>
      <w:r w:rsidR="00E40EE9" w:rsidRPr="0072539E">
        <w:rPr>
          <w:rFonts w:ascii="Arial" w:eastAsia="Times New Roman" w:hAnsi="Arial" w:cs="Arial"/>
          <w:kern w:val="0"/>
          <w:szCs w:val="22"/>
          <w:lang w:eastAsia="en-GB"/>
          <w14:ligatures w14:val="none"/>
        </w:rPr>
        <w:t xml:space="preserve"> </w:t>
      </w:r>
      <w:r w:rsidR="00E40EE9" w:rsidRPr="0072539E">
        <w:rPr>
          <w:rFonts w:ascii="Arial" w:hAnsi="Arial" w:cs="Arial"/>
          <w:szCs w:val="22"/>
        </w:rPr>
        <w:t>(Jeste, Lee and Cacioppo, 2020)</w:t>
      </w:r>
      <w:r w:rsidRPr="00240B01">
        <w:rPr>
          <w:rFonts w:ascii="Arial" w:eastAsia="Times New Roman" w:hAnsi="Arial" w:cs="Arial"/>
          <w:kern w:val="0"/>
          <w:szCs w:val="22"/>
          <w:lang w:eastAsia="en-GB"/>
          <w14:ligatures w14:val="none"/>
        </w:rPr>
        <w:t>. In the UK, governments have begun to frame social connection as a public health priority and to invest in interventions such as social prescribing and community connectors. The COVID-19 pandemic further exposed how restrictions, shielding policies, and service disruptions could sharply increase isolation for older adults, while also stimulating rapid experimentation with remote and digital forms of support. These developments have shaped the current landscape in which social isolation is increasingly recognised as a modifiable risk factor for poor mental health, but where evidence on effective responses remains uneven and sometimes contradictory. This trajectory underlines the need for synthesis on older adults’ health</w:t>
      </w:r>
      <w:r w:rsidR="00E40EE9" w:rsidRPr="0072539E">
        <w:rPr>
          <w:rFonts w:ascii="Arial" w:eastAsia="Times New Roman" w:hAnsi="Arial" w:cs="Arial"/>
          <w:kern w:val="0"/>
          <w:szCs w:val="22"/>
          <w:lang w:eastAsia="en-GB"/>
          <w14:ligatures w14:val="none"/>
        </w:rPr>
        <w:t xml:space="preserve"> </w:t>
      </w:r>
      <w:r w:rsidR="00E40EE9" w:rsidRPr="0072539E">
        <w:rPr>
          <w:rFonts w:ascii="Arial" w:hAnsi="Arial" w:cs="Arial"/>
          <w:szCs w:val="22"/>
        </w:rPr>
        <w:t>(Department of Health and Social Care, 2022)</w:t>
      </w:r>
      <w:r w:rsidRPr="00240B01">
        <w:rPr>
          <w:rFonts w:ascii="Arial" w:eastAsia="Times New Roman" w:hAnsi="Arial" w:cs="Arial"/>
          <w:kern w:val="0"/>
          <w:szCs w:val="22"/>
          <w:lang w:eastAsia="en-GB"/>
          <w14:ligatures w14:val="none"/>
        </w:rPr>
        <w:t>.</w:t>
      </w:r>
    </w:p>
    <w:p w14:paraId="661B0DD5" w14:textId="77777777"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2.3 Theoretical Background</w:t>
      </w:r>
    </w:p>
    <w:p w14:paraId="36EE9A8B" w14:textId="6F0BDCD6"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Several theoretical perspectives help to explain why social isolation in later life is linked to mental health outcomes and why some older adults are more exposed than others. The first is the biopsychosocial model of health, which states that biological, psychological, and social factors interact to shape health and illness. Applied to older adults, this model suggests that age-related physical changes, patterns of thinking, and social environments combine to influence depression, anxiety, and cognitive decline</w:t>
      </w:r>
      <w:r w:rsidR="00CE3A79" w:rsidRPr="0072539E">
        <w:rPr>
          <w:rFonts w:ascii="Arial" w:eastAsia="Times New Roman" w:hAnsi="Arial" w:cs="Arial"/>
          <w:kern w:val="0"/>
          <w:szCs w:val="22"/>
          <w:lang w:eastAsia="en-GB"/>
          <w14:ligatures w14:val="none"/>
        </w:rPr>
        <w:t xml:space="preserve"> </w:t>
      </w:r>
      <w:r w:rsidR="00CE3A79" w:rsidRPr="0072539E">
        <w:rPr>
          <w:rFonts w:ascii="Arial" w:hAnsi="Arial" w:cs="Arial"/>
          <w:szCs w:val="22"/>
        </w:rPr>
        <w:t>(Lehman, David and Gruber, 2017)</w:t>
      </w:r>
      <w:r w:rsidRPr="00240B01">
        <w:rPr>
          <w:rFonts w:ascii="Arial" w:eastAsia="Times New Roman" w:hAnsi="Arial" w:cs="Arial"/>
          <w:kern w:val="0"/>
          <w:szCs w:val="22"/>
          <w:lang w:eastAsia="en-GB"/>
          <w14:ligatures w14:val="none"/>
        </w:rPr>
        <w:t xml:space="preserve">. </w:t>
      </w:r>
      <w:r w:rsidRPr="00240B01">
        <w:rPr>
          <w:rFonts w:ascii="Arial" w:eastAsia="Times New Roman" w:hAnsi="Arial" w:cs="Arial"/>
          <w:kern w:val="0"/>
          <w:szCs w:val="22"/>
          <w:lang w:eastAsia="en-GB"/>
          <w14:ligatures w14:val="none"/>
        </w:rPr>
        <w:lastRenderedPageBreak/>
        <w:t>Research using this framework shows that social isolation can act both as a stressor and as a barrier to protective resources, for example by reducing access to practical help, emotional support, and health information. Studies of older adults with chronic conditions use biopsychosocial thinking to show how limited mobility, low mood, and restricted social networks reinforce one another and create cycles of withdrawal and worsening mental health</w:t>
      </w:r>
      <w:r w:rsidR="00CE3A79" w:rsidRPr="0072539E">
        <w:rPr>
          <w:rFonts w:ascii="Arial" w:eastAsia="Times New Roman" w:hAnsi="Arial" w:cs="Arial"/>
          <w:kern w:val="0"/>
          <w:szCs w:val="22"/>
          <w:lang w:eastAsia="en-GB"/>
          <w14:ligatures w14:val="none"/>
        </w:rPr>
        <w:t xml:space="preserve"> </w:t>
      </w:r>
      <w:r w:rsidR="00CE3A79" w:rsidRPr="0072539E">
        <w:rPr>
          <w:rFonts w:ascii="Arial" w:hAnsi="Arial" w:cs="Arial"/>
          <w:szCs w:val="22"/>
        </w:rPr>
        <w:t xml:space="preserve">(Jiang, Shi and Liu, 2025; White </w:t>
      </w:r>
      <w:r w:rsidR="00CE3A79" w:rsidRPr="0072539E">
        <w:rPr>
          <w:rFonts w:ascii="Arial" w:hAnsi="Arial" w:cs="Arial"/>
          <w:i/>
          <w:iCs/>
          <w:szCs w:val="22"/>
        </w:rPr>
        <w:t>et al.</w:t>
      </w:r>
      <w:r w:rsidR="00CE3A79" w:rsidRPr="0072539E">
        <w:rPr>
          <w:rFonts w:ascii="Arial" w:hAnsi="Arial" w:cs="Arial"/>
          <w:szCs w:val="22"/>
        </w:rPr>
        <w:t>, 2023)</w:t>
      </w:r>
      <w:r w:rsidRPr="00240B01">
        <w:rPr>
          <w:rFonts w:ascii="Arial" w:eastAsia="Times New Roman" w:hAnsi="Arial" w:cs="Arial"/>
          <w:kern w:val="0"/>
          <w:szCs w:val="22"/>
          <w:lang w:eastAsia="en-GB"/>
          <w14:ligatures w14:val="none"/>
        </w:rPr>
        <w:t>.</w:t>
      </w:r>
    </w:p>
    <w:p w14:paraId="7AAB8B21" w14:textId="0F54E4FE"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A second relevant theory is socioemotional selectivity theory, which argues that as people age and perceive time as more limited, they prioritise emotionally meaningful relationships and activities over expanding their social networks</w:t>
      </w:r>
      <w:r w:rsidR="00B3689A" w:rsidRPr="0072539E">
        <w:rPr>
          <w:rFonts w:ascii="Arial" w:eastAsia="Times New Roman" w:hAnsi="Arial" w:cs="Arial"/>
          <w:kern w:val="0"/>
          <w:szCs w:val="22"/>
          <w:lang w:eastAsia="en-GB"/>
          <w14:ligatures w14:val="none"/>
        </w:rPr>
        <w:t xml:space="preserve"> </w:t>
      </w:r>
      <w:r w:rsidR="00DF4FBB" w:rsidRPr="0072539E">
        <w:rPr>
          <w:rFonts w:ascii="Arial" w:hAnsi="Arial" w:cs="Arial"/>
          <w:szCs w:val="22"/>
        </w:rPr>
        <w:t>(Carstensen, 2021)</w:t>
      </w:r>
      <w:r w:rsidRPr="00240B01">
        <w:rPr>
          <w:rFonts w:ascii="Arial" w:eastAsia="Times New Roman" w:hAnsi="Arial" w:cs="Arial"/>
          <w:kern w:val="0"/>
          <w:szCs w:val="22"/>
          <w:lang w:eastAsia="en-GB"/>
          <w14:ligatures w14:val="none"/>
        </w:rPr>
        <w:t>. From this perspective, smaller networks in older age are not automatically negative; they may reflect selective investment in close ties. Empirical studies draw on this theory when interpreting findings that some older adults with few contacts report high satisfaction and low loneliness, while others with similar network size experience significant distress. The theory encourages practitioners to differentiate between chosen solitude and enforced disconnection, and to focus on relationship quality as well as frequency of contact when assessing mental health risks associated with social isolation</w:t>
      </w:r>
      <w:r w:rsidR="00DF4FBB" w:rsidRPr="0072539E">
        <w:rPr>
          <w:rFonts w:ascii="Arial" w:eastAsia="Times New Roman" w:hAnsi="Arial" w:cs="Arial"/>
          <w:kern w:val="0"/>
          <w:szCs w:val="22"/>
          <w:lang w:eastAsia="en-GB"/>
          <w14:ligatures w14:val="none"/>
        </w:rPr>
        <w:t xml:space="preserve"> </w:t>
      </w:r>
      <w:r w:rsidR="00DF4FBB" w:rsidRPr="0072539E">
        <w:rPr>
          <w:rFonts w:ascii="Arial" w:hAnsi="Arial" w:cs="Arial"/>
          <w:szCs w:val="22"/>
        </w:rPr>
        <w:t xml:space="preserve">(Simons </w:t>
      </w:r>
      <w:r w:rsidR="00DF4FBB" w:rsidRPr="0072539E">
        <w:rPr>
          <w:rFonts w:ascii="Arial" w:hAnsi="Arial" w:cs="Arial"/>
          <w:i/>
          <w:iCs/>
          <w:szCs w:val="22"/>
        </w:rPr>
        <w:t>et al.</w:t>
      </w:r>
      <w:r w:rsidR="00DF4FBB" w:rsidRPr="0072539E">
        <w:rPr>
          <w:rFonts w:ascii="Arial" w:hAnsi="Arial" w:cs="Arial"/>
          <w:szCs w:val="22"/>
        </w:rPr>
        <w:t>, 2022)</w:t>
      </w:r>
      <w:r w:rsidRPr="00240B01">
        <w:rPr>
          <w:rFonts w:ascii="Arial" w:eastAsia="Times New Roman" w:hAnsi="Arial" w:cs="Arial"/>
          <w:kern w:val="0"/>
          <w:szCs w:val="22"/>
          <w:lang w:eastAsia="en-GB"/>
          <w14:ligatures w14:val="none"/>
        </w:rPr>
        <w:t>.</w:t>
      </w:r>
    </w:p>
    <w:p w14:paraId="22055984" w14:textId="2FB5B1CA"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Alongside these theories, the concept of social determinants of health is central to this dissertation. It emphasises that health and wellbeing are shaped by social and economic conditions, including income, housing, transport, and access to services</w:t>
      </w:r>
      <w:r w:rsidR="00C97E2B" w:rsidRPr="0072539E">
        <w:rPr>
          <w:rFonts w:ascii="Arial" w:eastAsia="Times New Roman" w:hAnsi="Arial" w:cs="Arial"/>
          <w:kern w:val="0"/>
          <w:szCs w:val="22"/>
          <w:lang w:eastAsia="en-GB"/>
          <w14:ligatures w14:val="none"/>
        </w:rPr>
        <w:t xml:space="preserve"> </w:t>
      </w:r>
      <w:r w:rsidR="00C97E2B" w:rsidRPr="0072539E">
        <w:rPr>
          <w:rFonts w:ascii="Arial" w:hAnsi="Arial" w:cs="Arial"/>
          <w:szCs w:val="22"/>
        </w:rPr>
        <w:t>(Chelak and Chakole, 2023)</w:t>
      </w:r>
      <w:r w:rsidRPr="00240B01">
        <w:rPr>
          <w:rFonts w:ascii="Arial" w:eastAsia="Times New Roman" w:hAnsi="Arial" w:cs="Arial"/>
          <w:kern w:val="0"/>
          <w:szCs w:val="22"/>
          <w:lang w:eastAsia="en-GB"/>
          <w14:ligatures w14:val="none"/>
        </w:rPr>
        <w:t>. Applied to social isolation in older adults, it directs attention away from individual failings and towards structural factors that limit opportunities for connection, such as inaccessible public spaces or lack of affordable social activities. Research informed by this concept examines how neighbourhood disadvantage, rural location, ethnicity, and gender intersect to produce unequal patterns of isolation and mental health outcomes in later life</w:t>
      </w:r>
      <w:r w:rsidR="00C97E2B" w:rsidRPr="0072539E">
        <w:rPr>
          <w:rFonts w:ascii="Arial" w:eastAsia="Times New Roman" w:hAnsi="Arial" w:cs="Arial"/>
          <w:kern w:val="0"/>
          <w:szCs w:val="22"/>
          <w:lang w:eastAsia="en-GB"/>
          <w14:ligatures w14:val="none"/>
        </w:rPr>
        <w:t xml:space="preserve"> </w:t>
      </w:r>
      <w:r w:rsidR="00C97E2B" w:rsidRPr="0072539E">
        <w:rPr>
          <w:rFonts w:ascii="Arial" w:hAnsi="Arial" w:cs="Arial"/>
          <w:szCs w:val="22"/>
        </w:rPr>
        <w:t xml:space="preserve">(Del Barrio </w:t>
      </w:r>
      <w:r w:rsidR="00C97E2B" w:rsidRPr="0072539E">
        <w:rPr>
          <w:rFonts w:ascii="Arial" w:hAnsi="Arial" w:cs="Arial"/>
          <w:i/>
          <w:iCs/>
          <w:szCs w:val="22"/>
        </w:rPr>
        <w:t>et al.</w:t>
      </w:r>
      <w:r w:rsidR="00C97E2B" w:rsidRPr="0072539E">
        <w:rPr>
          <w:rFonts w:ascii="Arial" w:hAnsi="Arial" w:cs="Arial"/>
          <w:szCs w:val="22"/>
        </w:rPr>
        <w:t>, 2018)</w:t>
      </w:r>
      <w:r w:rsidRPr="00240B01">
        <w:rPr>
          <w:rFonts w:ascii="Arial" w:eastAsia="Times New Roman" w:hAnsi="Arial" w:cs="Arial"/>
          <w:kern w:val="0"/>
          <w:szCs w:val="22"/>
          <w:lang w:eastAsia="en-GB"/>
          <w14:ligatures w14:val="none"/>
        </w:rPr>
        <w:t>.</w:t>
      </w:r>
    </w:p>
    <w:p w14:paraId="4247DF6A" w14:textId="2269D0EA" w:rsidR="00240B01" w:rsidRPr="00240B01" w:rsidRDefault="00240B01" w:rsidP="0072539E">
      <w:pPr>
        <w:spacing w:before="100" w:beforeAutospacing="1" w:after="100" w:afterAutospacing="1"/>
        <w:jc w:val="both"/>
        <w:rPr>
          <w:rFonts w:ascii="Arial" w:eastAsia="Times New Roman" w:hAnsi="Arial" w:cs="Arial"/>
          <w:kern w:val="0"/>
          <w:szCs w:val="22"/>
          <w:lang w:eastAsia="en-GB"/>
          <w14:ligatures w14:val="none"/>
        </w:rPr>
      </w:pPr>
      <w:r w:rsidRPr="00240B01">
        <w:rPr>
          <w:rFonts w:ascii="Arial" w:eastAsia="Times New Roman" w:hAnsi="Arial" w:cs="Arial"/>
          <w:kern w:val="0"/>
          <w:szCs w:val="22"/>
          <w:lang w:eastAsia="en-GB"/>
          <w14:ligatures w14:val="none"/>
        </w:rPr>
        <w:t>These perspectives have clear strengths. The biopsychosocial model supports integrated responses that combine psychological, social, and medical care</w:t>
      </w:r>
      <w:r w:rsidR="005F25C2" w:rsidRPr="0072539E">
        <w:rPr>
          <w:rFonts w:ascii="Arial" w:eastAsia="Times New Roman" w:hAnsi="Arial" w:cs="Arial"/>
          <w:kern w:val="0"/>
          <w:szCs w:val="22"/>
          <w:lang w:eastAsia="en-GB"/>
          <w14:ligatures w14:val="none"/>
        </w:rPr>
        <w:t xml:space="preserve"> </w:t>
      </w:r>
      <w:r w:rsidR="005F25C2" w:rsidRPr="0072539E">
        <w:rPr>
          <w:rFonts w:ascii="Arial" w:hAnsi="Arial" w:cs="Arial"/>
          <w:szCs w:val="22"/>
        </w:rPr>
        <w:t>(Lehman, David and Gruber, 2017)</w:t>
      </w:r>
      <w:r w:rsidRPr="00240B01">
        <w:rPr>
          <w:rFonts w:ascii="Arial" w:eastAsia="Times New Roman" w:hAnsi="Arial" w:cs="Arial"/>
          <w:kern w:val="0"/>
          <w:szCs w:val="22"/>
          <w:lang w:eastAsia="en-GB"/>
          <w14:ligatures w14:val="none"/>
        </w:rPr>
        <w:t>. Socioemotional selectivity theory guards against the assumption that larger networks are always better and highlights the relevance of older adults’ priorities</w:t>
      </w:r>
      <w:r w:rsidR="005F25C2" w:rsidRPr="0072539E">
        <w:rPr>
          <w:rFonts w:ascii="Arial" w:eastAsia="Times New Roman" w:hAnsi="Arial" w:cs="Arial"/>
          <w:kern w:val="0"/>
          <w:szCs w:val="22"/>
          <w:lang w:eastAsia="en-GB"/>
          <w14:ligatures w14:val="none"/>
        </w:rPr>
        <w:t xml:space="preserve"> </w:t>
      </w:r>
      <w:r w:rsidR="005F25C2" w:rsidRPr="0072539E">
        <w:rPr>
          <w:rFonts w:ascii="Arial" w:hAnsi="Arial" w:cs="Arial"/>
          <w:szCs w:val="22"/>
        </w:rPr>
        <w:t xml:space="preserve">(Simons </w:t>
      </w:r>
      <w:r w:rsidR="005F25C2" w:rsidRPr="0072539E">
        <w:rPr>
          <w:rFonts w:ascii="Arial" w:hAnsi="Arial" w:cs="Arial"/>
          <w:i/>
          <w:iCs/>
          <w:szCs w:val="22"/>
        </w:rPr>
        <w:t>et al.</w:t>
      </w:r>
      <w:r w:rsidR="005F25C2" w:rsidRPr="0072539E">
        <w:rPr>
          <w:rFonts w:ascii="Arial" w:hAnsi="Arial" w:cs="Arial"/>
          <w:szCs w:val="22"/>
        </w:rPr>
        <w:t>, 2022)</w:t>
      </w:r>
      <w:r w:rsidRPr="00240B01">
        <w:rPr>
          <w:rFonts w:ascii="Arial" w:eastAsia="Times New Roman" w:hAnsi="Arial" w:cs="Arial"/>
          <w:kern w:val="0"/>
          <w:szCs w:val="22"/>
          <w:lang w:eastAsia="en-GB"/>
          <w14:ligatures w14:val="none"/>
        </w:rPr>
        <w:t>. The social determinants concept foregrounds equity and helps to justify action on housing and local infrastructure as part of mental health strategy</w:t>
      </w:r>
      <w:r w:rsidR="005F25C2" w:rsidRPr="0072539E">
        <w:rPr>
          <w:rFonts w:ascii="Arial" w:eastAsia="Times New Roman" w:hAnsi="Arial" w:cs="Arial"/>
          <w:kern w:val="0"/>
          <w:szCs w:val="22"/>
          <w:lang w:eastAsia="en-GB"/>
          <w14:ligatures w14:val="none"/>
        </w:rPr>
        <w:t xml:space="preserve"> </w:t>
      </w:r>
      <w:r w:rsidR="005F25C2" w:rsidRPr="0072539E">
        <w:rPr>
          <w:rFonts w:ascii="Arial" w:hAnsi="Arial" w:cs="Arial"/>
          <w:szCs w:val="22"/>
        </w:rPr>
        <w:t>(Lutz and Van Orden, 2020)</w:t>
      </w:r>
      <w:r w:rsidRPr="00240B01">
        <w:rPr>
          <w:rFonts w:ascii="Arial" w:eastAsia="Times New Roman" w:hAnsi="Arial" w:cs="Arial"/>
          <w:kern w:val="0"/>
          <w:szCs w:val="22"/>
          <w:lang w:eastAsia="en-GB"/>
          <w14:ligatures w14:val="none"/>
        </w:rPr>
        <w:t xml:space="preserve">. However, the biopsychosocial model can be applied in a broad way, without specifying mechanisms or giving sufficient weight to structural disadvantage. Socioemotional selectivity theory can underplay constraints caused by poverty, discrimination, or service cuts, and much evidence </w:t>
      </w:r>
      <w:r w:rsidRPr="00240B01">
        <w:rPr>
          <w:rFonts w:ascii="Arial" w:eastAsia="Times New Roman" w:hAnsi="Arial" w:cs="Arial"/>
          <w:kern w:val="0"/>
          <w:szCs w:val="22"/>
          <w:lang w:eastAsia="en-GB"/>
          <w14:ligatures w14:val="none"/>
        </w:rPr>
        <w:lastRenderedPageBreak/>
        <w:t>comes from relatively advantaged groups. The social determinants concept can be difficult to translate into specific interventions, risking a gap between rhetoric and practice</w:t>
      </w:r>
      <w:r w:rsidR="005F25C2" w:rsidRPr="0072539E">
        <w:rPr>
          <w:rFonts w:ascii="Arial" w:eastAsia="Times New Roman" w:hAnsi="Arial" w:cs="Arial"/>
          <w:kern w:val="0"/>
          <w:szCs w:val="22"/>
          <w:lang w:eastAsia="en-GB"/>
          <w14:ligatures w14:val="none"/>
        </w:rPr>
        <w:t xml:space="preserve"> </w:t>
      </w:r>
      <w:r w:rsidR="005F25C2" w:rsidRPr="0072539E">
        <w:rPr>
          <w:rFonts w:ascii="Arial" w:hAnsi="Arial" w:cs="Arial"/>
          <w:szCs w:val="22"/>
        </w:rPr>
        <w:t xml:space="preserve">(Lee </w:t>
      </w:r>
      <w:r w:rsidR="005F25C2" w:rsidRPr="0072539E">
        <w:rPr>
          <w:rFonts w:ascii="Arial" w:hAnsi="Arial" w:cs="Arial"/>
          <w:i/>
          <w:iCs/>
          <w:szCs w:val="22"/>
        </w:rPr>
        <w:t>et al.</w:t>
      </w:r>
      <w:r w:rsidR="005F25C2" w:rsidRPr="0072539E">
        <w:rPr>
          <w:rFonts w:ascii="Arial" w:hAnsi="Arial" w:cs="Arial"/>
          <w:szCs w:val="22"/>
        </w:rPr>
        <w:t>, 2019)</w:t>
      </w:r>
      <w:r w:rsidRPr="00240B01">
        <w:rPr>
          <w:rFonts w:ascii="Arial" w:eastAsia="Times New Roman" w:hAnsi="Arial" w:cs="Arial"/>
          <w:kern w:val="0"/>
          <w:szCs w:val="22"/>
          <w:lang w:eastAsia="en-GB"/>
          <w14:ligatures w14:val="none"/>
        </w:rPr>
        <w:t>. This dissertation therefore uses these theories and concepts pragmatically to interpret evidence while remaining critical and attentive to context.</w:t>
      </w:r>
    </w:p>
    <w:p w14:paraId="211EC640" w14:textId="7777777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b/>
          <w:bCs/>
          <w:kern w:val="0"/>
          <w:szCs w:val="22"/>
          <w:lang w:eastAsia="en-GB"/>
          <w14:ligatures w14:val="none"/>
        </w:rPr>
        <w:t>2.4 International Context</w:t>
      </w:r>
    </w:p>
    <w:p w14:paraId="34A8495C" w14:textId="2DC85A2E"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Globally, social isolation in older adults is increasingly recognised as a public health concern, but approaches remain uneven across regions. High-income countries with rapidly ageing populations, such as Japan, many European states, and Canada, tend to frame isolation as a risk factor for depression, anxiety, cognitive decline, and premature mortality</w:t>
      </w:r>
      <w:r w:rsidR="00F84AB4" w:rsidRPr="0072539E">
        <w:rPr>
          <w:rFonts w:ascii="Arial" w:eastAsia="Times New Roman" w:hAnsi="Arial" w:cs="Arial"/>
          <w:kern w:val="0"/>
          <w:szCs w:val="22"/>
          <w:lang w:eastAsia="en-GB"/>
          <w14:ligatures w14:val="none"/>
        </w:rPr>
        <w:t xml:space="preserve"> </w:t>
      </w:r>
      <w:r w:rsidR="00F84AB4" w:rsidRPr="0072539E">
        <w:rPr>
          <w:rFonts w:ascii="Arial" w:hAnsi="Arial" w:cs="Arial"/>
          <w:szCs w:val="22"/>
        </w:rPr>
        <w:t>(Zhang, Zhang and Gao, 2025)</w:t>
      </w:r>
      <w:r w:rsidRPr="007D44AA">
        <w:rPr>
          <w:rFonts w:ascii="Arial" w:eastAsia="Times New Roman" w:hAnsi="Arial" w:cs="Arial"/>
          <w:kern w:val="0"/>
          <w:szCs w:val="22"/>
          <w:lang w:eastAsia="en-GB"/>
          <w14:ligatures w14:val="none"/>
        </w:rPr>
        <w:t>. In some middle-income countries, priority is still given to infectious disease and basic health coverage, so isolation in later life receives less systematic attention, even when family structures are changing and migration is reducing intergenerational contact. International trends such as urbanisation, digitalisation, and rising single-person households intensify concern that older adults may lose everyday social roles and become disconnected from community life</w:t>
      </w:r>
      <w:r w:rsidR="00F84AB4" w:rsidRPr="0072539E">
        <w:rPr>
          <w:rFonts w:ascii="Arial" w:eastAsia="Times New Roman" w:hAnsi="Arial" w:cs="Arial"/>
          <w:kern w:val="0"/>
          <w:szCs w:val="22"/>
          <w:lang w:eastAsia="en-GB"/>
          <w14:ligatures w14:val="none"/>
        </w:rPr>
        <w:t xml:space="preserve"> </w:t>
      </w:r>
      <w:r w:rsidR="00F84AB4" w:rsidRPr="0072539E">
        <w:rPr>
          <w:rFonts w:ascii="Arial" w:hAnsi="Arial" w:cs="Arial"/>
          <w:szCs w:val="22"/>
        </w:rPr>
        <w:t xml:space="preserve">(Akhter-Khan </w:t>
      </w:r>
      <w:r w:rsidR="00F84AB4" w:rsidRPr="0072539E">
        <w:rPr>
          <w:rFonts w:ascii="Arial" w:hAnsi="Arial" w:cs="Arial"/>
          <w:i/>
          <w:iCs/>
          <w:szCs w:val="22"/>
        </w:rPr>
        <w:t>et al.</w:t>
      </w:r>
      <w:r w:rsidR="00F84AB4" w:rsidRPr="0072539E">
        <w:rPr>
          <w:rFonts w:ascii="Arial" w:hAnsi="Arial" w:cs="Arial"/>
          <w:szCs w:val="22"/>
        </w:rPr>
        <w:t>, 2024)</w:t>
      </w:r>
      <w:r w:rsidRPr="007D44AA">
        <w:rPr>
          <w:rFonts w:ascii="Arial" w:eastAsia="Times New Roman" w:hAnsi="Arial" w:cs="Arial"/>
          <w:kern w:val="0"/>
          <w:szCs w:val="22"/>
          <w:lang w:eastAsia="en-GB"/>
          <w14:ligatures w14:val="none"/>
        </w:rPr>
        <w:t>.</w:t>
      </w:r>
    </w:p>
    <w:p w14:paraId="70383877" w14:textId="6759FE43"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Several global initiatives now formally link social connection with healthy ageing. The World Health Organization’s healthy ageing agenda and age-friendly city frameworks encourage governments to design physical and social environments that support participation, transport access, and community engagement for older people</w:t>
      </w:r>
      <w:r w:rsidR="00502DC9" w:rsidRPr="0072539E">
        <w:rPr>
          <w:rFonts w:ascii="Arial" w:eastAsia="Times New Roman" w:hAnsi="Arial" w:cs="Arial"/>
          <w:kern w:val="0"/>
          <w:szCs w:val="22"/>
          <w:lang w:eastAsia="en-GB"/>
          <w14:ligatures w14:val="none"/>
        </w:rPr>
        <w:t xml:space="preserve"> </w:t>
      </w:r>
      <w:r w:rsidR="00502DC9" w:rsidRPr="0072539E">
        <w:rPr>
          <w:rFonts w:ascii="Arial" w:hAnsi="Arial" w:cs="Arial"/>
          <w:szCs w:val="22"/>
        </w:rPr>
        <w:t>(World Health Organization, 2022)</w:t>
      </w:r>
      <w:r w:rsidRPr="007D44AA">
        <w:rPr>
          <w:rFonts w:ascii="Arial" w:eastAsia="Times New Roman" w:hAnsi="Arial" w:cs="Arial"/>
          <w:kern w:val="0"/>
          <w:szCs w:val="22"/>
          <w:lang w:eastAsia="en-GB"/>
          <w14:ligatures w14:val="none"/>
        </w:rPr>
        <w:t>. Non-governmental organisations have also launched campaigns to reduce stigma around loneliness and to promote community-based responses. However, much of this activity still focuses on loneliness narratives rather than on structural isolation and its mental health implications, which limits its usefulness for older adults who are disconnected but may not self-identify as lonely</w:t>
      </w:r>
      <w:r w:rsidR="00502DC9" w:rsidRPr="0072539E">
        <w:rPr>
          <w:rFonts w:ascii="Arial" w:eastAsia="Times New Roman" w:hAnsi="Arial" w:cs="Arial"/>
          <w:kern w:val="0"/>
          <w:szCs w:val="22"/>
          <w:lang w:eastAsia="en-GB"/>
          <w14:ligatures w14:val="none"/>
        </w:rPr>
        <w:t xml:space="preserve"> </w:t>
      </w:r>
      <w:r w:rsidR="00502DC9" w:rsidRPr="0072539E">
        <w:rPr>
          <w:rFonts w:ascii="Arial" w:hAnsi="Arial" w:cs="Arial"/>
          <w:szCs w:val="22"/>
        </w:rPr>
        <w:t xml:space="preserve">(White </w:t>
      </w:r>
      <w:r w:rsidR="00502DC9" w:rsidRPr="0072539E">
        <w:rPr>
          <w:rFonts w:ascii="Arial" w:hAnsi="Arial" w:cs="Arial"/>
          <w:i/>
          <w:iCs/>
          <w:szCs w:val="22"/>
        </w:rPr>
        <w:t>et al.</w:t>
      </w:r>
      <w:r w:rsidR="00502DC9" w:rsidRPr="0072539E">
        <w:rPr>
          <w:rFonts w:ascii="Arial" w:hAnsi="Arial" w:cs="Arial"/>
          <w:szCs w:val="22"/>
        </w:rPr>
        <w:t>, 2023)</w:t>
      </w:r>
      <w:r w:rsidRPr="007D44AA">
        <w:rPr>
          <w:rFonts w:ascii="Arial" w:eastAsia="Times New Roman" w:hAnsi="Arial" w:cs="Arial"/>
          <w:kern w:val="0"/>
          <w:szCs w:val="22"/>
          <w:lang w:eastAsia="en-GB"/>
          <w14:ligatures w14:val="none"/>
        </w:rPr>
        <w:t>.</w:t>
      </w:r>
    </w:p>
    <w:p w14:paraId="37DB166E" w14:textId="7777777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b/>
          <w:bCs/>
          <w:kern w:val="0"/>
          <w:szCs w:val="22"/>
          <w:lang w:eastAsia="en-GB"/>
          <w14:ligatures w14:val="none"/>
        </w:rPr>
        <w:t>2.5 National/Local UK Context</w:t>
      </w:r>
    </w:p>
    <w:p w14:paraId="6AF854B2" w14:textId="530352E2"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 xml:space="preserve">Within the UK, social isolation and loneliness among older adults have moved from being seen as private misfortunes to being framed as issues of public policy and population health. Government reports, parliamentary inquiries, and media coverage have drawn attention to links between isolation, depression, anxiety, and increased health and social care utilisation. National debates frequently connect isolation with pressures on the National Health Service and social care, arguing that earlier, community-based action could reduce crisis presentations and delay institutionalisation. At the same time, there is concern that policy rhetoric sometimes oversimplifies complex experiences and underestimates structural drivers </w:t>
      </w:r>
      <w:r w:rsidRPr="007D44AA">
        <w:rPr>
          <w:rFonts w:ascii="Arial" w:eastAsia="Times New Roman" w:hAnsi="Arial" w:cs="Arial"/>
          <w:kern w:val="0"/>
          <w:szCs w:val="22"/>
          <w:lang w:eastAsia="en-GB"/>
          <w14:ligatures w14:val="none"/>
        </w:rPr>
        <w:lastRenderedPageBreak/>
        <w:t>such as poverty, housing insecurity, and reduced local services</w:t>
      </w:r>
      <w:r w:rsidR="00156662" w:rsidRPr="0072539E">
        <w:rPr>
          <w:rFonts w:ascii="Arial" w:eastAsia="Times New Roman" w:hAnsi="Arial" w:cs="Arial"/>
          <w:kern w:val="0"/>
          <w:szCs w:val="22"/>
          <w:lang w:eastAsia="en-GB"/>
          <w14:ligatures w14:val="none"/>
        </w:rPr>
        <w:t xml:space="preserve"> </w:t>
      </w:r>
      <w:r w:rsidR="00156662" w:rsidRPr="0072539E">
        <w:rPr>
          <w:rFonts w:ascii="Arial" w:hAnsi="Arial" w:cs="Arial"/>
          <w:szCs w:val="22"/>
        </w:rPr>
        <w:t xml:space="preserve">(De Koning, Stathi and Richards, 2016; Robb </w:t>
      </w:r>
      <w:r w:rsidR="00156662" w:rsidRPr="0072539E">
        <w:rPr>
          <w:rFonts w:ascii="Arial" w:hAnsi="Arial" w:cs="Arial"/>
          <w:i/>
          <w:iCs/>
          <w:szCs w:val="22"/>
        </w:rPr>
        <w:t>et al.</w:t>
      </w:r>
      <w:r w:rsidR="00156662" w:rsidRPr="0072539E">
        <w:rPr>
          <w:rFonts w:ascii="Arial" w:hAnsi="Arial" w:cs="Arial"/>
          <w:szCs w:val="22"/>
        </w:rPr>
        <w:t>, 2020)</w:t>
      </w:r>
      <w:r w:rsidRPr="007D44AA">
        <w:rPr>
          <w:rFonts w:ascii="Arial" w:eastAsia="Times New Roman" w:hAnsi="Arial" w:cs="Arial"/>
          <w:kern w:val="0"/>
          <w:szCs w:val="22"/>
          <w:lang w:eastAsia="en-GB"/>
          <w14:ligatures w14:val="none"/>
        </w:rPr>
        <w:t>.</w:t>
      </w:r>
    </w:p>
    <w:p w14:paraId="53D62F97" w14:textId="165F3624"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Key UK policies acknowledge the need to tackle isolation. The national loneliness strategy and related action plans encourage cross-government collaboration, support for community organisations, and improved measurement of loneliness</w:t>
      </w:r>
      <w:r w:rsidR="002F51C8" w:rsidRPr="0072539E">
        <w:rPr>
          <w:rFonts w:ascii="Arial" w:eastAsia="Times New Roman" w:hAnsi="Arial" w:cs="Arial"/>
          <w:kern w:val="0"/>
          <w:szCs w:val="22"/>
          <w:lang w:eastAsia="en-GB"/>
          <w14:ligatures w14:val="none"/>
        </w:rPr>
        <w:t xml:space="preserve"> </w:t>
      </w:r>
      <w:r w:rsidR="002F51C8" w:rsidRPr="0072539E">
        <w:rPr>
          <w:rFonts w:ascii="Arial" w:hAnsi="Arial" w:cs="Arial"/>
          <w:szCs w:val="22"/>
        </w:rPr>
        <w:t>(GOV.UK, 2022)</w:t>
      </w:r>
      <w:r w:rsidRPr="007D44AA">
        <w:rPr>
          <w:rFonts w:ascii="Arial" w:eastAsia="Times New Roman" w:hAnsi="Arial" w:cs="Arial"/>
          <w:kern w:val="0"/>
          <w:szCs w:val="22"/>
          <w:lang w:eastAsia="en-GB"/>
          <w14:ligatures w14:val="none"/>
        </w:rPr>
        <w:t>. The NHS Long Term Plan promotes social prescribing through link workers in primary care, intended to connect people, including older adults, to community groups, exercise classes, and practical support</w:t>
      </w:r>
      <w:r w:rsidR="002F51C8" w:rsidRPr="0072539E">
        <w:rPr>
          <w:rFonts w:ascii="Arial" w:eastAsia="Times New Roman" w:hAnsi="Arial" w:cs="Arial"/>
          <w:kern w:val="0"/>
          <w:szCs w:val="22"/>
          <w:lang w:eastAsia="en-GB"/>
          <w14:ligatures w14:val="none"/>
        </w:rPr>
        <w:t xml:space="preserve"> </w:t>
      </w:r>
      <w:r w:rsidR="002F51C8" w:rsidRPr="0072539E">
        <w:rPr>
          <w:rFonts w:ascii="Arial" w:hAnsi="Arial" w:cs="Arial"/>
          <w:szCs w:val="22"/>
        </w:rPr>
        <w:t>(NHS England, 2019)</w:t>
      </w:r>
      <w:r w:rsidRPr="007D44AA">
        <w:rPr>
          <w:rFonts w:ascii="Arial" w:eastAsia="Times New Roman" w:hAnsi="Arial" w:cs="Arial"/>
          <w:kern w:val="0"/>
          <w:szCs w:val="22"/>
          <w:lang w:eastAsia="en-GB"/>
          <w14:ligatures w14:val="none"/>
        </w:rPr>
        <w:t>. The Care Act 2014 places duties on English local authorities to promote wellbeing and prevent or delay needs for care and support, which in principle includes addressing social isolation</w:t>
      </w:r>
      <w:r w:rsidR="002F51C8" w:rsidRPr="0072539E">
        <w:rPr>
          <w:rFonts w:ascii="Arial" w:eastAsia="Times New Roman" w:hAnsi="Arial" w:cs="Arial"/>
          <w:kern w:val="0"/>
          <w:szCs w:val="22"/>
          <w:lang w:eastAsia="en-GB"/>
          <w14:ligatures w14:val="none"/>
        </w:rPr>
        <w:t xml:space="preserve"> </w:t>
      </w:r>
      <w:r w:rsidR="002F51C8" w:rsidRPr="0072539E">
        <w:rPr>
          <w:rFonts w:ascii="Arial" w:hAnsi="Arial" w:cs="Arial"/>
          <w:szCs w:val="22"/>
        </w:rPr>
        <w:t>(Gov UK, 2014)</w:t>
      </w:r>
      <w:r w:rsidRPr="007D44AA">
        <w:rPr>
          <w:rFonts w:ascii="Arial" w:eastAsia="Times New Roman" w:hAnsi="Arial" w:cs="Arial"/>
          <w:kern w:val="0"/>
          <w:szCs w:val="22"/>
          <w:lang w:eastAsia="en-GB"/>
          <w14:ligatures w14:val="none"/>
        </w:rPr>
        <w:t>. Devolved nations have developed their own strategies, such as Scotland’s “A Connected Scotland”, which emphasises community development and targeted work with high-risk groups, and Welsh and Northern Irish initiatives on age-friendly communities</w:t>
      </w:r>
      <w:r w:rsidR="002F51C8" w:rsidRPr="0072539E">
        <w:rPr>
          <w:rFonts w:ascii="Arial" w:eastAsia="Times New Roman" w:hAnsi="Arial" w:cs="Arial"/>
          <w:kern w:val="0"/>
          <w:szCs w:val="22"/>
          <w:lang w:eastAsia="en-GB"/>
          <w14:ligatures w14:val="none"/>
        </w:rPr>
        <w:t xml:space="preserve"> </w:t>
      </w:r>
      <w:r w:rsidR="002F51C8" w:rsidRPr="0072539E">
        <w:rPr>
          <w:rFonts w:ascii="Arial" w:hAnsi="Arial" w:cs="Arial"/>
          <w:szCs w:val="22"/>
        </w:rPr>
        <w:t>(Scottish Gov, 2024)</w:t>
      </w:r>
      <w:r w:rsidRPr="007D44AA">
        <w:rPr>
          <w:rFonts w:ascii="Arial" w:eastAsia="Times New Roman" w:hAnsi="Arial" w:cs="Arial"/>
          <w:kern w:val="0"/>
          <w:szCs w:val="22"/>
          <w:lang w:eastAsia="en-GB"/>
          <w14:ligatures w14:val="none"/>
        </w:rPr>
        <w:t>.</w:t>
      </w:r>
    </w:p>
    <w:p w14:paraId="5AECA884" w14:textId="347715D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However, implementation at national and local levels is constrained by funding cuts, workforce pressures, and fragmented responsibility across sectors. Local authorities and voluntary organisations often depend on short-term grants, making it difficult to sustain befriending services, day centres, or transport schemes that support older adults’ participation</w:t>
      </w:r>
      <w:r w:rsidR="00AF71F7" w:rsidRPr="0072539E">
        <w:rPr>
          <w:rFonts w:ascii="Arial" w:eastAsia="Times New Roman" w:hAnsi="Arial" w:cs="Arial"/>
          <w:kern w:val="0"/>
          <w:szCs w:val="22"/>
          <w:lang w:eastAsia="en-GB"/>
          <w14:ligatures w14:val="none"/>
        </w:rPr>
        <w:t xml:space="preserve"> </w:t>
      </w:r>
      <w:r w:rsidR="00AF71F7" w:rsidRPr="0072539E">
        <w:rPr>
          <w:rFonts w:ascii="Arial" w:hAnsi="Arial" w:cs="Arial"/>
          <w:szCs w:val="22"/>
        </w:rPr>
        <w:t>(Scottish Gov, 2024)</w:t>
      </w:r>
      <w:r w:rsidRPr="007D44AA">
        <w:rPr>
          <w:rFonts w:ascii="Arial" w:eastAsia="Times New Roman" w:hAnsi="Arial" w:cs="Arial"/>
          <w:kern w:val="0"/>
          <w:szCs w:val="22"/>
          <w:lang w:eastAsia="en-GB"/>
          <w14:ligatures w14:val="none"/>
        </w:rPr>
        <w:t>. Evaluation is uneven; many programmes report positive stories but lack robust data on mental health outcomes or differential effects for diverse groups of older people. There is also a risk that initiatives assume that all older adults wish to join group activities, without adequately considering preferences, cultural norms, or the impact of stigma associated with mental illness</w:t>
      </w:r>
      <w:r w:rsidR="00CB5137" w:rsidRPr="0072539E">
        <w:rPr>
          <w:rFonts w:ascii="Arial" w:eastAsia="Times New Roman" w:hAnsi="Arial" w:cs="Arial"/>
          <w:kern w:val="0"/>
          <w:szCs w:val="22"/>
          <w:lang w:eastAsia="en-GB"/>
          <w14:ligatures w14:val="none"/>
        </w:rPr>
        <w:t xml:space="preserve"> </w:t>
      </w:r>
      <w:r w:rsidR="00CB5137" w:rsidRPr="0072539E">
        <w:rPr>
          <w:rFonts w:ascii="Arial" w:hAnsi="Arial" w:cs="Arial"/>
          <w:szCs w:val="22"/>
        </w:rPr>
        <w:t>(Suragarn, Hain and Pfaff, 2021)</w:t>
      </w:r>
      <w:r w:rsidRPr="007D44AA">
        <w:rPr>
          <w:rFonts w:ascii="Arial" w:eastAsia="Times New Roman" w:hAnsi="Arial" w:cs="Arial"/>
          <w:kern w:val="0"/>
          <w:szCs w:val="22"/>
          <w:lang w:eastAsia="en-GB"/>
          <w14:ligatures w14:val="none"/>
        </w:rPr>
        <w:t>.</w:t>
      </w:r>
    </w:p>
    <w:p w14:paraId="46724C7D" w14:textId="31849DBA"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Local practice across the UK is therefore patchy. Some areas have well-developed networks of community hubs, Men’s Sheds, faith-based groups, and Age UK-led projects that offer social, practical, and emotional support. Other areas, especially those with high deprivation or rural geography, face service closures, limited public transport, and digital exclusion, which can deepen isolation</w:t>
      </w:r>
      <w:r w:rsidR="00FA293E" w:rsidRPr="0072539E">
        <w:rPr>
          <w:rFonts w:ascii="Arial" w:eastAsia="Times New Roman" w:hAnsi="Arial" w:cs="Arial"/>
          <w:kern w:val="0"/>
          <w:szCs w:val="22"/>
          <w:lang w:eastAsia="en-GB"/>
          <w14:ligatures w14:val="none"/>
        </w:rPr>
        <w:t xml:space="preserve"> </w:t>
      </w:r>
      <w:r w:rsidR="00FA293E" w:rsidRPr="0072539E">
        <w:rPr>
          <w:rFonts w:ascii="Arial" w:hAnsi="Arial" w:cs="Arial"/>
          <w:szCs w:val="22"/>
        </w:rPr>
        <w:t>(Manchester Metropolitan University, 2018)</w:t>
      </w:r>
      <w:r w:rsidRPr="007D44AA">
        <w:rPr>
          <w:rFonts w:ascii="Arial" w:eastAsia="Times New Roman" w:hAnsi="Arial" w:cs="Arial"/>
          <w:kern w:val="0"/>
          <w:szCs w:val="22"/>
          <w:lang w:eastAsia="en-GB"/>
          <w14:ligatures w14:val="none"/>
        </w:rPr>
        <w:t>. For mental health specifically, older adults may encounter ageist assumptions, under-referral to psychological therapies, and fragmented pathways between primary care, community mental health teams, and social care. These factors shape how far policies to reduce isolation translate into meaningful improvements in older adults’ mental health.</w:t>
      </w:r>
    </w:p>
    <w:p w14:paraId="29ED38AB" w14:textId="7777777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b/>
          <w:bCs/>
          <w:kern w:val="0"/>
          <w:szCs w:val="22"/>
          <w:lang w:eastAsia="en-GB"/>
          <w14:ligatures w14:val="none"/>
        </w:rPr>
        <w:t>2.6 Conclusion</w:t>
      </w:r>
    </w:p>
    <w:p w14:paraId="0CA3C91F" w14:textId="7777777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lastRenderedPageBreak/>
        <w:t>This chapter has located social isolation and mental health in older adults within historical, theoretical, international, and UK contexts. Understandings have shifted from viewing withdrawal in later life as inevitable to recognising social isolation as a modifiable determinant of health, though this remains uneven. The biopsychosocial model, socioemotional selectivity theory, and the social determinants of health concept offer useful but partial tools for explaining how isolation affects mental health and why risks are unequally distributed. International and UK policy developments indicate growing recognition of the issue, yet practice is often fragmented, under-resourced, and unclear about the distinction between isolation and loneliness.</w:t>
      </w:r>
    </w:p>
    <w:p w14:paraId="02676B4E" w14:textId="77777777" w:rsidR="007D44AA" w:rsidRPr="007D44AA" w:rsidRDefault="007D44AA" w:rsidP="0072539E">
      <w:pPr>
        <w:spacing w:before="100" w:beforeAutospacing="1" w:after="100" w:afterAutospacing="1"/>
        <w:jc w:val="both"/>
        <w:rPr>
          <w:rFonts w:ascii="Arial" w:eastAsia="Times New Roman" w:hAnsi="Arial" w:cs="Arial"/>
          <w:kern w:val="0"/>
          <w:szCs w:val="22"/>
          <w:lang w:eastAsia="en-GB"/>
          <w14:ligatures w14:val="none"/>
        </w:rPr>
      </w:pPr>
      <w:r w:rsidRPr="007D44AA">
        <w:rPr>
          <w:rFonts w:ascii="Arial" w:eastAsia="Times New Roman" w:hAnsi="Arial" w:cs="Arial"/>
          <w:kern w:val="0"/>
          <w:szCs w:val="22"/>
          <w:lang w:eastAsia="en-GB"/>
          <w14:ligatures w14:val="none"/>
        </w:rPr>
        <w:t>The next chapter sets out the methodology. It explains the secondary research design, inclusion and exclusion criteria, and the thematic analysis approach. These choices are informed by the contextual insights outlined here and by the need to assess both effectiveness and equity within the existing evidence.</w:t>
      </w:r>
    </w:p>
    <w:p w14:paraId="501970D4" w14:textId="77777777" w:rsidR="00240B01" w:rsidRPr="0072539E" w:rsidRDefault="00240B01" w:rsidP="0072539E">
      <w:pPr>
        <w:jc w:val="both"/>
        <w:rPr>
          <w:rFonts w:ascii="Arial" w:hAnsi="Arial" w:cs="Arial"/>
          <w:szCs w:val="22"/>
          <w:lang w:val="en-GB"/>
        </w:rPr>
      </w:pPr>
    </w:p>
    <w:p w14:paraId="2FCA8B20" w14:textId="3D54629E" w:rsidR="00505F51" w:rsidRPr="0072539E" w:rsidRDefault="00505F51" w:rsidP="0072539E">
      <w:pPr>
        <w:jc w:val="both"/>
        <w:rPr>
          <w:rFonts w:ascii="Arial" w:hAnsi="Arial" w:cs="Arial"/>
          <w:b/>
          <w:bCs/>
          <w:szCs w:val="22"/>
          <w:lang w:val="en-GB"/>
        </w:rPr>
      </w:pPr>
      <w:r w:rsidRPr="0072539E">
        <w:rPr>
          <w:rFonts w:ascii="Arial" w:hAnsi="Arial" w:cs="Arial"/>
          <w:b/>
          <w:bCs/>
          <w:szCs w:val="22"/>
          <w:lang w:val="en-GB"/>
        </w:rPr>
        <w:t>References</w:t>
      </w:r>
    </w:p>
    <w:p w14:paraId="3D0FEFE1"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Akhter-Khan, S.C.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(2024) ‘Experiences of loneliness in lower- and middle-income countries: A systematic review of qualitative studies’, </w:t>
      </w:r>
      <w:r w:rsidRPr="009901F5">
        <w:rPr>
          <w:rFonts w:ascii="Arial" w:eastAsia="Times New Roman" w:hAnsi="Arial" w:cs="Arial"/>
          <w:i/>
          <w:iCs/>
          <w:kern w:val="0"/>
          <w:szCs w:val="22"/>
          <w:lang w:eastAsia="en-GB"/>
          <w14:ligatures w14:val="none"/>
        </w:rPr>
        <w:t>Social Science &amp; Medicine</w:t>
      </w:r>
      <w:r w:rsidRPr="009901F5">
        <w:rPr>
          <w:rFonts w:ascii="Arial" w:eastAsia="Times New Roman" w:hAnsi="Arial" w:cs="Arial"/>
          <w:kern w:val="0"/>
          <w:szCs w:val="22"/>
          <w:lang w:eastAsia="en-GB"/>
          <w14:ligatures w14:val="none"/>
        </w:rPr>
        <w:t>, 340, p. 116438. doi:https://doi.org/10.1016/j.socscimed.2023.116438.</w:t>
      </w:r>
    </w:p>
    <w:p w14:paraId="27726D6C"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Augusto, C. and Ivbijaro, G. (2013) ‘Mental health and wellbeing of older people: opportunities and challenges’, </w:t>
      </w:r>
      <w:r w:rsidRPr="009901F5">
        <w:rPr>
          <w:rFonts w:ascii="Arial" w:eastAsia="Times New Roman" w:hAnsi="Arial" w:cs="Arial"/>
          <w:i/>
          <w:iCs/>
          <w:kern w:val="0"/>
          <w:szCs w:val="22"/>
          <w:lang w:eastAsia="en-GB"/>
          <w14:ligatures w14:val="none"/>
        </w:rPr>
        <w:t>Mental Health in Family Medicine</w:t>
      </w:r>
      <w:r w:rsidRPr="009901F5">
        <w:rPr>
          <w:rFonts w:ascii="Arial" w:eastAsia="Times New Roman" w:hAnsi="Arial" w:cs="Arial"/>
          <w:kern w:val="0"/>
          <w:szCs w:val="22"/>
          <w:lang w:eastAsia="en-GB"/>
          <w14:ligatures w14:val="none"/>
        </w:rPr>
        <w:t>, 10(3), p. 125.</w:t>
      </w:r>
    </w:p>
    <w:p w14:paraId="6BDC9B2D"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Bhatta, D.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(2025) ‘Assessment of mental and physical health outcomes over time in an integrated care setting’, </w:t>
      </w:r>
      <w:r w:rsidRPr="009901F5">
        <w:rPr>
          <w:rFonts w:ascii="Arial" w:eastAsia="Times New Roman" w:hAnsi="Arial" w:cs="Arial"/>
          <w:i/>
          <w:iCs/>
          <w:kern w:val="0"/>
          <w:szCs w:val="22"/>
          <w:lang w:eastAsia="en-GB"/>
          <w14:ligatures w14:val="none"/>
        </w:rPr>
        <w:t>BMC Primary Care</w:t>
      </w:r>
      <w:r w:rsidRPr="009901F5">
        <w:rPr>
          <w:rFonts w:ascii="Arial" w:eastAsia="Times New Roman" w:hAnsi="Arial" w:cs="Arial"/>
          <w:kern w:val="0"/>
          <w:szCs w:val="22"/>
          <w:lang w:eastAsia="en-GB"/>
          <w14:ligatures w14:val="none"/>
        </w:rPr>
        <w:t>, 26(1). doi:https://doi.org/10.1186/s12875-025-02876-0.</w:t>
      </w:r>
    </w:p>
    <w:p w14:paraId="093A107A"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Carstensen, L.L. (2021) ‘Socioemotional Selectivity Theory: the Role of Perceived Endings in Human Motivation’, </w:t>
      </w:r>
      <w:r w:rsidRPr="009901F5">
        <w:rPr>
          <w:rFonts w:ascii="Arial" w:eastAsia="Times New Roman" w:hAnsi="Arial" w:cs="Arial"/>
          <w:i/>
          <w:iCs/>
          <w:kern w:val="0"/>
          <w:szCs w:val="22"/>
          <w:lang w:eastAsia="en-GB"/>
          <w14:ligatures w14:val="none"/>
        </w:rPr>
        <w:t>The Gerontologist</w:t>
      </w:r>
      <w:r w:rsidRPr="009901F5">
        <w:rPr>
          <w:rFonts w:ascii="Arial" w:eastAsia="Times New Roman" w:hAnsi="Arial" w:cs="Arial"/>
          <w:kern w:val="0"/>
          <w:szCs w:val="22"/>
          <w:lang w:eastAsia="en-GB"/>
          <w14:ligatures w14:val="none"/>
        </w:rPr>
        <w:t>. Edited by S. Meeks, 61(8), pp. 1188–1196. doi:https://doi.org/10.1093/geront/gnab116.</w:t>
      </w:r>
    </w:p>
    <w:p w14:paraId="1396C6DB"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Chelak, K. and Chakole, S. (2023) ‘The role of social determinants of health in promoting health equality: a narrative review’, </w:t>
      </w:r>
      <w:r w:rsidRPr="009901F5">
        <w:rPr>
          <w:rFonts w:ascii="Arial" w:eastAsia="Times New Roman" w:hAnsi="Arial" w:cs="Arial"/>
          <w:i/>
          <w:iCs/>
          <w:kern w:val="0"/>
          <w:szCs w:val="22"/>
          <w:lang w:eastAsia="en-GB"/>
          <w14:ligatures w14:val="none"/>
        </w:rPr>
        <w:t>Cureus</w:t>
      </w:r>
      <w:r w:rsidRPr="009901F5">
        <w:rPr>
          <w:rFonts w:ascii="Arial" w:eastAsia="Times New Roman" w:hAnsi="Arial" w:cs="Arial"/>
          <w:kern w:val="0"/>
          <w:szCs w:val="22"/>
          <w:lang w:eastAsia="en-GB"/>
          <w14:ligatures w14:val="none"/>
        </w:rPr>
        <w:t>, 15(1). doi:https://doi.org/10.7759/cureus.33425.</w:t>
      </w:r>
    </w:p>
    <w:p w14:paraId="1A576B52"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Daniel, F.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(2023) ‘Measuring loneliness: Psychometric properties of the three-item loneliness scale among community-dwelling adults’, </w:t>
      </w:r>
      <w:r w:rsidRPr="009901F5">
        <w:rPr>
          <w:rFonts w:ascii="Arial" w:eastAsia="Times New Roman" w:hAnsi="Arial" w:cs="Arial"/>
          <w:i/>
          <w:iCs/>
          <w:kern w:val="0"/>
          <w:szCs w:val="22"/>
          <w:lang w:eastAsia="en-GB"/>
          <w14:ligatures w14:val="none"/>
        </w:rPr>
        <w:t>Heliyon</w:t>
      </w:r>
      <w:r w:rsidRPr="009901F5">
        <w:rPr>
          <w:rFonts w:ascii="Arial" w:eastAsia="Times New Roman" w:hAnsi="Arial" w:cs="Arial"/>
          <w:kern w:val="0"/>
          <w:szCs w:val="22"/>
          <w:lang w:eastAsia="en-GB"/>
          <w14:ligatures w14:val="none"/>
        </w:rPr>
        <w:t>, 9(5), pp. e15948–e15948. doi:https://doi.org/10.1016/j.heliyon.2023.e15948.</w:t>
      </w:r>
    </w:p>
    <w:p w14:paraId="26BCDF44"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lastRenderedPageBreak/>
        <w:t xml:space="preserve">DE KONING, J.L., STATHI, A. and RICHARDS, S. (2016) ‘Predictors of loneliness and different types of social isolation of rural-living older adults in the United Kingdom’, </w:t>
      </w:r>
      <w:r w:rsidRPr="009901F5">
        <w:rPr>
          <w:rFonts w:ascii="Arial" w:eastAsia="Times New Roman" w:hAnsi="Arial" w:cs="Arial"/>
          <w:i/>
          <w:iCs/>
          <w:kern w:val="0"/>
          <w:szCs w:val="22"/>
          <w:lang w:eastAsia="en-GB"/>
          <w14:ligatures w14:val="none"/>
        </w:rPr>
        <w:t>Ageing and Society</w:t>
      </w:r>
      <w:r w:rsidRPr="009901F5">
        <w:rPr>
          <w:rFonts w:ascii="Arial" w:eastAsia="Times New Roman" w:hAnsi="Arial" w:cs="Arial"/>
          <w:kern w:val="0"/>
          <w:szCs w:val="22"/>
          <w:lang w:eastAsia="en-GB"/>
          <w14:ligatures w14:val="none"/>
        </w:rPr>
        <w:t>, 37(10), pp. 2012–2043. doi:https://doi.org/10.1017/s0144686x16000696.</w:t>
      </w:r>
    </w:p>
    <w:p w14:paraId="36CDE934"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Del Barrio, E.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(2018) ‘From Active Aging to Active Citizenship: The Role of (Age) Friendliness’, </w:t>
      </w:r>
      <w:r w:rsidRPr="009901F5">
        <w:rPr>
          <w:rFonts w:ascii="Arial" w:eastAsia="Times New Roman" w:hAnsi="Arial" w:cs="Arial"/>
          <w:i/>
          <w:iCs/>
          <w:kern w:val="0"/>
          <w:szCs w:val="22"/>
          <w:lang w:eastAsia="en-GB"/>
          <w14:ligatures w14:val="none"/>
        </w:rPr>
        <w:t>Social Sciences</w:t>
      </w:r>
      <w:r w:rsidRPr="009901F5">
        <w:rPr>
          <w:rFonts w:ascii="Arial" w:eastAsia="Times New Roman" w:hAnsi="Arial" w:cs="Arial"/>
          <w:kern w:val="0"/>
          <w:szCs w:val="22"/>
          <w:lang w:eastAsia="en-GB"/>
          <w14:ligatures w14:val="none"/>
        </w:rPr>
        <w:t>, 7(8), p. 134. doi:https://doi.org/10.3390/socsci7080134.</w:t>
      </w:r>
    </w:p>
    <w:p w14:paraId="14783DE5"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Department of Health and Social Care (2022) </w:t>
      </w:r>
      <w:r w:rsidRPr="009901F5">
        <w:rPr>
          <w:rFonts w:ascii="Arial" w:eastAsia="Times New Roman" w:hAnsi="Arial" w:cs="Arial"/>
          <w:i/>
          <w:iCs/>
          <w:kern w:val="0"/>
          <w:szCs w:val="22"/>
          <w:lang w:eastAsia="en-GB"/>
          <w14:ligatures w14:val="none"/>
        </w:rPr>
        <w:t>Data saves lives: reshaping health and social care with data</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GOV.UK</w:t>
      </w:r>
      <w:r w:rsidRPr="009901F5">
        <w:rPr>
          <w:rFonts w:ascii="Arial" w:eastAsia="Times New Roman" w:hAnsi="Arial" w:cs="Arial"/>
          <w:kern w:val="0"/>
          <w:szCs w:val="22"/>
          <w:lang w:eastAsia="en-GB"/>
          <w14:ligatures w14:val="none"/>
        </w:rPr>
        <w:t>. Available at: https://www.gov.uk/government/publications/data-saves-lives-reshaping-health-and-social-care-with-data/data-saves-lives-reshaping-health-and-social-care-with-data (Accessed: 27 November 2025).</w:t>
      </w:r>
    </w:p>
    <w:p w14:paraId="63EB3109"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Gov UK (2014) </w:t>
      </w:r>
      <w:r w:rsidRPr="009901F5">
        <w:rPr>
          <w:rFonts w:ascii="Arial" w:eastAsia="Times New Roman" w:hAnsi="Arial" w:cs="Arial"/>
          <w:i/>
          <w:iCs/>
          <w:kern w:val="0"/>
          <w:szCs w:val="22"/>
          <w:lang w:eastAsia="en-GB"/>
          <w14:ligatures w14:val="none"/>
        </w:rPr>
        <w:t>Care Act 2014</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Legislation.gov.uk</w:t>
      </w:r>
      <w:r w:rsidRPr="009901F5">
        <w:rPr>
          <w:rFonts w:ascii="Arial" w:eastAsia="Times New Roman" w:hAnsi="Arial" w:cs="Arial"/>
          <w:kern w:val="0"/>
          <w:szCs w:val="22"/>
          <w:lang w:eastAsia="en-GB"/>
          <w14:ligatures w14:val="none"/>
        </w:rPr>
        <w:t>. Available at: https://www.legislation.gov.uk/ukpga/2014/23/contents (Accessed: 27 November 2025).</w:t>
      </w:r>
    </w:p>
    <w:p w14:paraId="50C524F9"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GOV.UK (2022) </w:t>
      </w:r>
      <w:r w:rsidRPr="009901F5">
        <w:rPr>
          <w:rFonts w:ascii="Arial" w:eastAsia="Times New Roman" w:hAnsi="Arial" w:cs="Arial"/>
          <w:i/>
          <w:iCs/>
          <w:kern w:val="0"/>
          <w:szCs w:val="22"/>
          <w:lang w:eastAsia="en-GB"/>
          <w14:ligatures w14:val="none"/>
        </w:rPr>
        <w:t>Government’s Work on Tackling Loneliness</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GOV.UK</w:t>
      </w:r>
      <w:r w:rsidRPr="009901F5">
        <w:rPr>
          <w:rFonts w:ascii="Arial" w:eastAsia="Times New Roman" w:hAnsi="Arial" w:cs="Arial"/>
          <w:kern w:val="0"/>
          <w:szCs w:val="22"/>
          <w:lang w:eastAsia="en-GB"/>
          <w14:ligatures w14:val="none"/>
        </w:rPr>
        <w:t>. Available at: https://www.gov.uk/guidance/governments-work-on-tackling-loneliness (Accessed: 27 November 2025).</w:t>
      </w:r>
    </w:p>
    <w:p w14:paraId="36284437"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Greenberg, M.T. (2025) ‘Social and Emotional Learning and Physical Health Outcomes Across the Lifespan: Little Progress &amp; Big Potential’, </w:t>
      </w:r>
      <w:r w:rsidRPr="009901F5">
        <w:rPr>
          <w:rFonts w:ascii="Arial" w:eastAsia="Times New Roman" w:hAnsi="Arial" w:cs="Arial"/>
          <w:i/>
          <w:iCs/>
          <w:kern w:val="0"/>
          <w:szCs w:val="22"/>
          <w:lang w:eastAsia="en-GB"/>
          <w14:ligatures w14:val="none"/>
        </w:rPr>
        <w:t>Social and Emotional Learning: Research, Practice, and Policy</w:t>
      </w:r>
      <w:r w:rsidRPr="009901F5">
        <w:rPr>
          <w:rFonts w:ascii="Arial" w:eastAsia="Times New Roman" w:hAnsi="Arial" w:cs="Arial"/>
          <w:kern w:val="0"/>
          <w:szCs w:val="22"/>
          <w:lang w:eastAsia="en-GB"/>
          <w14:ligatures w14:val="none"/>
        </w:rPr>
        <w:t>, 5, p. 100108. doi:https://doi.org/10.1016/j.sel.2025.100108.</w:t>
      </w:r>
    </w:p>
    <w:p w14:paraId="41CDD111"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Guarnera, J., Yuen, E. and Macpherson, H. (2023) ‘The impact of loneliness and social isolation on cognitive aging: A narrative review’, </w:t>
      </w:r>
      <w:r w:rsidRPr="009901F5">
        <w:rPr>
          <w:rFonts w:ascii="Arial" w:eastAsia="Times New Roman" w:hAnsi="Arial" w:cs="Arial"/>
          <w:i/>
          <w:iCs/>
          <w:kern w:val="0"/>
          <w:szCs w:val="22"/>
          <w:lang w:eastAsia="en-GB"/>
          <w14:ligatures w14:val="none"/>
        </w:rPr>
        <w:t>Journal of Alzheimer’s Disease Reports</w:t>
      </w:r>
      <w:r w:rsidRPr="009901F5">
        <w:rPr>
          <w:rFonts w:ascii="Arial" w:eastAsia="Times New Roman" w:hAnsi="Arial" w:cs="Arial"/>
          <w:kern w:val="0"/>
          <w:szCs w:val="22"/>
          <w:lang w:eastAsia="en-GB"/>
          <w14:ligatures w14:val="none"/>
        </w:rPr>
        <w:t>, 7(1), pp. 699–714. doi:https://doi.org/10.3233/ADR-230011.</w:t>
      </w:r>
    </w:p>
    <w:p w14:paraId="0FDA3FE9"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Holt</w:t>
      </w:r>
      <w:r w:rsidRPr="009901F5">
        <w:rPr>
          <w:rFonts w:ascii="Cambria Math" w:eastAsia="Times New Roman" w:hAnsi="Cambria Math" w:cs="Cambria Math"/>
          <w:kern w:val="0"/>
          <w:szCs w:val="22"/>
          <w:lang w:eastAsia="en-GB"/>
          <w14:ligatures w14:val="none"/>
        </w:rPr>
        <w:t>‐</w:t>
      </w:r>
      <w:r w:rsidRPr="009901F5">
        <w:rPr>
          <w:rFonts w:ascii="Arial" w:eastAsia="Times New Roman" w:hAnsi="Arial" w:cs="Arial"/>
          <w:kern w:val="0"/>
          <w:szCs w:val="22"/>
          <w:lang w:eastAsia="en-GB"/>
          <w14:ligatures w14:val="none"/>
        </w:rPr>
        <w:t xml:space="preserve">Lunstad, J. (2024) ‘Social connection as a critical factor for mental and physical health: evidence, trends, challenges, and future implications’, </w:t>
      </w:r>
      <w:r w:rsidRPr="009901F5">
        <w:rPr>
          <w:rFonts w:ascii="Arial" w:eastAsia="Times New Roman" w:hAnsi="Arial" w:cs="Arial"/>
          <w:i/>
          <w:iCs/>
          <w:kern w:val="0"/>
          <w:szCs w:val="22"/>
          <w:lang w:eastAsia="en-GB"/>
          <w14:ligatures w14:val="none"/>
        </w:rPr>
        <w:t>World Psychiatry</w:t>
      </w:r>
      <w:r w:rsidRPr="009901F5">
        <w:rPr>
          <w:rFonts w:ascii="Arial" w:eastAsia="Times New Roman" w:hAnsi="Arial" w:cs="Arial"/>
          <w:kern w:val="0"/>
          <w:szCs w:val="22"/>
          <w:lang w:eastAsia="en-GB"/>
          <w14:ligatures w14:val="none"/>
        </w:rPr>
        <w:t>, 23(3), pp. 312–332. doi:https://doi.org/10.1002/wps.21224.</w:t>
      </w:r>
    </w:p>
    <w:p w14:paraId="42D2931A"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Jeste, D.V., Lee, E.E. and Cacioppo, S. (2020) ‘Battling the Modern Behavioral Epidemic of Loneliness’, </w:t>
      </w:r>
      <w:r w:rsidRPr="009901F5">
        <w:rPr>
          <w:rFonts w:ascii="Arial" w:eastAsia="Times New Roman" w:hAnsi="Arial" w:cs="Arial"/>
          <w:i/>
          <w:iCs/>
          <w:kern w:val="0"/>
          <w:szCs w:val="22"/>
          <w:lang w:eastAsia="en-GB"/>
          <w14:ligatures w14:val="none"/>
        </w:rPr>
        <w:t>JAMA Psychiatry</w:t>
      </w:r>
      <w:r w:rsidRPr="009901F5">
        <w:rPr>
          <w:rFonts w:ascii="Arial" w:eastAsia="Times New Roman" w:hAnsi="Arial" w:cs="Arial"/>
          <w:kern w:val="0"/>
          <w:szCs w:val="22"/>
          <w:lang w:eastAsia="en-GB"/>
          <w14:ligatures w14:val="none"/>
        </w:rPr>
        <w:t>, 77(6). doi:https://doi.org/10.1001/jamapsychiatry.2020.0027.</w:t>
      </w:r>
    </w:p>
    <w:p w14:paraId="236234E6"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Jiang, Y., Shi, Z. and Liu, A. (2025) ‘Experiences of Social Isolation in Older Adults with Chronic Diseases: A Qualitative Study Based on Patients’ Perspectives’, </w:t>
      </w:r>
      <w:r w:rsidRPr="009901F5">
        <w:rPr>
          <w:rFonts w:ascii="Arial" w:eastAsia="Times New Roman" w:hAnsi="Arial" w:cs="Arial"/>
          <w:i/>
          <w:iCs/>
          <w:kern w:val="0"/>
          <w:szCs w:val="22"/>
          <w:lang w:eastAsia="en-GB"/>
          <w14:ligatures w14:val="none"/>
        </w:rPr>
        <w:t>Healthcare</w:t>
      </w:r>
      <w:r w:rsidRPr="009901F5">
        <w:rPr>
          <w:rFonts w:ascii="Arial" w:eastAsia="Times New Roman" w:hAnsi="Arial" w:cs="Arial"/>
          <w:kern w:val="0"/>
          <w:szCs w:val="22"/>
          <w:lang w:eastAsia="en-GB"/>
          <w14:ligatures w14:val="none"/>
        </w:rPr>
        <w:t>, 13(8), pp. 902–902. doi:https://doi.org/10.3390/healthcare13080902.</w:t>
      </w:r>
    </w:p>
    <w:p w14:paraId="099416FA"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lastRenderedPageBreak/>
        <w:t xml:space="preserve">Johnson, K.J. and Mutchler, J.E. (2014) ‘The Emergence of a Positive Gerontology: From Disengagement to Social Involvement’, </w:t>
      </w:r>
      <w:r w:rsidRPr="009901F5">
        <w:rPr>
          <w:rFonts w:ascii="Arial" w:eastAsia="Times New Roman" w:hAnsi="Arial" w:cs="Arial"/>
          <w:i/>
          <w:iCs/>
          <w:kern w:val="0"/>
          <w:szCs w:val="22"/>
          <w:lang w:eastAsia="en-GB"/>
          <w14:ligatures w14:val="none"/>
        </w:rPr>
        <w:t>The Gerontologist</w:t>
      </w:r>
      <w:r w:rsidRPr="009901F5">
        <w:rPr>
          <w:rFonts w:ascii="Arial" w:eastAsia="Times New Roman" w:hAnsi="Arial" w:cs="Arial"/>
          <w:kern w:val="0"/>
          <w:szCs w:val="22"/>
          <w:lang w:eastAsia="en-GB"/>
          <w14:ligatures w14:val="none"/>
        </w:rPr>
        <w:t>, 54(1), pp. 93–100. doi:https://doi.org/10.1093/geront/gnt099.</w:t>
      </w:r>
    </w:p>
    <w:p w14:paraId="114229DF"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La Grow, S.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(2012) ‘Loneliness and self-reported health among older persons in New Zealand’, </w:t>
      </w:r>
      <w:r w:rsidRPr="009901F5">
        <w:rPr>
          <w:rFonts w:ascii="Arial" w:eastAsia="Times New Roman" w:hAnsi="Arial" w:cs="Arial"/>
          <w:i/>
          <w:iCs/>
          <w:kern w:val="0"/>
          <w:szCs w:val="22"/>
          <w:lang w:eastAsia="en-GB"/>
          <w14:ligatures w14:val="none"/>
        </w:rPr>
        <w:t>Australasian Journal on Ageing</w:t>
      </w:r>
      <w:r w:rsidRPr="009901F5">
        <w:rPr>
          <w:rFonts w:ascii="Arial" w:eastAsia="Times New Roman" w:hAnsi="Arial" w:cs="Arial"/>
          <w:kern w:val="0"/>
          <w:szCs w:val="22"/>
          <w:lang w:eastAsia="en-GB"/>
          <w14:ligatures w14:val="none"/>
        </w:rPr>
        <w:t>, 31(2), pp. 121–123. doi:https://doi.org/10.1111/j.1741-6612.2011.00568.x.</w:t>
      </w:r>
    </w:p>
    <w:p w14:paraId="324D1A91"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Lee, E.E.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(2019) ‘High Prevalence and Adverse Health Effects of Loneliness in community-dwelling Adults across the lifespan: Role of Wisdom as a Protective Factor’, </w:t>
      </w:r>
      <w:r w:rsidRPr="009901F5">
        <w:rPr>
          <w:rFonts w:ascii="Arial" w:eastAsia="Times New Roman" w:hAnsi="Arial" w:cs="Arial"/>
          <w:i/>
          <w:iCs/>
          <w:kern w:val="0"/>
          <w:szCs w:val="22"/>
          <w:lang w:eastAsia="en-GB"/>
          <w14:ligatures w14:val="none"/>
        </w:rPr>
        <w:t>International Psychogeriatrics</w:t>
      </w:r>
      <w:r w:rsidRPr="009901F5">
        <w:rPr>
          <w:rFonts w:ascii="Arial" w:eastAsia="Times New Roman" w:hAnsi="Arial" w:cs="Arial"/>
          <w:kern w:val="0"/>
          <w:szCs w:val="22"/>
          <w:lang w:eastAsia="en-GB"/>
          <w14:ligatures w14:val="none"/>
        </w:rPr>
        <w:t>, 31(10), pp. 1–16. doi:https://doi.org/10.1017/s1041610218002120.</w:t>
      </w:r>
    </w:p>
    <w:p w14:paraId="5300FC40"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Lehman, B.J., David, D.M. and Gruber, J.A. (2017) ‘Rethinking the Biopsychosocial Model of health: Understanding Health as a Dynamic System’, </w:t>
      </w:r>
      <w:r w:rsidRPr="009901F5">
        <w:rPr>
          <w:rFonts w:ascii="Arial" w:eastAsia="Times New Roman" w:hAnsi="Arial" w:cs="Arial"/>
          <w:i/>
          <w:iCs/>
          <w:kern w:val="0"/>
          <w:szCs w:val="22"/>
          <w:lang w:eastAsia="en-GB"/>
          <w14:ligatures w14:val="none"/>
        </w:rPr>
        <w:t>Social and Personality Psychology Compass</w:t>
      </w:r>
      <w:r w:rsidRPr="009901F5">
        <w:rPr>
          <w:rFonts w:ascii="Arial" w:eastAsia="Times New Roman" w:hAnsi="Arial" w:cs="Arial"/>
          <w:kern w:val="0"/>
          <w:szCs w:val="22"/>
          <w:lang w:eastAsia="en-GB"/>
          <w14:ligatures w14:val="none"/>
        </w:rPr>
        <w:t>, 11(8), pp. 1–4. doi:https://doi.org/10.1111/spc3.12328.</w:t>
      </w:r>
    </w:p>
    <w:p w14:paraId="67D9F957"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Lutz, J. and Van Orden, K.A. (2020) ‘Sadness and Worry in Older Adults’, </w:t>
      </w:r>
      <w:r w:rsidRPr="009901F5">
        <w:rPr>
          <w:rFonts w:ascii="Arial" w:eastAsia="Times New Roman" w:hAnsi="Arial" w:cs="Arial"/>
          <w:i/>
          <w:iCs/>
          <w:kern w:val="0"/>
          <w:szCs w:val="22"/>
          <w:lang w:eastAsia="en-GB"/>
          <w14:ligatures w14:val="none"/>
        </w:rPr>
        <w:t>Medical Clinics of North America</w:t>
      </w:r>
      <w:r w:rsidRPr="009901F5">
        <w:rPr>
          <w:rFonts w:ascii="Arial" w:eastAsia="Times New Roman" w:hAnsi="Arial" w:cs="Arial"/>
          <w:kern w:val="0"/>
          <w:szCs w:val="22"/>
          <w:lang w:eastAsia="en-GB"/>
          <w14:ligatures w14:val="none"/>
        </w:rPr>
        <w:t>, 104(5), pp. 843–854. doi:https://doi.org/10.1016/j.mcna.2020.05.001.</w:t>
      </w:r>
    </w:p>
    <w:p w14:paraId="303F737F"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Manchester Metropolitan University (2018) </w:t>
      </w:r>
      <w:r w:rsidRPr="009901F5">
        <w:rPr>
          <w:rFonts w:ascii="Arial" w:eastAsia="Times New Roman" w:hAnsi="Arial" w:cs="Arial"/>
          <w:i/>
          <w:iCs/>
          <w:kern w:val="0"/>
          <w:szCs w:val="22"/>
          <w:lang w:eastAsia="en-GB"/>
          <w14:ligatures w14:val="none"/>
        </w:rPr>
        <w:t>Community sheds can cut loneliness and boost health for older men</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Manchester Metropolitan University</w:t>
      </w:r>
      <w:r w:rsidRPr="009901F5">
        <w:rPr>
          <w:rFonts w:ascii="Arial" w:eastAsia="Times New Roman" w:hAnsi="Arial" w:cs="Arial"/>
          <w:kern w:val="0"/>
          <w:szCs w:val="22"/>
          <w:lang w:eastAsia="en-GB"/>
          <w14:ligatures w14:val="none"/>
        </w:rPr>
        <w:t>. Available at: https://www.mmu.ac.uk/news-and-events/news/story/community-sheds-can-cut-loneliness-and-boost-health-older-men (Accessed: 27 November 2025).</w:t>
      </w:r>
    </w:p>
    <w:p w14:paraId="0D3E9067"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NHS England (2019) </w:t>
      </w:r>
      <w:r w:rsidRPr="009901F5">
        <w:rPr>
          <w:rFonts w:ascii="Arial" w:eastAsia="Times New Roman" w:hAnsi="Arial" w:cs="Arial"/>
          <w:i/>
          <w:iCs/>
          <w:kern w:val="0"/>
          <w:szCs w:val="22"/>
          <w:lang w:eastAsia="en-GB"/>
          <w14:ligatures w14:val="none"/>
        </w:rPr>
        <w:t>NHS Long Term Plan</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NHS England</w:t>
      </w:r>
      <w:r w:rsidRPr="009901F5">
        <w:rPr>
          <w:rFonts w:ascii="Arial" w:eastAsia="Times New Roman" w:hAnsi="Arial" w:cs="Arial"/>
          <w:kern w:val="0"/>
          <w:szCs w:val="22"/>
          <w:lang w:eastAsia="en-GB"/>
          <w14:ligatures w14:val="none"/>
        </w:rPr>
        <w:t>. Available at: https://www.longtermplan.nhs.uk/ (Accessed: 27 November 2025).</w:t>
      </w:r>
    </w:p>
    <w:p w14:paraId="34367AE9"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ONS (2023) </w:t>
      </w:r>
      <w:r w:rsidRPr="009901F5">
        <w:rPr>
          <w:rFonts w:ascii="Arial" w:eastAsia="Times New Roman" w:hAnsi="Arial" w:cs="Arial"/>
          <w:i/>
          <w:iCs/>
          <w:kern w:val="0"/>
          <w:szCs w:val="22"/>
          <w:lang w:eastAsia="en-GB"/>
          <w14:ligatures w14:val="none"/>
        </w:rPr>
        <w:t>Profile of the older population living in England and Wales in 2021 and changes since 2011</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www.ons.gov.uk</w:t>
      </w:r>
      <w:r w:rsidRPr="009901F5">
        <w:rPr>
          <w:rFonts w:ascii="Arial" w:eastAsia="Times New Roman" w:hAnsi="Arial" w:cs="Arial"/>
          <w:kern w:val="0"/>
          <w:szCs w:val="22"/>
          <w:lang w:eastAsia="en-GB"/>
          <w14:ligatures w14:val="none"/>
        </w:rPr>
        <w:t>. Available at: https://www.ons.gov.uk/peoplepopulationandcommunity/birthsdeathsandmarriages/ageing/articles/profileoftheolderpopulationlivinginenglandandwalesin2021andchangessince2011/2023-04-03 (Accessed: 27 November 2025).</w:t>
      </w:r>
    </w:p>
    <w:p w14:paraId="29161F07"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Prabhu, D.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(2022) ‘Sensor-Based Assessment of Social Isolation and Loneliness in Older Adults: A Survey’, </w:t>
      </w:r>
      <w:r w:rsidRPr="009901F5">
        <w:rPr>
          <w:rFonts w:ascii="Arial" w:eastAsia="Times New Roman" w:hAnsi="Arial" w:cs="Arial"/>
          <w:i/>
          <w:iCs/>
          <w:kern w:val="0"/>
          <w:szCs w:val="22"/>
          <w:lang w:eastAsia="en-GB"/>
          <w14:ligatures w14:val="none"/>
        </w:rPr>
        <w:t>Sensors (14248220)</w:t>
      </w:r>
      <w:r w:rsidRPr="009901F5">
        <w:rPr>
          <w:rFonts w:ascii="Arial" w:eastAsia="Times New Roman" w:hAnsi="Arial" w:cs="Arial"/>
          <w:kern w:val="0"/>
          <w:szCs w:val="22"/>
          <w:lang w:eastAsia="en-GB"/>
          <w14:ligatures w14:val="none"/>
        </w:rPr>
        <w:t>, 22(24), p. 9944. doi:https://doi.org/10.3390/s22249944.</w:t>
      </w:r>
    </w:p>
    <w:p w14:paraId="50B115FA"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lastRenderedPageBreak/>
        <w:t xml:space="preserve">Richardson, J.D. (2004) ‘Isolating frequency scale effects on self-reported loneliness’, </w:t>
      </w:r>
      <w:r w:rsidRPr="009901F5">
        <w:rPr>
          <w:rFonts w:ascii="Arial" w:eastAsia="Times New Roman" w:hAnsi="Arial" w:cs="Arial"/>
          <w:i/>
          <w:iCs/>
          <w:kern w:val="0"/>
          <w:szCs w:val="22"/>
          <w:lang w:eastAsia="en-GB"/>
          <w14:ligatures w14:val="none"/>
        </w:rPr>
        <w:t>Personality and Individual Differences</w:t>
      </w:r>
      <w:r w:rsidRPr="009901F5">
        <w:rPr>
          <w:rFonts w:ascii="Arial" w:eastAsia="Times New Roman" w:hAnsi="Arial" w:cs="Arial"/>
          <w:kern w:val="0"/>
          <w:szCs w:val="22"/>
          <w:lang w:eastAsia="en-GB"/>
          <w14:ligatures w14:val="none"/>
        </w:rPr>
        <w:t>, 36(1), pp. 235–244. doi:https://doi.org/10.1016/s0191-8869(03)00086-2.</w:t>
      </w:r>
    </w:p>
    <w:p w14:paraId="34A4E7C5"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Robb, C.E.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(2020) ‘Associations of social isolation with anxiety and depression during the early COVID-19 pandemic: A survey of older adults in London, UK’, </w:t>
      </w:r>
      <w:r w:rsidRPr="009901F5">
        <w:rPr>
          <w:rFonts w:ascii="Arial" w:eastAsia="Times New Roman" w:hAnsi="Arial" w:cs="Arial"/>
          <w:i/>
          <w:iCs/>
          <w:kern w:val="0"/>
          <w:szCs w:val="22"/>
          <w:lang w:eastAsia="en-GB"/>
          <w14:ligatures w14:val="none"/>
        </w:rPr>
        <w:t>Frontiers in Psychiatry</w:t>
      </w:r>
      <w:r w:rsidRPr="009901F5">
        <w:rPr>
          <w:rFonts w:ascii="Arial" w:eastAsia="Times New Roman" w:hAnsi="Arial" w:cs="Arial"/>
          <w:kern w:val="0"/>
          <w:szCs w:val="22"/>
          <w:lang w:eastAsia="en-GB"/>
          <w14:ligatures w14:val="none"/>
        </w:rPr>
        <w:t>, 11(591120). doi:https://doi.org/10.3389/fpsyt.2020.591120.</w:t>
      </w:r>
    </w:p>
    <w:p w14:paraId="355C4323"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Rudnicka, E.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(2020) ‘The world health organization (WHO) approach to healthy ageing’, </w:t>
      </w:r>
      <w:r w:rsidRPr="009901F5">
        <w:rPr>
          <w:rFonts w:ascii="Arial" w:eastAsia="Times New Roman" w:hAnsi="Arial" w:cs="Arial"/>
          <w:i/>
          <w:iCs/>
          <w:kern w:val="0"/>
          <w:szCs w:val="22"/>
          <w:lang w:eastAsia="en-GB"/>
          <w14:ligatures w14:val="none"/>
        </w:rPr>
        <w:t>Maturitas</w:t>
      </w:r>
      <w:r w:rsidRPr="009901F5">
        <w:rPr>
          <w:rFonts w:ascii="Arial" w:eastAsia="Times New Roman" w:hAnsi="Arial" w:cs="Arial"/>
          <w:kern w:val="0"/>
          <w:szCs w:val="22"/>
          <w:lang w:eastAsia="en-GB"/>
          <w14:ligatures w14:val="none"/>
        </w:rPr>
        <w:t>, 139(139), pp. 6–11. doi:https://doi.org/10.1016/j.maturitas.2020.05.018.</w:t>
      </w:r>
    </w:p>
    <w:p w14:paraId="2F887600"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Scottish Gov (2024) </w:t>
      </w:r>
      <w:r w:rsidRPr="009901F5">
        <w:rPr>
          <w:rFonts w:ascii="Arial" w:eastAsia="Times New Roman" w:hAnsi="Arial" w:cs="Arial"/>
          <w:i/>
          <w:iCs/>
          <w:kern w:val="0"/>
          <w:szCs w:val="22"/>
          <w:lang w:eastAsia="en-GB"/>
          <w14:ligatures w14:val="none"/>
        </w:rPr>
        <w:t>A Connected Scotland: tackling social isolation and loneliness and building stronger communities</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www.gov.scot</w:t>
      </w:r>
      <w:r w:rsidRPr="009901F5">
        <w:rPr>
          <w:rFonts w:ascii="Arial" w:eastAsia="Times New Roman" w:hAnsi="Arial" w:cs="Arial"/>
          <w:kern w:val="0"/>
          <w:szCs w:val="22"/>
          <w:lang w:eastAsia="en-GB"/>
          <w14:ligatures w14:val="none"/>
        </w:rPr>
        <w:t>. Available at: https://www.gov.scot/publications/connected-scotland-tackling-social-isolation-loneliness-building-stronger-communities/pages/3/.</w:t>
      </w:r>
    </w:p>
    <w:p w14:paraId="2123A123"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Simons, M.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(2022) ‘Positive affect as mediator: The socioemotional selectivity theory applied to the association between bonding social capital and wellbeing in later life’, </w:t>
      </w:r>
      <w:r w:rsidRPr="009901F5">
        <w:rPr>
          <w:rFonts w:ascii="Arial" w:eastAsia="Times New Roman" w:hAnsi="Arial" w:cs="Arial"/>
          <w:i/>
          <w:iCs/>
          <w:kern w:val="0"/>
          <w:szCs w:val="22"/>
          <w:lang w:eastAsia="en-GB"/>
          <w14:ligatures w14:val="none"/>
        </w:rPr>
        <w:t>Journal of Social and Personal Relationships</w:t>
      </w:r>
      <w:r w:rsidRPr="009901F5">
        <w:rPr>
          <w:rFonts w:ascii="Arial" w:eastAsia="Times New Roman" w:hAnsi="Arial" w:cs="Arial"/>
          <w:kern w:val="0"/>
          <w:szCs w:val="22"/>
          <w:lang w:eastAsia="en-GB"/>
          <w14:ligatures w14:val="none"/>
        </w:rPr>
        <w:t>, 40(6), p. 026540752211349. doi:https://doi.org/10.1177/02654075221134977.</w:t>
      </w:r>
    </w:p>
    <w:p w14:paraId="6EE98BF6"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Suragarn, U., Hain, D. and Pfaff, G. (2021) ‘Approaches to enhance social connection in older adults: An integrative review of literature’, </w:t>
      </w:r>
      <w:r w:rsidRPr="009901F5">
        <w:rPr>
          <w:rFonts w:ascii="Arial" w:eastAsia="Times New Roman" w:hAnsi="Arial" w:cs="Arial"/>
          <w:i/>
          <w:iCs/>
          <w:kern w:val="0"/>
          <w:szCs w:val="22"/>
          <w:lang w:eastAsia="en-GB"/>
          <w14:ligatures w14:val="none"/>
        </w:rPr>
        <w:t>Aging and Health Research</w:t>
      </w:r>
      <w:r w:rsidRPr="009901F5">
        <w:rPr>
          <w:rFonts w:ascii="Arial" w:eastAsia="Times New Roman" w:hAnsi="Arial" w:cs="Arial"/>
          <w:kern w:val="0"/>
          <w:szCs w:val="22"/>
          <w:lang w:eastAsia="en-GB"/>
          <w14:ligatures w14:val="none"/>
        </w:rPr>
        <w:t>, 1(3). doi:https://doi.org/10.1016/j.ahr.2021.100029.</w:t>
      </w:r>
    </w:p>
    <w:p w14:paraId="10AB4AD1"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White, M.P. </w:t>
      </w:r>
      <w:r w:rsidRPr="009901F5">
        <w:rPr>
          <w:rFonts w:ascii="Arial" w:eastAsia="Times New Roman" w:hAnsi="Arial" w:cs="Arial"/>
          <w:i/>
          <w:iCs/>
          <w:kern w:val="0"/>
          <w:szCs w:val="22"/>
          <w:lang w:eastAsia="en-GB"/>
          <w14:ligatures w14:val="none"/>
        </w:rPr>
        <w:t>et al.</w:t>
      </w:r>
      <w:r w:rsidRPr="009901F5">
        <w:rPr>
          <w:rFonts w:ascii="Arial" w:eastAsia="Times New Roman" w:hAnsi="Arial" w:cs="Arial"/>
          <w:kern w:val="0"/>
          <w:szCs w:val="22"/>
          <w:lang w:eastAsia="en-GB"/>
          <w14:ligatures w14:val="none"/>
        </w:rPr>
        <w:t xml:space="preserve"> (2023) ‘Nature-based biopsychosocial resilience: An integrative theoretical framework for research on nature and health’, </w:t>
      </w:r>
      <w:r w:rsidRPr="009901F5">
        <w:rPr>
          <w:rFonts w:ascii="Arial" w:eastAsia="Times New Roman" w:hAnsi="Arial" w:cs="Arial"/>
          <w:i/>
          <w:iCs/>
          <w:kern w:val="0"/>
          <w:szCs w:val="22"/>
          <w:lang w:eastAsia="en-GB"/>
          <w14:ligatures w14:val="none"/>
        </w:rPr>
        <w:t>Environment International</w:t>
      </w:r>
      <w:r w:rsidRPr="009901F5">
        <w:rPr>
          <w:rFonts w:ascii="Arial" w:eastAsia="Times New Roman" w:hAnsi="Arial" w:cs="Arial"/>
          <w:kern w:val="0"/>
          <w:szCs w:val="22"/>
          <w:lang w:eastAsia="en-GB"/>
          <w14:ligatures w14:val="none"/>
        </w:rPr>
        <w:t>, 181, pp. 108234–108234. doi:https://doi.org/10.1016/j.envint.2023.108234.</w:t>
      </w:r>
    </w:p>
    <w:p w14:paraId="1661DD5D"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World Health Organization (2022) </w:t>
      </w:r>
      <w:r w:rsidRPr="009901F5">
        <w:rPr>
          <w:rFonts w:ascii="Arial" w:eastAsia="Times New Roman" w:hAnsi="Arial" w:cs="Arial"/>
          <w:i/>
          <w:iCs/>
          <w:kern w:val="0"/>
          <w:szCs w:val="22"/>
          <w:lang w:eastAsia="en-GB"/>
          <w14:ligatures w14:val="none"/>
        </w:rPr>
        <w:t>Decade of healthy ageing (2020-2030)</w:t>
      </w:r>
      <w:r w:rsidRPr="009901F5">
        <w:rPr>
          <w:rFonts w:ascii="Arial" w:eastAsia="Times New Roman" w:hAnsi="Arial" w:cs="Arial"/>
          <w:kern w:val="0"/>
          <w:szCs w:val="22"/>
          <w:lang w:eastAsia="en-GB"/>
          <w14:ligatures w14:val="none"/>
        </w:rPr>
        <w:t xml:space="preserve">, </w:t>
      </w:r>
      <w:r w:rsidRPr="009901F5">
        <w:rPr>
          <w:rFonts w:ascii="Arial" w:eastAsia="Times New Roman" w:hAnsi="Arial" w:cs="Arial"/>
          <w:i/>
          <w:iCs/>
          <w:kern w:val="0"/>
          <w:szCs w:val="22"/>
          <w:lang w:eastAsia="en-GB"/>
          <w14:ligatures w14:val="none"/>
        </w:rPr>
        <w:t>www.who.int</w:t>
      </w:r>
      <w:r w:rsidRPr="009901F5">
        <w:rPr>
          <w:rFonts w:ascii="Arial" w:eastAsia="Times New Roman" w:hAnsi="Arial" w:cs="Arial"/>
          <w:kern w:val="0"/>
          <w:szCs w:val="22"/>
          <w:lang w:eastAsia="en-GB"/>
          <w14:ligatures w14:val="none"/>
        </w:rPr>
        <w:t>. Available at: https://www.who.int/initiatives/decade-of-healthy-ageing (Accessed: 27 November 2025).</w:t>
      </w:r>
    </w:p>
    <w:p w14:paraId="4375FD6B" w14:textId="77777777" w:rsidR="009901F5" w:rsidRPr="009901F5" w:rsidRDefault="009901F5" w:rsidP="0072539E">
      <w:pPr>
        <w:spacing w:after="240"/>
        <w:jc w:val="both"/>
        <w:rPr>
          <w:rFonts w:ascii="Arial" w:eastAsia="Times New Roman" w:hAnsi="Arial" w:cs="Arial"/>
          <w:kern w:val="0"/>
          <w:szCs w:val="22"/>
          <w:lang w:eastAsia="en-GB"/>
          <w14:ligatures w14:val="none"/>
        </w:rPr>
      </w:pPr>
      <w:r w:rsidRPr="009901F5">
        <w:rPr>
          <w:rFonts w:ascii="Arial" w:eastAsia="Times New Roman" w:hAnsi="Arial" w:cs="Arial"/>
          <w:kern w:val="0"/>
          <w:szCs w:val="22"/>
          <w:lang w:eastAsia="en-GB"/>
          <w14:ligatures w14:val="none"/>
        </w:rPr>
        <w:t xml:space="preserve">Zhang, W., Zhang, J. and Gao, N. (2025) ‘Social isolation and cognitive decline in older adults: a longitudinal study across 24 countries’, </w:t>
      </w:r>
      <w:r w:rsidRPr="009901F5">
        <w:rPr>
          <w:rFonts w:ascii="Arial" w:eastAsia="Times New Roman" w:hAnsi="Arial" w:cs="Arial"/>
          <w:i/>
          <w:iCs/>
          <w:kern w:val="0"/>
          <w:szCs w:val="22"/>
          <w:lang w:eastAsia="en-GB"/>
          <w14:ligatures w14:val="none"/>
        </w:rPr>
        <w:t>BMC Geriatrics</w:t>
      </w:r>
      <w:r w:rsidRPr="009901F5">
        <w:rPr>
          <w:rFonts w:ascii="Arial" w:eastAsia="Times New Roman" w:hAnsi="Arial" w:cs="Arial"/>
          <w:kern w:val="0"/>
          <w:szCs w:val="22"/>
          <w:lang w:eastAsia="en-GB"/>
          <w14:ligatures w14:val="none"/>
        </w:rPr>
        <w:t>, 25(1). doi:https://doi.org/10.1186/s12877-025-06430-6.</w:t>
      </w:r>
    </w:p>
    <w:p w14:paraId="6826F302" w14:textId="77777777" w:rsidR="00505F51" w:rsidRPr="0072539E" w:rsidRDefault="00505F51" w:rsidP="0072539E">
      <w:pPr>
        <w:jc w:val="both"/>
        <w:rPr>
          <w:rFonts w:ascii="Arial" w:hAnsi="Arial" w:cs="Arial"/>
          <w:b/>
          <w:bCs/>
          <w:szCs w:val="22"/>
          <w:lang w:val="en-GB"/>
        </w:rPr>
      </w:pPr>
    </w:p>
    <w:sectPr w:rsidR="00505F51" w:rsidRPr="007253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257D77"/>
    <w:multiLevelType w:val="multilevel"/>
    <w:tmpl w:val="215AD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49320E"/>
    <w:multiLevelType w:val="multilevel"/>
    <w:tmpl w:val="E5DCC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C66112"/>
    <w:multiLevelType w:val="multilevel"/>
    <w:tmpl w:val="84B45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36819">
    <w:abstractNumId w:val="2"/>
  </w:num>
  <w:num w:numId="2" w16cid:durableId="206917731">
    <w:abstractNumId w:val="1"/>
  </w:num>
  <w:num w:numId="3" w16cid:durableId="1896693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45"/>
    <w:rsid w:val="000167A0"/>
    <w:rsid w:val="000363C5"/>
    <w:rsid w:val="00051F48"/>
    <w:rsid w:val="000B743B"/>
    <w:rsid w:val="00156662"/>
    <w:rsid w:val="00240B01"/>
    <w:rsid w:val="00280624"/>
    <w:rsid w:val="002A4FA7"/>
    <w:rsid w:val="002A5235"/>
    <w:rsid w:val="002F51C8"/>
    <w:rsid w:val="00340028"/>
    <w:rsid w:val="00437888"/>
    <w:rsid w:val="00445A98"/>
    <w:rsid w:val="00461624"/>
    <w:rsid w:val="00502DC9"/>
    <w:rsid w:val="00505F51"/>
    <w:rsid w:val="0051278D"/>
    <w:rsid w:val="005C3210"/>
    <w:rsid w:val="005F25C2"/>
    <w:rsid w:val="006B7715"/>
    <w:rsid w:val="0072539E"/>
    <w:rsid w:val="007D44AA"/>
    <w:rsid w:val="007F3A40"/>
    <w:rsid w:val="00804503"/>
    <w:rsid w:val="009901F5"/>
    <w:rsid w:val="009B14D7"/>
    <w:rsid w:val="00A314A9"/>
    <w:rsid w:val="00A77575"/>
    <w:rsid w:val="00AC14BC"/>
    <w:rsid w:val="00AF71F7"/>
    <w:rsid w:val="00AF744E"/>
    <w:rsid w:val="00B04A0E"/>
    <w:rsid w:val="00B3689A"/>
    <w:rsid w:val="00B62B45"/>
    <w:rsid w:val="00BD7D7C"/>
    <w:rsid w:val="00BE4882"/>
    <w:rsid w:val="00C97E2B"/>
    <w:rsid w:val="00CB5137"/>
    <w:rsid w:val="00CE3A79"/>
    <w:rsid w:val="00D73EA2"/>
    <w:rsid w:val="00D95A10"/>
    <w:rsid w:val="00DD0DD1"/>
    <w:rsid w:val="00DE4D87"/>
    <w:rsid w:val="00DF4FBB"/>
    <w:rsid w:val="00E162CA"/>
    <w:rsid w:val="00E40EE9"/>
    <w:rsid w:val="00E413AA"/>
    <w:rsid w:val="00E80314"/>
    <w:rsid w:val="00E947F1"/>
    <w:rsid w:val="00EE7B79"/>
    <w:rsid w:val="00F06369"/>
    <w:rsid w:val="00F84AB4"/>
    <w:rsid w:val="00FA293E"/>
    <w:rsid w:val="00FB6C67"/>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78E7C"/>
  <w15:chartTrackingRefBased/>
  <w15:docId w15:val="{029CE6AD-C510-6B4D-9DFF-DD9143A40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6369"/>
    <w:pPr>
      <w:spacing w:line="360" w:lineRule="auto"/>
    </w:pPr>
    <w:rPr>
      <w:rFonts w:asciiTheme="minorBidi" w:hAnsiTheme="minorBidi"/>
      <w:sz w:val="22"/>
    </w:rPr>
  </w:style>
  <w:style w:type="paragraph" w:styleId="Heading1">
    <w:name w:val="heading 1"/>
    <w:basedOn w:val="Normal"/>
    <w:next w:val="Normal"/>
    <w:link w:val="Heading1Char"/>
    <w:uiPriority w:val="9"/>
    <w:qFormat/>
    <w:rsid w:val="00461624"/>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FB6C67"/>
    <w:pPr>
      <w:keepNext/>
      <w:keepLines/>
      <w:spacing w:before="160" w:after="80"/>
      <w:outlineLvl w:val="1"/>
    </w:pPr>
    <w:rPr>
      <w:rFonts w:eastAsiaTheme="majorEastAsia" w:cstheme="majorBidi"/>
      <w:b/>
      <w:color w:val="0F4761" w:themeColor="accent1" w:themeShade="BF"/>
      <w:szCs w:val="32"/>
    </w:rPr>
  </w:style>
  <w:style w:type="paragraph" w:styleId="Heading3">
    <w:name w:val="heading 3"/>
    <w:basedOn w:val="Normal"/>
    <w:next w:val="Normal"/>
    <w:link w:val="Heading3Char"/>
    <w:uiPriority w:val="9"/>
    <w:unhideWhenUsed/>
    <w:qFormat/>
    <w:rsid w:val="00BE4882"/>
    <w:pPr>
      <w:keepNext/>
      <w:keepLines/>
      <w:spacing w:before="160" w:after="80"/>
      <w:outlineLvl w:val="2"/>
    </w:pPr>
    <w:rPr>
      <w:rFonts w:eastAsiaTheme="majorEastAsia" w:cstheme="majorBidi"/>
      <w:b/>
      <w:i/>
      <w:color w:val="0F4761" w:themeColor="accent1" w:themeShade="BF"/>
      <w:szCs w:val="28"/>
    </w:rPr>
  </w:style>
  <w:style w:type="paragraph" w:styleId="Heading4">
    <w:name w:val="heading 4"/>
    <w:basedOn w:val="Normal"/>
    <w:next w:val="Normal"/>
    <w:link w:val="Heading4Char"/>
    <w:uiPriority w:val="9"/>
    <w:semiHidden/>
    <w:unhideWhenUsed/>
    <w:qFormat/>
    <w:rsid w:val="00B62B4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B62B4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B62B4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62B4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62B4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62B4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624"/>
    <w:rPr>
      <w:rFonts w:asciiTheme="majorBidi" w:eastAsiaTheme="majorEastAsia" w:hAnsiTheme="majorBidi" w:cstheme="majorBidi"/>
      <w:b/>
      <w:color w:val="0F4761" w:themeColor="accent1" w:themeShade="BF"/>
      <w:sz w:val="28"/>
      <w:szCs w:val="40"/>
    </w:rPr>
  </w:style>
  <w:style w:type="character" w:customStyle="1" w:styleId="Heading2Char">
    <w:name w:val="Heading 2 Char"/>
    <w:basedOn w:val="DefaultParagraphFont"/>
    <w:link w:val="Heading2"/>
    <w:uiPriority w:val="9"/>
    <w:rsid w:val="00FB6C67"/>
    <w:rPr>
      <w:rFonts w:asciiTheme="majorBidi" w:eastAsiaTheme="majorEastAsia" w:hAnsiTheme="majorBidi" w:cstheme="majorBidi"/>
      <w:b/>
      <w:color w:val="0F4761" w:themeColor="accent1" w:themeShade="BF"/>
      <w:szCs w:val="32"/>
    </w:rPr>
  </w:style>
  <w:style w:type="character" w:customStyle="1" w:styleId="Heading3Char">
    <w:name w:val="Heading 3 Char"/>
    <w:basedOn w:val="DefaultParagraphFont"/>
    <w:link w:val="Heading3"/>
    <w:uiPriority w:val="9"/>
    <w:rsid w:val="00BE4882"/>
    <w:rPr>
      <w:rFonts w:asciiTheme="majorBidi" w:eastAsiaTheme="majorEastAsia" w:hAnsiTheme="majorBidi" w:cstheme="majorBidi"/>
      <w:b/>
      <w:i/>
      <w:color w:val="0F4761" w:themeColor="accent1" w:themeShade="BF"/>
      <w:szCs w:val="28"/>
    </w:rPr>
  </w:style>
  <w:style w:type="character" w:customStyle="1" w:styleId="Heading4Char">
    <w:name w:val="Heading 4 Char"/>
    <w:basedOn w:val="DefaultParagraphFont"/>
    <w:link w:val="Heading4"/>
    <w:uiPriority w:val="9"/>
    <w:semiHidden/>
    <w:rsid w:val="00B62B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2B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2B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2B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2B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2B45"/>
    <w:rPr>
      <w:rFonts w:eastAsiaTheme="majorEastAsia" w:cstheme="majorBidi"/>
      <w:color w:val="272727" w:themeColor="text1" w:themeTint="D8"/>
    </w:rPr>
  </w:style>
  <w:style w:type="paragraph" w:styleId="Title">
    <w:name w:val="Title"/>
    <w:basedOn w:val="Normal"/>
    <w:next w:val="Normal"/>
    <w:link w:val="TitleChar"/>
    <w:uiPriority w:val="10"/>
    <w:qFormat/>
    <w:rsid w:val="00B62B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2B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2B45"/>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2B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2B45"/>
    <w:pPr>
      <w:spacing w:before="160"/>
      <w:jc w:val="center"/>
    </w:pPr>
    <w:rPr>
      <w:i/>
      <w:iCs/>
      <w:color w:val="404040" w:themeColor="text1" w:themeTint="BF"/>
    </w:rPr>
  </w:style>
  <w:style w:type="character" w:customStyle="1" w:styleId="QuoteChar">
    <w:name w:val="Quote Char"/>
    <w:basedOn w:val="DefaultParagraphFont"/>
    <w:link w:val="Quote"/>
    <w:uiPriority w:val="29"/>
    <w:rsid w:val="00B62B45"/>
    <w:rPr>
      <w:rFonts w:asciiTheme="majorBidi" w:hAnsiTheme="majorBidi"/>
      <w:i/>
      <w:iCs/>
      <w:color w:val="404040" w:themeColor="text1" w:themeTint="BF"/>
    </w:rPr>
  </w:style>
  <w:style w:type="paragraph" w:styleId="ListParagraph">
    <w:name w:val="List Paragraph"/>
    <w:basedOn w:val="Normal"/>
    <w:uiPriority w:val="34"/>
    <w:qFormat/>
    <w:rsid w:val="00B62B45"/>
    <w:pPr>
      <w:ind w:left="720"/>
      <w:contextualSpacing/>
    </w:pPr>
  </w:style>
  <w:style w:type="character" w:styleId="IntenseEmphasis">
    <w:name w:val="Intense Emphasis"/>
    <w:basedOn w:val="DefaultParagraphFont"/>
    <w:uiPriority w:val="21"/>
    <w:qFormat/>
    <w:rsid w:val="00B62B45"/>
    <w:rPr>
      <w:i/>
      <w:iCs/>
      <w:color w:val="0F4761" w:themeColor="accent1" w:themeShade="BF"/>
    </w:rPr>
  </w:style>
  <w:style w:type="paragraph" w:styleId="IntenseQuote">
    <w:name w:val="Intense Quote"/>
    <w:basedOn w:val="Normal"/>
    <w:next w:val="Normal"/>
    <w:link w:val="IntenseQuoteChar"/>
    <w:uiPriority w:val="30"/>
    <w:qFormat/>
    <w:rsid w:val="00B62B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2B45"/>
    <w:rPr>
      <w:rFonts w:asciiTheme="majorBidi" w:hAnsiTheme="majorBidi"/>
      <w:i/>
      <w:iCs/>
      <w:color w:val="0F4761" w:themeColor="accent1" w:themeShade="BF"/>
    </w:rPr>
  </w:style>
  <w:style w:type="character" w:styleId="IntenseReference">
    <w:name w:val="Intense Reference"/>
    <w:basedOn w:val="DefaultParagraphFont"/>
    <w:uiPriority w:val="32"/>
    <w:qFormat/>
    <w:rsid w:val="00B62B45"/>
    <w:rPr>
      <w:b/>
      <w:bCs/>
      <w:smallCaps/>
      <w:color w:val="0F4761" w:themeColor="accent1" w:themeShade="BF"/>
      <w:spacing w:val="5"/>
    </w:rPr>
  </w:style>
  <w:style w:type="paragraph" w:styleId="NormalWeb">
    <w:name w:val="Normal (Web)"/>
    <w:basedOn w:val="Normal"/>
    <w:uiPriority w:val="99"/>
    <w:semiHidden/>
    <w:unhideWhenUsed/>
    <w:rsid w:val="00AC14B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C14B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35</TotalTime>
  <Pages>13</Pages>
  <Words>4400</Words>
  <Characters>25083</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WORD FILE</dc:creator>
  <cp:keywords/>
  <dc:description/>
  <cp:lastModifiedBy>Naqi Mir</cp:lastModifiedBy>
  <cp:revision>43</cp:revision>
  <dcterms:created xsi:type="dcterms:W3CDTF">2025-11-27T09:35:00Z</dcterms:created>
  <dcterms:modified xsi:type="dcterms:W3CDTF">2025-12-01T14:48:00Z</dcterms:modified>
</cp:coreProperties>
</file>