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Override ContentType="application/vnd.openxmlformats-officedocument.wordprocessingml.header+xml" PartName="/word/header4.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bCs w:val="0"/>
          <w:i w:val="0"/>
          <w:iCs w:val="0"/>
          <w:smallCaps w:val="0"/>
          <w:strike w:val="0"/>
          <w:color w:val="000000"/>
          <w:sz w:val="21"/>
          <w:szCs w:val="21"/>
          <w:u w:val="none"/>
          <w:shd w:fill="auto" w:val="clear"/>
          <w:vertAlign w:val="baseline"/>
        </w:rPr>
      </w:pPr>
      <w:r w:rsidDel="00000000" w:rsidR="00000000" w:rsidRPr="00000000">
        <w:rPr>
          <w:rFonts w:ascii="Georgia" w:cs="Georgia" w:eastAsia="Georgia" w:hAnsi="Georgia"/>
          <w:b w:val="0"/>
          <w:bCs w:val="0"/>
          <w:i w:val="0"/>
          <w:iCs w:val="0"/>
          <w:smallCaps w:val="0"/>
          <w:strike w:val="0"/>
          <w:color w:val="000000"/>
          <w:sz w:val="21"/>
          <w:szCs w:val="21"/>
          <w:u w:val="none"/>
          <w:shd w:fill="auto" w:val="clear"/>
          <w:vertAlign w:val="baseline"/>
        </w:rPr>
        <w:drawing>
          <wp:inline distB="0" distT="0" distL="0" distR="0">
            <wp:extent cx="1906270" cy="638175"/>
            <wp:effectExtent b="19050" l="19050" r="19050" t="19050"/>
            <wp:docPr descr="TSD_logo2010" id="3" name="image2.png"/>
            <a:graphic>
              <a:graphicData uri="http://schemas.openxmlformats.org/drawingml/2006/picture">
                <pic:pic>
                  <pic:nvPicPr>
                    <pic:cNvPr descr="TSD_logo2010" id="0" name="image2.png"/>
                    <pic:cNvPicPr preferRelativeResize="0"/>
                  </pic:nvPicPr>
                  <pic:blipFill>
                    <a:blip r:embed="rId8"/>
                    <a:srcRect b="0" l="0" r="0" t="0"/>
                    <a:stretch>
                      <a:fillRect/>
                    </a:stretch>
                  </pic:blipFill>
                  <pic:spPr>
                    <a:xfrm>
                      <a:off x="0" y="0"/>
                      <a:ext cx="1906270" cy="638175"/>
                    </a:xfrm>
                    <a:prstGeom prst="rect"/>
                    <a:ln w="1905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Postgraduate/Distance Learning </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Assignment coversheet &amp; feedback form</w:t>
      </w:r>
    </w:p>
    <w:p w:rsidR="00000000" w:rsidDel="00000000" w:rsidP="00000000" w:rsidRDefault="00000000" w:rsidRPr="00000000" w14:paraId="00000006">
      <w:pPr>
        <w:rPr>
          <w:rFonts w:ascii="Arial" w:cs="Arial" w:eastAsia="Arial" w:hAnsi="Arial"/>
          <w:sz w:val="28"/>
          <w:szCs w:val="28"/>
        </w:rPr>
      </w:pPr>
      <w:r w:rsidDel="00000000" w:rsidR="00000000" w:rsidRPr="00000000">
        <w:rPr>
          <w:rtl w:val="0"/>
        </w:rPr>
      </w:r>
    </w:p>
    <w:sdt>
      <w:sdtPr>
        <w:id w:val="-1839192219"/>
        <w:tag w:val="goog_rdk_0"/>
      </w:sdtPr>
      <w:sdtContent>
        <w:p w:rsidR="00000000" w:rsidDel="00000000" w:rsidP="00000000" w:rsidRDefault="00000000" w:rsidRPr="00000000" w14:paraId="00000007">
          <w:pPr>
            <w:pStyle w:val="Heading3"/>
            <w:ind w:firstLine="720"/>
            <w:jc w:val="center"/>
            <w:rPr/>
          </w:pPr>
          <w:r w:rsidDel="00000000" w:rsidR="00000000" w:rsidRPr="00000000">
            <w:rPr>
              <w:rtl w:val="0"/>
            </w:rPr>
            <w:t xml:space="preserve">THIS SHEET MUST BE THE FIRST PAGE OF THE ASSIGNMENT YOU ARE SUBMITTING  (DO NOT SEND AS A SEPARATE FILE)</w:t>
          </w:r>
        </w:p>
      </w:sdtContent>
    </w:sdt>
    <w:p w:rsidR="00000000" w:rsidDel="00000000" w:rsidP="00000000" w:rsidRDefault="00000000" w:rsidRPr="00000000" w14:paraId="00000008">
      <w:pPr>
        <w:pStyle w:val="Heading3"/>
        <w:ind w:firstLine="720"/>
        <w:jc w:val="center"/>
        <w:rPr>
          <w:rFonts w:ascii="Trebuchet MS" w:cs="Trebuchet MS" w:eastAsia="Trebuchet MS" w:hAnsi="Trebuchet MS"/>
        </w:rPr>
      </w:pPr>
      <w:r w:rsidDel="00000000" w:rsidR="00000000" w:rsidRPr="00000000">
        <w:rPr>
          <w:rtl w:val="0"/>
        </w:rPr>
      </w:r>
    </w:p>
    <w:tbl>
      <w:tblPr>
        <w:tblStyle w:val="Table1"/>
        <w:tblW w:w="88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tcPr>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For completion by the student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p>
        </w:tc>
      </w:tr>
      <w:tr>
        <w:trPr>
          <w:cantSplit w:val="0"/>
          <w:trHeight w:val="718" w:hRule="atLeast"/>
          <w:tblHeader w:val="0"/>
        </w:trPr>
        <w:tc>
          <w:tcPr>
            <w:gridSpan w:val="5"/>
          </w:tcPr>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Student Name: </w:t>
            </w:r>
            <w:r w:rsidDel="00000000" w:rsidR="00000000" w:rsidRPr="00000000">
              <w:rPr>
                <w:rFonts w:ascii="Helvetica Neue" w:cs="Helvetica Neue" w:eastAsia="Helvetica Neue" w:hAnsi="Helvetica Neue"/>
                <w:b w:val="1"/>
                <w:bCs w:val="1"/>
                <w:color w:val="3d85c6"/>
                <w:rtl w:val="0"/>
              </w:rPr>
              <w:t xml:space="preserve">Aditi Kashyap</w:t>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Helvetica Neue" w:cs="Helvetica Neue" w:eastAsia="Helvetica Neue" w:hAnsi="Helvetica Neue"/>
                <w:b w:val="1"/>
                <w:bCs w:val="1"/>
                <w:color w:val="3d85c6"/>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Student </w:t>
            </w:r>
            <w:r w:rsidDel="00000000" w:rsidR="00000000" w:rsidRPr="00000000">
              <w:rPr>
                <w:rFonts w:ascii="Arial" w:cs="Arial" w:eastAsia="Arial" w:hAnsi="Arial"/>
                <w:b w:val="1"/>
                <w:bCs w:val="1"/>
                <w:i w:val="0"/>
                <w:iCs w:val="0"/>
                <w:smallCaps w:val="0"/>
                <w:strike w:val="0"/>
                <w:color w:val="000000"/>
                <w:sz w:val="22"/>
                <w:szCs w:val="22"/>
                <w:u w:val="single"/>
                <w:shd w:fill="auto" w:val="clear"/>
                <w:vertAlign w:val="baseline"/>
                <w:rtl w:val="0"/>
              </w:rPr>
              <w:t xml:space="preserve">University</w:t>
            </w:r>
            <w:r w:rsidDel="00000000" w:rsidR="00000000" w:rsidRPr="00000000">
              <w:rPr>
                <w:rFonts w:ascii="Arial" w:cs="Arial" w:eastAsia="Arial" w:hAnsi="Arial"/>
                <w:b w:val="0"/>
                <w:bCs w:val="0"/>
                <w:i w:val="0"/>
                <w:iCs w:val="0"/>
                <w:smallCaps w:val="0"/>
                <w:strike w:val="0"/>
                <w:color w:val="000000"/>
                <w:sz w:val="22"/>
                <w:szCs w:val="22"/>
                <w:u w:val="singl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Email: </w:t>
            </w:r>
            <w:r w:rsidDel="00000000" w:rsidR="00000000" w:rsidRPr="00000000">
              <w:rPr>
                <w:rFonts w:ascii="Helvetica Neue" w:cs="Helvetica Neue" w:eastAsia="Helvetica Neue" w:hAnsi="Helvetica Neue"/>
                <w:b w:val="1"/>
                <w:bCs w:val="1"/>
                <w:color w:val="3d85c6"/>
                <w:rtl w:val="0"/>
              </w:rPr>
              <w:t xml:space="preserve">2520289@student.uwtsd.ac.uk</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rPr>
            </w:pPr>
            <w:r w:rsidDel="00000000" w:rsidR="00000000" w:rsidRPr="00000000">
              <w:rPr>
                <w:rtl w:val="0"/>
              </w:rPr>
            </w:r>
          </w:p>
        </w:tc>
      </w:tr>
      <w:tr>
        <w:trPr>
          <w:cantSplit w:val="0"/>
          <w:trHeight w:val="849" w:hRule="atLeast"/>
          <w:tblHeader w:val="0"/>
        </w:trPr>
        <w:tc>
          <w:tcPr/>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Module code: </w:t>
            </w:r>
            <w:r w:rsidDel="00000000" w:rsidR="00000000" w:rsidRPr="00000000">
              <w:rPr>
                <w:rFonts w:ascii="Helvetica Neue" w:cs="Helvetica Neue" w:eastAsia="Helvetica Neue" w:hAnsi="Helvetica Neue"/>
                <w:b w:val="1"/>
                <w:bCs w:val="1"/>
                <w:color w:val="3d85c6"/>
                <w:rtl w:val="0"/>
              </w:rPr>
              <w:t xml:space="preserve">HPCA7015</w:t>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Helvetica Neue" w:cs="Helvetica Neue" w:eastAsia="Helvetica Neue" w:hAnsi="Helvetica Neue"/>
                <w:b w:val="1"/>
                <w:bCs w:val="1"/>
                <w:color w:val="3d85c6"/>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Module title: </w:t>
            </w:r>
            <w:r w:rsidDel="00000000" w:rsidR="00000000" w:rsidRPr="00000000">
              <w:rPr>
                <w:rFonts w:ascii="Helvetica Neue" w:cs="Helvetica Neue" w:eastAsia="Helvetica Neue" w:hAnsi="Helvetica Neue"/>
                <w:b w:val="1"/>
                <w:bCs w:val="1"/>
                <w:color w:val="3d85c6"/>
                <w:rtl w:val="0"/>
              </w:rPr>
              <w:t xml:space="preserve">Foundations in Cultural </w:t>
            </w:r>
          </w:p>
          <w:p w:rsidR="00000000" w:rsidDel="00000000" w:rsidP="00000000" w:rsidRDefault="00000000" w:rsidRPr="00000000" w14:paraId="00000019">
            <w:pPr>
              <w:spacing w:after="0" w:line="240" w:lineRule="auto"/>
              <w:ind w:right="34"/>
              <w:rPr>
                <w:rFonts w:ascii="Arial" w:cs="Arial" w:eastAsia="Arial" w:hAnsi="Arial"/>
              </w:rPr>
            </w:pPr>
            <w:r w:rsidDel="00000000" w:rsidR="00000000" w:rsidRPr="00000000">
              <w:rPr>
                <w:rFonts w:ascii="Helvetica Neue" w:cs="Helvetica Neue" w:eastAsia="Helvetica Neue" w:hAnsi="Helvetica Neue"/>
                <w:b w:val="1"/>
                <w:bCs w:val="1"/>
                <w:color w:val="3d85c6"/>
                <w:rtl w:val="0"/>
              </w:rPr>
              <w:t xml:space="preserve">Astronomy and Astrology</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Pr>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Student ID number: </w:t>
            </w:r>
            <w:r w:rsidDel="00000000" w:rsidR="00000000" w:rsidRPr="00000000">
              <w:rPr>
                <w:rFonts w:ascii="Helvetica Neue" w:cs="Helvetica Neue" w:eastAsia="Helvetica Neue" w:hAnsi="Helvetica Neue"/>
                <w:b w:val="1"/>
                <w:bCs w:val="1"/>
                <w:color w:val="3d85c6"/>
                <w:rtl w:val="0"/>
              </w:rPr>
              <w:t xml:space="preserve">2520289</w:t>
            </w:r>
            <w:r w:rsidDel="00000000" w:rsidR="00000000" w:rsidRPr="00000000">
              <w:rPr>
                <w:rtl w:val="0"/>
              </w:rPr>
            </w:r>
          </w:p>
        </w:tc>
        <w:tc>
          <w:tcPr/>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Educational support needs:</w:t>
            </w:r>
          </w:p>
          <w:p w:rsidR="00000000" w:rsidDel="00000000" w:rsidP="00000000" w:rsidRDefault="00000000" w:rsidRPr="00000000" w14:paraId="0000001F">
            <w:pPr>
              <w:spacing w:after="0" w:line="240" w:lineRule="auto"/>
              <w:ind w:right="34"/>
              <w:rPr>
                <w:rFonts w:ascii="Arial" w:cs="Arial" w:eastAsia="Arial" w:hAnsi="Arial"/>
              </w:rPr>
            </w:pPr>
            <w:r w:rsidDel="00000000" w:rsidR="00000000" w:rsidRPr="00000000">
              <w:rPr>
                <w:rFonts w:ascii="Arial" w:cs="Arial" w:eastAsia="Arial" w:hAnsi="Arial"/>
                <w:rtl w:val="0"/>
              </w:rPr>
              <w:t xml:space="preserve">Yes/</w:t>
            </w:r>
            <w:r w:rsidDel="00000000" w:rsidR="00000000" w:rsidRPr="00000000">
              <w:rPr>
                <w:rFonts w:ascii="Helvetica Neue" w:cs="Helvetica Neue" w:eastAsia="Helvetica Neue" w:hAnsi="Helvetica Neue"/>
                <w:b w:val="1"/>
                <w:bCs w:val="1"/>
                <w:color w:val="3d85c6"/>
                <w:rtl w:val="0"/>
              </w:rPr>
              <w:t xml:space="preserve">No</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1139" w:hRule="atLeast"/>
          <w:tblHeader w:val="0"/>
        </w:trPr>
        <w:tc>
          <w:tcPr>
            <w:gridSpan w:val="5"/>
          </w:tcPr>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1"/>
                <w:bCs w:val="1"/>
                <w:i w:val="0"/>
                <w:iCs w:val="0"/>
                <w:smallCaps w:val="0"/>
                <w:strike w:val="0"/>
                <w:color w:val="3d85c6"/>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Assignment title: </w:t>
            </w:r>
            <w:r w:rsidDel="00000000" w:rsidR="00000000" w:rsidRPr="00000000">
              <w:rPr>
                <w:rFonts w:ascii="Arial" w:cs="Arial" w:eastAsia="Arial" w:hAnsi="Arial"/>
                <w:b w:val="1"/>
                <w:bCs w:val="1"/>
                <w:i w:val="0"/>
                <w:iCs w:val="0"/>
                <w:smallCaps w:val="0"/>
                <w:strike w:val="0"/>
                <w:color w:val="3d85c6"/>
                <w:sz w:val="22"/>
                <w:szCs w:val="22"/>
                <w:u w:val="none"/>
                <w:shd w:fill="auto" w:val="clear"/>
                <w:vertAlign w:val="baseline"/>
                <w:rtl w:val="0"/>
              </w:rPr>
              <w:t xml:space="preserve">Compare and contrast two sky myths from two different cultures.</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1"/>
                <w:bCs w:val="1"/>
                <w:i w:val="0"/>
                <w:iCs w:val="0"/>
                <w:smallCaps w:val="0"/>
                <w:strike w:val="0"/>
                <w:color w:val="3d85c6"/>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Assignment due date: </w:t>
            </w:r>
            <w:r w:rsidDel="00000000" w:rsidR="00000000" w:rsidRPr="00000000">
              <w:rPr>
                <w:rFonts w:ascii="Arial" w:cs="Arial" w:eastAsia="Arial" w:hAnsi="Arial"/>
                <w:b w:val="1"/>
                <w:bCs w:val="1"/>
                <w:color w:val="3d85c6"/>
                <w:rtl w:val="0"/>
              </w:rPr>
              <w:t xml:space="preserve">5 January 2025</w:t>
            </w:r>
            <w:r w:rsidDel="00000000" w:rsidR="00000000" w:rsidRPr="00000000">
              <w:rPr>
                <w:rtl w:val="0"/>
              </w:rPr>
            </w:r>
          </w:p>
        </w:tc>
      </w:tr>
      <w:tr>
        <w:trPr>
          <w:cantSplit w:val="0"/>
          <w:trHeight w:val="978" w:hRule="atLeast"/>
          <w:tblHeader w:val="0"/>
        </w:trPr>
        <w:tc>
          <w:tcPr>
            <w:gridSpan w:val="5"/>
            <w:tcBorders>
              <w:bottom w:color="000000" w:space="0" w:sz="4" w:val="single"/>
            </w:tcBorders>
          </w:tcPr>
          <w:p w:rsidR="00000000" w:rsidDel="00000000" w:rsidP="00000000" w:rsidRDefault="00000000" w:rsidRPr="00000000" w14:paraId="00000028">
            <w:pPr>
              <w:rPr>
                <w:rFonts w:ascii="Arial" w:cs="Arial" w:eastAsia="Arial" w:hAnsi="Arial"/>
              </w:rPr>
            </w:pPr>
            <w:r w:rsidDel="00000000" w:rsidR="00000000" w:rsidRPr="00000000">
              <w:rPr>
                <w:rFonts w:ascii="Arial" w:cs="Arial" w:eastAsia="Arial" w:hAnsi="Arial"/>
                <w:rtl w:val="0"/>
              </w:rPr>
              <w:t xml:space="preserve">This assignment is for the       </w:t>
            </w:r>
            <w:r w:rsidDel="00000000" w:rsidR="00000000" w:rsidRPr="00000000">
              <w:rPr>
                <w:rFonts w:ascii="Arial" w:cs="Arial" w:eastAsia="Arial" w:hAnsi="Arial"/>
                <w:b w:val="1"/>
                <w:bCs w:val="1"/>
                <w:color w:val="3d85c6"/>
                <w:rtl w:val="0"/>
              </w:rPr>
              <w:t xml:space="preserve">1</w:t>
            </w:r>
            <w:r w:rsidDel="00000000" w:rsidR="00000000" w:rsidRPr="00000000">
              <w:rPr>
                <w:rFonts w:ascii="Arial" w:cs="Arial" w:eastAsia="Arial" w:hAnsi="Arial"/>
                <w:b w:val="1"/>
                <w:bCs w:val="1"/>
                <w:color w:val="3d85c6"/>
                <w:vertAlign w:val="superscript"/>
                <w:rtl w:val="0"/>
              </w:rPr>
              <w:t xml:space="preserve">st</w:t>
            </w:r>
            <w:r w:rsidDel="00000000" w:rsidR="00000000" w:rsidRPr="00000000">
              <w:rPr>
                <w:rFonts w:ascii="Arial" w:cs="Arial" w:eastAsia="Arial" w:hAnsi="Arial"/>
                <w:vertAlign w:val="superscript"/>
                <w:rtl w:val="0"/>
              </w:rPr>
              <w:t xml:space="preserve">  </w:t>
            </w:r>
            <w:r w:rsidDel="00000000" w:rsidR="00000000" w:rsidRPr="00000000">
              <w:rPr>
                <w:rFonts w:ascii="Arial" w:cs="Arial" w:eastAsia="Arial" w:hAnsi="Arial"/>
                <w:rtl w:val="0"/>
              </w:rPr>
              <w:t xml:space="preserve">☐ 2</w:t>
            </w:r>
            <w:r w:rsidDel="00000000" w:rsidR="00000000" w:rsidRPr="00000000">
              <w:rPr>
                <w:rFonts w:ascii="Arial" w:cs="Arial" w:eastAsia="Arial" w:hAnsi="Arial"/>
                <w:vertAlign w:val="superscript"/>
                <w:rtl w:val="0"/>
              </w:rPr>
              <w:t xml:space="preserve">nd</w:t>
            </w:r>
            <w:r w:rsidDel="00000000" w:rsidR="00000000" w:rsidRPr="00000000">
              <w:rPr>
                <w:rFonts w:ascii="Arial" w:cs="Arial" w:eastAsia="Arial" w:hAnsi="Arial"/>
                <w:rtl w:val="0"/>
              </w:rPr>
              <w:t xml:space="preserve">   ☐    3</w:t>
            </w:r>
            <w:r w:rsidDel="00000000" w:rsidR="00000000" w:rsidRPr="00000000">
              <w:rPr>
                <w:rFonts w:ascii="Arial" w:cs="Arial" w:eastAsia="Arial" w:hAnsi="Arial"/>
                <w:vertAlign w:val="superscript"/>
                <w:rtl w:val="0"/>
              </w:rPr>
              <w:t xml:space="preserve">rd</w:t>
            </w:r>
            <w:r w:rsidDel="00000000" w:rsidR="00000000" w:rsidRPr="00000000">
              <w:rPr>
                <w:rFonts w:ascii="Arial" w:cs="Arial" w:eastAsia="Arial" w:hAnsi="Arial"/>
                <w:rtl w:val="0"/>
              </w:rPr>
              <w:t xml:space="preserve">  ☐      4</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      5</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      6</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module of the degree</w:t>
            </w:r>
          </w:p>
        </w:tc>
      </w:tr>
      <w:tr>
        <w:trPr>
          <w:cantSplit w:val="0"/>
          <w:trHeight w:val="978" w:hRule="atLeast"/>
          <w:tblHeader w:val="0"/>
        </w:trPr>
        <w:tc>
          <w:tcPr>
            <w:gridSpan w:val="5"/>
            <w:shd w:fill="d9d9d9" w:val="clear"/>
          </w:tcPr>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Plagiarism declaration</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confirm that this is my original work and that I have adhered to the University policy on plagiarism.</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Artificial Intelligence (AI) declaration</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For this assessment, you can use Generative AI to check your own text/creation for grammatical and syntactical mistakes, including rephrasing of your own work within specific standards.*</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bookmarkStart w:colFirst="0" w:colLast="0" w:name="_heading=h.9q89aorkgofw" w:id="0"/>
            <w:bookmarkEnd w:id="0"/>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t>
            </w:r>
            <w:r w:rsidDel="00000000" w:rsidR="00000000" w:rsidRPr="00000000">
              <w:rPr>
                <w:rFonts w:ascii="Cambria" w:cs="Cambria" w:eastAsia="Cambria" w:hAnsi="Cambria"/>
                <w:b w:val="0"/>
                <w:bCs w:val="0"/>
                <w:i w:val="0"/>
                <w:iCs w:val="0"/>
                <w:smallCaps w:val="0"/>
                <w:strike w:val="0"/>
                <w:color w:val="000000"/>
                <w:sz w:val="22"/>
                <w:szCs w:val="22"/>
                <w:u w:val="none"/>
                <w:shd w:fill="auto" w:val="clear"/>
                <w:vertAlign w:val="baseline"/>
                <w:rtl w:val="0"/>
              </w:rPr>
              <w:t xml:space="preserve">You should only rephrase sentences in which you have corrected grammatical and syntactical mistakes.</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confirm that I have not used any AI tools in the research and creation of this assignment, except as permitted above.</w:t>
            </w:r>
            <w:r w:rsidDel="00000000" w:rsidR="00000000" w:rsidRPr="00000000">
              <w:rPr>
                <w:rFonts w:ascii="Arial" w:cs="Arial" w:eastAsia="Arial" w:hAnsi="Arial"/>
                <w:b w:val="0"/>
                <w:bCs w:val="0"/>
                <w:i w:val="0"/>
                <w:iCs w:val="0"/>
                <w:smallCaps w:val="0"/>
                <w:strike w:val="0"/>
                <w:color w:val="ee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Signed: </w:t>
            </w:r>
            <w:r w:rsidDel="00000000" w:rsidR="00000000" w:rsidRPr="00000000">
              <w:rPr>
                <w:rFonts w:ascii="Arial" w:cs="Arial" w:eastAsia="Arial" w:hAnsi="Arial"/>
              </w:rPr>
              <w:drawing>
                <wp:inline distB="114300" distT="114300" distL="114300" distR="114300">
                  <wp:extent cx="919241" cy="332256"/>
                  <wp:effectExtent b="0" l="0" r="0" t="0"/>
                  <wp:docPr id="2" name="image1.png"/>
                  <a:graphic>
                    <a:graphicData uri="http://schemas.openxmlformats.org/drawingml/2006/picture">
                      <pic:pic>
                        <pic:nvPicPr>
                          <pic:cNvPr id="0" name="image1.png"/>
                          <pic:cNvPicPr preferRelativeResize="0"/>
                        </pic:nvPicPr>
                        <pic:blipFill>
                          <a:blip r:embed="rId9"/>
                          <a:srcRect b="17885" l="0" r="0" t="0"/>
                          <a:stretch>
                            <a:fillRect/>
                          </a:stretch>
                        </pic:blipFill>
                        <pic:spPr>
                          <a:xfrm>
                            <a:off x="0" y="0"/>
                            <a:ext cx="919241" cy="332256"/>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3972" w:hRule="atLeast"/>
          <w:tblHeader w:val="0"/>
        </w:trPr>
        <w:tc>
          <w:tcPr>
            <w:gridSpan w:val="5"/>
          </w:tcPr>
          <w:p w:rsidR="00000000" w:rsidDel="00000000" w:rsidP="00000000" w:rsidRDefault="00000000" w:rsidRPr="00000000" w14:paraId="0000003E">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b w:val="1"/>
                <w:bCs w:val="1"/>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p w:rsidR="00000000" w:rsidDel="00000000" w:rsidP="00000000" w:rsidRDefault="00000000" w:rsidRPr="00000000" w14:paraId="0000004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1">
                  <w:pPr>
                    <w:rPr>
                      <w:rFonts w:ascii="Arial" w:cs="Arial" w:eastAsia="Arial" w:hAnsi="Arial"/>
                      <w:sz w:val="20"/>
                      <w:szCs w:val="20"/>
                    </w:rPr>
                  </w:pPr>
                  <w:r w:rsidDel="00000000" w:rsidR="00000000" w:rsidRPr="00000000">
                    <w:rPr>
                      <w:rFonts w:ascii="Arial" w:cs="Arial" w:eastAsia="Arial" w:hAnsi="Arial"/>
                      <w:sz w:val="20"/>
                      <w:szCs w:val="20"/>
                      <w:rtl w:val="0"/>
                    </w:rPr>
                    <w:t xml:space="preserve">1</w:t>
                  </w:r>
                  <w:r w:rsidDel="00000000" w:rsidR="00000000" w:rsidRPr="00000000">
                    <w:rPr>
                      <w:rFonts w:ascii="Arial" w:cs="Arial" w:eastAsia="Arial" w:hAnsi="Arial"/>
                      <w:sz w:val="20"/>
                      <w:szCs w:val="20"/>
                      <w:vertAlign w:val="superscript"/>
                      <w:rtl w:val="0"/>
                    </w:rPr>
                    <w:t xml:space="preserve">st</w:t>
                  </w:r>
                  <w:r w:rsidDel="00000000" w:rsidR="00000000" w:rsidRPr="00000000">
                    <w:rPr>
                      <w:rFonts w:ascii="Arial" w:cs="Arial" w:eastAsia="Arial" w:hAnsi="Arial"/>
                      <w:sz w:val="20"/>
                      <w:szCs w:val="20"/>
                      <w:rtl w:val="0"/>
                    </w:rPr>
                    <w:t xml:space="preserve"> Marker’s Provisional mark</w:t>
                  </w:r>
                </w:p>
              </w:tc>
              <w:tc>
                <w:tcPr/>
                <w:p w:rsidR="00000000" w:rsidDel="00000000" w:rsidP="00000000" w:rsidRDefault="00000000" w:rsidRPr="00000000" w14:paraId="00000042">
                  <w:pPr>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4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4">
                  <w:pPr>
                    <w:rPr>
                      <w:rFonts w:ascii="Arial" w:cs="Arial" w:eastAsia="Arial" w:hAnsi="Arial"/>
                      <w:sz w:val="20"/>
                      <w:szCs w:val="20"/>
                    </w:rPr>
                  </w:pPr>
                  <w:r w:rsidDel="00000000" w:rsidR="00000000" w:rsidRPr="00000000">
                    <w:rPr>
                      <w:rFonts w:ascii="Arial" w:cs="Arial" w:eastAsia="Arial" w:hAnsi="Arial"/>
                      <w:sz w:val="20"/>
                      <w:szCs w:val="20"/>
                      <w:rtl w:val="0"/>
                    </w:rPr>
                    <w:t xml:space="preserve">2</w:t>
                  </w:r>
                  <w:r w:rsidDel="00000000" w:rsidR="00000000" w:rsidRPr="00000000">
                    <w:rPr>
                      <w:rFonts w:ascii="Arial" w:cs="Arial" w:eastAsia="Arial" w:hAnsi="Arial"/>
                      <w:sz w:val="20"/>
                      <w:szCs w:val="20"/>
                      <w:vertAlign w:val="superscript"/>
                      <w:rtl w:val="0"/>
                    </w:rPr>
                    <w:t xml:space="preserve">nd</w:t>
                  </w:r>
                  <w:r w:rsidDel="00000000" w:rsidR="00000000" w:rsidRPr="00000000">
                    <w:rPr>
                      <w:rFonts w:ascii="Arial" w:cs="Arial" w:eastAsia="Arial" w:hAnsi="Arial"/>
                      <w:sz w:val="20"/>
                      <w:szCs w:val="20"/>
                      <w:rtl w:val="0"/>
                    </w:rPr>
                    <w:t xml:space="preserve"> Marker’s/Moderator’s provisional mark</w:t>
                  </w:r>
                </w:p>
              </w:tc>
              <w:tc>
                <w:tcPr/>
                <w:p w:rsidR="00000000" w:rsidDel="00000000" w:rsidP="00000000" w:rsidRDefault="00000000" w:rsidRPr="00000000" w14:paraId="00000045">
                  <w:pPr>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4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7">
                  <w:pPr>
                    <w:rPr>
                      <w:rFonts w:ascii="Arial" w:cs="Arial" w:eastAsia="Arial" w:hAnsi="Arial"/>
                      <w:sz w:val="20"/>
                      <w:szCs w:val="20"/>
                    </w:rPr>
                  </w:pPr>
                  <w:r w:rsidDel="00000000" w:rsidR="00000000" w:rsidRPr="00000000">
                    <w:rPr>
                      <w:rFonts w:ascii="Arial" w:cs="Arial" w:eastAsia="Arial" w:hAnsi="Arial"/>
                      <w:sz w:val="20"/>
                      <w:szCs w:val="20"/>
                      <w:rtl w:val="0"/>
                    </w:rPr>
                    <w:t xml:space="preserve">External Examiner’s mark (if relevant)</w:t>
                  </w:r>
                </w:p>
              </w:tc>
              <w:tc>
                <w:tcPr/>
                <w:p w:rsidR="00000000" w:rsidDel="00000000" w:rsidP="00000000" w:rsidRDefault="00000000" w:rsidRPr="00000000" w14:paraId="00000048">
                  <w:pPr>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4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A">
                  <w:pPr>
                    <w:rPr>
                      <w:rFonts w:ascii="Arial" w:cs="Arial" w:eastAsia="Arial" w:hAnsi="Arial"/>
                      <w:b w:val="1"/>
                      <w:bCs w:val="1"/>
                      <w:sz w:val="20"/>
                      <w:szCs w:val="20"/>
                    </w:rPr>
                  </w:pPr>
                  <w:r w:rsidDel="00000000" w:rsidR="00000000" w:rsidRPr="00000000">
                    <w:rPr>
                      <w:rFonts w:ascii="Arial" w:cs="Arial" w:eastAsia="Arial" w:hAnsi="Arial"/>
                      <w:b w:val="1"/>
                      <w:bCs w:val="1"/>
                      <w:sz w:val="20"/>
                      <w:szCs w:val="20"/>
                      <w:rtl w:val="0"/>
                    </w:rPr>
                    <w:t xml:space="preserve">Final Mark</w:t>
                  </w:r>
                </w:p>
                <w:p w:rsidR="00000000" w:rsidDel="00000000" w:rsidP="00000000" w:rsidRDefault="00000000" w:rsidRPr="00000000" w14:paraId="0000004B">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4C">
                  <w:pPr>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NB.</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All marks are provisional until confirmed by the Final Examination Board.</w:t>
            </w: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rPr>
            </w:pP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For completion by Marker 1 :</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rPr>
            </w:pPr>
            <w:r w:rsidDel="00000000" w:rsidR="00000000" w:rsidRPr="00000000">
              <w:rPr>
                <w:rtl w:val="0"/>
              </w:rPr>
            </w:r>
          </w:p>
        </w:tc>
      </w:tr>
      <w:tr>
        <w:trPr>
          <w:cantSplit w:val="0"/>
          <w:trHeight w:val="492" w:hRule="atLeast"/>
          <w:tblHeader w:val="0"/>
        </w:trPr>
        <w:tc>
          <w:tcPr>
            <w:gridSpan w:val="3"/>
          </w:tcPr>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142"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Marker’s signature:</w:t>
            </w:r>
          </w:p>
        </w:tc>
        <w:tc>
          <w:tcPr>
            <w:gridSpan w:val="2"/>
          </w:tcPr>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142" w:right="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Date:</w:t>
            </w:r>
          </w:p>
        </w:tc>
      </w:tr>
      <w:tr>
        <w:trPr>
          <w:cantSplit w:val="0"/>
          <w:tblHeader w:val="0"/>
        </w:trPr>
        <w:tc>
          <w:tcPr>
            <w:gridSpan w:val="5"/>
          </w:tcPr>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1"/>
                <w:iCs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For completion by Marker 2/Moderator:</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tcPr>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Marker’s Signature:</w:t>
            </w:r>
          </w:p>
        </w:tc>
        <w:tc>
          <w:tcPr>
            <w:gridSpan w:val="3"/>
          </w:tcPr>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Date:</w:t>
            </w:r>
          </w:p>
        </w:tc>
      </w:tr>
      <w:tr>
        <w:trPr>
          <w:cantSplit w:val="0"/>
          <w:trHeight w:val="720" w:hRule="atLeast"/>
          <w:tblHeader w:val="0"/>
        </w:trPr>
        <w:tc>
          <w:tcPr>
            <w:gridSpan w:val="5"/>
          </w:tcPr>
          <w:p w:rsidR="00000000" w:rsidDel="00000000" w:rsidP="00000000" w:rsidRDefault="00000000" w:rsidRPr="00000000" w14:paraId="00000071">
            <w:pPr>
              <w:rPr>
                <w:rFonts w:ascii="Arial" w:cs="Arial" w:eastAsia="Arial" w:hAnsi="Arial"/>
                <w:b w:val="1"/>
                <w:bCs w:val="1"/>
              </w:rPr>
            </w:pPr>
            <w:r w:rsidDel="00000000" w:rsidR="00000000" w:rsidRPr="00000000">
              <w:rPr>
                <w:rFonts w:ascii="Arial" w:cs="Arial" w:eastAsia="Arial" w:hAnsi="Arial"/>
                <w:b w:val="1"/>
                <w:bCs w:val="1"/>
                <w:rtl w:val="0"/>
              </w:rPr>
              <w:t xml:space="preserve">External Examiner’s comments (if relevant)</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tcPr>
          <w:p w:rsidR="00000000" w:rsidDel="00000000" w:rsidP="00000000" w:rsidRDefault="00000000" w:rsidRPr="00000000" w14:paraId="00000081">
            <w:pPr>
              <w:rPr>
                <w:rFonts w:ascii="Arial" w:cs="Arial" w:eastAsia="Arial" w:hAnsi="Arial"/>
              </w:rPr>
            </w:pPr>
            <w:r w:rsidDel="00000000" w:rsidR="00000000" w:rsidRPr="00000000">
              <w:rPr>
                <w:rFonts w:ascii="Arial" w:cs="Arial" w:eastAsia="Arial" w:hAnsi="Arial"/>
                <w:rtl w:val="0"/>
              </w:rPr>
              <w:t xml:space="preserve">External Examiner’s Signature:</w:t>
            </w:r>
          </w:p>
        </w:tc>
        <w:tc>
          <w:tcPr>
            <w:gridSpan w:val="3"/>
          </w:tcPr>
          <w:p w:rsidR="00000000" w:rsidDel="00000000" w:rsidP="00000000" w:rsidRDefault="00000000" w:rsidRPr="00000000" w14:paraId="00000083">
            <w:pPr>
              <w:rPr>
                <w:rFonts w:ascii="Arial" w:cs="Arial" w:eastAsia="Arial" w:hAnsi="Arial"/>
              </w:rPr>
            </w:pPr>
            <w:r w:rsidDel="00000000" w:rsidR="00000000" w:rsidRPr="00000000">
              <w:rPr>
                <w:rFonts w:ascii="Arial" w:cs="Arial" w:eastAsia="Arial" w:hAnsi="Arial"/>
                <w:rtl w:val="0"/>
              </w:rPr>
              <w:t xml:space="preserve">Date:</w:t>
            </w:r>
          </w:p>
        </w:tc>
      </w:tr>
    </w:tbl>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sectPr>
          <w:headerReference r:id="rId10" w:type="default"/>
          <w:headerReference r:id="rId11" w:type="first"/>
          <w:headerReference r:id="rId12" w:type="even"/>
          <w:footerReference r:id="rId13" w:type="default"/>
          <w:footerReference r:id="rId14" w:type="first"/>
          <w:footerReference r:id="rId15" w:type="even"/>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spacing w:after="0" w:line="276" w:lineRule="auto"/>
        <w:rPr>
          <w:rFonts w:ascii="Helvetica Neue" w:cs="Helvetica Neue" w:eastAsia="Helvetica Neue" w:hAnsi="Helvetica Neue"/>
          <w:b w:val="1"/>
          <w:bCs w:val="1"/>
          <w:sz w:val="24"/>
          <w:szCs w:val="24"/>
        </w:rPr>
      </w:pPr>
      <w:r w:rsidDel="00000000" w:rsidR="00000000" w:rsidRPr="00000000">
        <w:rPr>
          <w:rFonts w:ascii="Helvetica Neue" w:cs="Helvetica Neue" w:eastAsia="Helvetica Neue" w:hAnsi="Helvetica Neue"/>
          <w:b w:val="1"/>
          <w:bCs w:val="1"/>
          <w:sz w:val="24"/>
          <w:szCs w:val="24"/>
          <w:rtl w:val="0"/>
        </w:rPr>
        <w:t xml:space="preserve">Compare and contrast two sky myths from two different cultures.</w:t>
      </w:r>
    </w:p>
    <w:p w:rsidR="00000000" w:rsidDel="00000000" w:rsidP="00000000" w:rsidRDefault="00000000" w:rsidRPr="00000000" w14:paraId="0000009E">
      <w:pPr>
        <w:spacing w:after="0" w:line="276" w:lineRule="auto"/>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Word Count: 3452</w:t>
      </w:r>
    </w:p>
    <w:p w:rsidR="00000000" w:rsidDel="00000000" w:rsidP="00000000" w:rsidRDefault="00000000" w:rsidRPr="00000000" w14:paraId="0000009F">
      <w:pPr>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A0">
      <w:pPr>
        <w:rPr>
          <w:rFonts w:ascii="Helvetica Neue Light" w:cs="Helvetica Neue Light" w:eastAsia="Helvetica Neue Light" w:hAnsi="Helvetica Neue Light"/>
          <w:sz w:val="24"/>
          <w:szCs w:val="24"/>
          <w:u w:val="single"/>
        </w:rPr>
      </w:pPr>
      <w:r w:rsidDel="00000000" w:rsidR="00000000" w:rsidRPr="00000000">
        <w:rPr>
          <w:rFonts w:ascii="Helvetica Neue Light" w:cs="Helvetica Neue Light" w:eastAsia="Helvetica Neue Light" w:hAnsi="Helvetica Neue Light"/>
          <w:sz w:val="24"/>
          <w:szCs w:val="24"/>
          <w:u w:val="single"/>
          <w:rtl w:val="0"/>
        </w:rPr>
        <w:t xml:space="preserve">Introduction</w:t>
      </w:r>
    </w:p>
    <w:p w:rsidR="00000000" w:rsidDel="00000000" w:rsidP="00000000" w:rsidRDefault="00000000" w:rsidRPr="00000000" w14:paraId="000000A1">
      <w:pPr>
        <w:rPr>
          <w:rFonts w:ascii="Helvetica Neue Light" w:cs="Helvetica Neue Light" w:eastAsia="Helvetica Neue Light" w:hAnsi="Helvetica Neue Light"/>
          <w:sz w:val="24"/>
          <w:szCs w:val="24"/>
          <w:u w:val="single"/>
        </w:rPr>
      </w:pPr>
      <w:r w:rsidDel="00000000" w:rsidR="00000000" w:rsidRPr="00000000">
        <w:rPr>
          <w:rtl w:val="0"/>
        </w:rPr>
      </w:r>
    </w:p>
    <w:p w:rsidR="00000000" w:rsidDel="00000000" w:rsidP="00000000" w:rsidRDefault="00000000" w:rsidRPr="00000000" w14:paraId="000000A2">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In this essay, I compare two sky myths associated with two different cultures. The first, is the mythology surrounding modern psychological astrology, focused on the work of Liz Greene. I discuss this in relation to its tendency to personify planetary bodies as entities within an individual's psyche. I compare this with a Sufi folk tale from 14th century India,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which personifies planetary bodies as metaphorical entities that play different roles in the tale. </w:t>
      </w:r>
    </w:p>
    <w:p w:rsidR="00000000" w:rsidDel="00000000" w:rsidP="00000000" w:rsidRDefault="00000000" w:rsidRPr="00000000" w14:paraId="000000A3">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I begin by providing a brief overview of each myth and situating it within its specific historical context.</w:t>
      </w:r>
      <w:r w:rsidDel="00000000" w:rsidR="00000000" w:rsidRPr="00000000">
        <w:rPr>
          <w:rFonts w:ascii="Helvetica Neue Light" w:cs="Helvetica Neue Light" w:eastAsia="Helvetica Neue Light" w:hAnsi="Helvetica Neue Light"/>
          <w:sz w:val="24"/>
          <w:szCs w:val="24"/>
          <w:rtl w:val="0"/>
        </w:rPr>
        <w:t xml:space="preserve"> I focus on myths of the Moon as discussed by Liz Greene, and the character of Chanda as depicted in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examining the function of each myth within the astrological landscape it inhabits.</w:t>
      </w:r>
    </w:p>
    <w:p w:rsidR="00000000" w:rsidDel="00000000" w:rsidP="00000000" w:rsidRDefault="00000000" w:rsidRPr="00000000" w14:paraId="000000A4">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I discuss the similarities between the two, specifically looking into </w:t>
      </w:r>
      <w:r w:rsidDel="00000000" w:rsidR="00000000" w:rsidRPr="00000000">
        <w:rPr>
          <w:rFonts w:ascii="Helvetica Neue Light" w:cs="Helvetica Neue Light" w:eastAsia="Helvetica Neue Light" w:hAnsi="Helvetica Neue Light"/>
          <w:sz w:val="24"/>
          <w:szCs w:val="24"/>
          <w:rtl w:val="0"/>
        </w:rPr>
        <w:t xml:space="preserve">how the use of personification as a literary tool allows abstract ideas to be brought to a human level. </w:t>
      </w:r>
      <w:r w:rsidDel="00000000" w:rsidR="00000000" w:rsidRPr="00000000">
        <w:rPr>
          <w:rFonts w:ascii="Helvetica Neue Light" w:cs="Helvetica Neue Light" w:eastAsia="Helvetica Neue Light" w:hAnsi="Helvetica Neue Light"/>
          <w:sz w:val="24"/>
          <w:szCs w:val="24"/>
          <w:rtl w:val="0"/>
        </w:rPr>
        <w:t xml:space="preserve">Looking at differences between the two myths, I examine their approaches to astrology. For modern psychological astrology, the planetary entities are internal and within the individual's psychological processes and in this way, the individual is astrologically self-contained.</w:t>
      </w:r>
      <w:r w:rsidDel="00000000" w:rsidR="00000000" w:rsidRPr="00000000">
        <w:rPr>
          <w:rFonts w:ascii="Helvetica Neue Light" w:cs="Helvetica Neue Light" w:eastAsia="Helvetica Neue Light" w:hAnsi="Helvetica Neue Light"/>
          <w:sz w:val="24"/>
          <w:szCs w:val="24"/>
          <w:vertAlign w:val="superscript"/>
        </w:rPr>
        <w:footnoteReference w:customMarkFollows="0" w:id="0"/>
      </w:r>
      <w:r w:rsidDel="00000000" w:rsidR="00000000" w:rsidRPr="00000000">
        <w:rPr>
          <w:rFonts w:ascii="Helvetica Neue Light" w:cs="Helvetica Neue Light" w:eastAsia="Helvetica Neue Light" w:hAnsi="Helvetica Neue Light"/>
          <w:sz w:val="24"/>
          <w:szCs w:val="24"/>
          <w:rtl w:val="0"/>
        </w:rPr>
        <w:t xml:space="preserve"> </w:t>
      </w:r>
      <w:r w:rsidDel="00000000" w:rsidR="00000000" w:rsidRPr="00000000">
        <w:rPr>
          <w:rFonts w:ascii="Helvetica Neue Light" w:cs="Helvetica Neue Light" w:eastAsia="Helvetica Neue Light" w:hAnsi="Helvetica Neue Light"/>
          <w:sz w:val="24"/>
          <w:szCs w:val="24"/>
          <w:rtl w:val="0"/>
        </w:rPr>
        <w:t xml:space="preserve">Within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and in the Sufi approach to astrology, community dynamics and social relationships are recognised as important, with people outside of an individual presented as metaphors for planetary influences.</w:t>
      </w:r>
      <w:r w:rsidDel="00000000" w:rsidR="00000000" w:rsidRPr="00000000">
        <w:rPr>
          <w:rtl w:val="0"/>
        </w:rPr>
      </w:r>
    </w:p>
    <w:p w:rsidR="00000000" w:rsidDel="00000000" w:rsidP="00000000" w:rsidRDefault="00000000" w:rsidRPr="00000000" w14:paraId="000000A5">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Finally, I look into the attitudes to astrology in both of these cultures as evident from their myths. For psychological astrology, astrology is considered a tool for greater self-awareness, akin to therapy, and is directed towards self-improvement. External circumstances are often seen as a reflection of the psychical conditions of the individual. For the Sufis, astrology was a tool that helped one on their journey towards spiritual perfection, for union with the divine. Looking into this, I discuss how these approaches are similar and where they diverge.</w:t>
      </w:r>
    </w:p>
    <w:p w:rsidR="00000000" w:rsidDel="00000000" w:rsidP="00000000" w:rsidRDefault="00000000" w:rsidRPr="00000000" w14:paraId="000000A6">
      <w:pPr>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A7">
      <w:pPr>
        <w:rPr>
          <w:rFonts w:ascii="Helvetica Neue Light" w:cs="Helvetica Neue Light" w:eastAsia="Helvetica Neue Light" w:hAnsi="Helvetica Neue Light"/>
          <w:sz w:val="24"/>
          <w:szCs w:val="24"/>
          <w:u w:val="single"/>
        </w:rPr>
      </w:pPr>
      <w:r w:rsidDel="00000000" w:rsidR="00000000" w:rsidRPr="00000000">
        <w:rPr>
          <w:rFonts w:ascii="Helvetica Neue Light" w:cs="Helvetica Neue Light" w:eastAsia="Helvetica Neue Light" w:hAnsi="Helvetica Neue Light"/>
          <w:sz w:val="24"/>
          <w:szCs w:val="24"/>
          <w:u w:val="single"/>
          <w:rtl w:val="0"/>
        </w:rPr>
        <w:t xml:space="preserve">Overview of The Myths Compared</w:t>
      </w:r>
    </w:p>
    <w:p w:rsidR="00000000" w:rsidDel="00000000" w:rsidP="00000000" w:rsidRDefault="00000000" w:rsidRPr="00000000" w14:paraId="000000A8">
      <w:pPr>
        <w:rPr>
          <w:rFonts w:ascii="Helvetica Neue Light" w:cs="Helvetica Neue Light" w:eastAsia="Helvetica Neue Light" w:hAnsi="Helvetica Neue Light"/>
          <w:sz w:val="24"/>
          <w:szCs w:val="24"/>
          <w:u w:val="single"/>
        </w:rPr>
      </w:pPr>
      <w:r w:rsidDel="00000000" w:rsidR="00000000" w:rsidRPr="00000000">
        <w:rPr>
          <w:rtl w:val="0"/>
        </w:rPr>
      </w:r>
    </w:p>
    <w:p w:rsidR="00000000" w:rsidDel="00000000" w:rsidP="00000000" w:rsidRDefault="00000000" w:rsidRPr="00000000" w14:paraId="000000A9">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Popular western astrology today is psychological and secular, however, relies on myths like any other astrological tradition. Liz Greene, an important pioneer of psychological astrology, explains that here, myths aide in understanding the symbols held with celestial bodies, and further, provide insight into psychical processes that cannot always be approached empirically.</w:t>
      </w:r>
      <w:r w:rsidDel="00000000" w:rsidR="00000000" w:rsidRPr="00000000">
        <w:rPr>
          <w:rFonts w:ascii="Helvetica Neue Light" w:cs="Helvetica Neue Light" w:eastAsia="Helvetica Neue Light" w:hAnsi="Helvetica Neue Light"/>
          <w:sz w:val="24"/>
          <w:szCs w:val="24"/>
          <w:vertAlign w:val="superscript"/>
        </w:rPr>
        <w:footnoteReference w:customMarkFollows="0" w:id="1"/>
      </w:r>
      <w:r w:rsidDel="00000000" w:rsidR="00000000" w:rsidRPr="00000000">
        <w:rPr>
          <w:rFonts w:ascii="Helvetica Neue Light" w:cs="Helvetica Neue Light" w:eastAsia="Helvetica Neue Light" w:hAnsi="Helvetica Neue Light"/>
          <w:sz w:val="24"/>
          <w:szCs w:val="24"/>
          <w:rtl w:val="0"/>
        </w:rPr>
        <w:t xml:space="preserve"> In her book </w:t>
      </w:r>
      <w:r w:rsidDel="00000000" w:rsidR="00000000" w:rsidRPr="00000000">
        <w:rPr>
          <w:rFonts w:ascii="Helvetica Neue Light" w:cs="Helvetica Neue Light" w:eastAsia="Helvetica Neue Light" w:hAnsi="Helvetica Neue Light"/>
          <w:i w:val="1"/>
          <w:iCs w:val="1"/>
          <w:sz w:val="24"/>
          <w:szCs w:val="24"/>
          <w:rtl w:val="0"/>
        </w:rPr>
        <w:t xml:space="preserve">Saturn</w:t>
      </w:r>
      <w:r w:rsidDel="00000000" w:rsidR="00000000" w:rsidRPr="00000000">
        <w:rPr>
          <w:rFonts w:ascii="Helvetica Neue Light" w:cs="Helvetica Neue Light" w:eastAsia="Helvetica Neue Light" w:hAnsi="Helvetica Neue Light"/>
          <w:sz w:val="24"/>
          <w:szCs w:val="24"/>
          <w:rtl w:val="0"/>
        </w:rPr>
        <w:t xml:space="preserve">, Greene states,</w:t>
      </w:r>
    </w:p>
    <w:p w:rsidR="00000000" w:rsidDel="00000000" w:rsidP="00000000" w:rsidRDefault="00000000" w:rsidRPr="00000000" w14:paraId="000000AA">
      <w:pPr>
        <w:ind w:left="72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 stuff from which myth and fairy tale are composed is a symbolic portrayal of the values of the collective unconscious psyche of man. They are apparently innocent, yet have a curiously compelling and familiar spirituality. Beneath the many cultural differences which provide the superficial detail of these stories, there lies a bare simplicity of plot and character, for these portrayals of man's inner psychic experiences, the bare bones of his subjective life.</w:t>
      </w:r>
    </w:p>
    <w:p w:rsidR="00000000" w:rsidDel="00000000" w:rsidP="00000000" w:rsidRDefault="00000000" w:rsidRPr="00000000" w14:paraId="000000AB">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Greene continues, personifying the planet Saturn, describing the nuances of 'his' personality, calling him the "Beast" and "the dark face of the Handsome Prince". He is presented as an anti-hero, as a man without humour, as a "Dweller on the Threshold", perhaps an easier image to swallow, a palatable depiction of the pain, restrictions and obstacles that Saturn symbolises.</w:t>
      </w:r>
      <w:r w:rsidDel="00000000" w:rsidR="00000000" w:rsidRPr="00000000">
        <w:rPr>
          <w:rFonts w:ascii="Helvetica Neue Light" w:cs="Helvetica Neue Light" w:eastAsia="Helvetica Neue Light" w:hAnsi="Helvetica Neue Light"/>
          <w:sz w:val="24"/>
          <w:szCs w:val="24"/>
          <w:vertAlign w:val="superscript"/>
        </w:rPr>
        <w:footnoteReference w:customMarkFollows="0" w:id="2"/>
      </w:r>
      <w:r w:rsidDel="00000000" w:rsidR="00000000" w:rsidRPr="00000000">
        <w:rPr>
          <w:rFonts w:ascii="Helvetica Neue Light" w:cs="Helvetica Neue Light" w:eastAsia="Helvetica Neue Light" w:hAnsi="Helvetica Neue Light"/>
          <w:sz w:val="24"/>
          <w:szCs w:val="24"/>
          <w:rtl w:val="0"/>
        </w:rPr>
        <w:t xml:space="preserve"> Thus, through the use of personification as a literary tool, Greene effectively communicates the workings of deeper psychological processes. </w:t>
      </w:r>
    </w:p>
    <w:p w:rsidR="00000000" w:rsidDel="00000000" w:rsidP="00000000" w:rsidRDefault="00000000" w:rsidRPr="00000000" w14:paraId="000000AC">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A link can be established with Plato's </w:t>
      </w:r>
      <w:r w:rsidDel="00000000" w:rsidR="00000000" w:rsidRPr="00000000">
        <w:rPr>
          <w:rFonts w:ascii="Helvetica Neue Light" w:cs="Helvetica Neue Light" w:eastAsia="Helvetica Neue Light" w:hAnsi="Helvetica Neue Light"/>
          <w:i w:val="1"/>
          <w:iCs w:val="1"/>
          <w:sz w:val="24"/>
          <w:szCs w:val="24"/>
          <w:rtl w:val="0"/>
        </w:rPr>
        <w:t xml:space="preserve">mythos</w:t>
      </w:r>
      <w:r w:rsidDel="00000000" w:rsidR="00000000" w:rsidRPr="00000000">
        <w:rPr>
          <w:rFonts w:ascii="Helvetica Neue Light" w:cs="Helvetica Neue Light" w:eastAsia="Helvetica Neue Light" w:hAnsi="Helvetica Neue Light"/>
          <w:sz w:val="24"/>
          <w:szCs w:val="24"/>
          <w:rtl w:val="0"/>
        </w:rPr>
        <w:t xml:space="preserve">, a mode of understanding reality that relies on intuition and imagination rather than </w:t>
      </w:r>
      <w:r w:rsidDel="00000000" w:rsidR="00000000" w:rsidRPr="00000000">
        <w:rPr>
          <w:rFonts w:ascii="Helvetica Neue Light" w:cs="Helvetica Neue Light" w:eastAsia="Helvetica Neue Light" w:hAnsi="Helvetica Neue Light"/>
          <w:i w:val="1"/>
          <w:iCs w:val="1"/>
          <w:sz w:val="24"/>
          <w:szCs w:val="24"/>
          <w:rtl w:val="0"/>
        </w:rPr>
        <w:t xml:space="preserve">logos</w:t>
      </w:r>
      <w:r w:rsidDel="00000000" w:rsidR="00000000" w:rsidRPr="00000000">
        <w:rPr>
          <w:rFonts w:ascii="Helvetica Neue Light" w:cs="Helvetica Neue Light" w:eastAsia="Helvetica Neue Light" w:hAnsi="Helvetica Neue Light"/>
          <w:sz w:val="24"/>
          <w:szCs w:val="24"/>
          <w:rtl w:val="0"/>
        </w:rPr>
        <w:t xml:space="preserve">, or logic and reason, which Stanley Tambiah would understand as a way of participatory thinking that "works by analogies and sympathies rather than by a preconceived notion of objective 'truth'."</w:t>
      </w:r>
      <w:r w:rsidDel="00000000" w:rsidR="00000000" w:rsidRPr="00000000">
        <w:rPr>
          <w:rFonts w:ascii="Helvetica Neue Light" w:cs="Helvetica Neue Light" w:eastAsia="Helvetica Neue Light" w:hAnsi="Helvetica Neue Light"/>
          <w:sz w:val="24"/>
          <w:szCs w:val="24"/>
          <w:vertAlign w:val="superscript"/>
        </w:rPr>
        <w:footnoteReference w:customMarkFollows="0" w:id="3"/>
      </w:r>
      <w:r w:rsidDel="00000000" w:rsidR="00000000" w:rsidRPr="00000000">
        <w:rPr>
          <w:rFonts w:ascii="Helvetica Neue Light" w:cs="Helvetica Neue Light" w:eastAsia="Helvetica Neue Light" w:hAnsi="Helvetica Neue Light"/>
          <w:sz w:val="24"/>
          <w:szCs w:val="24"/>
          <w:rtl w:val="0"/>
        </w:rPr>
        <w:t xml:space="preserve"> The function of myths in the context of psychological astrology can thus be understood as the use of these analogies in aiding greater self-awareness.</w:t>
      </w:r>
    </w:p>
    <w:p w:rsidR="00000000" w:rsidDel="00000000" w:rsidP="00000000" w:rsidRDefault="00000000" w:rsidRPr="00000000" w14:paraId="000000AD">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While these notions may seem like modern ones, they resonate with a much older astrological tradition, one from medieval north India under Persian rule. Along with the Persian invaders, Sufi mystics made their way into India and developed </w:t>
      </w:r>
      <w:r w:rsidDel="00000000" w:rsidR="00000000" w:rsidRPr="00000000">
        <w:rPr>
          <w:rFonts w:ascii="Helvetica Neue Light" w:cs="Helvetica Neue Light" w:eastAsia="Helvetica Neue Light" w:hAnsi="Helvetica Neue Light"/>
          <w:i w:val="1"/>
          <w:iCs w:val="1"/>
          <w:sz w:val="24"/>
          <w:szCs w:val="24"/>
          <w:rtl w:val="0"/>
        </w:rPr>
        <w:t xml:space="preserve">khanqahs</w:t>
      </w:r>
      <w:r w:rsidDel="00000000" w:rsidR="00000000" w:rsidRPr="00000000">
        <w:rPr>
          <w:rFonts w:ascii="Helvetica Neue Light" w:cs="Helvetica Neue Light" w:eastAsia="Helvetica Neue Light" w:hAnsi="Helvetica Neue Light"/>
          <w:sz w:val="24"/>
          <w:szCs w:val="24"/>
          <w:rtl w:val="0"/>
        </w:rPr>
        <w:t xml:space="preserve"> or centers that enabled a cultural pluralism by giving access to people from different religious, social and economic backgrounds. The Sufis embraced local spiritual ideas, astrological theories, as well artistic and storytelling traditions creating a unique pluralism.</w:t>
      </w:r>
      <w:r w:rsidDel="00000000" w:rsidR="00000000" w:rsidRPr="00000000">
        <w:rPr>
          <w:rFonts w:ascii="Helvetica Neue Light" w:cs="Helvetica Neue Light" w:eastAsia="Helvetica Neue Light" w:hAnsi="Helvetica Neue Light"/>
          <w:sz w:val="24"/>
          <w:szCs w:val="24"/>
          <w:vertAlign w:val="superscript"/>
        </w:rPr>
        <w:footnoteReference w:customMarkFollows="0" w:id="4"/>
      </w:r>
      <w:r w:rsidDel="00000000" w:rsidR="00000000" w:rsidRPr="00000000">
        <w:rPr>
          <w:rFonts w:ascii="Helvetica Neue Light" w:cs="Helvetica Neue Light" w:eastAsia="Helvetica Neue Light" w:hAnsi="Helvetica Neue Light"/>
          <w:sz w:val="24"/>
          <w:szCs w:val="24"/>
          <w:rtl w:val="0"/>
        </w:rPr>
        <w:t xml:space="preserve"> </w:t>
      </w:r>
    </w:p>
    <w:p w:rsidR="00000000" w:rsidDel="00000000" w:rsidP="00000000" w:rsidRDefault="00000000" w:rsidRPr="00000000" w14:paraId="000000AE">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born from the resulting blend of cultures, is a 14th-century </w:t>
      </w:r>
      <w:r w:rsidDel="00000000" w:rsidR="00000000" w:rsidRPr="00000000">
        <w:rPr>
          <w:rFonts w:ascii="Helvetica Neue Light" w:cs="Helvetica Neue Light" w:eastAsia="Helvetica Neue Light" w:hAnsi="Helvetica Neue Light"/>
          <w:i w:val="1"/>
          <w:iCs w:val="1"/>
          <w:sz w:val="24"/>
          <w:szCs w:val="24"/>
          <w:rtl w:val="0"/>
        </w:rPr>
        <w:t xml:space="preserve">prem-kahani</w:t>
      </w:r>
      <w:r w:rsidDel="00000000" w:rsidR="00000000" w:rsidRPr="00000000">
        <w:rPr>
          <w:rFonts w:ascii="Helvetica Neue Light" w:cs="Helvetica Neue Light" w:eastAsia="Helvetica Neue Light" w:hAnsi="Helvetica Neue Light"/>
          <w:i w:val="1"/>
          <w:iCs w:val="1"/>
          <w:sz w:val="24"/>
          <w:szCs w:val="24"/>
          <w:vertAlign w:val="superscript"/>
        </w:rPr>
        <w:footnoteReference w:customMarkFollows="0" w:id="5"/>
      </w:r>
      <w:r w:rsidDel="00000000" w:rsidR="00000000" w:rsidRPr="00000000">
        <w:rPr>
          <w:rFonts w:ascii="Helvetica Neue Light" w:cs="Helvetica Neue Light" w:eastAsia="Helvetica Neue Light" w:hAnsi="Helvetica Neue Light"/>
          <w:sz w:val="24"/>
          <w:szCs w:val="24"/>
          <w:rtl w:val="0"/>
        </w:rPr>
        <w:t xml:space="preserve"> that borrows from existing folk traditions and elegantly weaves Sufi ideas on love, surrender and union with the divine into a love story. The </w:t>
      </w:r>
      <w:r w:rsidDel="00000000" w:rsidR="00000000" w:rsidRPr="00000000">
        <w:rPr>
          <w:rFonts w:ascii="Helvetica Neue Light" w:cs="Helvetica Neue Light" w:eastAsia="Helvetica Neue Light" w:hAnsi="Helvetica Neue Light"/>
          <w:i w:val="1"/>
          <w:iCs w:val="1"/>
          <w:sz w:val="24"/>
          <w:szCs w:val="24"/>
          <w:rtl w:val="0"/>
        </w:rPr>
        <w:t xml:space="preserve">Chandayan </w:t>
      </w:r>
      <w:r w:rsidDel="00000000" w:rsidR="00000000" w:rsidRPr="00000000">
        <w:rPr>
          <w:rFonts w:ascii="Helvetica Neue Light" w:cs="Helvetica Neue Light" w:eastAsia="Helvetica Neue Light" w:hAnsi="Helvetica Neue Light"/>
          <w:sz w:val="24"/>
          <w:szCs w:val="24"/>
          <w:rtl w:val="0"/>
        </w:rPr>
        <w:t xml:space="preserve">was immensely popular with both the elites and the common public for two centuries after it was written. It tells the story of Lorik as he navigates his relationships with Maina, his wife, who symbolises his ties to the material world, and Chanda, his lover, who symbolises the divine love that he wishes to attain. </w:t>
      </w:r>
    </w:p>
    <w:p w:rsidR="00000000" w:rsidDel="00000000" w:rsidP="00000000" w:rsidRDefault="00000000" w:rsidRPr="00000000" w14:paraId="000000AF">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Astrological themes are prevalent through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the tale beginning with the birth of Chanda. She is the personification of the moon. Through the narrative, celestial bodies are personified as various characters. Chanda, the heroine is not always referred to by her name, but sometimes referred to as the 'moon'. A character named Biraspati is introduced as Chanda's </w:t>
      </w:r>
      <w:r w:rsidDel="00000000" w:rsidR="00000000" w:rsidRPr="00000000">
        <w:rPr>
          <w:rFonts w:ascii="Helvetica Neue Light" w:cs="Helvetica Neue Light" w:eastAsia="Helvetica Neue Light" w:hAnsi="Helvetica Neue Light"/>
          <w:i w:val="1"/>
          <w:iCs w:val="1"/>
          <w:sz w:val="24"/>
          <w:szCs w:val="24"/>
          <w:rtl w:val="0"/>
        </w:rPr>
        <w:t xml:space="preserve">dhai</w:t>
      </w:r>
      <w:r w:rsidDel="00000000" w:rsidR="00000000" w:rsidRPr="00000000">
        <w:rPr>
          <w:rFonts w:ascii="Helvetica Neue Light" w:cs="Helvetica Neue Light" w:eastAsia="Helvetica Neue Light" w:hAnsi="Helvetica Neue Light"/>
          <w:sz w:val="24"/>
          <w:szCs w:val="24"/>
          <w:rtl w:val="0"/>
        </w:rPr>
        <w:t xml:space="preserve"> or wet nurse. Her role was one of a guardian, a caretaker and an advisor, one who aided her on her quest for union with her lover.</w:t>
      </w:r>
      <w:r w:rsidDel="00000000" w:rsidR="00000000" w:rsidRPr="00000000">
        <w:rPr>
          <w:rFonts w:ascii="Helvetica Neue Light" w:cs="Helvetica Neue Light" w:eastAsia="Helvetica Neue Light" w:hAnsi="Helvetica Neue Light"/>
          <w:i w:val="1"/>
          <w:iCs w:val="1"/>
          <w:sz w:val="24"/>
          <w:szCs w:val="24"/>
          <w:vertAlign w:val="superscript"/>
        </w:rPr>
        <w:footnoteReference w:customMarkFollows="0" w:id="6"/>
      </w:r>
      <w:r w:rsidDel="00000000" w:rsidR="00000000" w:rsidRPr="00000000">
        <w:rPr>
          <w:rFonts w:ascii="Helvetica Neue Light" w:cs="Helvetica Neue Light" w:eastAsia="Helvetica Neue Light" w:hAnsi="Helvetica Neue Light"/>
          <w:sz w:val="24"/>
          <w:szCs w:val="24"/>
          <w:rtl w:val="0"/>
        </w:rPr>
        <w:t xml:space="preserve"> Biraspati literally translates to Jupiter, and here, she is meant to personify Jupiter's astrological role as a guide, aide and spiritual mentor. </w:t>
      </w:r>
    </w:p>
    <w:p w:rsidR="00000000" w:rsidDel="00000000" w:rsidP="00000000" w:rsidRDefault="00000000" w:rsidRPr="00000000" w14:paraId="000000B0">
      <w:pPr>
        <w:ind w:left="72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 "moon" ascended to the palace roof, bringing her servant, Biraspati, with her.</w:t>
      </w:r>
      <w:r w:rsidDel="00000000" w:rsidR="00000000" w:rsidRPr="00000000">
        <w:rPr>
          <w:rFonts w:ascii="Helvetica Neue Light" w:cs="Helvetica Neue Light" w:eastAsia="Helvetica Neue Light" w:hAnsi="Helvetica Neue Light"/>
          <w:sz w:val="24"/>
          <w:szCs w:val="24"/>
          <w:vertAlign w:val="superscript"/>
        </w:rPr>
        <w:footnoteReference w:customMarkFollows="0" w:id="7"/>
      </w:r>
      <w:r w:rsidDel="00000000" w:rsidR="00000000" w:rsidRPr="00000000">
        <w:rPr>
          <w:rtl w:val="0"/>
        </w:rPr>
      </w:r>
    </w:p>
    <w:p w:rsidR="00000000" w:rsidDel="00000000" w:rsidP="00000000" w:rsidRDefault="00000000" w:rsidRPr="00000000" w14:paraId="000000B1">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Chanda's lover, Lorik, is referred to as 'her sun' and she is depicted as having an obsessive need to see him.</w:t>
      </w:r>
    </w:p>
    <w:p w:rsidR="00000000" w:rsidDel="00000000" w:rsidP="00000000" w:rsidRDefault="00000000" w:rsidRPr="00000000" w14:paraId="000000B2">
      <w:pPr>
        <w:ind w:left="72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Chanda fell at Biraspati's feet, "Yesterday, I saw the "sun" momentarily. Either bring him here or take me to his street!"</w:t>
      </w:r>
      <w:r w:rsidDel="00000000" w:rsidR="00000000" w:rsidRPr="00000000">
        <w:rPr>
          <w:rFonts w:ascii="Helvetica Neue Light" w:cs="Helvetica Neue Light" w:eastAsia="Helvetica Neue Light" w:hAnsi="Helvetica Neue Light"/>
          <w:sz w:val="24"/>
          <w:szCs w:val="24"/>
          <w:vertAlign w:val="superscript"/>
        </w:rPr>
        <w:footnoteReference w:customMarkFollows="0" w:id="8"/>
      </w:r>
      <w:r w:rsidDel="00000000" w:rsidR="00000000" w:rsidRPr="00000000">
        <w:rPr>
          <w:rtl w:val="0"/>
        </w:rPr>
      </w:r>
    </w:p>
    <w:p w:rsidR="00000000" w:rsidDel="00000000" w:rsidP="00000000" w:rsidRDefault="00000000" w:rsidRPr="00000000" w14:paraId="000000B3">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 tale almost becomes a theatre in the sky, telling the story of the 'sun's' quest for the 'moon'. Astrology becomes a language that provides an abundance of literary possibilities. Planetary bodies not only play roles in the narrative, but these roles correspond to their astrological symbolisms which we can assume were known to the audience and thus, existent in the vernacular. Tambiah's definition of myth discussed earlier in this section seems to apply here as well, as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communicates deep spiritual "truths" through the use of astrology as a storytelling device, creating analogies through planetary symbolisms.</w:t>
      </w:r>
    </w:p>
    <w:p w:rsidR="00000000" w:rsidDel="00000000" w:rsidP="00000000" w:rsidRDefault="00000000" w:rsidRPr="00000000" w14:paraId="000000B4">
      <w:pPr>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B5">
      <w:pPr>
        <w:ind w:left="0" w:firstLine="0"/>
        <w:rPr>
          <w:rFonts w:ascii="Helvetica Neue Light" w:cs="Helvetica Neue Light" w:eastAsia="Helvetica Neue Light" w:hAnsi="Helvetica Neue Light"/>
          <w:sz w:val="24"/>
          <w:szCs w:val="24"/>
          <w:u w:val="single"/>
        </w:rPr>
      </w:pPr>
      <w:r w:rsidDel="00000000" w:rsidR="00000000" w:rsidRPr="00000000">
        <w:rPr>
          <w:rFonts w:ascii="Helvetica Neue Light" w:cs="Helvetica Neue Light" w:eastAsia="Helvetica Neue Light" w:hAnsi="Helvetica Neue Light"/>
          <w:sz w:val="24"/>
          <w:szCs w:val="24"/>
          <w:u w:val="single"/>
          <w:rtl w:val="0"/>
        </w:rPr>
        <w:t xml:space="preserve">Chanda and The Psychological Moon</w:t>
      </w:r>
    </w:p>
    <w:p w:rsidR="00000000" w:rsidDel="00000000" w:rsidP="00000000" w:rsidRDefault="00000000" w:rsidRPr="00000000" w14:paraId="000000B6">
      <w:pPr>
        <w:ind w:left="0" w:firstLine="0"/>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B7">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This essay will focus on Liz Greene's analysis of the symbolism surrounding the moon as understood through the personifications of lunar goddesses in the context of psychological astrology, as compared with an analysis of Chanda as a symbol of the moon in the Sufi context. </w:t>
      </w:r>
    </w:p>
    <w:p w:rsidR="00000000" w:rsidDel="00000000" w:rsidP="00000000" w:rsidRDefault="00000000" w:rsidRPr="00000000" w14:paraId="000000B8">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Liz Greene, in her essay "Mother's and Matriarchy, The Mythology and Psychology of the Moon", begins by discussing the cyclical nature of the moon's phases, its both dependable and uncertain nature, and how these notions became ingrained in the mythology of the moon, leading to to lunar goddesses being perceived as "treacherous", "paradoxical" and "ambiguous in character."</w:t>
      </w:r>
      <w:r w:rsidDel="00000000" w:rsidR="00000000" w:rsidRPr="00000000">
        <w:rPr>
          <w:rFonts w:ascii="Helvetica Neue Light" w:cs="Helvetica Neue Light" w:eastAsia="Helvetica Neue Light" w:hAnsi="Helvetica Neue Light"/>
          <w:sz w:val="24"/>
          <w:szCs w:val="24"/>
          <w:vertAlign w:val="superscript"/>
        </w:rPr>
        <w:footnoteReference w:customMarkFollows="0" w:id="9"/>
      </w:r>
      <w:r w:rsidDel="00000000" w:rsidR="00000000" w:rsidRPr="00000000">
        <w:rPr>
          <w:rFonts w:ascii="Helvetica Neue Light" w:cs="Helvetica Neue Light" w:eastAsia="Helvetica Neue Light" w:hAnsi="Helvetica Neue Light"/>
          <w:sz w:val="24"/>
          <w:szCs w:val="24"/>
          <w:rtl w:val="0"/>
        </w:rPr>
        <w:t xml:space="preserve"> She discusses the complexity of the symbolism through its personifications in various Greek lunar goddesses such as Hecate Persephone, Artemis and Demeter. The moon may be black (new moon), symbolising death, rebirth, sorcery as Hecate, or it may be fresh, new as the virgin goddess Persephone. It may be wild and untaming as Artemis or full and ripe as Demeter, the goddess of harvest. The moon, usually personified as female deities, can be understood to symbolise here the various versions of the feminine, holding the multitudes of what it means to be a women. Greene makes clear the moon's role in an astrological chart; it is a planet that is concerned with the mother, with safety, and with an individual's psychological inheritance.</w:t>
      </w:r>
      <w:r w:rsidDel="00000000" w:rsidR="00000000" w:rsidRPr="00000000">
        <w:rPr>
          <w:rFonts w:ascii="Helvetica Neue Light" w:cs="Helvetica Neue Light" w:eastAsia="Helvetica Neue Light" w:hAnsi="Helvetica Neue Light"/>
          <w:sz w:val="24"/>
          <w:szCs w:val="24"/>
          <w:vertAlign w:val="superscript"/>
        </w:rPr>
        <w:footnoteReference w:customMarkFollows="0" w:id="10"/>
      </w:r>
      <w:r w:rsidDel="00000000" w:rsidR="00000000" w:rsidRPr="00000000">
        <w:rPr>
          <w:rtl w:val="0"/>
        </w:rPr>
      </w:r>
    </w:p>
    <w:p w:rsidR="00000000" w:rsidDel="00000000" w:rsidP="00000000" w:rsidRDefault="00000000" w:rsidRPr="00000000" w14:paraId="000000B9">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In the Sufi context, the moon, although contains these feminine symbolisms, further symbolises divinity itself. This is unsurprising considering the importance of the symbol of the moon in Islamic aesthetics. At her birth, Chanda is depicted as being brightened by the sun and as having the Pleiades twinkling in the parting of her hair. The planets and constellations are present as her companions, waiting upon her, protecting her and serving her. A horoscope is cast to tell her life's path.</w:t>
      </w:r>
      <w:r w:rsidDel="00000000" w:rsidR="00000000" w:rsidRPr="00000000">
        <w:rPr>
          <w:rFonts w:ascii="Helvetica Neue Light" w:cs="Helvetica Neue Light" w:eastAsia="Helvetica Neue Light" w:hAnsi="Helvetica Neue Light"/>
          <w:sz w:val="24"/>
          <w:szCs w:val="24"/>
          <w:vertAlign w:val="superscript"/>
        </w:rPr>
        <w:footnoteReference w:customMarkFollows="0" w:id="11"/>
      </w:r>
      <w:r w:rsidDel="00000000" w:rsidR="00000000" w:rsidRPr="00000000">
        <w:rPr>
          <w:rFonts w:ascii="Helvetica Neue Light" w:cs="Helvetica Neue Light" w:eastAsia="Helvetica Neue Light" w:hAnsi="Helvetica Neue Light"/>
          <w:sz w:val="24"/>
          <w:szCs w:val="24"/>
          <w:rtl w:val="0"/>
        </w:rPr>
        <w:t xml:space="preserve"> In the Indic mythological tradition, there is often a scene of an astrologer reading the life of a prince at his (typically the character is male) birth, for example, the Buddha, Krishna and Mahavira. They are all characters that are defied and are seen as religious leaders.</w:t>
      </w:r>
      <w:r w:rsidDel="00000000" w:rsidR="00000000" w:rsidRPr="00000000">
        <w:rPr>
          <w:rFonts w:ascii="Helvetica Neue Light" w:cs="Helvetica Neue Light" w:eastAsia="Helvetica Neue Light" w:hAnsi="Helvetica Neue Light"/>
          <w:sz w:val="24"/>
          <w:szCs w:val="24"/>
          <w:vertAlign w:val="superscript"/>
        </w:rPr>
        <w:footnoteReference w:customMarkFollows="0" w:id="12"/>
      </w:r>
      <w:r w:rsidDel="00000000" w:rsidR="00000000" w:rsidRPr="00000000">
        <w:rPr>
          <w:rFonts w:ascii="Helvetica Neue Light" w:cs="Helvetica Neue Light" w:eastAsia="Helvetica Neue Light" w:hAnsi="Helvetica Neue Light"/>
          <w:sz w:val="24"/>
          <w:szCs w:val="24"/>
          <w:rtl w:val="0"/>
        </w:rPr>
        <w:t xml:space="preserve"> Chanda's birth scene is pivotal, as well as the reading of her horoscope, deifying her in some regard to its Indic audience, while the other characters in the tale remain human. The divergence from Indic literary tradition is that while Buddha, Krishna and Mahavira represent perfection, Chanda is far from perfect.</w:t>
      </w:r>
    </w:p>
    <w:p w:rsidR="00000000" w:rsidDel="00000000" w:rsidP="00000000" w:rsidRDefault="00000000" w:rsidRPr="00000000" w14:paraId="000000BA">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She represents divinity, and symbolises the divine love that Lorik longs to attain, however, Chanda is a </w:t>
      </w:r>
      <w:r w:rsidDel="00000000" w:rsidR="00000000" w:rsidRPr="00000000">
        <w:rPr>
          <w:rFonts w:ascii="Helvetica Neue Light" w:cs="Helvetica Neue Light" w:eastAsia="Helvetica Neue Light" w:hAnsi="Helvetica Neue Light"/>
          <w:i w:val="1"/>
          <w:iCs w:val="1"/>
          <w:sz w:val="24"/>
          <w:szCs w:val="24"/>
          <w:rtl w:val="0"/>
        </w:rPr>
        <w:t xml:space="preserve">parakiya</w:t>
      </w:r>
      <w:r w:rsidDel="00000000" w:rsidR="00000000" w:rsidRPr="00000000">
        <w:rPr>
          <w:rFonts w:ascii="Helvetica Neue Light" w:cs="Helvetica Neue Light" w:eastAsia="Helvetica Neue Light" w:hAnsi="Helvetica Neue Light"/>
          <w:sz w:val="24"/>
          <w:szCs w:val="24"/>
          <w:rtl w:val="0"/>
        </w:rPr>
        <w:t xml:space="preserve">, a woman who has an affair with a married man, and thus, challenges the notions of who would be considered a virtuous woman in that particular time period.</w:t>
      </w:r>
      <w:r w:rsidDel="00000000" w:rsidR="00000000" w:rsidRPr="00000000">
        <w:rPr>
          <w:rFonts w:ascii="Helvetica Neue Light" w:cs="Helvetica Neue Light" w:eastAsia="Helvetica Neue Light" w:hAnsi="Helvetica Neue Light"/>
          <w:sz w:val="24"/>
          <w:szCs w:val="24"/>
          <w:vertAlign w:val="superscript"/>
        </w:rPr>
        <w:footnoteReference w:customMarkFollows="0" w:id="13"/>
      </w:r>
      <w:r w:rsidDel="00000000" w:rsidR="00000000" w:rsidRPr="00000000">
        <w:rPr>
          <w:rFonts w:ascii="Helvetica Neue Light" w:cs="Helvetica Neue Light" w:eastAsia="Helvetica Neue Light" w:hAnsi="Helvetica Neue Light"/>
          <w:sz w:val="24"/>
          <w:szCs w:val="24"/>
          <w:rtl w:val="0"/>
        </w:rPr>
        <w:t xml:space="preserve"> She is depicted as sexually promiscuous, impulsive, dramatic and in one particular scene, raging, violent and irrational. When she meets her 'sun', Lorik, she becomes consumed with an incurable need for him, and is depicted to be in a fervour in her longing for him. This resonates with Greene's analysis of the moon's symbolism. "The Moon makes us think of lovers, but also of lunatics", she says,</w:t>
      </w:r>
      <w:r w:rsidDel="00000000" w:rsidR="00000000" w:rsidRPr="00000000">
        <w:rPr>
          <w:rFonts w:ascii="Helvetica Neue Light" w:cs="Helvetica Neue Light" w:eastAsia="Helvetica Neue Light" w:hAnsi="Helvetica Neue Light"/>
          <w:sz w:val="24"/>
          <w:szCs w:val="24"/>
          <w:vertAlign w:val="superscript"/>
        </w:rPr>
        <w:footnoteReference w:customMarkFollows="0" w:id="14"/>
      </w:r>
      <w:r w:rsidDel="00000000" w:rsidR="00000000" w:rsidRPr="00000000">
        <w:rPr>
          <w:rFonts w:ascii="Helvetica Neue Light" w:cs="Helvetica Neue Light" w:eastAsia="Helvetica Neue Light" w:hAnsi="Helvetica Neue Light"/>
          <w:sz w:val="24"/>
          <w:szCs w:val="24"/>
          <w:rtl w:val="0"/>
        </w:rPr>
        <w:t xml:space="preserve"> and Chanda could be described as both. In this way,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also explores the complexities of womanhood through the symbol of the moon. Greene's analysis of the goddess Artemis is most relevant here, who she describes as the "untamed, savage face of the instincts". Chanda, in her quest for her lover, forgets the world around her, even threatening to poison herself if forced to be apart from him, her instincts only directing her to her lover. </w:t>
      </w:r>
    </w:p>
    <w:p w:rsidR="00000000" w:rsidDel="00000000" w:rsidP="00000000" w:rsidRDefault="00000000" w:rsidRPr="00000000" w14:paraId="000000BB">
      <w:pPr>
        <w:ind w:left="0" w:firstLine="0"/>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BC">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u w:val="single"/>
          <w:rtl w:val="0"/>
        </w:rPr>
        <w:t xml:space="preserve">The Use of Personification as a Literary Device</w:t>
      </w:r>
      <w:r w:rsidDel="00000000" w:rsidR="00000000" w:rsidRPr="00000000">
        <w:rPr>
          <w:rtl w:val="0"/>
        </w:rPr>
      </w:r>
    </w:p>
    <w:p w:rsidR="00000000" w:rsidDel="00000000" w:rsidP="00000000" w:rsidRDefault="00000000" w:rsidRPr="00000000" w14:paraId="000000BD">
      <w:pPr>
        <w:ind w:left="0" w:firstLine="0"/>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BE">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In both the mythology surrounding psychological astrology and the Chandayan, personification is employed as a literary device. Personification benefits psychological astrology in two ways. First, existent personified celestial deities provide archetypes that can be easily analysed from a psychological perspective, allowing the astrologer to further speculate on how astrological themes may play out on a human level. Second, personification allows for the creation of a language that makes both astrological and psychological concept easy to communicate to students and clients, as again, they are described on a human level rather than in abstracts. However, psychological astrologers are not the first to bring astrological ideas into the vernacular. This is evident in the etymology of the word "lunatic" which is derived from the Latin </w:t>
      </w:r>
      <w:r w:rsidDel="00000000" w:rsidR="00000000" w:rsidRPr="00000000">
        <w:rPr>
          <w:rFonts w:ascii="Helvetica Neue Light" w:cs="Helvetica Neue Light" w:eastAsia="Helvetica Neue Light" w:hAnsi="Helvetica Neue Light"/>
          <w:i w:val="1"/>
          <w:iCs w:val="1"/>
          <w:sz w:val="24"/>
          <w:szCs w:val="24"/>
          <w:rtl w:val="0"/>
        </w:rPr>
        <w:t xml:space="preserve">luna</w:t>
      </w:r>
      <w:r w:rsidDel="00000000" w:rsidR="00000000" w:rsidRPr="00000000">
        <w:rPr>
          <w:rFonts w:ascii="Helvetica Neue Light" w:cs="Helvetica Neue Light" w:eastAsia="Helvetica Neue Light" w:hAnsi="Helvetica Neue Light"/>
          <w:sz w:val="24"/>
          <w:szCs w:val="24"/>
          <w:rtl w:val="0"/>
        </w:rPr>
        <w:t xml:space="preserve"> for the moon. The association comes from much older folk tales that link the light of the full moon shining on one's face with the onset of madness.</w:t>
      </w:r>
      <w:r w:rsidDel="00000000" w:rsidR="00000000" w:rsidRPr="00000000">
        <w:rPr>
          <w:rFonts w:ascii="Helvetica Neue Light" w:cs="Helvetica Neue Light" w:eastAsia="Helvetica Neue Light" w:hAnsi="Helvetica Neue Light"/>
          <w:sz w:val="24"/>
          <w:szCs w:val="24"/>
          <w:vertAlign w:val="superscript"/>
        </w:rPr>
        <w:footnoteReference w:customMarkFollows="0" w:id="15"/>
      </w:r>
      <w:r w:rsidDel="00000000" w:rsidR="00000000" w:rsidRPr="00000000">
        <w:rPr>
          <w:rFonts w:ascii="Helvetica Neue Light" w:cs="Helvetica Neue Light" w:eastAsia="Helvetica Neue Light" w:hAnsi="Helvetica Neue Light"/>
          <w:sz w:val="24"/>
          <w:szCs w:val="24"/>
          <w:rtl w:val="0"/>
        </w:rPr>
        <w:t xml:space="preserve"> The astrological associations of the moon with madness makes its way into the vernacular, bringing us words like "lune", "lunacy" and "lunatic". </w:t>
      </w:r>
    </w:p>
    <w:p w:rsidR="00000000" w:rsidDel="00000000" w:rsidP="00000000" w:rsidRDefault="00000000" w:rsidRPr="00000000" w14:paraId="000000BF">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Webster writes about personification, </w:t>
      </w:r>
    </w:p>
    <w:p w:rsidR="00000000" w:rsidDel="00000000" w:rsidP="00000000" w:rsidRDefault="00000000" w:rsidRPr="00000000" w14:paraId="000000C0">
      <w:pPr>
        <w:ind w:left="72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Personification is a means of taking hold of things which suddenly appear startlingly uncontrollable and independent-the rolling stone, the blaze of the sunrise, the incurable disease, the irresistible desire, or the rule by which men conduct their political affairs. These all seem to have some kind of life and so are in some way human.</w:t>
      </w:r>
      <w:r w:rsidDel="00000000" w:rsidR="00000000" w:rsidRPr="00000000">
        <w:rPr>
          <w:rFonts w:ascii="Helvetica Neue Light" w:cs="Helvetica Neue Light" w:eastAsia="Helvetica Neue Light" w:hAnsi="Helvetica Neue Light"/>
          <w:sz w:val="24"/>
          <w:szCs w:val="24"/>
          <w:vertAlign w:val="superscript"/>
        </w:rPr>
        <w:footnoteReference w:customMarkFollows="0" w:id="16"/>
      </w:r>
      <w:r w:rsidDel="00000000" w:rsidR="00000000" w:rsidRPr="00000000">
        <w:rPr>
          <w:rtl w:val="0"/>
        </w:rPr>
      </w:r>
    </w:p>
    <w:p w:rsidR="00000000" w:rsidDel="00000000" w:rsidP="00000000" w:rsidRDefault="00000000" w:rsidRPr="00000000" w14:paraId="000000C1">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Through myths of lunar goddesses, psychological astrologers are able to grasp the convoluted notions of womanhood, motherhood, natural rhythms, wildness, longing, death and rebirth and distill them into a language that is comprehensible.</w:t>
      </w:r>
    </w:p>
    <w:p w:rsidR="00000000" w:rsidDel="00000000" w:rsidP="00000000" w:rsidRDefault="00000000" w:rsidRPr="00000000" w14:paraId="000000C2">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 </w:t>
      </w:r>
      <w:r w:rsidDel="00000000" w:rsidR="00000000" w:rsidRPr="00000000">
        <w:rPr>
          <w:rFonts w:ascii="Helvetica Neue Light" w:cs="Helvetica Neue Light" w:eastAsia="Helvetica Neue Light" w:hAnsi="Helvetica Neue Light"/>
          <w:i w:val="1"/>
          <w:iCs w:val="1"/>
          <w:sz w:val="24"/>
          <w:szCs w:val="24"/>
          <w:rtl w:val="0"/>
        </w:rPr>
        <w:t xml:space="preserve">Chandayan </w:t>
      </w:r>
      <w:r w:rsidDel="00000000" w:rsidR="00000000" w:rsidRPr="00000000">
        <w:rPr>
          <w:rFonts w:ascii="Helvetica Neue Light" w:cs="Helvetica Neue Light" w:eastAsia="Helvetica Neue Light" w:hAnsi="Helvetica Neue Light"/>
          <w:sz w:val="24"/>
          <w:szCs w:val="24"/>
          <w:rtl w:val="0"/>
        </w:rPr>
        <w:t xml:space="preserve">also relies on personification to make abstract spiritual concepts easy to communicate to the masses. Playing out a celestial drama through plot lines that are deeply human, the Sufis were no different from the Greeks, who told stories of flawed Gods caught up in stories of love, passion, envy or vengeance. </w:t>
      </w:r>
    </w:p>
    <w:p w:rsidR="00000000" w:rsidDel="00000000" w:rsidP="00000000" w:rsidRDefault="00000000" w:rsidRPr="00000000" w14:paraId="000000C3">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One is left to wonder what Greene would have to say about Chanda. Chanda's simultaneous portrayal as a very human erratic, emotionally-driven woman and a symbol of divine love may seem confusing, but illuminates the Sufi idea of God, who is often seen as a friend, rather than a deity on a pedestal.</w:t>
      </w:r>
      <w:r w:rsidDel="00000000" w:rsidR="00000000" w:rsidRPr="00000000">
        <w:rPr>
          <w:rFonts w:ascii="Helvetica Neue Light" w:cs="Helvetica Neue Light" w:eastAsia="Helvetica Neue Light" w:hAnsi="Helvetica Neue Light"/>
          <w:sz w:val="24"/>
          <w:szCs w:val="24"/>
          <w:vertAlign w:val="superscript"/>
        </w:rPr>
        <w:footnoteReference w:customMarkFollows="0" w:id="17"/>
      </w:r>
      <w:r w:rsidDel="00000000" w:rsidR="00000000" w:rsidRPr="00000000">
        <w:rPr>
          <w:rFonts w:ascii="Helvetica Neue Light" w:cs="Helvetica Neue Light" w:eastAsia="Helvetica Neue Light" w:hAnsi="Helvetica Neue Light"/>
          <w:sz w:val="24"/>
          <w:szCs w:val="24"/>
          <w:rtl w:val="0"/>
        </w:rPr>
        <w:t xml:space="preserve"> Chanda's personification here is necessary; she is not on a pedestal either. The seeker's (Lorik) relationship with the divine must be one that is personal, intimate and based in love, and Chanda, as a beautiful woman, fills the role perfectly. </w:t>
      </w:r>
    </w:p>
    <w:p w:rsidR="00000000" w:rsidDel="00000000" w:rsidP="00000000" w:rsidRDefault="00000000" w:rsidRPr="00000000" w14:paraId="000000C4">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Chanda's beauty, often likened to the beauty of the moon in the story, inspires many men to fall into a fervour and rush to court her. This is evident in the words of a minstrel, who, singing of Chanda's beauty, says,</w:t>
      </w:r>
    </w:p>
    <w:p w:rsidR="00000000" w:rsidDel="00000000" w:rsidP="00000000" w:rsidRDefault="00000000" w:rsidRPr="00000000" w14:paraId="000000C5">
      <w:pPr>
        <w:ind w:left="72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There, I saw a moon-like maiden, like a beautiful, engraving on a stone. I tried, but can't put her out of my mind; day by day my obsession grows and grows.</w:t>
      </w:r>
      <w:r w:rsidDel="00000000" w:rsidR="00000000" w:rsidRPr="00000000">
        <w:rPr>
          <w:rFonts w:ascii="Helvetica Neue Light" w:cs="Helvetica Neue Light" w:eastAsia="Helvetica Neue Light" w:hAnsi="Helvetica Neue Light"/>
          <w:sz w:val="24"/>
          <w:szCs w:val="24"/>
          <w:vertAlign w:val="superscript"/>
        </w:rPr>
        <w:footnoteReference w:customMarkFollows="0" w:id="18"/>
      </w:r>
      <w:r w:rsidDel="00000000" w:rsidR="00000000" w:rsidRPr="00000000">
        <w:rPr>
          <w:rtl w:val="0"/>
        </w:rPr>
      </w:r>
    </w:p>
    <w:p w:rsidR="00000000" w:rsidDel="00000000" w:rsidP="00000000" w:rsidRDefault="00000000" w:rsidRPr="00000000" w14:paraId="000000C6">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Here the themes of both, lunar beauty and madness come through. Greene says about this dual nature of the moon, "Ordinary landscapes and objects look strange and otherworldly under the full Moon. If one is romantically occupied, then this light is enchanting. But if one is alone, it can be very disturbing."</w:t>
      </w:r>
      <w:r w:rsidDel="00000000" w:rsidR="00000000" w:rsidRPr="00000000">
        <w:rPr>
          <w:rFonts w:ascii="Helvetica Neue Light" w:cs="Helvetica Neue Light" w:eastAsia="Helvetica Neue Light" w:hAnsi="Helvetica Neue Light"/>
          <w:sz w:val="24"/>
          <w:szCs w:val="24"/>
          <w:vertAlign w:val="superscript"/>
        </w:rPr>
        <w:footnoteReference w:customMarkFollows="0" w:id="19"/>
      </w:r>
      <w:r w:rsidDel="00000000" w:rsidR="00000000" w:rsidRPr="00000000">
        <w:rPr>
          <w:rFonts w:ascii="Helvetica Neue Light" w:cs="Helvetica Neue Light" w:eastAsia="Helvetica Neue Light" w:hAnsi="Helvetica Neue Light"/>
          <w:sz w:val="24"/>
          <w:szCs w:val="24"/>
          <w:rtl w:val="0"/>
        </w:rPr>
        <w:t xml:space="preserve"> The beauty of the moon inspires both love and lunacy, like Chanda's beauty inspires both love and lunacy in her suitors. Here, an ascetic's spiritual and arguably abstract desire for union with god is brought to a human level through the metaphor of a man's deep desire for union with the woman he loves. </w:t>
      </w:r>
    </w:p>
    <w:p w:rsidR="00000000" w:rsidDel="00000000" w:rsidP="00000000" w:rsidRDefault="00000000" w:rsidRPr="00000000" w14:paraId="000000C7">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Throughout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Chanda's emotional states are described through lunar metaphors. For example, a line from the text, </w:t>
      </w:r>
    </w:p>
    <w:p w:rsidR="00000000" w:rsidDel="00000000" w:rsidP="00000000" w:rsidRDefault="00000000" w:rsidRPr="00000000" w14:paraId="000000C8">
      <w:pPr>
        <w:ind w:left="72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Chanda became miserable ... Her face was like the full moon; [but] her lustre had vanished as if an eclipse was in progress.</w:t>
      </w:r>
      <w:r w:rsidDel="00000000" w:rsidR="00000000" w:rsidRPr="00000000">
        <w:rPr>
          <w:rtl w:val="0"/>
        </w:rPr>
      </w:r>
    </w:p>
    <w:p w:rsidR="00000000" w:rsidDel="00000000" w:rsidP="00000000" w:rsidRDefault="00000000" w:rsidRPr="00000000" w14:paraId="000000C9">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 association of eclipses with negative emotional states is explained and almost "taught" through the narrative, again, bringing astrological ideas into the vernacular. Another example of this can be found in a scene where Chanda and Lorik part after making love, </w:t>
      </w:r>
    </w:p>
    <w:p w:rsidR="00000000" w:rsidDel="00000000" w:rsidP="00000000" w:rsidRDefault="00000000" w:rsidRPr="00000000" w14:paraId="000000CA">
      <w:pPr>
        <w:ind w:left="72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 "moon" ascended to the top of the White Palace intending to see where the "sun" had gone. Both had gone and placed their feet in their respective places of birth, so that they could pass the day safe from enemies. "...When the sun is in Libra, the night and day are equal. Both, like it or not, leave the path of equality, completing the journey..."</w:t>
      </w:r>
      <w:r w:rsidDel="00000000" w:rsidR="00000000" w:rsidRPr="00000000">
        <w:rPr>
          <w:rFonts w:ascii="Helvetica Neue Light" w:cs="Helvetica Neue Light" w:eastAsia="Helvetica Neue Light" w:hAnsi="Helvetica Neue Light"/>
          <w:sz w:val="24"/>
          <w:szCs w:val="24"/>
          <w:vertAlign w:val="superscript"/>
        </w:rPr>
        <w:footnoteReference w:customMarkFollows="0" w:id="20"/>
      </w:r>
      <w:r w:rsidDel="00000000" w:rsidR="00000000" w:rsidRPr="00000000">
        <w:rPr>
          <w:rtl w:val="0"/>
        </w:rPr>
      </w:r>
    </w:p>
    <w:p w:rsidR="00000000" w:rsidDel="00000000" w:rsidP="00000000" w:rsidRDefault="00000000" w:rsidRPr="00000000" w14:paraId="000000CB">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 moment of the lovers' parting is used to teach the astrological symbolism of the sign of Libra associated with equality, balance and harmony, bringing this astrological theory into parlance.</w:t>
      </w:r>
    </w:p>
    <w:p w:rsidR="00000000" w:rsidDel="00000000" w:rsidP="00000000" w:rsidRDefault="00000000" w:rsidRPr="00000000" w14:paraId="000000CC">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A key difference in the treatment of personification between the psychological tradition and the Sufi one where the personified entities are situated. Greene suggests that "there is within each individual psyche a motive or impulsion towards wholeness or completeness." In psychological astrology, the planets are internalised and represent psychic processes that together make up the individual's psyche. Here, the individual is astrologically self-contained.</w:t>
      </w:r>
      <w:r w:rsidDel="00000000" w:rsidR="00000000" w:rsidRPr="00000000">
        <w:rPr>
          <w:rFonts w:ascii="Helvetica Neue Light" w:cs="Helvetica Neue Light" w:eastAsia="Helvetica Neue Light" w:hAnsi="Helvetica Neue Light"/>
          <w:sz w:val="24"/>
          <w:szCs w:val="24"/>
          <w:vertAlign w:val="superscript"/>
        </w:rPr>
        <w:footnoteReference w:customMarkFollows="0" w:id="21"/>
      </w:r>
      <w:r w:rsidDel="00000000" w:rsidR="00000000" w:rsidRPr="00000000">
        <w:rPr>
          <w:rFonts w:ascii="Helvetica Neue Light" w:cs="Helvetica Neue Light" w:eastAsia="Helvetica Neue Light" w:hAnsi="Helvetica Neue Light"/>
          <w:sz w:val="24"/>
          <w:szCs w:val="24"/>
          <w:rtl w:val="0"/>
        </w:rPr>
        <w:t xml:space="preserve"> </w:t>
      </w:r>
    </w:p>
    <w:p w:rsidR="00000000" w:rsidDel="00000000" w:rsidP="00000000" w:rsidRDefault="00000000" w:rsidRPr="00000000" w14:paraId="000000CD">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In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planetary bodies seem affect the individual's fate through their appearance in the guise of people in the individual's life. While these relationships are metaphorical and may have somewhere, represented psychological processes, the dominant approach was to understand that planetary dynamics could play out within social relationships. </w:t>
      </w:r>
    </w:p>
    <w:p w:rsidR="00000000" w:rsidDel="00000000" w:rsidP="00000000" w:rsidRDefault="00000000" w:rsidRPr="00000000" w14:paraId="000000CE">
      <w:pPr>
        <w:ind w:left="0" w:firstLine="0"/>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CF">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u w:val="single"/>
          <w:rtl w:val="0"/>
        </w:rPr>
        <w:t xml:space="preserve">Attitudes to Astrology</w:t>
      </w:r>
      <w:r w:rsidDel="00000000" w:rsidR="00000000" w:rsidRPr="00000000">
        <w:rPr>
          <w:rtl w:val="0"/>
        </w:rPr>
      </w:r>
    </w:p>
    <w:p w:rsidR="00000000" w:rsidDel="00000000" w:rsidP="00000000" w:rsidRDefault="00000000" w:rsidRPr="00000000" w14:paraId="000000D0">
      <w:pPr>
        <w:ind w:left="0" w:firstLine="0"/>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D1">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While it can be argued that pre-modern astrology had some psychological grounding, psychological astrology in its official capacity developed in the 20th century, largely influenced by the work of analytical psychologist Carl Jung. Psychological astrology is a "non-magical, secular astrology"</w:t>
      </w:r>
      <w:r w:rsidDel="00000000" w:rsidR="00000000" w:rsidRPr="00000000">
        <w:rPr>
          <w:rFonts w:ascii="Helvetica Neue Light" w:cs="Helvetica Neue Light" w:eastAsia="Helvetica Neue Light" w:hAnsi="Helvetica Neue Light"/>
          <w:sz w:val="24"/>
          <w:szCs w:val="24"/>
          <w:vertAlign w:val="superscript"/>
        </w:rPr>
        <w:footnoteReference w:customMarkFollows="0" w:id="22"/>
      </w:r>
      <w:r w:rsidDel="00000000" w:rsidR="00000000" w:rsidRPr="00000000">
        <w:rPr>
          <w:rFonts w:ascii="Helvetica Neue Light" w:cs="Helvetica Neue Light" w:eastAsia="Helvetica Neue Light" w:hAnsi="Helvetica Neue Light"/>
          <w:sz w:val="24"/>
          <w:szCs w:val="24"/>
          <w:rtl w:val="0"/>
        </w:rPr>
        <w:t xml:space="preserve"> described as a tool for self-actualization. Rather than a tool for divination, astrology could be used as a tool for greater understanding of the self, which Rudhyar says gives the individual freedom.</w:t>
      </w:r>
      <w:r w:rsidDel="00000000" w:rsidR="00000000" w:rsidRPr="00000000">
        <w:rPr>
          <w:rFonts w:ascii="Helvetica Neue Light" w:cs="Helvetica Neue Light" w:eastAsia="Helvetica Neue Light" w:hAnsi="Helvetica Neue Light"/>
          <w:sz w:val="24"/>
          <w:szCs w:val="24"/>
          <w:vertAlign w:val="superscript"/>
        </w:rPr>
        <w:footnoteReference w:customMarkFollows="0" w:id="23"/>
      </w:r>
      <w:r w:rsidDel="00000000" w:rsidR="00000000" w:rsidRPr="00000000">
        <w:rPr>
          <w:rFonts w:ascii="Helvetica Neue Light" w:cs="Helvetica Neue Light" w:eastAsia="Helvetica Neue Light" w:hAnsi="Helvetica Neue Light"/>
          <w:sz w:val="24"/>
          <w:szCs w:val="24"/>
          <w:rtl w:val="0"/>
        </w:rPr>
        <w:t xml:space="preserve"> The planets are understood to be representative of psychic processes that are contained within an individual's mind. The moon, as we have seen for example, represents the emotional and private self of the individual, while Saturn represents the struggles and difficulties one may face. These processes are part of the psyche and are parts that make up a whole individual.</w:t>
      </w:r>
    </w:p>
    <w:p w:rsidR="00000000" w:rsidDel="00000000" w:rsidP="00000000" w:rsidRDefault="00000000" w:rsidRPr="00000000" w14:paraId="000000D2">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Andrikopolous explains how the </w:t>
      </w:r>
      <w:r w:rsidDel="00000000" w:rsidR="00000000" w:rsidRPr="00000000">
        <w:rPr>
          <w:rFonts w:ascii="Helvetica Neue Light" w:cs="Helvetica Neue Light" w:eastAsia="Helvetica Neue Light" w:hAnsi="Helvetica Neue Light"/>
          <w:sz w:val="24"/>
          <w:szCs w:val="24"/>
          <w:rtl w:val="0"/>
        </w:rPr>
        <w:t xml:space="preserve">psychologisation</w:t>
      </w:r>
      <w:r w:rsidDel="00000000" w:rsidR="00000000" w:rsidRPr="00000000">
        <w:rPr>
          <w:rFonts w:ascii="Helvetica Neue Light" w:cs="Helvetica Neue Light" w:eastAsia="Helvetica Neue Light" w:hAnsi="Helvetica Neue Light"/>
          <w:sz w:val="24"/>
          <w:szCs w:val="24"/>
          <w:rtl w:val="0"/>
        </w:rPr>
        <w:t xml:space="preserve"> of astrology took place in the twentieth-century as a way to legitimise astrology in an increasingly modern world. A sort of rational philosophy underlying astrology protected it from disappearing in a world where ideas considered pseudoscientific were rapidly losing respect. There was an effort to make astrology as 'scientific' as possible, and today, psychological astrology remains largely atheistic. However, even though there is stigma against astrology today, psychological astrology remains immensely popular.</w:t>
      </w:r>
      <w:r w:rsidDel="00000000" w:rsidR="00000000" w:rsidRPr="00000000">
        <w:rPr>
          <w:rFonts w:ascii="Helvetica Neue Light" w:cs="Helvetica Neue Light" w:eastAsia="Helvetica Neue Light" w:hAnsi="Helvetica Neue Light"/>
          <w:sz w:val="24"/>
          <w:szCs w:val="24"/>
          <w:vertAlign w:val="superscript"/>
        </w:rPr>
        <w:footnoteReference w:customMarkFollows="0" w:id="24"/>
      </w:r>
      <w:r w:rsidDel="00000000" w:rsidR="00000000" w:rsidRPr="00000000">
        <w:rPr>
          <w:rtl w:val="0"/>
        </w:rPr>
      </w:r>
    </w:p>
    <w:p w:rsidR="00000000" w:rsidDel="00000000" w:rsidP="00000000" w:rsidRDefault="00000000" w:rsidRPr="00000000" w14:paraId="000000D3">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Rudhyar explains, in the foreword to Liz Greene's Saturn, that psychological astrology diverges from traditional astrology with its focus on internal processes of the soul rather than a prediction of external events. He calls the individual whose natal chart is being considered a "seeker", and explains the role of Greene's astrology as geared towards self-awareness and improvement for this individual, guiding them through the process of understanding oneself to unfold a more authentic and higher self.</w:t>
      </w:r>
      <w:r w:rsidDel="00000000" w:rsidR="00000000" w:rsidRPr="00000000">
        <w:rPr>
          <w:rFonts w:ascii="Helvetica Neue Light" w:cs="Helvetica Neue Light" w:eastAsia="Helvetica Neue Light" w:hAnsi="Helvetica Neue Light"/>
          <w:sz w:val="24"/>
          <w:szCs w:val="24"/>
          <w:vertAlign w:val="superscript"/>
        </w:rPr>
        <w:footnoteReference w:customMarkFollows="0" w:id="25"/>
      </w:r>
      <w:r w:rsidDel="00000000" w:rsidR="00000000" w:rsidRPr="00000000">
        <w:rPr>
          <w:rFonts w:ascii="Helvetica Neue Light" w:cs="Helvetica Neue Light" w:eastAsia="Helvetica Neue Light" w:hAnsi="Helvetica Neue Light"/>
          <w:sz w:val="24"/>
          <w:szCs w:val="24"/>
          <w:rtl w:val="0"/>
        </w:rPr>
        <w:t xml:space="preserve"> </w:t>
      </w:r>
    </w:p>
    <w:p w:rsidR="00000000" w:rsidDel="00000000" w:rsidP="00000000" w:rsidRDefault="00000000" w:rsidRPr="00000000" w14:paraId="000000D4">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 Sufis also called one on a quest towards spiritual perfection a "seeker", and astrology was one of the tools that was used to guide one on their journey. In an earlier paper on the subject of astrology in the Persianate world, I write about the education imparted to Persian elites through </w:t>
      </w:r>
      <w:r w:rsidDel="00000000" w:rsidR="00000000" w:rsidRPr="00000000">
        <w:rPr>
          <w:rFonts w:ascii="Helvetica Neue Light" w:cs="Helvetica Neue Light" w:eastAsia="Helvetica Neue Light" w:hAnsi="Helvetica Neue Light"/>
          <w:i w:val="1"/>
          <w:iCs w:val="1"/>
          <w:sz w:val="24"/>
          <w:szCs w:val="24"/>
          <w:rtl w:val="0"/>
        </w:rPr>
        <w:t xml:space="preserve">madrasas</w:t>
      </w:r>
      <w:r w:rsidDel="00000000" w:rsidR="00000000" w:rsidRPr="00000000">
        <w:rPr>
          <w:rFonts w:ascii="Helvetica Neue Light" w:cs="Helvetica Neue Light" w:eastAsia="Helvetica Neue Light" w:hAnsi="Helvetica Neue Light"/>
          <w:sz w:val="24"/>
          <w:szCs w:val="24"/>
          <w:rtl w:val="0"/>
        </w:rPr>
        <w:t xml:space="preserve">, </w:t>
      </w:r>
    </w:p>
    <w:p w:rsidR="00000000" w:rsidDel="00000000" w:rsidP="00000000" w:rsidRDefault="00000000" w:rsidRPr="00000000" w14:paraId="000000D5">
      <w:pPr>
        <w:ind w:left="72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Metaphysical discourse, including Sufi ideas on the intimate triangular relationships between the soul, the body and the cosmos, were deeply ingrained in this training; the body was considered a doorway between the internal and the external world and a site for the perfection of the self. As a result, the body became an important point of focus for the Persianate elite, bringing with it increased attention on health and medicine. In addition to theoretical study, practice was emphasised and Islamic techniques of </w:t>
      </w:r>
      <w:r w:rsidDel="00000000" w:rsidR="00000000" w:rsidRPr="00000000">
        <w:rPr>
          <w:rFonts w:ascii="Helvetica Neue Light" w:cs="Helvetica Neue Light" w:eastAsia="Helvetica Neue Light" w:hAnsi="Helvetica Neue Light"/>
          <w:i w:val="1"/>
          <w:iCs w:val="1"/>
          <w:sz w:val="24"/>
          <w:szCs w:val="24"/>
          <w:rtl w:val="0"/>
        </w:rPr>
        <w:t xml:space="preserve">zikr</w:t>
      </w:r>
      <w:r w:rsidDel="00000000" w:rsidR="00000000" w:rsidRPr="00000000">
        <w:rPr>
          <w:rFonts w:ascii="Helvetica Neue Light" w:cs="Helvetica Neue Light" w:eastAsia="Helvetica Neue Light" w:hAnsi="Helvetica Neue Light"/>
          <w:sz w:val="24"/>
          <w:szCs w:val="24"/>
          <w:rtl w:val="0"/>
        </w:rPr>
        <w:t xml:space="preserve">, </w:t>
      </w:r>
      <w:r w:rsidDel="00000000" w:rsidR="00000000" w:rsidRPr="00000000">
        <w:rPr>
          <w:rFonts w:ascii="Helvetica Neue Light" w:cs="Helvetica Neue Light" w:eastAsia="Helvetica Neue Light" w:hAnsi="Helvetica Neue Light"/>
          <w:i w:val="1"/>
          <w:iCs w:val="1"/>
          <w:sz w:val="24"/>
          <w:szCs w:val="24"/>
          <w:rtl w:val="0"/>
        </w:rPr>
        <w:t xml:space="preserve">riyazat</w:t>
      </w:r>
      <w:r w:rsidDel="00000000" w:rsidR="00000000" w:rsidRPr="00000000">
        <w:rPr>
          <w:rFonts w:ascii="Helvetica Neue Light" w:cs="Helvetica Neue Light" w:eastAsia="Helvetica Neue Light" w:hAnsi="Helvetica Neue Light"/>
          <w:sz w:val="24"/>
          <w:szCs w:val="24"/>
          <w:rtl w:val="0"/>
        </w:rPr>
        <w:t xml:space="preserve"> and </w:t>
      </w:r>
      <w:r w:rsidDel="00000000" w:rsidR="00000000" w:rsidRPr="00000000">
        <w:rPr>
          <w:rFonts w:ascii="Helvetica Neue Light" w:cs="Helvetica Neue Light" w:eastAsia="Helvetica Neue Light" w:hAnsi="Helvetica Neue Light"/>
          <w:i w:val="1"/>
          <w:iCs w:val="1"/>
          <w:sz w:val="24"/>
          <w:szCs w:val="24"/>
          <w:rtl w:val="0"/>
        </w:rPr>
        <w:t xml:space="preserve">muhasabat</w:t>
      </w:r>
      <w:r w:rsidDel="00000000" w:rsidR="00000000" w:rsidRPr="00000000">
        <w:rPr>
          <w:rFonts w:ascii="Helvetica Neue Light" w:cs="Helvetica Neue Light" w:eastAsia="Helvetica Neue Light" w:hAnsi="Helvetica Neue Light"/>
          <w:sz w:val="24"/>
          <w:szCs w:val="24"/>
          <w:rtl w:val="0"/>
        </w:rPr>
        <w:t xml:space="preserve"> were taught in line with this. Knowledge of esoteric sciences was widespread and while not taught formally, was also taken for granted in the elite courtier and considered necessary towards the linking of the soul-body-cosmos complex and ultimately, in a medicinal regard, towards spiritual perfection.</w:t>
      </w:r>
      <w:r w:rsidDel="00000000" w:rsidR="00000000" w:rsidRPr="00000000">
        <w:rPr>
          <w:rFonts w:ascii="Helvetica Neue Light" w:cs="Helvetica Neue Light" w:eastAsia="Helvetica Neue Light" w:hAnsi="Helvetica Neue Light"/>
          <w:sz w:val="24"/>
          <w:szCs w:val="24"/>
          <w:vertAlign w:val="superscript"/>
        </w:rPr>
        <w:footnoteReference w:customMarkFollows="0" w:id="26"/>
      </w:r>
      <w:r w:rsidDel="00000000" w:rsidR="00000000" w:rsidRPr="00000000">
        <w:rPr>
          <w:rtl w:val="0"/>
        </w:rPr>
      </w:r>
    </w:p>
    <w:p w:rsidR="00000000" w:rsidDel="00000000" w:rsidP="00000000" w:rsidRDefault="00000000" w:rsidRPr="00000000" w14:paraId="000000D6">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The Persian elites in India were expected to have knowledge of the esoteric sciences, mainly astrology and magic, which were practiced widely in the medieval Islamicate world through all sections of society. While these practices served several practical purposes and predicted events, their main aim was "transforming the body of the individual, and by analogy, refining his soul, and helping to reveal the true nature of the physical world itself."</w:t>
      </w:r>
      <w:r w:rsidDel="00000000" w:rsidR="00000000" w:rsidRPr="00000000">
        <w:rPr>
          <w:rFonts w:ascii="Helvetica Neue Light" w:cs="Helvetica Neue Light" w:eastAsia="Helvetica Neue Light" w:hAnsi="Helvetica Neue Light"/>
          <w:sz w:val="24"/>
          <w:szCs w:val="24"/>
          <w:vertAlign w:val="superscript"/>
        </w:rPr>
        <w:footnoteReference w:customMarkFollows="0" w:id="27"/>
      </w:r>
      <w:r w:rsidDel="00000000" w:rsidR="00000000" w:rsidRPr="00000000">
        <w:rPr>
          <w:rtl w:val="0"/>
        </w:rPr>
      </w:r>
    </w:p>
    <w:p w:rsidR="00000000" w:rsidDel="00000000" w:rsidP="00000000" w:rsidRDefault="00000000" w:rsidRPr="00000000" w14:paraId="000000D7">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While parallels can be drawn between the two approaches, self-actualisation being a key similarity here, there are large philosophical differences. For one, psychological astrology views the mind as the site for self-actualisation, whereas the Sufis regard the physical body as a site for perfection. </w:t>
      </w:r>
    </w:p>
    <w:p w:rsidR="00000000" w:rsidDel="00000000" w:rsidP="00000000" w:rsidRDefault="00000000" w:rsidRPr="00000000" w14:paraId="000000D8">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Further, psychological astrology, although largely atheistic and distanced from divinatory practices, has its own 'spiritual' mechanics where the psyche is the operant power. Greene explains that one's internal thought processes create their reality through the "creative power of their psyche".</w:t>
      </w:r>
      <w:r w:rsidDel="00000000" w:rsidR="00000000" w:rsidRPr="00000000">
        <w:rPr>
          <w:rFonts w:ascii="Helvetica Neue Light" w:cs="Helvetica Neue Light" w:eastAsia="Helvetica Neue Light" w:hAnsi="Helvetica Neue Light"/>
          <w:sz w:val="24"/>
          <w:szCs w:val="24"/>
          <w:vertAlign w:val="superscript"/>
        </w:rPr>
        <w:footnoteReference w:customMarkFollows="0" w:id="28"/>
      </w:r>
      <w:r w:rsidDel="00000000" w:rsidR="00000000" w:rsidRPr="00000000">
        <w:rPr>
          <w:rFonts w:ascii="Helvetica Neue Light" w:cs="Helvetica Neue Light" w:eastAsia="Helvetica Neue Light" w:hAnsi="Helvetica Neue Light"/>
          <w:sz w:val="24"/>
          <w:szCs w:val="24"/>
          <w:rtl w:val="0"/>
        </w:rPr>
        <w:t xml:space="preserve"> The Sufis, on the other hand, were theistic and all practices, whether religious or esoteric, led them back to Allah. Even within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Lorik is again and again depicted as being led to Chanda, the personification of the divine.</w:t>
      </w:r>
    </w:p>
    <w:p w:rsidR="00000000" w:rsidDel="00000000" w:rsidP="00000000" w:rsidRDefault="00000000" w:rsidRPr="00000000" w14:paraId="000000D9">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Moreover, the conceptions of 'perfection' within the two approaches to astrology are vastly different. While the Sufis understood divine union a state of bliss in the embodiment of divine love as perfection, Greene emphasises the notion of completeness over perfection.</w:t>
      </w:r>
    </w:p>
    <w:p w:rsidR="00000000" w:rsidDel="00000000" w:rsidP="00000000" w:rsidRDefault="00000000" w:rsidRPr="00000000" w14:paraId="000000DA">
      <w:pPr>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DB">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u w:val="single"/>
          <w:rtl w:val="0"/>
        </w:rPr>
        <w:t xml:space="preserve">Conclusion</w:t>
      </w:r>
      <w:r w:rsidDel="00000000" w:rsidR="00000000" w:rsidRPr="00000000">
        <w:rPr>
          <w:rtl w:val="0"/>
        </w:rPr>
      </w:r>
    </w:p>
    <w:p w:rsidR="00000000" w:rsidDel="00000000" w:rsidP="00000000" w:rsidRDefault="00000000" w:rsidRPr="00000000" w14:paraId="000000DC">
      <w:pPr>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DD">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This essay studies the mythologies of the moon - the mythology surrounding psychological astrology as analysed by Liz Greene, and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a Sufi love story - to compare and contrast the lunar personifications in the myths. Liz Greene's psychological moon is based on personifications of lunar goddesses from different cultures, like Artemis, Demeter, Fortuna, etc.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personifies the moon in the form of Chanda, who through the story, seeks union with her lover. Through an analysis of the lunar characters, it is clear that lunar symbolism remains both consistent and evolving through the cultures, attempting to encapsulate the multitudes of what it means to be a woman. </w:t>
      </w:r>
    </w:p>
    <w:p w:rsidR="00000000" w:rsidDel="00000000" w:rsidP="00000000" w:rsidRDefault="00000000" w:rsidRPr="00000000" w14:paraId="000000DE">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Further, a surface analysis of the two myths makes clear the use of personification as an important literary tool that enables effective communication of abstract concepts by bringing them to the human level. This also allows astrological ideas to find themselves part of the vernacular. This is consistent across the two myths. An important difference in the two is the placement of planetary bodies that are internalised within an individual's psyche in psychological astrology and externalised as social relationships in the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w:t>
      </w:r>
    </w:p>
    <w:p w:rsidR="00000000" w:rsidDel="00000000" w:rsidP="00000000" w:rsidRDefault="00000000" w:rsidRPr="00000000" w14:paraId="000000DF">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Finally, on looking at the attitudes to astrology revealed in the two myths, actualisation is found to be the key motive. Psychological astrology remains largely atheistic, while Sufi ideas are focused on a spiritual union with the divine. The mechanics and functions of astrology have some parallels, however, there are divergences in the underlying philosophies.</w:t>
      </w:r>
    </w:p>
    <w:p w:rsidR="00000000" w:rsidDel="00000000" w:rsidP="00000000" w:rsidRDefault="00000000" w:rsidRPr="00000000" w14:paraId="000000E0">
      <w:pPr>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E1">
      <w:pPr>
        <w:rPr>
          <w:rFonts w:ascii="Helvetica Neue" w:cs="Helvetica Neue" w:eastAsia="Helvetica Neue" w:hAnsi="Helvetica Neue"/>
          <w:b w:val="1"/>
          <w:bCs w:val="1"/>
          <w:sz w:val="24"/>
          <w:szCs w:val="24"/>
        </w:rPr>
      </w:pPr>
      <w:r w:rsidDel="00000000" w:rsidR="00000000" w:rsidRPr="00000000">
        <w:rPr>
          <w:rFonts w:ascii="Helvetica Neue" w:cs="Helvetica Neue" w:eastAsia="Helvetica Neue" w:hAnsi="Helvetica Neue"/>
          <w:b w:val="1"/>
          <w:bCs w:val="1"/>
          <w:sz w:val="24"/>
          <w:szCs w:val="24"/>
          <w:rtl w:val="0"/>
        </w:rPr>
        <w:t xml:space="preserve">Bibliography</w:t>
      </w:r>
    </w:p>
    <w:p w:rsidR="00000000" w:rsidDel="00000000" w:rsidP="00000000" w:rsidRDefault="00000000" w:rsidRPr="00000000" w14:paraId="000000E2">
      <w:pPr>
        <w:rPr>
          <w:rFonts w:ascii="Helvetica Neue Light" w:cs="Helvetica Neue Light" w:eastAsia="Helvetica Neue Light" w:hAnsi="Helvetica Neue Light"/>
          <w:sz w:val="24"/>
          <w:szCs w:val="24"/>
        </w:rPr>
      </w:pPr>
      <w:r w:rsidDel="00000000" w:rsidR="00000000" w:rsidRPr="00000000">
        <w:rPr>
          <w:rtl w:val="0"/>
        </w:rPr>
      </w:r>
    </w:p>
    <w:p w:rsidR="00000000" w:rsidDel="00000000" w:rsidP="00000000" w:rsidRDefault="00000000" w:rsidRPr="00000000" w14:paraId="000000E3">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Andrikopoulos, Laura, 'The Psychologisation of Natal Astrology', (Doctoral Thesis, University of Wales Trinity Saint David, 2023).</w:t>
      </w:r>
    </w:p>
    <w:p w:rsidR="00000000" w:rsidDel="00000000" w:rsidP="00000000" w:rsidRDefault="00000000" w:rsidRPr="00000000" w14:paraId="000000E4">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Cohen, Richard J, </w:t>
      </w:r>
      <w:r w:rsidDel="00000000" w:rsidR="00000000" w:rsidRPr="00000000">
        <w:rPr>
          <w:rFonts w:ascii="Helvetica Neue Light" w:cs="Helvetica Neue Light" w:eastAsia="Helvetica Neue Light" w:hAnsi="Helvetica Neue Light"/>
          <w:i w:val="1"/>
          <w:iCs w:val="1"/>
          <w:sz w:val="24"/>
          <w:szCs w:val="24"/>
          <w:rtl w:val="0"/>
        </w:rPr>
        <w:t xml:space="preserve">The</w:t>
      </w:r>
      <w:r w:rsidDel="00000000" w:rsidR="00000000" w:rsidRPr="00000000">
        <w:rPr>
          <w:rFonts w:ascii="Helvetica Neue Light" w:cs="Helvetica Neue Light" w:eastAsia="Helvetica Neue Light" w:hAnsi="Helvetica Neue Light"/>
          <w:sz w:val="24"/>
          <w:szCs w:val="24"/>
          <w:rtl w:val="0"/>
        </w:rPr>
        <w:t xml:space="preserve"> </w:t>
      </w:r>
      <w:r w:rsidDel="00000000" w:rsidR="00000000" w:rsidRPr="00000000">
        <w:rPr>
          <w:rFonts w:ascii="Helvetica Neue Light" w:cs="Helvetica Neue Light" w:eastAsia="Helvetica Neue Light" w:hAnsi="Helvetica Neue Light"/>
          <w:i w:val="1"/>
          <w:iCs w:val="1"/>
          <w:sz w:val="24"/>
          <w:szCs w:val="24"/>
          <w:rtl w:val="0"/>
        </w:rPr>
        <w:t xml:space="preserve">Chandayan</w:t>
      </w:r>
      <w:r w:rsidDel="00000000" w:rsidR="00000000" w:rsidRPr="00000000">
        <w:rPr>
          <w:rFonts w:ascii="Helvetica Neue Light" w:cs="Helvetica Neue Light" w:eastAsia="Helvetica Neue Light" w:hAnsi="Helvetica Neue Light"/>
          <w:sz w:val="24"/>
          <w:szCs w:val="24"/>
          <w:rtl w:val="0"/>
        </w:rPr>
        <w:t xml:space="preserve">. (Mumbai: The Marg Foundation, 2024).</w:t>
      </w:r>
    </w:p>
    <w:p w:rsidR="00000000" w:rsidDel="00000000" w:rsidP="00000000" w:rsidRDefault="00000000" w:rsidRPr="00000000" w14:paraId="000000E5">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Flatt, Emma, </w:t>
      </w:r>
      <w:r w:rsidDel="00000000" w:rsidR="00000000" w:rsidRPr="00000000">
        <w:rPr>
          <w:rFonts w:ascii="Helvetica Neue Light" w:cs="Helvetica Neue Light" w:eastAsia="Helvetica Neue Light" w:hAnsi="Helvetica Neue Light"/>
          <w:i w:val="1"/>
          <w:iCs w:val="1"/>
          <w:sz w:val="24"/>
          <w:szCs w:val="24"/>
          <w:rtl w:val="0"/>
        </w:rPr>
        <w:t xml:space="preserve">The Courts of the Deccan Sultanate</w:t>
      </w:r>
      <w:r w:rsidDel="00000000" w:rsidR="00000000" w:rsidRPr="00000000">
        <w:rPr>
          <w:rFonts w:ascii="Helvetica Neue Light" w:cs="Helvetica Neue Light" w:eastAsia="Helvetica Neue Light" w:hAnsi="Helvetica Neue Light"/>
          <w:sz w:val="24"/>
          <w:szCs w:val="24"/>
          <w:rtl w:val="0"/>
        </w:rPr>
        <w:t xml:space="preserve">. (Cambridge: Cambridge University Press, 2020)</w:t>
      </w:r>
    </w:p>
    <w:p w:rsidR="00000000" w:rsidDel="00000000" w:rsidP="00000000" w:rsidRDefault="00000000" w:rsidRPr="00000000" w14:paraId="000000E6">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Greene, Liz, </w:t>
      </w:r>
      <w:r w:rsidDel="00000000" w:rsidR="00000000" w:rsidRPr="00000000">
        <w:rPr>
          <w:rFonts w:ascii="Helvetica Neue Light" w:cs="Helvetica Neue Light" w:eastAsia="Helvetica Neue Light" w:hAnsi="Helvetica Neue Light"/>
          <w:i w:val="1"/>
          <w:iCs w:val="1"/>
          <w:sz w:val="24"/>
          <w:szCs w:val="24"/>
          <w:rtl w:val="0"/>
        </w:rPr>
        <w:t xml:space="preserve">Saturn</w:t>
      </w:r>
      <w:r w:rsidDel="00000000" w:rsidR="00000000" w:rsidRPr="00000000">
        <w:rPr>
          <w:rFonts w:ascii="Helvetica Neue Light" w:cs="Helvetica Neue Light" w:eastAsia="Helvetica Neue Light" w:hAnsi="Helvetica Neue Light"/>
          <w:sz w:val="24"/>
          <w:szCs w:val="24"/>
          <w:rtl w:val="0"/>
        </w:rPr>
        <w:t xml:space="preserve">. (MA: Weiser Books, 2021).</w:t>
      </w:r>
    </w:p>
    <w:p w:rsidR="00000000" w:rsidDel="00000000" w:rsidP="00000000" w:rsidRDefault="00000000" w:rsidRPr="00000000" w14:paraId="000000E7">
      <w:pPr>
        <w:ind w:left="0" w:firstLine="0"/>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Greene, Liz, The Astrology of Fate. (ME: Weiser Books) cited in Andrikopoulos, Laura, 'Myth, Enchantment and Psychological Astrology', </w:t>
      </w:r>
      <w:r w:rsidDel="00000000" w:rsidR="00000000" w:rsidRPr="00000000">
        <w:rPr>
          <w:rFonts w:ascii="Helvetica Neue Light" w:cs="Helvetica Neue Light" w:eastAsia="Helvetica Neue Light" w:hAnsi="Helvetica Neue Light"/>
          <w:i w:val="1"/>
          <w:iCs w:val="1"/>
          <w:sz w:val="24"/>
          <w:szCs w:val="24"/>
          <w:rtl w:val="0"/>
        </w:rPr>
        <w:t xml:space="preserve">Culture and Cosmos</w:t>
      </w:r>
      <w:r w:rsidDel="00000000" w:rsidR="00000000" w:rsidRPr="00000000">
        <w:rPr>
          <w:rFonts w:ascii="Helvetica Neue Light" w:cs="Helvetica Neue Light" w:eastAsia="Helvetica Neue Light" w:hAnsi="Helvetica Neue Light"/>
          <w:sz w:val="24"/>
          <w:szCs w:val="24"/>
          <w:rtl w:val="0"/>
        </w:rPr>
        <w:t xml:space="preserve">, 23.2. (2019).</w:t>
      </w:r>
    </w:p>
    <w:p w:rsidR="00000000" w:rsidDel="00000000" w:rsidP="00000000" w:rsidRDefault="00000000" w:rsidRPr="00000000" w14:paraId="000000E8">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Greene, Liz, </w:t>
      </w:r>
      <w:r w:rsidDel="00000000" w:rsidR="00000000" w:rsidRPr="00000000">
        <w:rPr>
          <w:rFonts w:ascii="Helvetica Neue Light" w:cs="Helvetica Neue Light" w:eastAsia="Helvetica Neue Light" w:hAnsi="Helvetica Neue Light"/>
          <w:i w:val="1"/>
          <w:iCs w:val="1"/>
          <w:sz w:val="24"/>
          <w:szCs w:val="24"/>
          <w:rtl w:val="0"/>
        </w:rPr>
        <w:t xml:space="preserve">The Luminaries.</w:t>
      </w:r>
      <w:r w:rsidDel="00000000" w:rsidR="00000000" w:rsidRPr="00000000">
        <w:rPr>
          <w:rFonts w:ascii="Helvetica Neue Light" w:cs="Helvetica Neue Light" w:eastAsia="Helvetica Neue Light" w:hAnsi="Helvetica Neue Light"/>
          <w:sz w:val="24"/>
          <w:szCs w:val="24"/>
          <w:rtl w:val="0"/>
        </w:rPr>
        <w:t xml:space="preserve"> (York Beach, ME: 1992), Kindle Edition. </w:t>
      </w:r>
    </w:p>
    <w:p w:rsidR="00000000" w:rsidDel="00000000" w:rsidP="00000000" w:rsidRDefault="00000000" w:rsidRPr="00000000" w14:paraId="000000E9">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Hand, Robert, 'Foreword', </w:t>
      </w:r>
      <w:r w:rsidDel="00000000" w:rsidR="00000000" w:rsidRPr="00000000">
        <w:rPr>
          <w:rFonts w:ascii="Helvetica Neue Light" w:cs="Helvetica Neue Light" w:eastAsia="Helvetica Neue Light" w:hAnsi="Helvetica Neue Light"/>
          <w:i w:val="1"/>
          <w:iCs w:val="1"/>
          <w:sz w:val="24"/>
          <w:szCs w:val="24"/>
          <w:rtl w:val="0"/>
        </w:rPr>
        <w:t xml:space="preserve">Saturn</w:t>
      </w:r>
      <w:r w:rsidDel="00000000" w:rsidR="00000000" w:rsidRPr="00000000">
        <w:rPr>
          <w:rFonts w:ascii="Helvetica Neue Light" w:cs="Helvetica Neue Light" w:eastAsia="Helvetica Neue Light" w:hAnsi="Helvetica Neue Light"/>
          <w:sz w:val="24"/>
          <w:szCs w:val="24"/>
          <w:rtl w:val="0"/>
        </w:rPr>
        <w:t xml:space="preserve">. (MA: Weiser Books, 2021).</w:t>
      </w:r>
    </w:p>
    <w:p w:rsidR="00000000" w:rsidDel="00000000" w:rsidP="00000000" w:rsidRDefault="00000000" w:rsidRPr="00000000" w14:paraId="000000EA">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Kashyap, Aditi, 'Cosmological confluences in the </w:t>
      </w:r>
      <w:r w:rsidDel="00000000" w:rsidR="00000000" w:rsidRPr="00000000">
        <w:rPr>
          <w:rFonts w:ascii="Helvetica Neue Light" w:cs="Helvetica Neue Light" w:eastAsia="Helvetica Neue Light" w:hAnsi="Helvetica Neue Light"/>
          <w:i w:val="1"/>
          <w:iCs w:val="1"/>
          <w:sz w:val="24"/>
          <w:szCs w:val="24"/>
          <w:rtl w:val="0"/>
        </w:rPr>
        <w:t xml:space="preserve">Nujum ul-Ulum</w:t>
      </w:r>
      <w:r w:rsidDel="00000000" w:rsidR="00000000" w:rsidRPr="00000000">
        <w:rPr>
          <w:rFonts w:ascii="Helvetica Neue Light" w:cs="Helvetica Neue Light" w:eastAsia="Helvetica Neue Light" w:hAnsi="Helvetica Neue Light"/>
          <w:sz w:val="24"/>
          <w:szCs w:val="24"/>
          <w:rtl w:val="0"/>
        </w:rPr>
        <w:t xml:space="preserve">'. (Unpublished towards Diploma in Indian Aesthetics, Jnanapravaha, 2025).</w:t>
      </w:r>
    </w:p>
    <w:p w:rsidR="00000000" w:rsidDel="00000000" w:rsidP="00000000" w:rsidRDefault="00000000" w:rsidRPr="00000000" w14:paraId="000000EB">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Mojaddedi, Jawid, </w:t>
      </w:r>
      <w:r w:rsidDel="00000000" w:rsidR="00000000" w:rsidRPr="00000000">
        <w:rPr>
          <w:rFonts w:ascii="Helvetica Neue Light" w:cs="Helvetica Neue Light" w:eastAsia="Helvetica Neue Light" w:hAnsi="Helvetica Neue Light"/>
          <w:i w:val="1"/>
          <w:iCs w:val="1"/>
          <w:sz w:val="24"/>
          <w:szCs w:val="24"/>
          <w:rtl w:val="0"/>
        </w:rPr>
        <w:t xml:space="preserve">Beyond Dogma: Rumi's Teachings on Friendship with God and Early Sufi Theories</w:t>
      </w:r>
      <w:r w:rsidDel="00000000" w:rsidR="00000000" w:rsidRPr="00000000">
        <w:rPr>
          <w:rFonts w:ascii="Helvetica Neue Light" w:cs="Helvetica Neue Light" w:eastAsia="Helvetica Neue Light" w:hAnsi="Helvetica Neue Light"/>
          <w:sz w:val="24"/>
          <w:szCs w:val="24"/>
          <w:rtl w:val="0"/>
        </w:rPr>
        <w:t xml:space="preserve">. (NY: Oxford University Press, 2012).</w:t>
      </w:r>
    </w:p>
    <w:p w:rsidR="00000000" w:rsidDel="00000000" w:rsidP="00000000" w:rsidRDefault="00000000" w:rsidRPr="00000000" w14:paraId="000000EC">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Tambiaha, Stanley J, Magic, Science, Religion and the Scope of Rationality. (Cambridge: Cambridge University Press, 1990).</w:t>
      </w:r>
    </w:p>
    <w:p w:rsidR="00000000" w:rsidDel="00000000" w:rsidP="00000000" w:rsidRDefault="00000000" w:rsidRPr="00000000" w14:paraId="000000ED">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Trivedi, Madhu, </w:t>
      </w:r>
      <w:r w:rsidDel="00000000" w:rsidR="00000000" w:rsidRPr="00000000">
        <w:rPr>
          <w:rFonts w:ascii="Helvetica Neue Light" w:cs="Helvetica Neue Light" w:eastAsia="Helvetica Neue Light" w:hAnsi="Helvetica Neue Light"/>
          <w:i w:val="1"/>
          <w:iCs w:val="1"/>
          <w:sz w:val="24"/>
          <w:szCs w:val="24"/>
          <w:rtl w:val="0"/>
        </w:rPr>
        <w:t xml:space="preserve">Revisiting Hindavi Sufi Romances. </w:t>
      </w:r>
      <w:r w:rsidDel="00000000" w:rsidR="00000000" w:rsidRPr="00000000">
        <w:rPr>
          <w:rFonts w:ascii="Helvetica Neue Light" w:cs="Helvetica Neue Light" w:eastAsia="Helvetica Neue Light" w:hAnsi="Helvetica Neue Light"/>
          <w:sz w:val="24"/>
          <w:szCs w:val="24"/>
          <w:rtl w:val="0"/>
        </w:rPr>
        <w:t xml:space="preserve">(Delhi: Primus Books, 2024).</w:t>
      </w:r>
    </w:p>
    <w:p w:rsidR="00000000" w:rsidDel="00000000" w:rsidP="00000000" w:rsidRDefault="00000000" w:rsidRPr="00000000" w14:paraId="000000EE">
      <w:pPr>
        <w:rPr>
          <w:rFonts w:ascii="Helvetica Neue Light" w:cs="Helvetica Neue Light" w:eastAsia="Helvetica Neue Light" w:hAnsi="Helvetica Neue Light"/>
          <w:sz w:val="24"/>
          <w:szCs w:val="24"/>
        </w:rPr>
      </w:pPr>
      <w:r w:rsidDel="00000000" w:rsidR="00000000" w:rsidRPr="00000000">
        <w:rPr>
          <w:rFonts w:ascii="Helvetica Neue Light" w:cs="Helvetica Neue Light" w:eastAsia="Helvetica Neue Light" w:hAnsi="Helvetica Neue Light"/>
          <w:sz w:val="24"/>
          <w:szCs w:val="24"/>
          <w:rtl w:val="0"/>
        </w:rPr>
        <w:t xml:space="preserve">Webster, T.B.L, 'Personification as a Mode of Greek Thought', </w:t>
      </w:r>
      <w:r w:rsidDel="00000000" w:rsidR="00000000" w:rsidRPr="00000000">
        <w:rPr>
          <w:rFonts w:ascii="Helvetica Neue Light" w:cs="Helvetica Neue Light" w:eastAsia="Helvetica Neue Light" w:hAnsi="Helvetica Neue Light"/>
          <w:i w:val="1"/>
          <w:iCs w:val="1"/>
          <w:sz w:val="24"/>
          <w:szCs w:val="24"/>
          <w:rtl w:val="0"/>
        </w:rPr>
        <w:t xml:space="preserve">Journal of the Warburg and Courtauld Institutes</w:t>
      </w:r>
      <w:r w:rsidDel="00000000" w:rsidR="00000000" w:rsidRPr="00000000">
        <w:rPr>
          <w:rFonts w:ascii="Helvetica Neue Light" w:cs="Helvetica Neue Light" w:eastAsia="Helvetica Neue Light" w:hAnsi="Helvetica Neue Light"/>
          <w:sz w:val="24"/>
          <w:szCs w:val="24"/>
          <w:rtl w:val="0"/>
        </w:rPr>
        <w:t xml:space="preserve">, 17.1/2. (The University of Chicago Press, 1954).</w:t>
      </w:r>
      <w:r w:rsidDel="00000000" w:rsidR="00000000" w:rsidRPr="00000000">
        <w:rPr>
          <w:rtl w:val="0"/>
        </w:rPr>
      </w:r>
    </w:p>
    <w:sectPr>
      <w:headerReference r:id="rId16" w:type="default"/>
      <w:footerReference r:id="rId17" w:type="default"/>
      <w:type w:val="continuous"/>
      <w:pgSz w:h="15840" w:w="12240" w:orient="portrait"/>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rebuchet MS"/>
  <w:font w:name="Times New Roman"/>
  <w:font w:name="Cambria"/>
  <w:font w:name="Tahoma">
    <w:embedRegular w:fontKey="{00000000-0000-0000-0000-000000000000}" r:id="rId1" w:subsetted="0"/>
    <w:embedBold w:fontKey="{00000000-0000-0000-0000-000000000000}" r:id="rId2" w:subsetted="0"/>
  </w:font>
  <w:font w:name="Helvetica Neue">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Helvetica Neue Light">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F7">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Greene, Liz, , </w:t>
      </w:r>
      <w:r w:rsidDel="00000000" w:rsidR="00000000" w:rsidRPr="00000000">
        <w:rPr>
          <w:i w:val="1"/>
          <w:iCs w:val="1"/>
          <w:sz w:val="20"/>
          <w:szCs w:val="20"/>
          <w:rtl w:val="0"/>
        </w:rPr>
        <w:t xml:space="preserve">Saturn</w:t>
      </w:r>
      <w:r w:rsidDel="00000000" w:rsidR="00000000" w:rsidRPr="00000000">
        <w:rPr>
          <w:sz w:val="20"/>
          <w:szCs w:val="20"/>
          <w:rtl w:val="0"/>
        </w:rPr>
        <w:t xml:space="preserve">. (MA: Weiser Books, 2021), p.</w:t>
      </w:r>
      <w:r w:rsidDel="00000000" w:rsidR="00000000" w:rsidRPr="00000000">
        <w:rPr>
          <w:sz w:val="20"/>
          <w:szCs w:val="20"/>
          <w:rtl w:val="0"/>
        </w:rPr>
        <w:t xml:space="preserve">5.</w:t>
      </w:r>
    </w:p>
  </w:footnote>
  <w:footnote w:id="1">
    <w:p w:rsidR="00000000" w:rsidDel="00000000" w:rsidP="00000000" w:rsidRDefault="00000000" w:rsidRPr="00000000" w14:paraId="000000F8">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Greene, Liz, </w:t>
      </w:r>
      <w:r w:rsidDel="00000000" w:rsidR="00000000" w:rsidRPr="00000000">
        <w:rPr>
          <w:i w:val="1"/>
          <w:iCs w:val="1"/>
          <w:sz w:val="20"/>
          <w:szCs w:val="20"/>
          <w:rtl w:val="0"/>
        </w:rPr>
        <w:t xml:space="preserve">The Astrology of Fate</w:t>
      </w:r>
      <w:r w:rsidDel="00000000" w:rsidR="00000000" w:rsidRPr="00000000">
        <w:rPr>
          <w:sz w:val="20"/>
          <w:szCs w:val="20"/>
          <w:rtl w:val="0"/>
        </w:rPr>
        <w:t xml:space="preserve">. (ME: Weiser Books)</w:t>
      </w:r>
      <w:r w:rsidDel="00000000" w:rsidR="00000000" w:rsidRPr="00000000">
        <w:rPr>
          <w:sz w:val="20"/>
          <w:szCs w:val="20"/>
          <w:rtl w:val="0"/>
        </w:rPr>
        <w:t xml:space="preserve"> cited in Andrikopoulos, Laura, 'Myth, Enchantment and Psychological Astrology', </w:t>
      </w:r>
      <w:r w:rsidDel="00000000" w:rsidR="00000000" w:rsidRPr="00000000">
        <w:rPr>
          <w:i w:val="1"/>
          <w:iCs w:val="1"/>
          <w:sz w:val="20"/>
          <w:szCs w:val="20"/>
          <w:rtl w:val="0"/>
        </w:rPr>
        <w:t xml:space="preserve">Culture and Cosmos</w:t>
      </w:r>
      <w:r w:rsidDel="00000000" w:rsidR="00000000" w:rsidRPr="00000000">
        <w:rPr>
          <w:sz w:val="20"/>
          <w:szCs w:val="20"/>
          <w:rtl w:val="0"/>
        </w:rPr>
        <w:t xml:space="preserve">, 23.2, (2019), p.</w:t>
      </w:r>
      <w:r w:rsidDel="00000000" w:rsidR="00000000" w:rsidRPr="00000000">
        <w:rPr>
          <w:sz w:val="20"/>
          <w:szCs w:val="20"/>
          <w:rtl w:val="0"/>
        </w:rPr>
        <w:t xml:space="preserve">35. </w:t>
      </w:r>
    </w:p>
  </w:footnote>
  <w:footnote w:id="3">
    <w:p w:rsidR="00000000" w:rsidDel="00000000" w:rsidP="00000000" w:rsidRDefault="00000000" w:rsidRPr="00000000" w14:paraId="000000F9">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Tambiaha, Stanley J, </w:t>
      </w:r>
      <w:r w:rsidDel="00000000" w:rsidR="00000000" w:rsidRPr="00000000">
        <w:rPr>
          <w:i w:val="1"/>
          <w:iCs w:val="1"/>
          <w:sz w:val="20"/>
          <w:szCs w:val="20"/>
          <w:rtl w:val="0"/>
        </w:rPr>
        <w:t xml:space="preserve">Magic, Science, Religion and the Scope of Rationality. </w:t>
      </w:r>
      <w:r w:rsidDel="00000000" w:rsidR="00000000" w:rsidRPr="00000000">
        <w:rPr>
          <w:sz w:val="20"/>
          <w:szCs w:val="20"/>
          <w:rtl w:val="0"/>
        </w:rPr>
        <w:t xml:space="preserve">(Cambridge: Cambridge University Press, 1990).</w:t>
      </w:r>
    </w:p>
  </w:footnote>
  <w:footnote w:id="4">
    <w:p w:rsidR="00000000" w:rsidDel="00000000" w:rsidP="00000000" w:rsidRDefault="00000000" w:rsidRPr="00000000" w14:paraId="000000FA">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Trivedi, Madhu,</w:t>
      </w:r>
      <w:r w:rsidDel="00000000" w:rsidR="00000000" w:rsidRPr="00000000">
        <w:rPr>
          <w:i w:val="1"/>
          <w:iCs w:val="1"/>
          <w:sz w:val="20"/>
          <w:szCs w:val="20"/>
          <w:rtl w:val="0"/>
        </w:rPr>
        <w:t xml:space="preserve"> Revisiting Hindavi Sufi Romances</w:t>
      </w:r>
      <w:r w:rsidDel="00000000" w:rsidR="00000000" w:rsidRPr="00000000">
        <w:rPr>
          <w:sz w:val="20"/>
          <w:szCs w:val="20"/>
          <w:rtl w:val="0"/>
        </w:rPr>
        <w:t xml:space="preserve">. (Delhi: Primus Books, 2024), p.</w:t>
      </w:r>
      <w:r w:rsidDel="00000000" w:rsidR="00000000" w:rsidRPr="00000000">
        <w:rPr>
          <w:sz w:val="20"/>
          <w:szCs w:val="20"/>
          <w:rtl w:val="0"/>
        </w:rPr>
        <w:t xml:space="preserve">23.</w:t>
      </w:r>
    </w:p>
  </w:footnote>
  <w:footnote w:id="5">
    <w:p w:rsidR="00000000" w:rsidDel="00000000" w:rsidP="00000000" w:rsidRDefault="00000000" w:rsidRPr="00000000" w14:paraId="000000FB">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This translates to 'love story'.</w:t>
      </w:r>
    </w:p>
  </w:footnote>
  <w:footnote w:id="8">
    <w:p w:rsidR="00000000" w:rsidDel="00000000" w:rsidP="00000000" w:rsidRDefault="00000000" w:rsidRPr="00000000" w14:paraId="000000FC">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Cohen, </w:t>
      </w:r>
      <w:r w:rsidDel="00000000" w:rsidR="00000000" w:rsidRPr="00000000">
        <w:rPr>
          <w:i w:val="1"/>
          <w:iCs w:val="1"/>
          <w:sz w:val="20"/>
          <w:szCs w:val="20"/>
          <w:rtl w:val="0"/>
        </w:rPr>
        <w:t xml:space="preserve">The Chandayan</w:t>
      </w:r>
      <w:r w:rsidDel="00000000" w:rsidR="00000000" w:rsidRPr="00000000">
        <w:rPr>
          <w:sz w:val="20"/>
          <w:szCs w:val="20"/>
          <w:rtl w:val="0"/>
        </w:rPr>
        <w:t xml:space="preserve">, p.172.</w:t>
      </w:r>
    </w:p>
  </w:footnote>
  <w:footnote w:id="7">
    <w:p w:rsidR="00000000" w:rsidDel="00000000" w:rsidP="00000000" w:rsidRDefault="00000000" w:rsidRPr="00000000" w14:paraId="000000FD">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Cohen, Richard J, </w:t>
      </w:r>
      <w:r w:rsidDel="00000000" w:rsidR="00000000" w:rsidRPr="00000000">
        <w:rPr>
          <w:i w:val="1"/>
          <w:iCs w:val="1"/>
          <w:sz w:val="20"/>
          <w:szCs w:val="20"/>
          <w:rtl w:val="0"/>
        </w:rPr>
        <w:t xml:space="preserve">The Chandayan</w:t>
      </w:r>
      <w:r w:rsidDel="00000000" w:rsidR="00000000" w:rsidRPr="00000000">
        <w:rPr>
          <w:sz w:val="20"/>
          <w:szCs w:val="20"/>
          <w:rtl w:val="0"/>
        </w:rPr>
        <w:t xml:space="preserve">. (Mumbai: The Marg Foundation, 2024)</w:t>
      </w:r>
      <w:r w:rsidDel="00000000" w:rsidR="00000000" w:rsidRPr="00000000">
        <w:rPr>
          <w:sz w:val="20"/>
          <w:szCs w:val="20"/>
          <w:rtl w:val="0"/>
        </w:rPr>
        <w:t xml:space="preserve"> p.172.</w:t>
      </w:r>
    </w:p>
  </w:footnote>
  <w:footnote w:id="2">
    <w:p w:rsidR="00000000" w:rsidDel="00000000" w:rsidP="00000000" w:rsidRDefault="00000000" w:rsidRPr="00000000" w14:paraId="000000FE">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Greene, </w:t>
      </w:r>
      <w:r w:rsidDel="00000000" w:rsidR="00000000" w:rsidRPr="00000000">
        <w:rPr>
          <w:i w:val="1"/>
          <w:iCs w:val="1"/>
          <w:sz w:val="20"/>
          <w:szCs w:val="20"/>
          <w:rtl w:val="0"/>
        </w:rPr>
        <w:t xml:space="preserve">Saturn</w:t>
      </w:r>
      <w:r w:rsidDel="00000000" w:rsidR="00000000" w:rsidRPr="00000000">
        <w:rPr>
          <w:sz w:val="20"/>
          <w:szCs w:val="20"/>
          <w:rtl w:val="0"/>
        </w:rPr>
        <w:t xml:space="preserve">, p. 1-5.</w:t>
      </w:r>
    </w:p>
  </w:footnote>
  <w:footnote w:id="9">
    <w:p w:rsidR="00000000" w:rsidDel="00000000" w:rsidP="00000000" w:rsidRDefault="00000000" w:rsidRPr="00000000" w14:paraId="000000FF">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Greene, Liz, </w:t>
      </w:r>
      <w:r w:rsidDel="00000000" w:rsidR="00000000" w:rsidRPr="00000000">
        <w:rPr>
          <w:i w:val="1"/>
          <w:iCs w:val="1"/>
          <w:sz w:val="20"/>
          <w:szCs w:val="20"/>
          <w:rtl w:val="0"/>
        </w:rPr>
        <w:t xml:space="preserve">The Luminaries</w:t>
      </w:r>
      <w:r w:rsidDel="00000000" w:rsidR="00000000" w:rsidRPr="00000000">
        <w:rPr>
          <w:sz w:val="20"/>
          <w:szCs w:val="20"/>
          <w:rtl w:val="0"/>
        </w:rPr>
        <w:t xml:space="preserve"> (York Beach, ME:</w:t>
      </w:r>
      <w:r w:rsidDel="00000000" w:rsidR="00000000" w:rsidRPr="00000000">
        <w:rPr>
          <w:sz w:val="20"/>
          <w:szCs w:val="20"/>
          <w:rtl w:val="0"/>
        </w:rPr>
        <w:t xml:space="preserve"> 1992), Kindle Edition. </w:t>
      </w:r>
    </w:p>
  </w:footnote>
  <w:footnote w:id="10">
    <w:p w:rsidR="00000000" w:rsidDel="00000000" w:rsidP="00000000" w:rsidRDefault="00000000" w:rsidRPr="00000000" w14:paraId="00000100">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Greene, </w:t>
      </w:r>
      <w:r w:rsidDel="00000000" w:rsidR="00000000" w:rsidRPr="00000000">
        <w:rPr>
          <w:i w:val="1"/>
          <w:iCs w:val="1"/>
          <w:sz w:val="20"/>
          <w:szCs w:val="20"/>
          <w:rtl w:val="0"/>
        </w:rPr>
        <w:t xml:space="preserve">The Luminaries,</w:t>
      </w:r>
      <w:r w:rsidDel="00000000" w:rsidR="00000000" w:rsidRPr="00000000">
        <w:rPr>
          <w:sz w:val="20"/>
          <w:szCs w:val="20"/>
          <w:rtl w:val="0"/>
        </w:rPr>
        <w:t xml:space="preserve"> Kindle. </w:t>
      </w:r>
    </w:p>
  </w:footnote>
  <w:footnote w:id="11">
    <w:p w:rsidR="00000000" w:rsidDel="00000000" w:rsidP="00000000" w:rsidRDefault="00000000" w:rsidRPr="00000000" w14:paraId="00000101">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Cohen, </w:t>
      </w:r>
      <w:r w:rsidDel="00000000" w:rsidR="00000000" w:rsidRPr="00000000">
        <w:rPr>
          <w:i w:val="1"/>
          <w:iCs w:val="1"/>
          <w:sz w:val="20"/>
          <w:szCs w:val="20"/>
          <w:rtl w:val="0"/>
        </w:rPr>
        <w:t xml:space="preserve">The Chandayan</w:t>
      </w:r>
      <w:r w:rsidDel="00000000" w:rsidR="00000000" w:rsidRPr="00000000">
        <w:rPr>
          <w:sz w:val="20"/>
          <w:szCs w:val="20"/>
          <w:rtl w:val="0"/>
        </w:rPr>
        <w:t xml:space="preserve">, p.88-90.</w:t>
      </w:r>
    </w:p>
  </w:footnote>
  <w:footnote w:id="14">
    <w:p w:rsidR="00000000" w:rsidDel="00000000" w:rsidP="00000000" w:rsidRDefault="00000000" w:rsidRPr="00000000" w14:paraId="00000102">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Greene, </w:t>
      </w:r>
      <w:r w:rsidDel="00000000" w:rsidR="00000000" w:rsidRPr="00000000">
        <w:rPr>
          <w:i w:val="1"/>
          <w:iCs w:val="1"/>
          <w:sz w:val="20"/>
          <w:szCs w:val="20"/>
          <w:rtl w:val="0"/>
        </w:rPr>
        <w:t xml:space="preserve">The Luminaries,</w:t>
      </w:r>
      <w:r w:rsidDel="00000000" w:rsidR="00000000" w:rsidRPr="00000000">
        <w:rPr>
          <w:sz w:val="20"/>
          <w:szCs w:val="20"/>
          <w:rtl w:val="0"/>
        </w:rPr>
        <w:t xml:space="preserve"> Kindle. </w:t>
      </w:r>
    </w:p>
  </w:footnote>
  <w:footnote w:id="12">
    <w:p w:rsidR="00000000" w:rsidDel="00000000" w:rsidP="00000000" w:rsidRDefault="00000000" w:rsidRPr="00000000" w14:paraId="00000103">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Kashyap, Aditi, 'Cosmological confluences in the </w:t>
      </w:r>
      <w:r w:rsidDel="00000000" w:rsidR="00000000" w:rsidRPr="00000000">
        <w:rPr>
          <w:i w:val="1"/>
          <w:iCs w:val="1"/>
          <w:sz w:val="20"/>
          <w:szCs w:val="20"/>
          <w:rtl w:val="0"/>
        </w:rPr>
        <w:t xml:space="preserve">Nujum ul-Ulum</w:t>
      </w:r>
      <w:r w:rsidDel="00000000" w:rsidR="00000000" w:rsidRPr="00000000">
        <w:rPr>
          <w:sz w:val="20"/>
          <w:szCs w:val="20"/>
          <w:rtl w:val="0"/>
        </w:rPr>
        <w:t xml:space="preserve">'</w:t>
      </w:r>
      <w:r w:rsidDel="00000000" w:rsidR="00000000" w:rsidRPr="00000000">
        <w:rPr>
          <w:sz w:val="20"/>
          <w:szCs w:val="20"/>
          <w:rtl w:val="0"/>
        </w:rPr>
        <w:t xml:space="preserve">, (Unpublished towards Diploma in Indian Aesthetics, Jnanapravaha, 2025), p.6. </w:t>
      </w:r>
    </w:p>
  </w:footnote>
  <w:footnote w:id="15">
    <w:p w:rsidR="00000000" w:rsidDel="00000000" w:rsidP="00000000" w:rsidRDefault="00000000" w:rsidRPr="00000000" w14:paraId="00000104">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Greene, </w:t>
      </w:r>
      <w:r w:rsidDel="00000000" w:rsidR="00000000" w:rsidRPr="00000000">
        <w:rPr>
          <w:i w:val="1"/>
          <w:iCs w:val="1"/>
          <w:sz w:val="20"/>
          <w:szCs w:val="20"/>
          <w:rtl w:val="0"/>
        </w:rPr>
        <w:t xml:space="preserve">The Luminaries,</w:t>
      </w:r>
      <w:r w:rsidDel="00000000" w:rsidR="00000000" w:rsidRPr="00000000">
        <w:rPr>
          <w:sz w:val="20"/>
          <w:szCs w:val="20"/>
          <w:rtl w:val="0"/>
        </w:rPr>
        <w:t xml:space="preserve"> Kindle. </w:t>
      </w:r>
    </w:p>
  </w:footnote>
  <w:footnote w:id="13">
    <w:p w:rsidR="00000000" w:rsidDel="00000000" w:rsidP="00000000" w:rsidRDefault="00000000" w:rsidRPr="00000000" w14:paraId="00000105">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Trivedi,</w:t>
      </w:r>
      <w:r w:rsidDel="00000000" w:rsidR="00000000" w:rsidRPr="00000000">
        <w:rPr>
          <w:i w:val="1"/>
          <w:iCs w:val="1"/>
          <w:sz w:val="20"/>
          <w:szCs w:val="20"/>
          <w:rtl w:val="0"/>
        </w:rPr>
        <w:t xml:space="preserve"> Revisiting Hindavi Sufi Romances</w:t>
      </w:r>
      <w:r w:rsidDel="00000000" w:rsidR="00000000" w:rsidRPr="00000000">
        <w:rPr>
          <w:sz w:val="20"/>
          <w:szCs w:val="20"/>
          <w:rtl w:val="0"/>
        </w:rPr>
        <w:t xml:space="preserve">, p.243.</w:t>
      </w:r>
    </w:p>
  </w:footnote>
  <w:footnote w:id="17">
    <w:p w:rsidR="00000000" w:rsidDel="00000000" w:rsidP="00000000" w:rsidRDefault="00000000" w:rsidRPr="00000000" w14:paraId="00000106">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Mojaddedi, Jawid, </w:t>
      </w:r>
      <w:r w:rsidDel="00000000" w:rsidR="00000000" w:rsidRPr="00000000">
        <w:rPr>
          <w:i w:val="1"/>
          <w:iCs w:val="1"/>
          <w:sz w:val="20"/>
          <w:szCs w:val="20"/>
          <w:rtl w:val="0"/>
        </w:rPr>
        <w:t xml:space="preserve">Beyond Dogma: Rumi's Teachings on Friendship with God and Early Sufi Theorie</w:t>
      </w:r>
      <w:r w:rsidDel="00000000" w:rsidR="00000000" w:rsidRPr="00000000">
        <w:rPr>
          <w:sz w:val="20"/>
          <w:szCs w:val="20"/>
          <w:rtl w:val="0"/>
        </w:rPr>
        <w:t xml:space="preserve">s. (NY: Oxford University Press, 2012), p.4. </w:t>
      </w:r>
    </w:p>
  </w:footnote>
  <w:footnote w:id="19">
    <w:p w:rsidR="00000000" w:rsidDel="00000000" w:rsidP="00000000" w:rsidRDefault="00000000" w:rsidRPr="00000000" w14:paraId="00000107">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Greene, </w:t>
      </w:r>
      <w:r w:rsidDel="00000000" w:rsidR="00000000" w:rsidRPr="00000000">
        <w:rPr>
          <w:i w:val="1"/>
          <w:iCs w:val="1"/>
          <w:sz w:val="20"/>
          <w:szCs w:val="20"/>
          <w:rtl w:val="0"/>
        </w:rPr>
        <w:t xml:space="preserve">The Luminaries,</w:t>
      </w:r>
      <w:r w:rsidDel="00000000" w:rsidR="00000000" w:rsidRPr="00000000">
        <w:rPr>
          <w:sz w:val="20"/>
          <w:szCs w:val="20"/>
          <w:rtl w:val="0"/>
        </w:rPr>
        <w:t xml:space="preserve"> Kindle. </w:t>
      </w:r>
    </w:p>
  </w:footnote>
  <w:footnote w:id="18">
    <w:p w:rsidR="00000000" w:rsidDel="00000000" w:rsidP="00000000" w:rsidRDefault="00000000" w:rsidRPr="00000000" w14:paraId="00000108">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Cohen, </w:t>
      </w:r>
      <w:r w:rsidDel="00000000" w:rsidR="00000000" w:rsidRPr="00000000">
        <w:rPr>
          <w:i w:val="1"/>
          <w:iCs w:val="1"/>
          <w:sz w:val="20"/>
          <w:szCs w:val="20"/>
          <w:rtl w:val="0"/>
        </w:rPr>
        <w:t xml:space="preserve">The Chandayan</w:t>
      </w:r>
      <w:r w:rsidDel="00000000" w:rsidR="00000000" w:rsidRPr="00000000">
        <w:rPr>
          <w:sz w:val="20"/>
          <w:szCs w:val="20"/>
          <w:rtl w:val="0"/>
        </w:rPr>
        <w:t xml:space="preserve">, p.112.</w:t>
      </w:r>
    </w:p>
  </w:footnote>
  <w:footnote w:id="16">
    <w:p w:rsidR="00000000" w:rsidDel="00000000" w:rsidP="00000000" w:rsidRDefault="00000000" w:rsidRPr="00000000" w14:paraId="00000109">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Webster, T.B.L, 'Personification as a Mode of Greek Thought', </w:t>
      </w:r>
      <w:r w:rsidDel="00000000" w:rsidR="00000000" w:rsidRPr="00000000">
        <w:rPr>
          <w:i w:val="1"/>
          <w:iCs w:val="1"/>
          <w:sz w:val="20"/>
          <w:szCs w:val="20"/>
          <w:rtl w:val="0"/>
        </w:rPr>
        <w:t xml:space="preserve">Journal of the Warburg and Courtauld Institutes</w:t>
      </w:r>
      <w:r w:rsidDel="00000000" w:rsidR="00000000" w:rsidRPr="00000000">
        <w:rPr>
          <w:sz w:val="20"/>
          <w:szCs w:val="20"/>
          <w:rtl w:val="0"/>
        </w:rPr>
        <w:t xml:space="preserve">, 17.1/2, (The University of Chicago Press, 1954), p.10-11.</w:t>
      </w:r>
    </w:p>
  </w:footnote>
  <w:footnote w:id="20">
    <w:p w:rsidR="00000000" w:rsidDel="00000000" w:rsidP="00000000" w:rsidRDefault="00000000" w:rsidRPr="00000000" w14:paraId="0000010A">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Cohen, </w:t>
      </w:r>
      <w:r w:rsidDel="00000000" w:rsidR="00000000" w:rsidRPr="00000000">
        <w:rPr>
          <w:i w:val="1"/>
          <w:iCs w:val="1"/>
          <w:sz w:val="20"/>
          <w:szCs w:val="20"/>
          <w:rtl w:val="0"/>
        </w:rPr>
        <w:t xml:space="preserve">The Chandayan</w:t>
      </w:r>
      <w:r w:rsidDel="00000000" w:rsidR="00000000" w:rsidRPr="00000000">
        <w:rPr>
          <w:sz w:val="20"/>
          <w:szCs w:val="20"/>
          <w:rtl w:val="0"/>
        </w:rPr>
        <w:t xml:space="preserve">,</w:t>
      </w:r>
      <w:r w:rsidDel="00000000" w:rsidR="00000000" w:rsidRPr="00000000">
        <w:rPr>
          <w:sz w:val="20"/>
          <w:szCs w:val="20"/>
          <w:rtl w:val="0"/>
        </w:rPr>
        <w:t xml:space="preserve"> p.254.</w:t>
      </w:r>
    </w:p>
  </w:footnote>
  <w:footnote w:id="6">
    <w:p w:rsidR="00000000" w:rsidDel="00000000" w:rsidP="00000000" w:rsidRDefault="00000000" w:rsidRPr="00000000" w14:paraId="0000010B">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Trivedi</w:t>
      </w:r>
      <w:r w:rsidDel="00000000" w:rsidR="00000000" w:rsidRPr="00000000">
        <w:rPr>
          <w:i w:val="1"/>
          <w:iCs w:val="1"/>
          <w:sz w:val="20"/>
          <w:szCs w:val="20"/>
          <w:rtl w:val="0"/>
        </w:rPr>
        <w:t xml:space="preserve">, Revisiting Hindavi Sufi Romances</w:t>
      </w:r>
      <w:r w:rsidDel="00000000" w:rsidR="00000000" w:rsidRPr="00000000">
        <w:rPr>
          <w:sz w:val="20"/>
          <w:szCs w:val="20"/>
          <w:rtl w:val="0"/>
        </w:rPr>
        <w:t xml:space="preserve">, p.223. </w:t>
      </w:r>
    </w:p>
  </w:footnote>
  <w:footnote w:id="21">
    <w:p w:rsidR="00000000" w:rsidDel="00000000" w:rsidP="00000000" w:rsidRDefault="00000000" w:rsidRPr="00000000" w14:paraId="0000010C">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Greene, </w:t>
      </w:r>
      <w:r w:rsidDel="00000000" w:rsidR="00000000" w:rsidRPr="00000000">
        <w:rPr>
          <w:i w:val="1"/>
          <w:iCs w:val="1"/>
          <w:sz w:val="20"/>
          <w:szCs w:val="20"/>
          <w:rtl w:val="0"/>
        </w:rPr>
        <w:t xml:space="preserve">Saturn</w:t>
      </w:r>
      <w:r w:rsidDel="00000000" w:rsidR="00000000" w:rsidRPr="00000000">
        <w:rPr>
          <w:sz w:val="20"/>
          <w:szCs w:val="20"/>
          <w:rtl w:val="0"/>
        </w:rPr>
        <w:t xml:space="preserve">, p. 2-3. </w:t>
      </w:r>
    </w:p>
  </w:footnote>
  <w:footnote w:id="22">
    <w:p w:rsidR="00000000" w:rsidDel="00000000" w:rsidP="00000000" w:rsidRDefault="00000000" w:rsidRPr="00000000" w14:paraId="0000010E">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Andrikopoulos, Laura, '</w:t>
      </w:r>
      <w:r w:rsidDel="00000000" w:rsidR="00000000" w:rsidRPr="00000000">
        <w:rPr>
          <w:sz w:val="20"/>
          <w:szCs w:val="20"/>
          <w:rtl w:val="0"/>
        </w:rPr>
        <w:t xml:space="preserve">The Psychologisation of Natal Astrology',</w:t>
      </w:r>
      <w:r w:rsidDel="00000000" w:rsidR="00000000" w:rsidRPr="00000000">
        <w:rPr>
          <w:i w:val="1"/>
          <w:iCs w:val="1"/>
          <w:sz w:val="20"/>
          <w:szCs w:val="20"/>
          <w:rtl w:val="0"/>
        </w:rPr>
        <w:t xml:space="preserve"> </w:t>
      </w:r>
      <w:r w:rsidDel="00000000" w:rsidR="00000000" w:rsidRPr="00000000">
        <w:rPr>
          <w:sz w:val="20"/>
          <w:szCs w:val="20"/>
          <w:rtl w:val="0"/>
        </w:rPr>
        <w:t xml:space="preserve">(Doctoral Thesis, University of Wales Trinity Saint David, 2023), p.</w:t>
      </w:r>
      <w:r w:rsidDel="00000000" w:rsidR="00000000" w:rsidRPr="00000000">
        <w:rPr>
          <w:sz w:val="20"/>
          <w:szCs w:val="20"/>
          <w:rtl w:val="0"/>
        </w:rPr>
        <w:t xml:space="preserve">119. </w:t>
      </w:r>
    </w:p>
  </w:footnote>
  <w:footnote w:id="23">
    <w:p w:rsidR="00000000" w:rsidDel="00000000" w:rsidP="00000000" w:rsidRDefault="00000000" w:rsidRPr="00000000" w14:paraId="0000010F">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Hand, Robert, 'Foreword', </w:t>
      </w:r>
      <w:r w:rsidDel="00000000" w:rsidR="00000000" w:rsidRPr="00000000">
        <w:rPr>
          <w:i w:val="1"/>
          <w:iCs w:val="1"/>
          <w:sz w:val="20"/>
          <w:szCs w:val="20"/>
          <w:rtl w:val="0"/>
        </w:rPr>
        <w:t xml:space="preserve">Saturn</w:t>
      </w:r>
      <w:r w:rsidDel="00000000" w:rsidR="00000000" w:rsidRPr="00000000">
        <w:rPr>
          <w:sz w:val="20"/>
          <w:szCs w:val="20"/>
          <w:rtl w:val="0"/>
        </w:rPr>
        <w:t xml:space="preserve">. (MA: Weiser Books, 2021), p.xviii.</w:t>
      </w:r>
    </w:p>
  </w:footnote>
  <w:footnote w:id="24">
    <w:p w:rsidR="00000000" w:rsidDel="00000000" w:rsidP="00000000" w:rsidRDefault="00000000" w:rsidRPr="00000000" w14:paraId="00000110">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Andrikopoulos, 'The Psychologisation of Natal Astrology', p.129-131.</w:t>
      </w:r>
    </w:p>
  </w:footnote>
  <w:footnote w:id="25">
    <w:p w:rsidR="00000000" w:rsidDel="00000000" w:rsidP="00000000" w:rsidRDefault="00000000" w:rsidRPr="00000000" w14:paraId="00000111">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Hand, Robert, 'Foreword', </w:t>
      </w:r>
      <w:r w:rsidDel="00000000" w:rsidR="00000000" w:rsidRPr="00000000">
        <w:rPr>
          <w:i w:val="1"/>
          <w:iCs w:val="1"/>
          <w:sz w:val="20"/>
          <w:szCs w:val="20"/>
          <w:rtl w:val="0"/>
        </w:rPr>
        <w:t xml:space="preserve">Saturn,</w:t>
      </w:r>
      <w:r w:rsidDel="00000000" w:rsidR="00000000" w:rsidRPr="00000000">
        <w:rPr>
          <w:sz w:val="20"/>
          <w:szCs w:val="20"/>
          <w:rtl w:val="0"/>
        </w:rPr>
        <w:t xml:space="preserve"> p.xxii</w:t>
      </w:r>
      <w:r w:rsidDel="00000000" w:rsidR="00000000" w:rsidRPr="00000000">
        <w:rPr>
          <w:sz w:val="20"/>
          <w:szCs w:val="20"/>
          <w:rtl w:val="0"/>
        </w:rPr>
        <w:t xml:space="preserve">.</w:t>
      </w:r>
    </w:p>
  </w:footnote>
  <w:footnote w:id="26">
    <w:p w:rsidR="00000000" w:rsidDel="00000000" w:rsidP="00000000" w:rsidRDefault="00000000" w:rsidRPr="00000000" w14:paraId="00000112">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Kashyap, Cosmological Confluences in the</w:t>
      </w:r>
      <w:r w:rsidDel="00000000" w:rsidR="00000000" w:rsidRPr="00000000">
        <w:rPr>
          <w:i w:val="1"/>
          <w:iCs w:val="1"/>
          <w:sz w:val="20"/>
          <w:szCs w:val="20"/>
          <w:rtl w:val="0"/>
        </w:rPr>
        <w:t xml:space="preserve"> Nujum-ul-Ulum</w:t>
      </w:r>
      <w:r w:rsidDel="00000000" w:rsidR="00000000" w:rsidRPr="00000000">
        <w:rPr>
          <w:sz w:val="20"/>
          <w:szCs w:val="20"/>
          <w:rtl w:val="0"/>
        </w:rPr>
        <w:t xml:space="preserve">, p.14.</w:t>
      </w:r>
    </w:p>
  </w:footnote>
  <w:footnote w:id="27">
    <w:p w:rsidR="00000000" w:rsidDel="00000000" w:rsidP="00000000" w:rsidRDefault="00000000" w:rsidRPr="00000000" w14:paraId="00000113">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Flatt, Emma, </w:t>
      </w:r>
      <w:r w:rsidDel="00000000" w:rsidR="00000000" w:rsidRPr="00000000">
        <w:rPr>
          <w:i w:val="1"/>
          <w:iCs w:val="1"/>
          <w:sz w:val="20"/>
          <w:szCs w:val="20"/>
          <w:rtl w:val="0"/>
        </w:rPr>
        <w:t xml:space="preserve">The Courts of the Deccan Sultanate</w:t>
      </w:r>
      <w:r w:rsidDel="00000000" w:rsidR="00000000" w:rsidRPr="00000000">
        <w:rPr>
          <w:sz w:val="20"/>
          <w:szCs w:val="20"/>
          <w:rtl w:val="0"/>
        </w:rPr>
        <w:t xml:space="preserve">. (Cambridge: Cambridge University Press, 2020),</w:t>
      </w:r>
      <w:r w:rsidDel="00000000" w:rsidR="00000000" w:rsidRPr="00000000">
        <w:rPr>
          <w:sz w:val="20"/>
          <w:szCs w:val="20"/>
          <w:rtl w:val="0"/>
        </w:rPr>
        <w:t xml:space="preserve"> p.211-212.</w:t>
      </w:r>
    </w:p>
  </w:footnote>
  <w:footnote w:id="28">
    <w:p w:rsidR="00000000" w:rsidDel="00000000" w:rsidP="00000000" w:rsidRDefault="00000000" w:rsidRPr="00000000" w14:paraId="00000114">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Greene, </w:t>
      </w:r>
      <w:r w:rsidDel="00000000" w:rsidR="00000000" w:rsidRPr="00000000">
        <w:rPr>
          <w:i w:val="1"/>
          <w:iCs w:val="1"/>
          <w:sz w:val="20"/>
          <w:szCs w:val="20"/>
          <w:rtl w:val="0"/>
        </w:rPr>
        <w:t xml:space="preserve">Saturn</w:t>
      </w:r>
      <w:r w:rsidDel="00000000" w:rsidR="00000000" w:rsidRPr="00000000">
        <w:rPr>
          <w:sz w:val="20"/>
          <w:szCs w:val="20"/>
          <w:rtl w:val="0"/>
        </w:rPr>
        <w:t xml:space="preserve">, p. 5.</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header4.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5">
    <w:pPr>
      <w:spacing w:after="0" w:line="240" w:lineRule="auto"/>
      <w:ind w:left="-180" w:right="-334" w:firstLine="0"/>
      <w:jc w:val="right"/>
      <w:rPr>
        <w:rFonts w:ascii="Arial" w:cs="Arial" w:eastAsia="Arial" w:hAnsi="Arial"/>
      </w:rPr>
    </w:pPr>
    <w:r w:rsidDel="00000000" w:rsidR="00000000" w:rsidRPr="00000000">
      <w:rPr>
        <w:rFonts w:ascii="Arial" w:cs="Arial" w:eastAsia="Arial" w:hAnsi="Arial"/>
        <w:rtl w:val="0"/>
      </w:rPr>
      <w:t xml:space="preserve">Aditi Kashyap 2520289</w:t>
    </w:r>
  </w:p>
  <w:p w:rsidR="00000000" w:rsidDel="00000000" w:rsidP="00000000" w:rsidRDefault="00000000" w:rsidRPr="00000000" w14:paraId="000000F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spacing w:after="0" w:line="240" w:lineRule="auto"/>
      <w:ind w:left="720"/>
      <w:jc w:val="both"/>
    </w:pPr>
    <w:rPr>
      <w:rFonts w:ascii="Tahoma" w:cs="Tahoma" w:eastAsia="Tahoma" w:hAnsi="Tahoma"/>
      <w:b w:val="1"/>
      <w:bCs w:val="1"/>
      <w:sz w:val="20"/>
      <w:szCs w:val="20"/>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alloonText">
    <w:name w:val="Balloon Text"/>
    <w:basedOn w:val="Normal"/>
    <w:link w:val="BalloonTextChar"/>
    <w:uiPriority w:val="99"/>
    <w:semiHidden w:val="1"/>
    <w:unhideWhenUsed w:val="1"/>
    <w:rsid w:val="004142B1"/>
    <w:pPr>
      <w:spacing w:after="0" w:line="240" w:lineRule="auto"/>
    </w:pPr>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4142B1"/>
    <w:rPr>
      <w:rFonts w:ascii="Segoe UI" w:cs="Segoe UI" w:hAnsi="Segoe UI"/>
      <w:sz w:val="18"/>
      <w:szCs w:val="18"/>
    </w:rPr>
  </w:style>
  <w:style w:type="paragraph" w:styleId="FootnoteText">
    <w:name w:val="footnote text"/>
    <w:basedOn w:val="Normal"/>
    <w:link w:val="FootnoteTextChar"/>
    <w:uiPriority w:val="99"/>
    <w:unhideWhenUsed w:val="1"/>
    <w:rsid w:val="004142B1"/>
    <w:pPr>
      <w:spacing w:after="0" w:line="240" w:lineRule="auto"/>
    </w:pPr>
    <w:rPr>
      <w:sz w:val="20"/>
      <w:szCs w:val="20"/>
    </w:rPr>
  </w:style>
  <w:style w:type="character" w:styleId="FootnoteTextChar" w:customStyle="1">
    <w:name w:val="Footnote Text Char"/>
    <w:basedOn w:val="DefaultParagraphFont"/>
    <w:link w:val="FootnoteText"/>
    <w:uiPriority w:val="99"/>
    <w:rsid w:val="004142B1"/>
    <w:rPr>
      <w:sz w:val="20"/>
      <w:szCs w:val="20"/>
    </w:rPr>
  </w:style>
  <w:style w:type="character" w:styleId="FootnoteReference">
    <w:name w:val="footnote reference"/>
    <w:basedOn w:val="DefaultParagraphFont"/>
    <w:uiPriority w:val="99"/>
    <w:semiHidden w:val="1"/>
    <w:unhideWhenUsed w:val="1"/>
    <w:rsid w:val="004142B1"/>
    <w:rPr>
      <w:vertAlign w:val="superscript"/>
    </w:rPr>
  </w:style>
  <w:style w:type="character" w:styleId="Hyperlink">
    <w:name w:val="Hyperlink"/>
    <w:rsid w:val="004142B1"/>
    <w:rPr>
      <w:color w:val="0000ff"/>
      <w:u w:val="single"/>
    </w:rPr>
  </w:style>
  <w:style w:type="character" w:styleId="Heading3Char" w:customStyle="1">
    <w:name w:val="Heading 3 Char"/>
    <w:basedOn w:val="DefaultParagraphFont"/>
    <w:link w:val="Heading3"/>
    <w:semiHidden w:val="1"/>
    <w:rsid w:val="002F7F19"/>
    <w:rPr>
      <w:rFonts w:ascii="Tahoma" w:cs="Tahoma" w:eastAsia="Times New Roman" w:hAnsi="Tahoma"/>
      <w:b w:val="1"/>
      <w:bCs w:val="1"/>
      <w:sz w:val="20"/>
      <w:szCs w:val="20"/>
      <w:lang w:eastAsia="zh-CN" w:val="en-GB"/>
    </w:rPr>
  </w:style>
  <w:style w:type="paragraph" w:styleId="NormalWeb">
    <w:name w:val="Normal (Web)"/>
    <w:basedOn w:val="Normal"/>
    <w:uiPriority w:val="99"/>
    <w:unhideWhenUsed w:val="1"/>
    <w:rsid w:val="002F7F19"/>
    <w:pPr>
      <w:spacing w:after="100" w:afterAutospacing="1" w:before="100" w:beforeAutospacing="1" w:line="240" w:lineRule="auto"/>
    </w:pPr>
    <w:rPr>
      <w:rFonts w:ascii="Georgia" w:cs="Times New Roman" w:eastAsia="SimSun" w:hAnsi="Georgia"/>
      <w:color w:val="000000"/>
      <w:sz w:val="21"/>
      <w:szCs w:val="21"/>
      <w:lang w:eastAsia="zh-CN" w:val="en-GB"/>
    </w:rPr>
  </w:style>
  <w:style w:type="paragraph" w:styleId="Header">
    <w:name w:val="header"/>
    <w:basedOn w:val="Normal"/>
    <w:link w:val="HeaderChar"/>
    <w:uiPriority w:val="99"/>
    <w:unhideWhenUsed w:val="1"/>
    <w:rsid w:val="00803AF1"/>
    <w:pPr>
      <w:tabs>
        <w:tab w:val="center" w:pos="4680"/>
        <w:tab w:val="right" w:pos="9360"/>
      </w:tabs>
      <w:spacing w:after="0" w:line="240" w:lineRule="auto"/>
    </w:pPr>
  </w:style>
  <w:style w:type="character" w:styleId="HeaderChar" w:customStyle="1">
    <w:name w:val="Header Char"/>
    <w:basedOn w:val="DefaultParagraphFont"/>
    <w:link w:val="Header"/>
    <w:uiPriority w:val="99"/>
    <w:rsid w:val="00803AF1"/>
  </w:style>
  <w:style w:type="paragraph" w:styleId="Footer">
    <w:name w:val="footer"/>
    <w:basedOn w:val="Normal"/>
    <w:link w:val="FooterChar"/>
    <w:uiPriority w:val="99"/>
    <w:unhideWhenUsed w:val="1"/>
    <w:rsid w:val="00803AF1"/>
    <w:pPr>
      <w:tabs>
        <w:tab w:val="center" w:pos="4680"/>
        <w:tab w:val="right" w:pos="9360"/>
      </w:tabs>
      <w:spacing w:after="0" w:line="240" w:lineRule="auto"/>
    </w:pPr>
  </w:style>
  <w:style w:type="character" w:styleId="FooterChar" w:customStyle="1">
    <w:name w:val="Footer Char"/>
    <w:basedOn w:val="DefaultParagraphFont"/>
    <w:link w:val="Footer"/>
    <w:uiPriority w:val="99"/>
    <w:rsid w:val="00803AF1"/>
  </w:style>
  <w:style w:type="character" w:styleId="UnresolvedMention1" w:customStyle="1">
    <w:name w:val="Unresolved Mention1"/>
    <w:basedOn w:val="DefaultParagraphFont"/>
    <w:uiPriority w:val="99"/>
    <w:semiHidden w:val="1"/>
    <w:unhideWhenUsed w:val="1"/>
    <w:rsid w:val="0010574C"/>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eader" Target="header3.xml"/><Relationship Id="rId10" Type="http://schemas.openxmlformats.org/officeDocument/2006/relationships/header" Target="header2.xml"/><Relationship Id="rId13" Type="http://schemas.openxmlformats.org/officeDocument/2006/relationships/footer" Target="footer2.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png"/><Relationship Id="rId15" Type="http://schemas.openxmlformats.org/officeDocument/2006/relationships/footer" Target="footer1.xml"/><Relationship Id="rId14" Type="http://schemas.openxmlformats.org/officeDocument/2006/relationships/footer" Target="footer3.xml"/><Relationship Id="rId17" Type="http://schemas.openxmlformats.org/officeDocument/2006/relationships/footer" Target="footer4.xml"/><Relationship Id="rId16" Type="http://schemas.openxmlformats.org/officeDocument/2006/relationships/header" Target="header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 Id="rId3" Type="http://schemas.openxmlformats.org/officeDocument/2006/relationships/font" Target="fonts/HelveticaNeue-regular.ttf"/><Relationship Id="rId4" Type="http://schemas.openxmlformats.org/officeDocument/2006/relationships/font" Target="fonts/HelveticaNeue-bold.ttf"/><Relationship Id="rId10" Type="http://schemas.openxmlformats.org/officeDocument/2006/relationships/font" Target="fonts/HelveticaNeueLight-boldItalic.ttf"/><Relationship Id="rId9" Type="http://schemas.openxmlformats.org/officeDocument/2006/relationships/font" Target="fonts/HelveticaNeueLight-italic.ttf"/><Relationship Id="rId5" Type="http://schemas.openxmlformats.org/officeDocument/2006/relationships/font" Target="fonts/HelveticaNeue-italic.ttf"/><Relationship Id="rId6" Type="http://schemas.openxmlformats.org/officeDocument/2006/relationships/font" Target="fonts/HelveticaNeue-boldItalic.ttf"/><Relationship Id="rId7" Type="http://schemas.openxmlformats.org/officeDocument/2006/relationships/font" Target="fonts/HelveticaNeueLight-regular.ttf"/><Relationship Id="rId8" Type="http://schemas.openxmlformats.org/officeDocument/2006/relationships/font" Target="fonts/HelveticaNeueLight-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fM/VS8kqJ4ZKsg53Pji2lgde6g==">CgMxLjAaDQoBMBIICgYIBTICCAEyDmguOXE4OWFvcmtnb2Z3OAByITF0U044bDQ4Tnl2eUx4M0tQNzEtVEJQUk1xNHJZMi1JbA==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2025-07-12T18:03:00Z</dcterms:created>
  <dc:creator>Kim Harrer</dc:creator>
</cp:coreProperties>
</file>