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72F16C9" w:rsidR="7908378C" w:rsidRDefault="7908378C" w:rsidP="33572C6E">
            <w:pPr>
              <w:ind w:right="237"/>
              <w:rPr>
                <w:b/>
                <w:bCs/>
                <w:color w:val="auto"/>
                <w:sz w:val="32"/>
                <w:szCs w:val="32"/>
              </w:rPr>
            </w:pPr>
            <w:r w:rsidRPr="33572C6E">
              <w:rPr>
                <w:b/>
                <w:bCs/>
                <w:color w:val="auto"/>
                <w:sz w:val="32"/>
                <w:szCs w:val="32"/>
              </w:rPr>
              <w:t xml:space="preserve">Learner name: </w:t>
            </w:r>
            <w:r w:rsidR="00755AE5">
              <w:rPr>
                <w:b/>
                <w:bCs/>
                <w:color w:val="auto"/>
                <w:sz w:val="32"/>
                <w:szCs w:val="32"/>
              </w:rPr>
              <w:t>Adam Blackwood</w:t>
            </w:r>
          </w:p>
          <w:p w14:paraId="3A3A802D" w14:textId="77777777" w:rsidR="33572C6E" w:rsidRDefault="33572C6E" w:rsidP="33572C6E">
            <w:pPr>
              <w:ind w:right="237"/>
              <w:rPr>
                <w:b/>
                <w:bCs/>
                <w:color w:val="auto"/>
                <w:sz w:val="32"/>
                <w:szCs w:val="32"/>
              </w:rPr>
            </w:pPr>
          </w:p>
          <w:p w14:paraId="7883A53E" w14:textId="1ED635AB" w:rsidR="7908378C" w:rsidRDefault="7908378C" w:rsidP="33572C6E">
            <w:pPr>
              <w:ind w:right="237"/>
              <w:rPr>
                <w:b/>
                <w:bCs/>
                <w:color w:val="auto"/>
                <w:sz w:val="32"/>
                <w:szCs w:val="32"/>
              </w:rPr>
            </w:pPr>
            <w:r w:rsidRPr="33572C6E">
              <w:rPr>
                <w:b/>
                <w:bCs/>
                <w:color w:val="auto"/>
                <w:sz w:val="32"/>
                <w:szCs w:val="32"/>
              </w:rPr>
              <w:t>Learner’s University Registration Number:</w:t>
            </w:r>
            <w:r w:rsidR="00755AE5">
              <w:rPr>
                <w:b/>
                <w:bCs/>
                <w:color w:val="auto"/>
                <w:sz w:val="32"/>
                <w:szCs w:val="32"/>
              </w:rPr>
              <w:t xml:space="preserve"> 2125252</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B39D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1AD5ADC6" w:rsidR="5B843AF0" w:rsidRDefault="5B843AF0" w:rsidP="5B843AF0">
      <w:pPr>
        <w:ind w:right="237"/>
        <w:jc w:val="both"/>
        <w:rPr>
          <w:rFonts w:eastAsia="Arial"/>
          <w:color w:val="000000" w:themeColor="text1"/>
          <w:sz w:val="24"/>
          <w:szCs w:val="24"/>
        </w:rPr>
      </w:pPr>
    </w:p>
    <w:p w14:paraId="59CCA57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8"/>
          <w:szCs w:val="28"/>
          <w:lang w:eastAsia="en-US"/>
        </w:rPr>
      </w:pPr>
      <w:r w:rsidRPr="007B39D4">
        <w:rPr>
          <w:rFonts w:asciiTheme="minorHAnsi" w:eastAsiaTheme="minorHAnsi" w:hAnsiTheme="minorHAnsi" w:cstheme="minorBidi"/>
          <w:b/>
          <w:bCs/>
          <w:color w:val="auto"/>
          <w:sz w:val="28"/>
          <w:szCs w:val="28"/>
          <w:lang w:eastAsia="en-US"/>
        </w:rPr>
        <w:t>Introduction</w:t>
      </w:r>
    </w:p>
    <w:p w14:paraId="1AF5831B" w14:textId="77777777" w:rsidR="007B39D4" w:rsidRPr="007B39D4" w:rsidRDefault="007B39D4" w:rsidP="007B39D4">
      <w:pPr>
        <w:overflowPunct/>
        <w:autoSpaceDE/>
        <w:autoSpaceDN/>
        <w:adjustRightInd/>
        <w:spacing w:after="160" w:line="259" w:lineRule="auto"/>
        <w:jc w:val="both"/>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During this essay I will reflect on an incident involving the theft of a motor vehicle from an elderly and vulnerable person</w:t>
      </w:r>
      <w:bookmarkStart w:id="0" w:name="_Hlk142133732"/>
      <w:r w:rsidRPr="007B39D4">
        <w:rPr>
          <w:rFonts w:asciiTheme="minorHAnsi" w:eastAsiaTheme="minorHAnsi" w:hAnsiTheme="minorHAnsi" w:cstheme="minorBidi"/>
          <w:color w:val="auto"/>
          <w:sz w:val="24"/>
          <w:szCs w:val="24"/>
          <w:lang w:eastAsia="en-US"/>
        </w:rPr>
        <w:t xml:space="preserve">. The policing definition of vulnerability </w:t>
      </w:r>
      <w:proofErr w:type="gramStart"/>
      <w:r w:rsidRPr="007B39D4">
        <w:rPr>
          <w:rFonts w:asciiTheme="minorHAnsi" w:eastAsiaTheme="minorHAnsi" w:hAnsiTheme="minorHAnsi" w:cstheme="minorBidi"/>
          <w:color w:val="auto"/>
          <w:sz w:val="24"/>
          <w:szCs w:val="24"/>
          <w:lang w:eastAsia="en-US"/>
        </w:rPr>
        <w:t>is;</w:t>
      </w:r>
      <w:proofErr w:type="gramEnd"/>
    </w:p>
    <w:p w14:paraId="57B35C5A" w14:textId="77777777" w:rsidR="007B39D4" w:rsidRPr="007B39D4" w:rsidRDefault="007B39D4" w:rsidP="007B39D4">
      <w:pPr>
        <w:overflowPunct/>
        <w:autoSpaceDE/>
        <w:autoSpaceDN/>
        <w:adjustRightInd/>
        <w:spacing w:after="160" w:line="259" w:lineRule="auto"/>
        <w:ind w:left="720"/>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“A person is vulnerable if, as a result of their situation or circumstances, they are unable to take care of themselves or others or protects themselves or others from harm or exploitation”.</w:t>
      </w:r>
    </w:p>
    <w:p w14:paraId="16EAD5B8" w14:textId="77777777" w:rsidR="007B39D4" w:rsidRPr="007B39D4" w:rsidRDefault="007B39D4" w:rsidP="007B39D4">
      <w:pPr>
        <w:overflowPunct/>
        <w:autoSpaceDE/>
        <w:autoSpaceDN/>
        <w:adjustRightInd/>
        <w:spacing w:after="160" w:line="259" w:lineRule="auto"/>
        <w:jc w:val="right"/>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(Northumbria Police, 2023)</w:t>
      </w:r>
    </w:p>
    <w:bookmarkEnd w:id="0"/>
    <w:p w14:paraId="4A15B25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will critically evaluate my response to the incident and the approaches taken to support the victim in this matter. As part of the critical evaluation, I will reflect on the incident using </w:t>
      </w:r>
      <w:proofErr w:type="spellStart"/>
      <w:r w:rsidRPr="007B39D4">
        <w:rPr>
          <w:rFonts w:asciiTheme="minorHAnsi" w:eastAsiaTheme="minorHAnsi" w:hAnsiTheme="minorHAnsi" w:cstheme="minorBidi"/>
          <w:color w:val="auto"/>
          <w:sz w:val="24"/>
          <w:szCs w:val="24"/>
          <w:lang w:eastAsia="en-US"/>
        </w:rPr>
        <w:t>Borton’s</w:t>
      </w:r>
      <w:proofErr w:type="spellEnd"/>
      <w:r w:rsidRPr="007B39D4">
        <w:rPr>
          <w:rFonts w:asciiTheme="minorHAnsi" w:eastAsiaTheme="minorHAnsi" w:hAnsiTheme="minorHAnsi" w:cstheme="minorBidi"/>
          <w:color w:val="auto"/>
          <w:sz w:val="24"/>
          <w:szCs w:val="24"/>
          <w:lang w:eastAsia="en-US"/>
        </w:rPr>
        <w:t xml:space="preserve"> model of reflection. This model provides a simple yet effective framework for reflection by asking three key questions: What? So what? Now what? (Nottingham University, 2023).</w:t>
      </w:r>
    </w:p>
    <w:p w14:paraId="3D675373" w14:textId="53B4FB16"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Lastly, I will explore the idea of repeat victimisation. This concept has been described as the same victim being subjected to a crime or anti-social behaviour on multiple occasions within a defined </w:t>
      </w:r>
      <w:proofErr w:type="gramStart"/>
      <w:r w:rsidRPr="007B39D4">
        <w:rPr>
          <w:rFonts w:asciiTheme="minorHAnsi" w:eastAsiaTheme="minorHAnsi" w:hAnsiTheme="minorHAnsi" w:cstheme="minorBidi"/>
          <w:color w:val="auto"/>
          <w:sz w:val="24"/>
          <w:szCs w:val="24"/>
          <w:lang w:eastAsia="en-US"/>
        </w:rPr>
        <w:t>period of time</w:t>
      </w:r>
      <w:proofErr w:type="gramEnd"/>
      <w:r w:rsidRPr="007B39D4">
        <w:rPr>
          <w:rFonts w:asciiTheme="minorHAnsi" w:eastAsiaTheme="minorHAnsi" w:hAnsiTheme="minorHAnsi" w:cstheme="minorBidi"/>
          <w:color w:val="auto"/>
          <w:sz w:val="24"/>
          <w:szCs w:val="24"/>
          <w:lang w:eastAsia="en-US"/>
        </w:rPr>
        <w:t xml:space="preserve"> (Office of Justice, 2005). </w:t>
      </w:r>
    </w:p>
    <w:p w14:paraId="61116773" w14:textId="73BA90DF"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754C30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3FF9442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8"/>
          <w:szCs w:val="28"/>
          <w:lang w:eastAsia="en-US"/>
        </w:rPr>
      </w:pPr>
      <w:r w:rsidRPr="007B39D4">
        <w:rPr>
          <w:rFonts w:asciiTheme="minorHAnsi" w:eastAsiaTheme="minorHAnsi" w:hAnsiTheme="minorHAnsi" w:cstheme="minorBidi"/>
          <w:b/>
          <w:bCs/>
          <w:color w:val="auto"/>
          <w:sz w:val="28"/>
          <w:szCs w:val="28"/>
          <w:lang w:eastAsia="en-US"/>
        </w:rPr>
        <w:lastRenderedPageBreak/>
        <w:t>The incident</w:t>
      </w:r>
    </w:p>
    <w:p w14:paraId="58B99E02" w14:textId="69C9F146"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Description, Social and Legal Context</w:t>
      </w:r>
    </w:p>
    <w:p w14:paraId="033A0A9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p>
    <w:p w14:paraId="63EF91E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A call was received by Gwent Police from a male reporting that his car has been stolen from his driveway at some point during the night. I have attended the address and spoken to the male to establish more detailed information regarding a material time frame and evidential possibilities. The male has disclosed to me that they had been cleaning their car during the day and they left their car unlocked with the key inside without realising. They have gone to sleep, and when they have woken up the car was gone from the driveway. </w:t>
      </w:r>
    </w:p>
    <w:p w14:paraId="78BC7F2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When I arrived at this incident, I have considered the social and legislative contexts. I have formed the opinion that the victim in this matter meets the policing definition of vulnerable, as previously described above in the introduction. This male was elderly and lived alone. This male’s property was in a state of squalor, and it was clear to me that he was struggling to look after himself and his home. It has been described that the elderly </w:t>
      </w:r>
      <w:proofErr w:type="gramStart"/>
      <w:r w:rsidRPr="007B39D4">
        <w:rPr>
          <w:rFonts w:asciiTheme="minorHAnsi" w:eastAsiaTheme="minorHAnsi" w:hAnsiTheme="minorHAnsi" w:cstheme="minorBidi"/>
          <w:color w:val="auto"/>
          <w:sz w:val="24"/>
          <w:szCs w:val="24"/>
          <w:lang w:eastAsia="en-US"/>
        </w:rPr>
        <w:t>are</w:t>
      </w:r>
      <w:proofErr w:type="gramEnd"/>
      <w:r w:rsidRPr="007B39D4">
        <w:rPr>
          <w:rFonts w:asciiTheme="minorHAnsi" w:eastAsiaTheme="minorHAnsi" w:hAnsiTheme="minorHAnsi" w:cstheme="minorBidi"/>
          <w:color w:val="auto"/>
          <w:sz w:val="24"/>
          <w:szCs w:val="24"/>
          <w:lang w:eastAsia="en-US"/>
        </w:rPr>
        <w:t xml:space="preserve"> more likely to have physical/mental health conditions and suffer from frailty and memory issues. This significantly impacts on the ability of the elderly to protect themselves (Help Guide, 2023). This male also disclosed to me that he had been forgetting to lock doors and close windows recently, providing evidence that this male was having issues with his memory. His Majesty’s Inspectorate of Constabulary and Fire &amp; Rescue Services (2023) has described that whilst the elderly </w:t>
      </w:r>
      <w:proofErr w:type="gramStart"/>
      <w:r w:rsidRPr="007B39D4">
        <w:rPr>
          <w:rFonts w:asciiTheme="minorHAnsi" w:eastAsiaTheme="minorHAnsi" w:hAnsiTheme="minorHAnsi" w:cstheme="minorBidi"/>
          <w:color w:val="auto"/>
          <w:sz w:val="24"/>
          <w:szCs w:val="24"/>
          <w:lang w:eastAsia="en-US"/>
        </w:rPr>
        <w:t>are</w:t>
      </w:r>
      <w:proofErr w:type="gramEnd"/>
      <w:r w:rsidRPr="007B39D4">
        <w:rPr>
          <w:rFonts w:asciiTheme="minorHAnsi" w:eastAsiaTheme="minorHAnsi" w:hAnsiTheme="minorHAnsi" w:cstheme="minorBidi"/>
          <w:color w:val="auto"/>
          <w:sz w:val="24"/>
          <w:szCs w:val="24"/>
          <w:lang w:eastAsia="en-US"/>
        </w:rPr>
        <w:t xml:space="preserve"> less likely to become a victim of crime, the effects of such crimes can have a devastating and disproportionate </w:t>
      </w:r>
      <w:proofErr w:type="spellStart"/>
      <w:r w:rsidRPr="007B39D4">
        <w:rPr>
          <w:rFonts w:asciiTheme="minorHAnsi" w:eastAsiaTheme="minorHAnsi" w:hAnsiTheme="minorHAnsi" w:cstheme="minorBidi"/>
          <w:color w:val="auto"/>
          <w:sz w:val="24"/>
          <w:szCs w:val="24"/>
          <w:lang w:eastAsia="en-US"/>
        </w:rPr>
        <w:t>affect</w:t>
      </w:r>
      <w:proofErr w:type="spellEnd"/>
      <w:r w:rsidRPr="007B39D4">
        <w:rPr>
          <w:rFonts w:asciiTheme="minorHAnsi" w:eastAsiaTheme="minorHAnsi" w:hAnsiTheme="minorHAnsi" w:cstheme="minorBidi"/>
          <w:color w:val="auto"/>
          <w:sz w:val="24"/>
          <w:szCs w:val="24"/>
          <w:lang w:eastAsia="en-US"/>
        </w:rPr>
        <w:t xml:space="preserve"> on them as they are likely to have poor support networks to recover from being a victim of crime. From a legislative point of view, there was a theft of a motor vehicle. With the information and evidence available to me at the time, I was satisfied that the offence of theft under Section 1 of the Theft Act 1968 was complete (The National Archives, 2000). There were no cultural, ethnic or language issues with this incident. </w:t>
      </w:r>
    </w:p>
    <w:p w14:paraId="726755F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15980D5" w14:textId="64B3DAA7"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Approaches to Support the Victim</w:t>
      </w:r>
    </w:p>
    <w:p w14:paraId="62D8162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p>
    <w:p w14:paraId="61B0235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The first approach to support the vulnerable victim in this matter was safety planning the male at the scene. A safety plan includes advice about how to react to an emergency, and the actions a victim can take to stay safe and help prevent future incidents (Victim Support, 2023). The advice given to the male included when and how to contact the police, to keep all windows and doors locked, and to invest in additional car security such as a steering lock. However, as previously mentioned, this male forgets to lock his doors and windows and would likely forget to use a steering lock in such circumstances. There is currently no visible research on how effective police safety planning is with vulnerable adults. However, after critically evaluating this scenario, I would have to cast doubt on the appropriateness of this approach as its effectiveness directly relies on the victim’s engagement and it is highly likely that the male would forget to implement the advice given. It has been demonstrated that </w:t>
      </w:r>
      <w:r w:rsidRPr="007B39D4">
        <w:rPr>
          <w:rFonts w:asciiTheme="minorHAnsi" w:eastAsiaTheme="minorHAnsi" w:hAnsiTheme="minorHAnsi" w:cstheme="minorBidi"/>
          <w:color w:val="auto"/>
          <w:sz w:val="24"/>
          <w:szCs w:val="24"/>
          <w:lang w:eastAsia="en-US"/>
        </w:rPr>
        <w:lastRenderedPageBreak/>
        <w:t xml:space="preserve">merely giving advice and education is not an effective tool for crime prevention (Grove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2012).</w:t>
      </w:r>
    </w:p>
    <w:p w14:paraId="3D49017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The second approach which was taken was subjecting the male’s property to target hardening. This concept involves additional physical security measures to deter against future criminal attempts (Newton </w:t>
      </w:r>
      <w:r w:rsidRPr="007B39D4">
        <w:rPr>
          <w:rFonts w:asciiTheme="minorHAnsi" w:eastAsiaTheme="minorHAnsi" w:hAnsiTheme="minorHAnsi" w:cstheme="minorBidi"/>
          <w:i/>
          <w:iCs/>
          <w:color w:val="auto"/>
          <w:sz w:val="24"/>
          <w:szCs w:val="24"/>
          <w:lang w:eastAsia="en-US"/>
        </w:rPr>
        <w:t xml:space="preserve">et </w:t>
      </w:r>
      <w:proofErr w:type="gramStart"/>
      <w:r w:rsidRPr="007B39D4">
        <w:rPr>
          <w:rFonts w:asciiTheme="minorHAnsi" w:eastAsiaTheme="minorHAnsi" w:hAnsiTheme="minorHAnsi" w:cstheme="minorBidi"/>
          <w:i/>
          <w:iCs/>
          <w:color w:val="auto"/>
          <w:sz w:val="24"/>
          <w:szCs w:val="24"/>
          <w:lang w:eastAsia="en-US"/>
        </w:rPr>
        <w:t>al,.</w:t>
      </w:r>
      <w:proofErr w:type="gramEnd"/>
      <w:r w:rsidRPr="007B39D4">
        <w:rPr>
          <w:rFonts w:asciiTheme="minorHAnsi" w:eastAsiaTheme="minorHAnsi" w:hAnsiTheme="minorHAnsi" w:cstheme="minorBidi"/>
          <w:i/>
          <w:iCs/>
          <w:color w:val="auto"/>
          <w:sz w:val="24"/>
          <w:szCs w:val="24"/>
          <w:lang w:eastAsia="en-US"/>
        </w:rPr>
        <w:t xml:space="preserve"> </w:t>
      </w:r>
      <w:r w:rsidRPr="007B39D4">
        <w:rPr>
          <w:rFonts w:asciiTheme="minorHAnsi" w:eastAsiaTheme="minorHAnsi" w:hAnsiTheme="minorHAnsi" w:cstheme="minorBidi"/>
          <w:color w:val="auto"/>
          <w:sz w:val="24"/>
          <w:szCs w:val="24"/>
          <w:lang w:eastAsia="en-US"/>
        </w:rPr>
        <w:t>2008). A victim safety pack which included a doorbell camera, window and door jammers, and a personal alarm was given to the male. Target hardening has been documented on having a positive effect on criminal attempts, (</w:t>
      </w:r>
      <w:proofErr w:type="spellStart"/>
      <w:r w:rsidRPr="007B39D4">
        <w:rPr>
          <w:rFonts w:asciiTheme="minorHAnsi" w:eastAsiaTheme="minorHAnsi" w:hAnsiTheme="minorHAnsi" w:cstheme="minorBidi"/>
          <w:color w:val="auto"/>
          <w:sz w:val="24"/>
          <w:szCs w:val="24"/>
          <w:lang w:eastAsia="en-US"/>
        </w:rPr>
        <w:t>Wellsmith</w:t>
      </w:r>
      <w:proofErr w:type="spellEnd"/>
      <w:r w:rsidRPr="007B39D4">
        <w:rPr>
          <w:rFonts w:asciiTheme="minorHAnsi" w:eastAsiaTheme="minorHAnsi" w:hAnsiTheme="minorHAnsi" w:cstheme="minorBidi"/>
          <w:color w:val="auto"/>
          <w:sz w:val="24"/>
          <w:szCs w:val="24"/>
          <w:lang w:eastAsia="en-US"/>
        </w:rPr>
        <w:t xml:space="preserve"> and Birks, 2008), (Hirschfield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 xml:space="preserve">2010), (Williams and Gooch, 2015). I have critically evaluated the effectiveness of target hardening in this scenario, it is apparent that this is one of the most effective and appropriate methods to help support and protect the vulnerable male. This is because methods employed within target hardening, such as jammers and CCTV, do not require victim engagement and are constantly active. </w:t>
      </w:r>
    </w:p>
    <w:p w14:paraId="34CA52B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The third approach which was taken was a public protection notice. Simply, this notice is a document in which Police utilise to share welfare and safeguarding concerns with partner agencies (BCP Council, 2023). Due to my concerns over the male’s living conditions, particularly because he lived alone, I have created and submitted a public protection notice with my concerns. After critically evaluating this approach, this is also an appropriate and effective response. Adult social services will be able to perform an assessment into the male’s needs to better understand what support he requires with his current living conditions. In addition, adult social services can further signpost to other specialist support agencies like Age Connect (Caerphilly Council, 2023). This specialist group offers bespoke care packages for the elderly which includes community support, nail cutting and befriending services (Age Connect, 2023). Those with vulnerabilities such as physical and mental conditions are statistically more likely to become a victim of specific types of crime, particularly assaults and fraud. Getting the male assessed for such support means his vulnerabilities can be managed by specialist support groups which should lower his risk of being a future victim of crime (Kings College London, 2023), (Victim Support, 2023), (Action Fraud, 2019). </w:t>
      </w:r>
    </w:p>
    <w:p w14:paraId="50D4864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42F5FE8" w14:textId="16D7C791"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Repeat Victimisation</w:t>
      </w:r>
    </w:p>
    <w:p w14:paraId="6F0FCBE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p>
    <w:p w14:paraId="287EF72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As defined earlier in this essay, a repeat victim is someone who becomes a victim of a crime on multiple occasions within a defined </w:t>
      </w:r>
      <w:proofErr w:type="gramStart"/>
      <w:r w:rsidRPr="007B39D4">
        <w:rPr>
          <w:rFonts w:asciiTheme="minorHAnsi" w:eastAsiaTheme="minorHAnsi" w:hAnsiTheme="minorHAnsi" w:cstheme="minorBidi"/>
          <w:color w:val="auto"/>
          <w:sz w:val="24"/>
          <w:szCs w:val="24"/>
          <w:lang w:eastAsia="en-US"/>
        </w:rPr>
        <w:t>period of time</w:t>
      </w:r>
      <w:proofErr w:type="gramEnd"/>
      <w:r w:rsidRPr="007B39D4">
        <w:rPr>
          <w:rFonts w:asciiTheme="minorHAnsi" w:eastAsiaTheme="minorHAnsi" w:hAnsiTheme="minorHAnsi" w:cstheme="minorBidi"/>
          <w:color w:val="auto"/>
          <w:sz w:val="24"/>
          <w:szCs w:val="24"/>
          <w:lang w:eastAsia="en-US"/>
        </w:rPr>
        <w:t xml:space="preserve">. It has been proposed that there are two reasons why repeat victimisations occur. These are ‘flagging’, and ‘boosting’. A victim may continue to flag themselves by displaying valuable items, or not having visible deterrents and security. In addition, once an offender has targeted a person or place, they might learn who or what is easiest or most rewarding to target. This boosts the probability of the same person or place becoming a repeat victim (Grove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2012). Of importance, studies have revealed that when it comes to offences such as dwelling burglaries, neighbouring houses can be at risk and targeted very quickly as the offender may assume there could be similar success (</w:t>
      </w:r>
      <w:proofErr w:type="spellStart"/>
      <w:r w:rsidRPr="007B39D4">
        <w:rPr>
          <w:rFonts w:asciiTheme="minorHAnsi" w:eastAsiaTheme="minorHAnsi" w:hAnsiTheme="minorHAnsi" w:cstheme="minorBidi"/>
          <w:color w:val="auto"/>
          <w:sz w:val="24"/>
          <w:szCs w:val="24"/>
          <w:lang w:eastAsia="en-US"/>
        </w:rPr>
        <w:t>Bernasco</w:t>
      </w:r>
      <w:proofErr w:type="spellEnd"/>
      <w:r w:rsidRPr="007B39D4">
        <w:rPr>
          <w:rFonts w:asciiTheme="minorHAnsi" w:eastAsiaTheme="minorHAnsi" w:hAnsiTheme="minorHAnsi" w:cstheme="minorBidi"/>
          <w:color w:val="auto"/>
          <w:sz w:val="24"/>
          <w:szCs w:val="24"/>
          <w:lang w:eastAsia="en-US"/>
        </w:rPr>
        <w:t xml:space="preserve">, 2008), (Short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 xml:space="preserve">2009). This raises the concept </w:t>
      </w:r>
      <w:r w:rsidRPr="007B39D4">
        <w:rPr>
          <w:rFonts w:asciiTheme="minorHAnsi" w:eastAsiaTheme="minorHAnsi" w:hAnsiTheme="minorHAnsi" w:cstheme="minorBidi"/>
          <w:color w:val="auto"/>
          <w:sz w:val="24"/>
          <w:szCs w:val="24"/>
          <w:lang w:eastAsia="en-US"/>
        </w:rPr>
        <w:lastRenderedPageBreak/>
        <w:t>of near repeat victimisation, in which a target situated near to the original victim is subjected to an offence shortly after the original victim was targeted (</w:t>
      </w:r>
      <w:proofErr w:type="spellStart"/>
      <w:r w:rsidRPr="007B39D4">
        <w:rPr>
          <w:rFonts w:asciiTheme="minorHAnsi" w:eastAsiaTheme="minorHAnsi" w:hAnsiTheme="minorHAnsi" w:cstheme="minorBidi"/>
          <w:color w:val="auto"/>
          <w:sz w:val="24"/>
          <w:szCs w:val="24"/>
          <w:lang w:eastAsia="en-US"/>
        </w:rPr>
        <w:t>Chainey</w:t>
      </w:r>
      <w:proofErr w:type="spellEnd"/>
      <w:r w:rsidRPr="007B39D4">
        <w:rPr>
          <w:rFonts w:asciiTheme="minorHAnsi" w:eastAsiaTheme="minorHAnsi" w:hAnsiTheme="minorHAnsi" w:cstheme="minorBidi"/>
          <w:color w:val="auto"/>
          <w:sz w:val="24"/>
          <w:szCs w:val="24"/>
          <w:lang w:eastAsia="en-US"/>
        </w:rPr>
        <w:t xml:space="preserve">, 2023). Crime studies show that repeat victimisation is lowered by strong and physical interventions, such as target hardening, and a neighbourhood watch scheme. Studies show that implementation of </w:t>
      </w:r>
      <w:proofErr w:type="gramStart"/>
      <w:r w:rsidRPr="007B39D4">
        <w:rPr>
          <w:rFonts w:asciiTheme="minorHAnsi" w:eastAsiaTheme="minorHAnsi" w:hAnsiTheme="minorHAnsi" w:cstheme="minorBidi"/>
          <w:color w:val="auto"/>
          <w:sz w:val="24"/>
          <w:szCs w:val="24"/>
          <w:lang w:eastAsia="en-US"/>
        </w:rPr>
        <w:t>a  crime</w:t>
      </w:r>
      <w:proofErr w:type="gramEnd"/>
      <w:r w:rsidRPr="007B39D4">
        <w:rPr>
          <w:rFonts w:asciiTheme="minorHAnsi" w:eastAsiaTheme="minorHAnsi" w:hAnsiTheme="minorHAnsi" w:cstheme="minorBidi"/>
          <w:color w:val="auto"/>
          <w:sz w:val="24"/>
          <w:szCs w:val="24"/>
          <w:lang w:eastAsia="en-US"/>
        </w:rPr>
        <w:t xml:space="preserve"> prevention strategy featuring multiple approaches reduces repeat victimisation and crime rates. Such approaches removing signs of being a victim, reducing and controlling access, target hardening, limiting opportunity and rewards for offenders. As previous discussed, whilst it is important to advise and educate victims on potential risky behaviour (such as leaving valuable items in view and leaving property insecure), this by itself has been shown to be an ineffective technique on its own (Farrell, 2005), (</w:t>
      </w:r>
      <w:proofErr w:type="spellStart"/>
      <w:r w:rsidRPr="007B39D4">
        <w:rPr>
          <w:rFonts w:asciiTheme="minorHAnsi" w:eastAsiaTheme="minorHAnsi" w:hAnsiTheme="minorHAnsi" w:cstheme="minorBidi"/>
          <w:color w:val="auto"/>
          <w:sz w:val="24"/>
          <w:szCs w:val="24"/>
          <w:lang w:eastAsia="en-US"/>
        </w:rPr>
        <w:t>Reynald</w:t>
      </w:r>
      <w:proofErr w:type="spellEnd"/>
      <w:r w:rsidRPr="007B39D4">
        <w:rPr>
          <w:rFonts w:asciiTheme="minorHAnsi" w:eastAsiaTheme="minorHAnsi" w:hAnsiTheme="minorHAnsi" w:cstheme="minorBidi"/>
          <w:color w:val="auto"/>
          <w:sz w:val="24"/>
          <w:szCs w:val="24"/>
          <w:lang w:eastAsia="en-US"/>
        </w:rPr>
        <w:t xml:space="preserve">, 2011) (Cozens and Love, 2015). </w:t>
      </w:r>
    </w:p>
    <w:p w14:paraId="29DCBC5C" w14:textId="4C0D7E82"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Reflection</w:t>
      </w:r>
    </w:p>
    <w:p w14:paraId="3CBB202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p>
    <w:p w14:paraId="1432CE72" w14:textId="71CDA40D"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will now reflect on the incident using the </w:t>
      </w:r>
      <w:proofErr w:type="spellStart"/>
      <w:r w:rsidRPr="007B39D4">
        <w:rPr>
          <w:rFonts w:asciiTheme="minorHAnsi" w:eastAsiaTheme="minorHAnsi" w:hAnsiTheme="minorHAnsi" w:cstheme="minorBidi"/>
          <w:color w:val="auto"/>
          <w:sz w:val="24"/>
          <w:szCs w:val="24"/>
          <w:lang w:eastAsia="en-US"/>
        </w:rPr>
        <w:t>Borton’s</w:t>
      </w:r>
      <w:proofErr w:type="spellEnd"/>
      <w:r w:rsidRPr="007B39D4">
        <w:rPr>
          <w:rFonts w:asciiTheme="minorHAnsi" w:eastAsiaTheme="minorHAnsi" w:hAnsiTheme="minorHAnsi" w:cstheme="minorBidi"/>
          <w:color w:val="auto"/>
          <w:sz w:val="24"/>
          <w:szCs w:val="24"/>
          <w:lang w:eastAsia="en-US"/>
        </w:rPr>
        <w:t xml:space="preserve"> Model of Reflection as previously described above. </w:t>
      </w:r>
    </w:p>
    <w:p w14:paraId="791B7AC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7C26A7A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What?</w:t>
      </w:r>
    </w:p>
    <w:p w14:paraId="71FAB35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have responded to an incident whereby a male has reported that his car had been stolen overnight. I have conducted the appropriate enquiries into the offence and have safeguarded the victim by safety planning them, submitting a public protection notice and arranging for a victim safety pack to be delivered and set up at the address. The initial enquiries and recognising that the male was vulnerable was a positive aspect that went well during this incident. However, I felt my house-to-house strategy was slow and the </w:t>
      </w:r>
      <w:proofErr w:type="spellStart"/>
      <w:r w:rsidRPr="007B39D4">
        <w:rPr>
          <w:rFonts w:asciiTheme="minorHAnsi" w:eastAsiaTheme="minorHAnsi" w:hAnsiTheme="minorHAnsi" w:cstheme="minorBidi"/>
          <w:color w:val="auto"/>
          <w:sz w:val="24"/>
          <w:szCs w:val="24"/>
          <w:lang w:eastAsia="en-US"/>
        </w:rPr>
        <w:t>over all</w:t>
      </w:r>
      <w:proofErr w:type="spellEnd"/>
      <w:r w:rsidRPr="007B39D4">
        <w:rPr>
          <w:rFonts w:asciiTheme="minorHAnsi" w:eastAsiaTheme="minorHAnsi" w:hAnsiTheme="minorHAnsi" w:cstheme="minorBidi"/>
          <w:color w:val="auto"/>
          <w:sz w:val="24"/>
          <w:szCs w:val="24"/>
          <w:lang w:eastAsia="en-US"/>
        </w:rPr>
        <w:t xml:space="preserve"> plan of safety planning the street was ineffective.</w:t>
      </w:r>
    </w:p>
    <w:p w14:paraId="2A157AC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p>
    <w:p w14:paraId="1513CC3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So What?</w:t>
      </w:r>
    </w:p>
    <w:p w14:paraId="338EC62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When I first responded to this incident, I felt confident in my actions as I had dealt with dwelling burglaries prior to this and felt experienced in conducting the enquiries that were needed. My investigative strategy involved securing witnesses and any CCTV as quickly as possible before any evidence was lost. This involved extensive house-to-house enquiries in the street where the incident took place. By conducting this I was able to secure vital evidence showing the car being taken, albeit there were no witnesses. In addition, my ability to recognise very early on that this was a vulnerable victim meant I could ensure the appropriate responses were made. Identifying this vulnerability ensured I could get the correct support from specialist services to help manage and mitigate the risk of him becoming a repeat victim. Going into this incident, my knowledge of repeat victimisation was poor. I have afforded a level of protection to the victim through following work procedures and conducting my role at a thorough level. Upon reflection there is more that </w:t>
      </w:r>
      <w:r w:rsidRPr="007B39D4">
        <w:rPr>
          <w:rFonts w:asciiTheme="minorHAnsi" w:eastAsiaTheme="minorHAnsi" w:hAnsiTheme="minorHAnsi" w:cstheme="minorBidi"/>
          <w:color w:val="auto"/>
          <w:sz w:val="24"/>
          <w:szCs w:val="24"/>
          <w:lang w:eastAsia="en-US"/>
        </w:rPr>
        <w:lastRenderedPageBreak/>
        <w:t xml:space="preserve">could have </w:t>
      </w:r>
      <w:proofErr w:type="gramStart"/>
      <w:r w:rsidRPr="007B39D4">
        <w:rPr>
          <w:rFonts w:asciiTheme="minorHAnsi" w:eastAsiaTheme="minorHAnsi" w:hAnsiTheme="minorHAnsi" w:cstheme="minorBidi"/>
          <w:color w:val="auto"/>
          <w:sz w:val="24"/>
          <w:szCs w:val="24"/>
          <w:lang w:eastAsia="en-US"/>
        </w:rPr>
        <w:t>be</w:t>
      </w:r>
      <w:proofErr w:type="gramEnd"/>
      <w:r w:rsidRPr="007B39D4">
        <w:rPr>
          <w:rFonts w:asciiTheme="minorHAnsi" w:eastAsiaTheme="minorHAnsi" w:hAnsiTheme="minorHAnsi" w:cstheme="minorBidi"/>
          <w:color w:val="auto"/>
          <w:sz w:val="24"/>
          <w:szCs w:val="24"/>
          <w:lang w:eastAsia="en-US"/>
        </w:rPr>
        <w:t xml:space="preserve"> done, such as highlighting the importance of implementing safety advice in the public protection notice and communicating with the victim’s family.</w:t>
      </w:r>
    </w:p>
    <w:p w14:paraId="0754B46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Now What?</w:t>
      </w:r>
    </w:p>
    <w:p w14:paraId="57991B38" w14:textId="2E4258CC" w:rsid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now have a better understanding of the importance of protecting the vulnerable and the effective methods in preventing repeat victimisation. I have learned that the most important aspect of reducing victimisation is the implementation of physical interventions and that education and advice alone is ineffective. During this incident, I spent considerable time attending numerous houses within the street and provided them with safety advice. Considering how ineffective this has been shown to be, my time could be better utilised on more effective methods such as high visibility patrols or setting up a neighbourhood watch scheme. Going forward, I will also ensure that when I submit a public protection notice I will highlight my perception of whether the victim </w:t>
      </w:r>
      <w:proofErr w:type="gramStart"/>
      <w:r w:rsidRPr="007B39D4">
        <w:rPr>
          <w:rFonts w:asciiTheme="minorHAnsi" w:eastAsiaTheme="minorHAnsi" w:hAnsiTheme="minorHAnsi" w:cstheme="minorBidi"/>
          <w:color w:val="auto"/>
          <w:sz w:val="24"/>
          <w:szCs w:val="24"/>
          <w:lang w:eastAsia="en-US"/>
        </w:rPr>
        <w:t>is capable of implementing</w:t>
      </w:r>
      <w:proofErr w:type="gramEnd"/>
      <w:r w:rsidRPr="007B39D4">
        <w:rPr>
          <w:rFonts w:asciiTheme="minorHAnsi" w:eastAsiaTheme="minorHAnsi" w:hAnsiTheme="minorHAnsi" w:cstheme="minorBidi"/>
          <w:color w:val="auto"/>
          <w:sz w:val="24"/>
          <w:szCs w:val="24"/>
          <w:lang w:eastAsia="en-US"/>
        </w:rPr>
        <w:t xml:space="preserve"> safety advice.  </w:t>
      </w:r>
    </w:p>
    <w:p w14:paraId="4255539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27B62AB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4"/>
          <w:szCs w:val="24"/>
          <w:lang w:eastAsia="en-US"/>
        </w:rPr>
      </w:pPr>
      <w:r w:rsidRPr="007B39D4">
        <w:rPr>
          <w:rFonts w:asciiTheme="minorHAnsi" w:eastAsiaTheme="minorHAnsi" w:hAnsiTheme="minorHAnsi" w:cstheme="minorBidi"/>
          <w:b/>
          <w:bCs/>
          <w:color w:val="auto"/>
          <w:sz w:val="24"/>
          <w:szCs w:val="24"/>
          <w:lang w:eastAsia="en-US"/>
        </w:rPr>
        <w:t>Conclusion</w:t>
      </w:r>
    </w:p>
    <w:p w14:paraId="129122C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After attending an incident where the car of a vulnerable male was stolen, three approaches taken to support and manage the victim were critically evaluated. It was determined that whilst the use of public protection notices and target hardening were effective methods, safety planning is potentially an ineffective method. Such vulnerable victims may lack the capability to implement such safety advice given by police. We have learnt that the vulnerable are at particular risk of certain types of crime, such as fraud and assault. The effects of these crimes have a disproportionate effect on the vulnerable. Repeat victimisation can be prevented, but relies heavily on the implementation of physical interventions, such as target hardening. </w:t>
      </w:r>
      <w:proofErr w:type="gramStart"/>
      <w:r w:rsidRPr="007B39D4">
        <w:rPr>
          <w:rFonts w:asciiTheme="minorHAnsi" w:eastAsiaTheme="minorHAnsi" w:hAnsiTheme="minorHAnsi" w:cstheme="minorBidi"/>
          <w:color w:val="auto"/>
          <w:sz w:val="24"/>
          <w:szCs w:val="24"/>
          <w:lang w:eastAsia="en-US"/>
        </w:rPr>
        <w:t>After performing a critical reflection on the incident, there</w:t>
      </w:r>
      <w:proofErr w:type="gramEnd"/>
      <w:r w:rsidRPr="007B39D4">
        <w:rPr>
          <w:rFonts w:asciiTheme="minorHAnsi" w:eastAsiaTheme="minorHAnsi" w:hAnsiTheme="minorHAnsi" w:cstheme="minorBidi"/>
          <w:color w:val="auto"/>
          <w:sz w:val="24"/>
          <w:szCs w:val="24"/>
          <w:lang w:eastAsia="en-US"/>
        </w:rPr>
        <w:t xml:space="preserve"> can be positive changes in the way I respond to such incidents in the future, particularly involving those with vulnerabilities. I will be considering repeat victimisation from the start and my policing response will be evidence led ensuring that the investigative and crime reduction strategies I wish to implement have been researched and proven to be effective.</w:t>
      </w:r>
    </w:p>
    <w:p w14:paraId="64F092B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b/>
          <w:bCs/>
          <w:color w:val="auto"/>
          <w:sz w:val="24"/>
          <w:szCs w:val="24"/>
          <w:lang w:eastAsia="en-US"/>
        </w:rPr>
        <w:t>Word Count - 1959</w:t>
      </w:r>
    </w:p>
    <w:p w14:paraId="0E693FAA" w14:textId="77777777" w:rsidR="00755AE5" w:rsidRDefault="00755AE5" w:rsidP="00755AE5">
      <w:pPr>
        <w:overflowPunct/>
        <w:autoSpaceDE/>
        <w:autoSpaceDN/>
        <w:adjustRightInd/>
        <w:textAlignment w:val="auto"/>
        <w:rPr>
          <w:b/>
          <w:bCs/>
          <w:sz w:val="24"/>
          <w:szCs w:val="24"/>
        </w:rPr>
      </w:pPr>
    </w:p>
    <w:p w14:paraId="2B3A17C4" w14:textId="77777777" w:rsidR="00755AE5" w:rsidRDefault="00755AE5" w:rsidP="00755AE5">
      <w:pPr>
        <w:overflowPunct/>
        <w:autoSpaceDE/>
        <w:autoSpaceDN/>
        <w:adjustRightInd/>
        <w:textAlignment w:val="auto"/>
        <w:rPr>
          <w:b/>
          <w:bCs/>
          <w:sz w:val="24"/>
          <w:szCs w:val="24"/>
        </w:rPr>
      </w:pPr>
    </w:p>
    <w:p w14:paraId="3A837AE5" w14:textId="77777777" w:rsidR="00755AE5" w:rsidRDefault="00755AE5" w:rsidP="00755AE5">
      <w:pPr>
        <w:overflowPunct/>
        <w:autoSpaceDE/>
        <w:autoSpaceDN/>
        <w:adjustRightInd/>
        <w:textAlignment w:val="auto"/>
        <w:rPr>
          <w:b/>
          <w:bCs/>
          <w:sz w:val="24"/>
          <w:szCs w:val="24"/>
        </w:rPr>
      </w:pPr>
    </w:p>
    <w:p w14:paraId="00199909" w14:textId="77777777" w:rsidR="00755AE5" w:rsidRDefault="00755AE5" w:rsidP="00755AE5">
      <w:pPr>
        <w:overflowPunct/>
        <w:autoSpaceDE/>
        <w:autoSpaceDN/>
        <w:adjustRightInd/>
        <w:textAlignment w:val="auto"/>
        <w:rPr>
          <w:b/>
          <w:bCs/>
          <w:sz w:val="24"/>
          <w:szCs w:val="24"/>
        </w:rPr>
      </w:pPr>
    </w:p>
    <w:p w14:paraId="2692A8A1" w14:textId="77777777" w:rsidR="00755AE5" w:rsidRDefault="00755AE5" w:rsidP="00755AE5">
      <w:pPr>
        <w:overflowPunct/>
        <w:autoSpaceDE/>
        <w:autoSpaceDN/>
        <w:adjustRightInd/>
        <w:textAlignment w:val="auto"/>
        <w:rPr>
          <w:b/>
          <w:bCs/>
          <w:sz w:val="24"/>
          <w:szCs w:val="24"/>
        </w:rPr>
      </w:pPr>
    </w:p>
    <w:p w14:paraId="5AE0AD0D" w14:textId="77777777" w:rsidR="00755AE5" w:rsidRDefault="00755AE5" w:rsidP="00755AE5">
      <w:pPr>
        <w:overflowPunct/>
        <w:autoSpaceDE/>
        <w:autoSpaceDN/>
        <w:adjustRightInd/>
        <w:textAlignment w:val="auto"/>
        <w:rPr>
          <w:b/>
          <w:bCs/>
          <w:sz w:val="24"/>
          <w:szCs w:val="24"/>
        </w:rPr>
      </w:pPr>
    </w:p>
    <w:p w14:paraId="6EFC9635" w14:textId="77777777" w:rsidR="00755AE5" w:rsidRDefault="00755AE5" w:rsidP="00755AE5">
      <w:pPr>
        <w:overflowPunct/>
        <w:autoSpaceDE/>
        <w:autoSpaceDN/>
        <w:adjustRightInd/>
        <w:textAlignment w:val="auto"/>
        <w:rPr>
          <w:b/>
          <w:bCs/>
          <w:sz w:val="24"/>
          <w:szCs w:val="24"/>
        </w:rPr>
      </w:pPr>
    </w:p>
    <w:p w14:paraId="12C9D8B5" w14:textId="77777777" w:rsidR="00755AE5" w:rsidRDefault="00755AE5" w:rsidP="00755AE5">
      <w:pPr>
        <w:overflowPunct/>
        <w:autoSpaceDE/>
        <w:autoSpaceDN/>
        <w:adjustRightInd/>
        <w:textAlignment w:val="auto"/>
        <w:rPr>
          <w:b/>
          <w:bCs/>
          <w:sz w:val="24"/>
          <w:szCs w:val="24"/>
        </w:rPr>
      </w:pPr>
    </w:p>
    <w:p w14:paraId="5058D684" w14:textId="77777777" w:rsidR="00755AE5" w:rsidRDefault="00755AE5" w:rsidP="00755AE5">
      <w:pPr>
        <w:overflowPunct/>
        <w:autoSpaceDE/>
        <w:autoSpaceDN/>
        <w:adjustRightInd/>
        <w:textAlignment w:val="auto"/>
        <w:rPr>
          <w:b/>
          <w:bCs/>
          <w:sz w:val="24"/>
          <w:szCs w:val="24"/>
        </w:rPr>
      </w:pPr>
    </w:p>
    <w:p w14:paraId="25D76755" w14:textId="77777777" w:rsidR="00755AE5" w:rsidRDefault="00755AE5" w:rsidP="00755AE5">
      <w:pPr>
        <w:overflowPunct/>
        <w:autoSpaceDE/>
        <w:autoSpaceDN/>
        <w:adjustRightInd/>
        <w:textAlignment w:val="auto"/>
        <w:rPr>
          <w:b/>
          <w:bCs/>
          <w:sz w:val="24"/>
          <w:szCs w:val="24"/>
        </w:rPr>
      </w:pPr>
    </w:p>
    <w:p w14:paraId="50FD79E7" w14:textId="77777777" w:rsidR="00755AE5" w:rsidRDefault="00755AE5" w:rsidP="00755AE5">
      <w:pPr>
        <w:overflowPunct/>
        <w:autoSpaceDE/>
        <w:autoSpaceDN/>
        <w:adjustRightInd/>
        <w:textAlignment w:val="auto"/>
        <w:rPr>
          <w:b/>
          <w:bCs/>
          <w:sz w:val="24"/>
          <w:szCs w:val="24"/>
        </w:rPr>
      </w:pPr>
    </w:p>
    <w:p w14:paraId="06686BCB" w14:textId="77777777" w:rsidR="00755AE5" w:rsidRDefault="00755AE5" w:rsidP="00755AE5">
      <w:pPr>
        <w:overflowPunct/>
        <w:autoSpaceDE/>
        <w:autoSpaceDN/>
        <w:adjustRightInd/>
        <w:textAlignment w:val="auto"/>
        <w:rPr>
          <w:b/>
          <w:bCs/>
          <w:sz w:val="24"/>
          <w:szCs w:val="24"/>
        </w:rPr>
      </w:pPr>
    </w:p>
    <w:p w14:paraId="5F014180" w14:textId="77777777" w:rsidR="007B39D4" w:rsidRDefault="007B39D4" w:rsidP="00755AE5">
      <w:pPr>
        <w:overflowPunct/>
        <w:autoSpaceDE/>
        <w:autoSpaceDN/>
        <w:adjustRightInd/>
        <w:jc w:val="center"/>
        <w:textAlignment w:val="auto"/>
        <w:rPr>
          <w:b/>
          <w:bCs/>
          <w:sz w:val="24"/>
          <w:szCs w:val="24"/>
        </w:rPr>
      </w:pPr>
    </w:p>
    <w:p w14:paraId="6B0989EF" w14:textId="5E758F24" w:rsidR="00025650" w:rsidRPr="00755AE5" w:rsidRDefault="5B843AF0" w:rsidP="00755AE5">
      <w:pPr>
        <w:overflowPunct/>
        <w:autoSpaceDE/>
        <w:autoSpaceDN/>
        <w:adjustRightInd/>
        <w:jc w:val="center"/>
        <w:textAlignment w:val="auto"/>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Pr="00755AE5" w:rsidRDefault="5D9B6F62" w:rsidP="5CE196A1">
      <w:pPr>
        <w:pStyle w:val="ListParagraph"/>
        <w:numPr>
          <w:ilvl w:val="1"/>
          <w:numId w:val="1"/>
        </w:numPr>
        <w:ind w:right="237"/>
        <w:jc w:val="both"/>
        <w:rPr>
          <w:rFonts w:eastAsia="Arial"/>
          <w:color w:val="000000" w:themeColor="text1"/>
          <w:sz w:val="24"/>
          <w:szCs w:val="24"/>
        </w:rPr>
      </w:pPr>
      <w:r w:rsidRPr="00755AE5">
        <w:rPr>
          <w:rFonts w:eastAsia="Arial"/>
          <w:color w:val="000000" w:themeColor="text1"/>
          <w:sz w:val="24"/>
          <w:szCs w:val="24"/>
        </w:rPr>
        <w:t>Response Policing.</w:t>
      </w:r>
    </w:p>
    <w:p w14:paraId="026340D3" w14:textId="174F5660" w:rsidR="5D9B6F62" w:rsidRPr="00755AE5" w:rsidRDefault="5D9B6F62" w:rsidP="5CE196A1">
      <w:pPr>
        <w:pStyle w:val="ListParagraph"/>
        <w:numPr>
          <w:ilvl w:val="1"/>
          <w:numId w:val="1"/>
        </w:numPr>
        <w:ind w:right="237"/>
        <w:jc w:val="both"/>
        <w:rPr>
          <w:rFonts w:eastAsia="Arial"/>
          <w:color w:val="000000" w:themeColor="text1"/>
          <w:sz w:val="24"/>
          <w:szCs w:val="24"/>
        </w:rPr>
      </w:pPr>
      <w:r w:rsidRPr="00755AE5">
        <w:rPr>
          <w:rFonts w:eastAsia="Arial"/>
          <w:color w:val="000000" w:themeColor="text1"/>
          <w:sz w:val="24"/>
          <w:szCs w:val="24"/>
        </w:rPr>
        <w:t>Policing Communities.</w:t>
      </w:r>
    </w:p>
    <w:p w14:paraId="27C310FF" w14:textId="4363AFB5" w:rsidR="5D9B6F62" w:rsidRPr="00755AE5" w:rsidRDefault="5D9B6F62" w:rsidP="5CE196A1">
      <w:pPr>
        <w:pStyle w:val="ListParagraph"/>
        <w:numPr>
          <w:ilvl w:val="1"/>
          <w:numId w:val="1"/>
        </w:numPr>
        <w:ind w:right="237"/>
        <w:jc w:val="both"/>
        <w:rPr>
          <w:rFonts w:eastAsia="Arial"/>
          <w:color w:val="000000" w:themeColor="text1"/>
          <w:sz w:val="24"/>
          <w:szCs w:val="24"/>
        </w:rPr>
      </w:pPr>
      <w:r w:rsidRPr="00755AE5">
        <w:rPr>
          <w:rFonts w:eastAsia="Arial"/>
          <w:color w:val="000000" w:themeColor="text1"/>
          <w:sz w:val="24"/>
          <w:szCs w:val="24"/>
        </w:rPr>
        <w:t>Road Policing.</w:t>
      </w:r>
    </w:p>
    <w:p w14:paraId="363038FD" w14:textId="50BF4595" w:rsidR="5D9B6F62" w:rsidRPr="00755AE5" w:rsidRDefault="5D9B6F62" w:rsidP="5CE196A1">
      <w:pPr>
        <w:pStyle w:val="ListParagraph"/>
        <w:numPr>
          <w:ilvl w:val="1"/>
          <w:numId w:val="1"/>
        </w:numPr>
        <w:ind w:right="237"/>
        <w:jc w:val="both"/>
        <w:rPr>
          <w:rFonts w:eastAsia="Arial"/>
          <w:color w:val="000000" w:themeColor="text1"/>
          <w:sz w:val="24"/>
          <w:szCs w:val="24"/>
        </w:rPr>
      </w:pPr>
      <w:r w:rsidRPr="00755AE5">
        <w:rPr>
          <w:rFonts w:eastAsia="Arial"/>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00755AE5">
        <w:rPr>
          <w:rFonts w:eastAsia="Arial"/>
          <w:b/>
          <w:bCs/>
          <w:color w:val="000000" w:themeColor="text1"/>
          <w:sz w:val="24"/>
          <w:szCs w:val="24"/>
          <w:highlight w:val="yellow"/>
        </w:rPr>
        <w:t>Conducting Investigations</w:t>
      </w:r>
      <w:r w:rsidRPr="5CE196A1">
        <w:rPr>
          <w:rFonts w:eastAsia="Arial"/>
          <w:b/>
          <w:bCs/>
          <w:color w:val="000000" w:themeColor="text1"/>
          <w:sz w:val="24"/>
          <w:szCs w:val="24"/>
        </w:rPr>
        <w:t>.</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623335E9" w14:textId="77777777" w:rsidR="00755AE5" w:rsidRDefault="00755AE5" w:rsidP="00755AE5">
      <w:pPr>
        <w:ind w:right="237"/>
        <w:rPr>
          <w:rFonts w:eastAsia="Arial"/>
          <w:b/>
          <w:bCs/>
          <w:color w:val="000000" w:themeColor="text1"/>
          <w:sz w:val="24"/>
          <w:szCs w:val="24"/>
          <w:u w:val="single"/>
        </w:rPr>
      </w:pPr>
    </w:p>
    <w:p w14:paraId="09C40B3C" w14:textId="77777777" w:rsidR="00755AE5" w:rsidRDefault="00755AE5" w:rsidP="00755AE5">
      <w:pPr>
        <w:ind w:right="237"/>
        <w:rPr>
          <w:rFonts w:eastAsia="Arial"/>
          <w:b/>
          <w:bCs/>
          <w:color w:val="000000" w:themeColor="text1"/>
          <w:sz w:val="24"/>
          <w:szCs w:val="24"/>
          <w:u w:val="single"/>
        </w:rPr>
      </w:pPr>
    </w:p>
    <w:p w14:paraId="467DFCC6" w14:textId="77777777" w:rsidR="00755AE5" w:rsidRDefault="00755AE5" w:rsidP="00755AE5">
      <w:pPr>
        <w:ind w:right="237"/>
        <w:rPr>
          <w:rFonts w:eastAsia="Arial"/>
          <w:b/>
          <w:bCs/>
          <w:color w:val="000000" w:themeColor="text1"/>
          <w:sz w:val="24"/>
          <w:szCs w:val="24"/>
          <w:u w:val="single"/>
        </w:rPr>
      </w:pPr>
    </w:p>
    <w:p w14:paraId="29A2009E" w14:textId="77777777" w:rsidR="00755AE5" w:rsidRDefault="00755AE5" w:rsidP="00755AE5">
      <w:pPr>
        <w:ind w:right="237"/>
        <w:rPr>
          <w:rFonts w:eastAsia="Arial"/>
          <w:b/>
          <w:bCs/>
          <w:color w:val="000000" w:themeColor="text1"/>
          <w:sz w:val="24"/>
          <w:szCs w:val="24"/>
          <w:u w:val="single"/>
        </w:rPr>
      </w:pPr>
    </w:p>
    <w:p w14:paraId="2D7A4220" w14:textId="77777777" w:rsidR="00755AE5" w:rsidRDefault="00755AE5" w:rsidP="00755AE5">
      <w:pPr>
        <w:ind w:right="237"/>
        <w:rPr>
          <w:rFonts w:eastAsia="Arial"/>
          <w:b/>
          <w:bCs/>
          <w:color w:val="000000" w:themeColor="text1"/>
          <w:sz w:val="24"/>
          <w:szCs w:val="24"/>
          <w:u w:val="single"/>
        </w:rPr>
      </w:pPr>
    </w:p>
    <w:p w14:paraId="451965C4" w14:textId="77777777" w:rsidR="00755AE5" w:rsidRDefault="00755AE5" w:rsidP="00755AE5">
      <w:pPr>
        <w:ind w:right="237"/>
        <w:rPr>
          <w:rFonts w:eastAsia="Arial"/>
          <w:b/>
          <w:bCs/>
          <w:color w:val="000000" w:themeColor="text1"/>
          <w:sz w:val="24"/>
          <w:szCs w:val="24"/>
          <w:u w:val="single"/>
        </w:rPr>
      </w:pPr>
    </w:p>
    <w:p w14:paraId="3E2A46A5" w14:textId="77777777" w:rsidR="007B39D4" w:rsidRDefault="007B39D4" w:rsidP="00755AE5">
      <w:pPr>
        <w:ind w:right="237"/>
        <w:jc w:val="center"/>
        <w:rPr>
          <w:rFonts w:eastAsia="Arial"/>
          <w:b/>
          <w:bCs/>
          <w:color w:val="000000" w:themeColor="text1"/>
          <w:sz w:val="28"/>
          <w:szCs w:val="28"/>
          <w:u w:val="single"/>
        </w:rPr>
      </w:pPr>
    </w:p>
    <w:p w14:paraId="58751063" w14:textId="4E3ABB25" w:rsidR="13AD8C62" w:rsidRDefault="13AD8C62" w:rsidP="00755AE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040FB68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4"/>
          <w:szCs w:val="24"/>
          <w:lang w:eastAsia="en-US"/>
        </w:rPr>
      </w:pPr>
      <w:r w:rsidRPr="007B39D4">
        <w:rPr>
          <w:rFonts w:asciiTheme="minorHAnsi" w:eastAsiaTheme="minorHAnsi" w:hAnsiTheme="minorHAnsi" w:cstheme="minorBidi"/>
          <w:b/>
          <w:bCs/>
          <w:color w:val="auto"/>
          <w:sz w:val="24"/>
          <w:szCs w:val="24"/>
          <w:lang w:eastAsia="en-US"/>
        </w:rPr>
        <w:t>Introduction</w:t>
      </w:r>
    </w:p>
    <w:p w14:paraId="69D94AF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This essay will focus on my involvement in a case of a rogue trader committing fraud. A rogue trader has been described as someone who pretends to be a professional tradesperson and typically charges high rates for a job of either poor quality, or a job which is not carried out (Coventry Council, 2023). </w:t>
      </w:r>
    </w:p>
    <w:p w14:paraId="501E4A0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will critically evaluate the methods and strategies I have used to progress the investigation expeditiously. In addition, I will also critically evaluate the support I have provided to the victims involved in this incident and assess whether I effectively managed my own values and attitudes during this incident. </w:t>
      </w:r>
    </w:p>
    <w:p w14:paraId="350B26B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7D9267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8"/>
          <w:szCs w:val="28"/>
          <w:lang w:eastAsia="en-US"/>
        </w:rPr>
      </w:pPr>
      <w:r w:rsidRPr="007B39D4">
        <w:rPr>
          <w:rFonts w:asciiTheme="minorHAnsi" w:eastAsiaTheme="minorHAnsi" w:hAnsiTheme="minorHAnsi" w:cstheme="minorBidi"/>
          <w:b/>
          <w:bCs/>
          <w:color w:val="auto"/>
          <w:sz w:val="28"/>
          <w:szCs w:val="28"/>
          <w:lang w:eastAsia="en-US"/>
        </w:rPr>
        <w:t>The incident</w:t>
      </w:r>
    </w:p>
    <w:p w14:paraId="30A5002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 xml:space="preserve">Investigation Process </w:t>
      </w:r>
    </w:p>
    <w:p w14:paraId="450424C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Gwent police received a call from a bank reporting that they believed one of their customers had been a victim of fraud. The family of the victim had noticed that a large quantity of money had left his account. I have attended the home address of the victim and spoken to the family who informed me that the victim in this matter had withdrawn £1,000 </w:t>
      </w:r>
      <w:r w:rsidRPr="007B39D4">
        <w:rPr>
          <w:rFonts w:asciiTheme="minorHAnsi" w:eastAsiaTheme="minorHAnsi" w:hAnsiTheme="minorHAnsi" w:cstheme="minorBidi"/>
          <w:color w:val="auto"/>
          <w:sz w:val="24"/>
          <w:szCs w:val="24"/>
          <w:lang w:eastAsia="en-US"/>
        </w:rPr>
        <w:lastRenderedPageBreak/>
        <w:t xml:space="preserve">from a post </w:t>
      </w:r>
      <w:proofErr w:type="gramStart"/>
      <w:r w:rsidRPr="007B39D4">
        <w:rPr>
          <w:rFonts w:asciiTheme="minorHAnsi" w:eastAsiaTheme="minorHAnsi" w:hAnsiTheme="minorHAnsi" w:cstheme="minorBidi"/>
          <w:color w:val="auto"/>
          <w:sz w:val="24"/>
          <w:szCs w:val="24"/>
          <w:lang w:eastAsia="en-US"/>
        </w:rPr>
        <w:t>office, and</w:t>
      </w:r>
      <w:proofErr w:type="gramEnd"/>
      <w:r w:rsidRPr="007B39D4">
        <w:rPr>
          <w:rFonts w:asciiTheme="minorHAnsi" w:eastAsiaTheme="minorHAnsi" w:hAnsiTheme="minorHAnsi" w:cstheme="minorBidi"/>
          <w:color w:val="auto"/>
          <w:sz w:val="24"/>
          <w:szCs w:val="24"/>
          <w:lang w:eastAsia="en-US"/>
        </w:rPr>
        <w:t xml:space="preserve"> written a cheque to the value of £4,000 which has cleared from his account. The victim could not tell his family what the money was for, nor could he remember how he parted with it but believed it was for roofing work. The family also disclosed to me that they had witnessed a male attend the victim’s address </w:t>
      </w:r>
      <w:proofErr w:type="gramStart"/>
      <w:r w:rsidRPr="007B39D4">
        <w:rPr>
          <w:rFonts w:asciiTheme="minorHAnsi" w:eastAsiaTheme="minorHAnsi" w:hAnsiTheme="minorHAnsi" w:cstheme="minorBidi"/>
          <w:color w:val="auto"/>
          <w:sz w:val="24"/>
          <w:szCs w:val="24"/>
          <w:lang w:eastAsia="en-US"/>
        </w:rPr>
        <w:t>in an attempt to</w:t>
      </w:r>
      <w:proofErr w:type="gramEnd"/>
      <w:r w:rsidRPr="007B39D4">
        <w:rPr>
          <w:rFonts w:asciiTheme="minorHAnsi" w:eastAsiaTheme="minorHAnsi" w:hAnsiTheme="minorHAnsi" w:cstheme="minorBidi"/>
          <w:color w:val="auto"/>
          <w:sz w:val="24"/>
          <w:szCs w:val="24"/>
          <w:lang w:eastAsia="en-US"/>
        </w:rPr>
        <w:t xml:space="preserve"> sell him roofing work. The family, who regularly attend the house could not see any work which had been completed or started. The family disclosed to me that they had recently obtained power of attorney over the victim due to his age, his rapidly declining health and lack of capacity. Because this victim was elderly, lived alone and had been assessed as lacking capacity, I have formed the opinion that this victim is vulnerable. The policing definition of vulnerability </w:t>
      </w:r>
      <w:proofErr w:type="gramStart"/>
      <w:r w:rsidRPr="007B39D4">
        <w:rPr>
          <w:rFonts w:asciiTheme="minorHAnsi" w:eastAsiaTheme="minorHAnsi" w:hAnsiTheme="minorHAnsi" w:cstheme="minorBidi"/>
          <w:color w:val="auto"/>
          <w:sz w:val="24"/>
          <w:szCs w:val="24"/>
          <w:lang w:eastAsia="en-US"/>
        </w:rPr>
        <w:t>is;</w:t>
      </w:r>
      <w:proofErr w:type="gramEnd"/>
    </w:p>
    <w:p w14:paraId="4B048245" w14:textId="77777777" w:rsidR="007B39D4" w:rsidRPr="007B39D4" w:rsidRDefault="007B39D4" w:rsidP="007B39D4">
      <w:pPr>
        <w:overflowPunct/>
        <w:autoSpaceDE/>
        <w:autoSpaceDN/>
        <w:adjustRightInd/>
        <w:spacing w:after="160" w:line="259" w:lineRule="auto"/>
        <w:ind w:left="720"/>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t>“A person is vulnerable if, as a result of their situation or circumstances, they are unable to take care of themselves or others or protects themselves or others from harm or exploitation”.</w:t>
      </w:r>
    </w:p>
    <w:p w14:paraId="07067AF2" w14:textId="77777777" w:rsidR="007B39D4" w:rsidRPr="007B39D4" w:rsidRDefault="007B39D4" w:rsidP="007B39D4">
      <w:pPr>
        <w:overflowPunct/>
        <w:autoSpaceDE/>
        <w:autoSpaceDN/>
        <w:adjustRightInd/>
        <w:spacing w:after="160" w:line="259" w:lineRule="auto"/>
        <w:jc w:val="right"/>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(Northumbria Police, 2023)</w:t>
      </w:r>
    </w:p>
    <w:p w14:paraId="1EA73C4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There are concerning statistics when it comes to vulnerability and fraud offences. Those with declining cognitive ability are at greater risk from rogue traders as they are more easily convinced into accepting their demands for work (Action Fraud, 2023). Statistics have shown that those with either declining cognitive ability, dementia or mental health conditions experience a 3-fold increase in risk of becoming a victim of fraud (United Kingdom Parliament, 2021). More detailed statistics show that the average age of a victim experiencing mail or doorstep scams is 74. In addition, more than a third of elderly victims who were scammed have lost over £1,000. However, the statistic which is most concerning is that the elderly who are scammed at 2.4 times more likely to either die or end up in care (Age UK, 2016). </w:t>
      </w:r>
    </w:p>
    <w:p w14:paraId="10C049A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With the information I had received, I had reasonable grounds to believe that an offence had occurred and initiated an investigation into the circumstances that led to the victim parting with a total of £5,000. Specifically, I believed that an unknown person had pretended to be a legitimate tradesperson to extort money from the victim. Therefore, I was satisfied that the offence of fraud by false representation, contrary to the Fraud Act 2006 was complete, (The National Archives, 2007).</w:t>
      </w:r>
    </w:p>
    <w:p w14:paraId="3BD59D8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With the circumstances stated above I have initiated an investigation. The offender was unknown; </w:t>
      </w:r>
      <w:proofErr w:type="gramStart"/>
      <w:r w:rsidRPr="007B39D4">
        <w:rPr>
          <w:rFonts w:asciiTheme="minorHAnsi" w:eastAsiaTheme="minorHAnsi" w:hAnsiTheme="minorHAnsi" w:cstheme="minorBidi"/>
          <w:color w:val="auto"/>
          <w:sz w:val="24"/>
          <w:szCs w:val="24"/>
          <w:lang w:eastAsia="en-US"/>
        </w:rPr>
        <w:t>therefore</w:t>
      </w:r>
      <w:proofErr w:type="gramEnd"/>
      <w:r w:rsidRPr="007B39D4">
        <w:rPr>
          <w:rFonts w:asciiTheme="minorHAnsi" w:eastAsiaTheme="minorHAnsi" w:hAnsiTheme="minorHAnsi" w:cstheme="minorBidi"/>
          <w:color w:val="auto"/>
          <w:sz w:val="24"/>
          <w:szCs w:val="24"/>
          <w:lang w:eastAsia="en-US"/>
        </w:rPr>
        <w:t xml:space="preserve"> I have decided to follow the golden hour principle to discover and secure evidence. The golden hour principle refers to the </w:t>
      </w:r>
      <w:proofErr w:type="gramStart"/>
      <w:r w:rsidRPr="007B39D4">
        <w:rPr>
          <w:rFonts w:asciiTheme="minorHAnsi" w:eastAsiaTheme="minorHAnsi" w:hAnsiTheme="minorHAnsi" w:cstheme="minorBidi"/>
          <w:color w:val="auto"/>
          <w:sz w:val="24"/>
          <w:szCs w:val="24"/>
          <w:lang w:eastAsia="en-US"/>
        </w:rPr>
        <w:t>period of time</w:t>
      </w:r>
      <w:proofErr w:type="gramEnd"/>
      <w:r w:rsidRPr="007B39D4">
        <w:rPr>
          <w:rFonts w:asciiTheme="minorHAnsi" w:eastAsiaTheme="minorHAnsi" w:hAnsiTheme="minorHAnsi" w:cstheme="minorBidi"/>
          <w:color w:val="auto"/>
          <w:sz w:val="24"/>
          <w:szCs w:val="24"/>
          <w:lang w:eastAsia="en-US"/>
        </w:rPr>
        <w:t xml:space="preserve"> immediately after a crime has occurred or has been reported and is when positive action from the police is most required to maximise evidential material and prevent its loss (College of Policing), 2023). I have critically evaluated my decision to instigate the golden hour principle and believed it was high effectively in this matter. Evidential material is most abundant during this time frame and following the golden hour principle has allowed me to gain the most admissible material possible and identify enquiries which needed to be fast-track actions.  A fast-track action has been defined as</w:t>
      </w:r>
    </w:p>
    <w:p w14:paraId="0D08F713" w14:textId="77777777" w:rsidR="007B39D4" w:rsidRPr="007B39D4" w:rsidRDefault="007B39D4" w:rsidP="007B39D4">
      <w:pPr>
        <w:overflowPunct/>
        <w:autoSpaceDE/>
        <w:autoSpaceDN/>
        <w:adjustRightInd/>
        <w:spacing w:after="160" w:line="259" w:lineRule="auto"/>
        <w:ind w:left="720"/>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lastRenderedPageBreak/>
        <w:t>“Any investigative actions which, if pursued immediately, are likely to establish important facts, preserve evidence or lead to the early resolution of the case”.</w:t>
      </w:r>
    </w:p>
    <w:p w14:paraId="2BFB3BC4" w14:textId="77777777" w:rsidR="007B39D4" w:rsidRPr="007B39D4" w:rsidRDefault="007B39D4" w:rsidP="007B39D4">
      <w:pPr>
        <w:overflowPunct/>
        <w:autoSpaceDE/>
        <w:autoSpaceDN/>
        <w:adjustRightInd/>
        <w:spacing w:after="160" w:line="259" w:lineRule="auto"/>
        <w:jc w:val="right"/>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(Kent Police, 2023)</w:t>
      </w:r>
    </w:p>
    <w:p w14:paraId="603099F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I have critically evaluated the enquiries which I have identified as being a fast-track action. These were house-to-house enquiries, CCTV, financial enquiries, witness statements and telecommunication enquiries (Association of Chief Police Officers, 2012). House-to-house was an effective fast-track action. It has allowed me to canvas the street for additional witnesses and advise neighbours of the current situation. I have fast-tracked CCTV enquiries and </w:t>
      </w:r>
      <w:proofErr w:type="gramStart"/>
      <w:r w:rsidRPr="007B39D4">
        <w:rPr>
          <w:rFonts w:asciiTheme="minorHAnsi" w:eastAsiaTheme="minorHAnsi" w:hAnsiTheme="minorHAnsi" w:cstheme="minorBidi"/>
          <w:color w:val="auto"/>
          <w:sz w:val="24"/>
          <w:szCs w:val="24"/>
          <w:lang w:eastAsia="en-US"/>
        </w:rPr>
        <w:t>evaluated</w:t>
      </w:r>
      <w:proofErr w:type="gramEnd"/>
      <w:r w:rsidRPr="007B39D4">
        <w:rPr>
          <w:rFonts w:asciiTheme="minorHAnsi" w:eastAsiaTheme="minorHAnsi" w:hAnsiTheme="minorHAnsi" w:cstheme="minorBidi"/>
          <w:color w:val="auto"/>
          <w:sz w:val="24"/>
          <w:szCs w:val="24"/>
          <w:lang w:eastAsia="en-US"/>
        </w:rPr>
        <w:t xml:space="preserve"> this as being a highly effective. From my experience, CCTV footage only lasts for a defined number of days after being recorded. Conducting these enquiries immediately as a fast-track action has meant that I secured CCTV evidence which was critical in proving the suspect was at the scene of the offence. I took the decision to fast-track the financial enquiries. This was because the cheque which the victim had written had cleared into a bank account. I fast tracked this action because it held important information and could lead to the early resolution of the case. Whilst this action did indeed provide critical information and additional lines of enquiry, it was a slow process which took many weeks to complete. I decided to fast-track the telecommunications enquiries as I was provided a number which was used to contact the victim. It was alleged this number belonged to the unknown offender. I fast-tracked this action because I believed it contained important information and it could lead to the early resolution of the case. Like the financial enquiries, whilst I obtained key information from this action, it took weeks for the application to process. The final enquiry I decided to fast-track was obtaining witness statements. I have decided to fast-track this action because witnesses held information of potential sightings and descriptions. Taking the statements at the earliest opportunity meant I was minimising the potential loss of detail. I felt this was a highly effective decision and I was able to obtain a thorough and detailed description of the unknown offender which was eventually used to identify them.  </w:t>
      </w:r>
    </w:p>
    <w:p w14:paraId="438F17F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Taking time to evaluate the evidence you hold is a critical step within any investigation. Evaluating material evidence provides the opportunity for additional or further lines of enquiry to be established, leading to the timely progression of the investigation and ensure the most of amount of material can be secured (Stainton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 xml:space="preserve">2022). In addition, I am duty bound by the Criminal Procedure and Investigations Act 1996 to fully investigate any reasonable lines of enquiry which provide evidence for or against any involved suspects (The National Archives, 2023). Once I had interviewed the initial primary suspect, I took time to evaluate </w:t>
      </w:r>
      <w:proofErr w:type="gramStart"/>
      <w:r w:rsidRPr="007B39D4">
        <w:rPr>
          <w:rFonts w:asciiTheme="minorHAnsi" w:eastAsiaTheme="minorHAnsi" w:hAnsiTheme="minorHAnsi" w:cstheme="minorBidi"/>
          <w:color w:val="auto"/>
          <w:sz w:val="24"/>
          <w:szCs w:val="24"/>
          <w:lang w:eastAsia="en-US"/>
        </w:rPr>
        <w:t>all of</w:t>
      </w:r>
      <w:proofErr w:type="gramEnd"/>
      <w:r w:rsidRPr="007B39D4">
        <w:rPr>
          <w:rFonts w:asciiTheme="minorHAnsi" w:eastAsiaTheme="minorHAnsi" w:hAnsiTheme="minorHAnsi" w:cstheme="minorBidi"/>
          <w:color w:val="auto"/>
          <w:sz w:val="24"/>
          <w:szCs w:val="24"/>
          <w:lang w:eastAsia="en-US"/>
        </w:rPr>
        <w:t xml:space="preserve"> the CCTV, financial and telecommunication evidence I held. I have critically evaluated my decision to stop and evaluate the evidential material. This was an effective decision and it allowed me to assess where the gaps were in my evidential material and had highlighted important further lines of enquiry which provided key evidence leading away from the initial primary suspect. If I had not taken this step, it is likely I would have not secured all available evidence, leading to a weak prosecution case and the actual offender not being identified.</w:t>
      </w:r>
    </w:p>
    <w:p w14:paraId="6397D91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36F35B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i/>
          <w:iCs/>
          <w:color w:val="auto"/>
          <w:sz w:val="24"/>
          <w:szCs w:val="24"/>
          <w:lang w:eastAsia="en-US"/>
        </w:rPr>
      </w:pPr>
      <w:r w:rsidRPr="007B39D4">
        <w:rPr>
          <w:rFonts w:asciiTheme="minorHAnsi" w:eastAsiaTheme="minorHAnsi" w:hAnsiTheme="minorHAnsi" w:cstheme="minorBidi"/>
          <w:i/>
          <w:iCs/>
          <w:color w:val="auto"/>
          <w:sz w:val="24"/>
          <w:szCs w:val="24"/>
          <w:lang w:eastAsia="en-US"/>
        </w:rPr>
        <w:lastRenderedPageBreak/>
        <w:t>Support of victims and witnesses</w:t>
      </w:r>
    </w:p>
    <w:p w14:paraId="6C6BC34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color w:val="auto"/>
          <w:sz w:val="24"/>
          <w:szCs w:val="24"/>
          <w:lang w:eastAsia="en-US"/>
        </w:rPr>
      </w:pPr>
      <w:r w:rsidRPr="007B39D4">
        <w:rPr>
          <w:rFonts w:asciiTheme="minorHAnsi" w:eastAsiaTheme="minorHAnsi" w:hAnsiTheme="minorHAnsi" w:cstheme="minorBidi"/>
          <w:bCs/>
          <w:color w:val="auto"/>
          <w:sz w:val="24"/>
          <w:szCs w:val="24"/>
          <w:lang w:eastAsia="en-US"/>
        </w:rPr>
        <w:t xml:space="preserve">   I spoke to the family and ascertained that the victim in this matter was vulnerable. In addition, they had significant health issues both mentally and physically. As the victim lived alone the family needed to attend multiple times a day to help care for them. To help support the victim and witnesses I have sent off a police protection referral to adult social services. This referral is a document used by the police to share wellbeing and safeguarding concerns to the appropriate third parties, such as adult social services (BCP, 2023). After critically evaluating this method in providing support to the victims and witnesses, I feel it was an effective way to get additional safeguarding. Having community care and family attending the victim’s house multiple times a day will minimise the risk of them falling victim to such incidents in the future as he is clearly not able to protect himself.</w:t>
      </w:r>
    </w:p>
    <w:p w14:paraId="7D3078C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color w:val="auto"/>
          <w:sz w:val="24"/>
          <w:szCs w:val="24"/>
          <w:lang w:eastAsia="en-US"/>
        </w:rPr>
      </w:pPr>
      <w:r w:rsidRPr="007B39D4">
        <w:rPr>
          <w:rFonts w:asciiTheme="minorHAnsi" w:eastAsiaTheme="minorHAnsi" w:hAnsiTheme="minorHAnsi" w:cstheme="minorBidi"/>
          <w:bCs/>
          <w:color w:val="auto"/>
          <w:sz w:val="24"/>
          <w:szCs w:val="24"/>
          <w:lang w:eastAsia="en-US"/>
        </w:rPr>
        <w:t xml:space="preserve">    I have also applied for a victim safety pack so that the victim could obtain a ring doorbell and window jammers. Physical security measures have been shown to deter against future criminal attempts (Newton </w:t>
      </w:r>
      <w:r w:rsidRPr="007B39D4">
        <w:rPr>
          <w:rFonts w:asciiTheme="minorHAnsi" w:eastAsiaTheme="minorHAnsi" w:hAnsiTheme="minorHAnsi" w:cstheme="minorBidi"/>
          <w:bCs/>
          <w:i/>
          <w:iCs/>
          <w:color w:val="auto"/>
          <w:sz w:val="24"/>
          <w:szCs w:val="24"/>
          <w:lang w:eastAsia="en-US"/>
        </w:rPr>
        <w:t xml:space="preserve">et al., </w:t>
      </w:r>
      <w:r w:rsidRPr="007B39D4">
        <w:rPr>
          <w:rFonts w:asciiTheme="minorHAnsi" w:eastAsiaTheme="minorHAnsi" w:hAnsiTheme="minorHAnsi" w:cstheme="minorBidi"/>
          <w:bCs/>
          <w:color w:val="auto"/>
          <w:sz w:val="24"/>
          <w:szCs w:val="24"/>
          <w:lang w:eastAsia="en-US"/>
        </w:rPr>
        <w:t>2008). I have critically evaluated this as being an effective measure as it does not require any input from the victim and will be constantly active.</w:t>
      </w:r>
    </w:p>
    <w:p w14:paraId="4796446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color w:val="auto"/>
          <w:sz w:val="24"/>
          <w:szCs w:val="24"/>
          <w:lang w:eastAsia="en-US"/>
        </w:rPr>
      </w:pPr>
      <w:r w:rsidRPr="007B39D4">
        <w:rPr>
          <w:rFonts w:asciiTheme="minorHAnsi" w:eastAsiaTheme="minorHAnsi" w:hAnsiTheme="minorHAnsi" w:cstheme="minorBidi"/>
          <w:bCs/>
          <w:color w:val="auto"/>
          <w:sz w:val="24"/>
          <w:szCs w:val="24"/>
          <w:lang w:eastAsia="en-US"/>
        </w:rPr>
        <w:t xml:space="preserve">   Also, I would be protecting the victim and witnesses in this matter by placing bail conditions on any suspect after interview (Crown prosecution service, 2023). These conditions would prevent the suspect contacting any of the witnesses/victim in this matter and prevent them from attending the victim’s property. However, after critically evaluating this method, I must doubt the effectiveness. The suspect in this matter does not know who the witnesses are, nor has any contact with them. The only notable interaction was between the suspect and the victim. The police bail conditions are only effective if breaches are reported to us. Considering the victim has significant mental and physical impairments, it is highly unlikely that any breaches of bail would be reported by them.</w:t>
      </w:r>
    </w:p>
    <w:p w14:paraId="6ACC1D9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color w:val="auto"/>
          <w:sz w:val="24"/>
          <w:szCs w:val="24"/>
          <w:lang w:eastAsia="en-US"/>
        </w:rPr>
      </w:pPr>
      <w:r w:rsidRPr="007B39D4">
        <w:rPr>
          <w:rFonts w:asciiTheme="minorHAnsi" w:eastAsiaTheme="minorHAnsi" w:hAnsiTheme="minorHAnsi" w:cstheme="minorBidi"/>
          <w:bCs/>
          <w:color w:val="auto"/>
          <w:sz w:val="24"/>
          <w:szCs w:val="24"/>
          <w:lang w:eastAsia="en-US"/>
        </w:rPr>
        <w:t xml:space="preserve">   The initial primary suspect turned out to be a secondary victim in this matter. The disclosures made to me by this person were concerning and equated to a high-risk domestic relationship. Support was essential to protect this person from future harm; therefore, I have submitted a referral for a multi-agency risk assessment conference. These conferences provide an opportunity for representatives from different specialities to </w:t>
      </w:r>
      <w:proofErr w:type="spellStart"/>
      <w:r w:rsidRPr="007B39D4">
        <w:rPr>
          <w:rFonts w:asciiTheme="minorHAnsi" w:eastAsiaTheme="minorHAnsi" w:hAnsiTheme="minorHAnsi" w:cstheme="minorBidi"/>
          <w:bCs/>
          <w:color w:val="auto"/>
          <w:sz w:val="24"/>
          <w:szCs w:val="24"/>
          <w:lang w:eastAsia="en-US"/>
        </w:rPr>
        <w:t>discus</w:t>
      </w:r>
      <w:proofErr w:type="spellEnd"/>
      <w:r w:rsidRPr="007B39D4">
        <w:rPr>
          <w:rFonts w:asciiTheme="minorHAnsi" w:eastAsiaTheme="minorHAnsi" w:hAnsiTheme="minorHAnsi" w:cstheme="minorBidi"/>
          <w:bCs/>
          <w:color w:val="auto"/>
          <w:sz w:val="24"/>
          <w:szCs w:val="24"/>
          <w:lang w:eastAsia="en-US"/>
        </w:rPr>
        <w:t xml:space="preserve"> high risk abuse cases and formulate a plan to safeguard and mitigate risk for the victim (Devon County Council, 2023). I have critically evaluated this method in providing support and I feel that it was an effective tool which was utilised. The referral has allowed the police and multiple domestic abuse specialist services to formulate a safeguarding plan. However, studies are concluding that referrals to this conference are not producing any significant reduction in future harm for the victim and are often police-led (</w:t>
      </w:r>
      <w:proofErr w:type="spellStart"/>
      <w:r w:rsidRPr="007B39D4">
        <w:rPr>
          <w:rFonts w:asciiTheme="minorHAnsi" w:eastAsiaTheme="minorHAnsi" w:hAnsiTheme="minorHAnsi" w:cstheme="minorBidi"/>
          <w:bCs/>
          <w:color w:val="auto"/>
          <w:sz w:val="24"/>
          <w:szCs w:val="24"/>
          <w:lang w:eastAsia="en-US"/>
        </w:rPr>
        <w:t>Whinney</w:t>
      </w:r>
      <w:proofErr w:type="spellEnd"/>
      <w:r w:rsidRPr="007B39D4">
        <w:rPr>
          <w:rFonts w:asciiTheme="minorHAnsi" w:eastAsiaTheme="minorHAnsi" w:hAnsiTheme="minorHAnsi" w:cstheme="minorBidi"/>
          <w:bCs/>
          <w:color w:val="auto"/>
          <w:sz w:val="24"/>
          <w:szCs w:val="24"/>
          <w:lang w:eastAsia="en-US"/>
        </w:rPr>
        <w:t>, 2015), (</w:t>
      </w:r>
      <w:proofErr w:type="spellStart"/>
      <w:r w:rsidRPr="007B39D4">
        <w:rPr>
          <w:rFonts w:asciiTheme="minorHAnsi" w:eastAsiaTheme="minorHAnsi" w:hAnsiTheme="minorHAnsi" w:cstheme="minorBidi"/>
          <w:bCs/>
          <w:color w:val="auto"/>
          <w:sz w:val="24"/>
          <w:szCs w:val="24"/>
          <w:lang w:eastAsia="en-US"/>
        </w:rPr>
        <w:t>Adisa</w:t>
      </w:r>
      <w:proofErr w:type="spellEnd"/>
      <w:r w:rsidRPr="007B39D4">
        <w:rPr>
          <w:rFonts w:asciiTheme="minorHAnsi" w:eastAsiaTheme="minorHAnsi" w:hAnsiTheme="minorHAnsi" w:cstheme="minorBidi"/>
          <w:bCs/>
          <w:color w:val="auto"/>
          <w:sz w:val="24"/>
          <w:szCs w:val="24"/>
          <w:lang w:eastAsia="en-US"/>
        </w:rPr>
        <w:t>, 2020).</w:t>
      </w:r>
    </w:p>
    <w:p w14:paraId="3397AD0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color w:val="auto"/>
          <w:sz w:val="24"/>
          <w:szCs w:val="24"/>
          <w:lang w:eastAsia="en-US"/>
        </w:rPr>
      </w:pPr>
    </w:p>
    <w:p w14:paraId="5CD4CB1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Cs/>
          <w:i/>
          <w:iCs/>
          <w:color w:val="auto"/>
          <w:sz w:val="24"/>
          <w:szCs w:val="24"/>
          <w:lang w:eastAsia="en-US"/>
        </w:rPr>
      </w:pPr>
      <w:r w:rsidRPr="007B39D4">
        <w:rPr>
          <w:rFonts w:asciiTheme="minorHAnsi" w:eastAsiaTheme="minorHAnsi" w:hAnsiTheme="minorHAnsi" w:cstheme="minorBidi"/>
          <w:bCs/>
          <w:i/>
          <w:iCs/>
          <w:color w:val="auto"/>
          <w:sz w:val="24"/>
          <w:szCs w:val="24"/>
          <w:lang w:eastAsia="en-US"/>
        </w:rPr>
        <w:t>Management of personal values</w:t>
      </w:r>
    </w:p>
    <w:p w14:paraId="6A8109E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4"/>
          <w:szCs w:val="24"/>
          <w:lang w:eastAsia="en-US"/>
        </w:rPr>
        <w:t xml:space="preserve">   The effect of personal values and attitudes within criminal investigations and decision making and its ability to cause bias is known (Ramsden, 2014). I had to be aware of how </w:t>
      </w:r>
      <w:r w:rsidRPr="007B39D4">
        <w:rPr>
          <w:rFonts w:asciiTheme="minorHAnsi" w:eastAsiaTheme="minorHAnsi" w:hAnsiTheme="minorHAnsi" w:cstheme="minorBidi"/>
          <w:color w:val="auto"/>
          <w:sz w:val="24"/>
          <w:szCs w:val="24"/>
          <w:lang w:eastAsia="en-US"/>
        </w:rPr>
        <w:lastRenderedPageBreak/>
        <w:t xml:space="preserve">highly emotive this incident was to me. However, I think having these personal values and managing them had a positive impact on my investigation. These strong feelings motivated me explore all lines of enquiry in the upmost detail to identify suspects and gather all available material. In this regard, I felt I was not only able to manage my emotions well, but actively use them to positively impact on my investigation. In addition to this, I am aware that I have subconscious bias against those in the travelling community. This incident has not only helped me challenge this bias but has also changed and solidified a positive perspective of this community. When I was dealing with the initial primary suspect who turned out to be a victim, I learned vastly from dealing with this person. I learned that the actions of the real offender from the travelling community is not representative of their morals and values. In addition, this has highlighted the domestic abuse which occurs within the travelling community and how females within this community are at particular risk (James, 2010), (Allen, 2011), (O’Neill </w:t>
      </w:r>
      <w:r w:rsidRPr="007B39D4">
        <w:rPr>
          <w:rFonts w:asciiTheme="minorHAnsi" w:eastAsiaTheme="minorHAnsi" w:hAnsiTheme="minorHAnsi" w:cstheme="minorBidi"/>
          <w:i/>
          <w:iCs/>
          <w:color w:val="auto"/>
          <w:sz w:val="24"/>
          <w:szCs w:val="24"/>
          <w:lang w:eastAsia="en-US"/>
        </w:rPr>
        <w:t xml:space="preserve">et al., </w:t>
      </w:r>
      <w:r w:rsidRPr="007B39D4">
        <w:rPr>
          <w:rFonts w:asciiTheme="minorHAnsi" w:eastAsiaTheme="minorHAnsi" w:hAnsiTheme="minorHAnsi" w:cstheme="minorBidi"/>
          <w:color w:val="auto"/>
          <w:sz w:val="24"/>
          <w:szCs w:val="24"/>
          <w:lang w:eastAsia="en-US"/>
        </w:rPr>
        <w:t>2021).</w:t>
      </w:r>
    </w:p>
    <w:p w14:paraId="7364B74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8"/>
          <w:szCs w:val="28"/>
          <w:lang w:eastAsia="en-US"/>
        </w:rPr>
      </w:pPr>
      <w:r w:rsidRPr="007B39D4">
        <w:rPr>
          <w:rFonts w:asciiTheme="minorHAnsi" w:eastAsiaTheme="minorHAnsi" w:hAnsiTheme="minorHAnsi" w:cstheme="minorBidi"/>
          <w:b/>
          <w:bCs/>
          <w:color w:val="auto"/>
          <w:sz w:val="28"/>
          <w:szCs w:val="28"/>
          <w:lang w:eastAsia="en-US"/>
        </w:rPr>
        <w:t>Conclusion</w:t>
      </w:r>
    </w:p>
    <w:p w14:paraId="79D7337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7B39D4">
        <w:rPr>
          <w:rFonts w:asciiTheme="minorHAnsi" w:eastAsiaTheme="minorHAnsi" w:hAnsiTheme="minorHAnsi" w:cstheme="minorBidi"/>
          <w:color w:val="auto"/>
          <w:sz w:val="28"/>
          <w:szCs w:val="28"/>
          <w:lang w:eastAsia="en-US"/>
        </w:rPr>
        <w:t xml:space="preserve">   </w:t>
      </w:r>
      <w:r w:rsidRPr="007B39D4">
        <w:rPr>
          <w:rFonts w:asciiTheme="minorHAnsi" w:eastAsiaTheme="minorHAnsi" w:hAnsiTheme="minorHAnsi" w:cstheme="minorBidi"/>
          <w:color w:val="auto"/>
          <w:sz w:val="24"/>
          <w:szCs w:val="24"/>
          <w:lang w:eastAsia="en-US"/>
        </w:rPr>
        <w:t xml:space="preserve">During this essay I have critically evaluated how I have investigated a case of fraud and how I have supported victims and witnesses whilst managing my own personal values. It has been established that the use of the golden hour principle is highly effective in determining fast-track actions. However, it has been determined that financial and telecommunication enquiries are not suitable fast-track actions due to the longevity of their processing time. Whilst they shouldn’t be considered a fast-track action, they should be completed expeditiously when required. The importance of evaluating investigative material to established gaps in evidence and establish further lines of enquiry has been highlighted and demonstrated. I have evaluated that submitting a police protection referral and applying for a victim safety pack were effective methods in protecting the victim. However, the effectiveness of bail conditions </w:t>
      </w:r>
      <w:proofErr w:type="gramStart"/>
      <w:r w:rsidRPr="007B39D4">
        <w:rPr>
          <w:rFonts w:asciiTheme="minorHAnsi" w:eastAsiaTheme="minorHAnsi" w:hAnsiTheme="minorHAnsi" w:cstheme="minorBidi"/>
          <w:color w:val="auto"/>
          <w:sz w:val="24"/>
          <w:szCs w:val="24"/>
          <w:lang w:eastAsia="en-US"/>
        </w:rPr>
        <w:t>are</w:t>
      </w:r>
      <w:proofErr w:type="gramEnd"/>
      <w:r w:rsidRPr="007B39D4">
        <w:rPr>
          <w:rFonts w:asciiTheme="minorHAnsi" w:eastAsiaTheme="minorHAnsi" w:hAnsiTheme="minorHAnsi" w:cstheme="minorBidi"/>
          <w:color w:val="auto"/>
          <w:sz w:val="24"/>
          <w:szCs w:val="24"/>
          <w:lang w:eastAsia="en-US"/>
        </w:rPr>
        <w:t xml:space="preserve"> in doubt due to the health and capacity issues which the victim has. I have established that I effectively managed my personal values and used them in a positive manner not only to progress the investigation, but to challenge my current perception of the travelling community. </w:t>
      </w:r>
    </w:p>
    <w:p w14:paraId="4FDF64C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482A17C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Bidi"/>
          <w:b/>
          <w:bCs/>
          <w:color w:val="auto"/>
          <w:sz w:val="24"/>
          <w:szCs w:val="24"/>
          <w:lang w:eastAsia="en-US"/>
        </w:rPr>
      </w:pPr>
      <w:r w:rsidRPr="007B39D4">
        <w:rPr>
          <w:rFonts w:asciiTheme="minorHAnsi" w:eastAsiaTheme="minorHAnsi" w:hAnsiTheme="minorHAnsi" w:cstheme="minorBidi"/>
          <w:b/>
          <w:bCs/>
          <w:color w:val="auto"/>
          <w:sz w:val="24"/>
          <w:szCs w:val="24"/>
          <w:lang w:eastAsia="en-US"/>
        </w:rPr>
        <w:t xml:space="preserve">Word </w:t>
      </w:r>
      <w:proofErr w:type="gramStart"/>
      <w:r w:rsidRPr="007B39D4">
        <w:rPr>
          <w:rFonts w:asciiTheme="minorHAnsi" w:eastAsiaTheme="minorHAnsi" w:hAnsiTheme="minorHAnsi" w:cstheme="minorBidi"/>
          <w:b/>
          <w:bCs/>
          <w:color w:val="auto"/>
          <w:sz w:val="24"/>
          <w:szCs w:val="24"/>
          <w:lang w:eastAsia="en-US"/>
        </w:rPr>
        <w:t>Count :</w:t>
      </w:r>
      <w:proofErr w:type="gramEnd"/>
      <w:r w:rsidRPr="007B39D4">
        <w:rPr>
          <w:rFonts w:asciiTheme="minorHAnsi" w:eastAsiaTheme="minorHAnsi" w:hAnsiTheme="minorHAnsi" w:cstheme="minorBidi"/>
          <w:b/>
          <w:bCs/>
          <w:color w:val="auto"/>
          <w:sz w:val="24"/>
          <w:szCs w:val="24"/>
          <w:lang w:eastAsia="en-US"/>
        </w:rPr>
        <w:t xml:space="preserve"> 2152</w:t>
      </w: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DA54049" w:rsidR="0FF883D4" w:rsidRDefault="5CE196A1" w:rsidP="5CE196A1">
      <w:r w:rsidRPr="5CE196A1">
        <w:rPr>
          <w:rFonts w:eastAsia="Arial"/>
          <w:b/>
          <w:bCs/>
          <w:color w:val="000000" w:themeColor="text1"/>
          <w:sz w:val="24"/>
          <w:szCs w:val="24"/>
        </w:rPr>
        <w:t xml:space="preserve">Signed: </w:t>
      </w:r>
      <w:proofErr w:type="spellStart"/>
      <w:proofErr w:type="gramStart"/>
      <w:r w:rsidR="00051DD1">
        <w:rPr>
          <w:rFonts w:eastAsia="Arial"/>
          <w:b/>
          <w:bCs/>
          <w:color w:val="000000" w:themeColor="text1"/>
          <w:sz w:val="24"/>
          <w:szCs w:val="24"/>
        </w:rPr>
        <w:t>A.Blackwood</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0A851046" w:rsidR="0FF883D4" w:rsidRPr="00051DD1" w:rsidRDefault="5CE196A1" w:rsidP="00051DD1">
      <w:pPr>
        <w:sectPr w:rsidR="0FF883D4" w:rsidRPr="00051DD1"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51DD1">
        <w:t xml:space="preserve"> </w:t>
      </w:r>
      <w:r w:rsidR="007B39D4">
        <w:t>7</w:t>
      </w:r>
      <w:r w:rsidR="007B39D4" w:rsidRPr="007B39D4">
        <w:rPr>
          <w:vertAlign w:val="superscript"/>
        </w:rPr>
        <w:t>th</w:t>
      </w:r>
      <w:r w:rsidR="007B39D4">
        <w:t xml:space="preserve"> </w:t>
      </w:r>
      <w:proofErr w:type="gramStart"/>
      <w:r w:rsidR="007B39D4">
        <w:t xml:space="preserve">August </w:t>
      </w:r>
      <w:r w:rsidR="00051DD1">
        <w:t xml:space="preserve"> 2023</w:t>
      </w:r>
      <w:proofErr w:type="gramEnd"/>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01AC9B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EB9E586" w14:textId="77777777" w:rsidR="00051DD1" w:rsidRDefault="00051DD1" w:rsidP="00EA28F1">
      <w:pPr>
        <w:keepNext/>
        <w:spacing w:before="240" w:after="60"/>
        <w:ind w:right="237"/>
        <w:jc w:val="both"/>
        <w:rPr>
          <w:sz w:val="24"/>
          <w:szCs w:val="24"/>
        </w:rPr>
      </w:pPr>
    </w:p>
    <w:p w14:paraId="0CD1FB2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Northumbria Police (2023) </w:t>
      </w:r>
      <w:r w:rsidRPr="007B39D4">
        <w:rPr>
          <w:rFonts w:asciiTheme="minorHAnsi" w:eastAsiaTheme="minorHAnsi" w:hAnsiTheme="minorHAnsi" w:cstheme="minorHAnsi"/>
          <w:i/>
          <w:iCs/>
          <w:color w:val="333333"/>
          <w:sz w:val="22"/>
          <w:szCs w:val="22"/>
          <w:shd w:val="clear" w:color="auto" w:fill="FBFBFB"/>
          <w:lang w:eastAsia="en-US"/>
        </w:rPr>
        <w:t>Protecting the vulnerable</w:t>
      </w:r>
      <w:r w:rsidRPr="007B39D4">
        <w:rPr>
          <w:rFonts w:asciiTheme="minorHAnsi" w:eastAsiaTheme="minorHAnsi" w:hAnsiTheme="minorHAnsi" w:cstheme="minorHAnsi"/>
          <w:color w:val="333333"/>
          <w:sz w:val="22"/>
          <w:szCs w:val="22"/>
          <w:shd w:val="clear" w:color="auto" w:fill="FBFBFB"/>
          <w:lang w:eastAsia="en-US"/>
        </w:rPr>
        <w:t>. Available at: https://beta.northumbria.police.uk/about-us/policies/crime/protecting-the-vulnerable/</w:t>
      </w:r>
      <w:proofErr w:type="gramStart"/>
      <w:r w:rsidRPr="007B39D4">
        <w:rPr>
          <w:rFonts w:asciiTheme="minorHAnsi" w:eastAsiaTheme="minorHAnsi" w:hAnsiTheme="minorHAnsi" w:cstheme="minorHAnsi"/>
          <w:color w:val="333333"/>
          <w:sz w:val="22"/>
          <w:szCs w:val="22"/>
          <w:shd w:val="clear" w:color="auto" w:fill="FBFBFB"/>
          <w:lang w:eastAsia="en-US"/>
        </w:rPr>
        <w:t>:  (</w:t>
      </w:r>
      <w:proofErr w:type="gramEnd"/>
      <w:r w:rsidRPr="007B39D4">
        <w:rPr>
          <w:rFonts w:asciiTheme="minorHAnsi" w:eastAsiaTheme="minorHAnsi" w:hAnsiTheme="minorHAnsi" w:cstheme="minorHAnsi"/>
          <w:color w:val="333333"/>
          <w:sz w:val="22"/>
          <w:szCs w:val="22"/>
          <w:shd w:val="clear" w:color="auto" w:fill="FBFBFB"/>
          <w:lang w:eastAsia="en-US"/>
        </w:rPr>
        <w:t>Accessed: 07 AUGUST 2023).</w:t>
      </w:r>
    </w:p>
    <w:p w14:paraId="6E9DBF2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34BBBBF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Nottingham University (2023) </w:t>
      </w:r>
      <w:r w:rsidRPr="007B39D4">
        <w:rPr>
          <w:rFonts w:asciiTheme="minorHAnsi" w:eastAsiaTheme="minorHAnsi" w:hAnsiTheme="minorHAnsi" w:cstheme="minorHAnsi"/>
          <w:i/>
          <w:iCs/>
          <w:color w:val="333333"/>
          <w:sz w:val="22"/>
          <w:szCs w:val="22"/>
          <w:shd w:val="clear" w:color="auto" w:fill="FBFBFB"/>
          <w:lang w:eastAsia="en-US"/>
        </w:rPr>
        <w:t xml:space="preserve">Driscoll (By </w:t>
      </w:r>
      <w:proofErr w:type="spellStart"/>
      <w:r w:rsidRPr="007B39D4">
        <w:rPr>
          <w:rFonts w:asciiTheme="minorHAnsi" w:eastAsiaTheme="minorHAnsi" w:hAnsiTheme="minorHAnsi" w:cstheme="minorHAnsi"/>
          <w:i/>
          <w:iCs/>
          <w:color w:val="333333"/>
          <w:sz w:val="22"/>
          <w:szCs w:val="22"/>
          <w:shd w:val="clear" w:color="auto" w:fill="FBFBFB"/>
          <w:lang w:eastAsia="en-US"/>
        </w:rPr>
        <w:t>Borton</w:t>
      </w:r>
      <w:proofErr w:type="spellEnd"/>
      <w:r w:rsidRPr="007B39D4">
        <w:rPr>
          <w:rFonts w:asciiTheme="minorHAnsi" w:eastAsiaTheme="minorHAnsi" w:hAnsiTheme="minorHAnsi" w:cstheme="minorHAnsi"/>
          <w:i/>
          <w:iCs/>
          <w:color w:val="333333"/>
          <w:sz w:val="22"/>
          <w:szCs w:val="22"/>
          <w:shd w:val="clear" w:color="auto" w:fill="FBFBFB"/>
          <w:lang w:eastAsia="en-US"/>
        </w:rPr>
        <w:t>)</w:t>
      </w:r>
      <w:r w:rsidRPr="007B39D4">
        <w:rPr>
          <w:rFonts w:asciiTheme="minorHAnsi" w:eastAsiaTheme="minorHAnsi" w:hAnsiTheme="minorHAnsi" w:cstheme="minorHAnsi"/>
          <w:color w:val="333333"/>
          <w:sz w:val="22"/>
          <w:szCs w:val="22"/>
          <w:shd w:val="clear" w:color="auto" w:fill="FBFBFB"/>
          <w:lang w:eastAsia="en-US"/>
        </w:rPr>
        <w:t>. Available at: https://www.nottingham.ac.uk/nmp/sonet/rlos/placs/critical_reflection/models/driscoll.html (Accessed: 07 AUGUST 2023).</w:t>
      </w:r>
    </w:p>
    <w:p w14:paraId="21261F5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4E8CF9B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Department of Justice (2005) </w:t>
      </w:r>
      <w:r w:rsidRPr="007B39D4">
        <w:rPr>
          <w:rFonts w:asciiTheme="minorHAnsi" w:eastAsiaTheme="minorHAnsi" w:hAnsiTheme="minorHAnsi" w:cstheme="minorHAnsi"/>
          <w:i/>
          <w:iCs/>
          <w:color w:val="333333"/>
          <w:sz w:val="22"/>
          <w:szCs w:val="22"/>
          <w:shd w:val="clear" w:color="auto" w:fill="FBFBFB"/>
          <w:lang w:eastAsia="en-US"/>
        </w:rPr>
        <w:t>Analysing Repeat Victimisation</w:t>
      </w:r>
      <w:r w:rsidRPr="007B39D4">
        <w:rPr>
          <w:rFonts w:asciiTheme="minorHAnsi" w:eastAsiaTheme="minorHAnsi" w:hAnsiTheme="minorHAnsi" w:cstheme="minorHAnsi"/>
          <w:color w:val="333333"/>
          <w:sz w:val="22"/>
          <w:szCs w:val="22"/>
          <w:shd w:val="clear" w:color="auto" w:fill="FBFBFB"/>
          <w:lang w:eastAsia="en-US"/>
        </w:rPr>
        <w:t>. Available at: https://www.ojp.gov/ncjrs/virtual-library/abstracts/analyzing-repeat-victimization#:~:text=According%20to%20most%20definitions%2C%20repeat,time%2C%20such%20as%20a%20year.l (Accessed: 07 AUGUST 2023).</w:t>
      </w:r>
    </w:p>
    <w:p w14:paraId="1154A24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76E2F5A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Help Guide (2023) </w:t>
      </w:r>
      <w:r w:rsidRPr="007B39D4">
        <w:rPr>
          <w:rFonts w:asciiTheme="minorHAnsi" w:eastAsiaTheme="minorHAnsi" w:hAnsiTheme="minorHAnsi" w:cstheme="minorHAnsi"/>
          <w:i/>
          <w:iCs/>
          <w:color w:val="333333"/>
          <w:sz w:val="22"/>
          <w:szCs w:val="22"/>
          <w:shd w:val="clear" w:color="auto" w:fill="FBFBFB"/>
          <w:lang w:eastAsia="en-US"/>
        </w:rPr>
        <w:t>Elder Abuse and Neglect</w:t>
      </w:r>
      <w:r w:rsidRPr="007B39D4">
        <w:rPr>
          <w:rFonts w:asciiTheme="minorHAnsi" w:eastAsiaTheme="minorHAnsi" w:hAnsiTheme="minorHAnsi" w:cstheme="minorHAnsi"/>
          <w:color w:val="333333"/>
          <w:sz w:val="22"/>
          <w:szCs w:val="22"/>
          <w:shd w:val="clear" w:color="auto" w:fill="FBFBFB"/>
          <w:lang w:eastAsia="en-US"/>
        </w:rPr>
        <w:t>. Available at: https://www.helpguide.org/articles/abuse/elder-abuse-and-neglect.htm#:~:text=As%20older%20adults%20become%20more,those%20who%20live%20with%20them. (Accessed: 07 AUGUST 2023).</w:t>
      </w:r>
    </w:p>
    <w:p w14:paraId="7BF702C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4E32508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Her Majesties Inspectorate of Constabulary and Fire &amp; Rescue Service (2019) </w:t>
      </w:r>
      <w:r w:rsidRPr="007B39D4">
        <w:rPr>
          <w:rFonts w:asciiTheme="minorHAnsi" w:eastAsiaTheme="minorHAnsi" w:hAnsiTheme="minorHAnsi" w:cstheme="minorHAnsi"/>
          <w:i/>
          <w:iCs/>
          <w:color w:val="333333"/>
          <w:sz w:val="22"/>
          <w:szCs w:val="22"/>
          <w:shd w:val="clear" w:color="auto" w:fill="FBFBFB"/>
          <w:lang w:eastAsia="en-US"/>
        </w:rPr>
        <w:t>Crimes against older people inspection</w:t>
      </w:r>
      <w:r w:rsidRPr="007B39D4">
        <w:rPr>
          <w:rFonts w:asciiTheme="minorHAnsi" w:eastAsiaTheme="minorHAnsi" w:hAnsiTheme="minorHAnsi" w:cstheme="minorHAnsi"/>
          <w:color w:val="333333"/>
          <w:sz w:val="22"/>
          <w:szCs w:val="22"/>
          <w:shd w:val="clear" w:color="auto" w:fill="FBFBFB"/>
          <w:lang w:eastAsia="en-US"/>
        </w:rPr>
        <w:t>. Available at: https://www.justiceinspectorates.gov.uk/hmicfrs/wp-content/uploads/inspection-police-crown-prosecution-service-response-crimes-against-older-people-methodology.pdf (Accessed: 07 AUGUST 2023).</w:t>
      </w:r>
    </w:p>
    <w:p w14:paraId="7B491D5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3EF796E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The National Archives (2000) </w:t>
      </w:r>
      <w:r w:rsidRPr="007B39D4">
        <w:rPr>
          <w:rFonts w:asciiTheme="minorHAnsi" w:eastAsiaTheme="minorHAnsi" w:hAnsiTheme="minorHAnsi" w:cstheme="minorHAnsi"/>
          <w:i/>
          <w:iCs/>
          <w:color w:val="333333"/>
          <w:sz w:val="22"/>
          <w:szCs w:val="22"/>
          <w:shd w:val="clear" w:color="auto" w:fill="FBFBFB"/>
          <w:lang w:eastAsia="en-US"/>
        </w:rPr>
        <w:t>The Theft Act 1968</w:t>
      </w:r>
      <w:r w:rsidRPr="007B39D4">
        <w:rPr>
          <w:rFonts w:asciiTheme="minorHAnsi" w:eastAsiaTheme="minorHAnsi" w:hAnsiTheme="minorHAnsi" w:cstheme="minorHAnsi"/>
          <w:color w:val="333333"/>
          <w:sz w:val="22"/>
          <w:szCs w:val="22"/>
          <w:shd w:val="clear" w:color="auto" w:fill="FBFBFB"/>
          <w:lang w:eastAsia="en-US"/>
        </w:rPr>
        <w:t>. Available at: https://www.legislation.gov.uk/ukpga/1968/60/section/1#:~:text=(1)A%20person%20is%20guilty,steal%E2%80%9D%20shall%20be%20construed%20accordingly. (Accessed: 07 AUGUST 2023).</w:t>
      </w:r>
    </w:p>
    <w:p w14:paraId="3B65F9E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5231242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Victim Support (2023) </w:t>
      </w:r>
      <w:r w:rsidRPr="007B39D4">
        <w:rPr>
          <w:rFonts w:asciiTheme="minorHAnsi" w:eastAsiaTheme="minorHAnsi" w:hAnsiTheme="minorHAnsi" w:cstheme="minorHAnsi"/>
          <w:i/>
          <w:iCs/>
          <w:color w:val="333333"/>
          <w:sz w:val="22"/>
          <w:szCs w:val="22"/>
          <w:shd w:val="clear" w:color="auto" w:fill="FBFBFB"/>
          <w:lang w:eastAsia="en-US"/>
        </w:rPr>
        <w:t>What is a safety plan? </w:t>
      </w:r>
      <w:r w:rsidRPr="007B39D4">
        <w:rPr>
          <w:rFonts w:asciiTheme="minorHAnsi" w:eastAsiaTheme="minorHAnsi" w:hAnsiTheme="minorHAnsi" w:cstheme="minorHAnsi"/>
          <w:color w:val="333333"/>
          <w:sz w:val="22"/>
          <w:szCs w:val="22"/>
          <w:shd w:val="clear" w:color="auto" w:fill="FBFBFB"/>
          <w:lang w:eastAsia="en-US"/>
        </w:rPr>
        <w:t> Available at: https://www.victimsupport.org.uk/you-co/coping-crime/keeping-yourself-safe/what-is-a-safety-plan/#:~:text=A%20safety%20plan%20can%20help,how%20to%20call%20the%20police (Accessed: 07 AUGUST 2023).</w:t>
      </w:r>
    </w:p>
    <w:p w14:paraId="4243E09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410B586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Grove, L., Farrell, G., Farrington, D. and Johnson, S. (2012) </w:t>
      </w:r>
      <w:r w:rsidRPr="007B39D4">
        <w:rPr>
          <w:rFonts w:asciiTheme="minorHAnsi" w:eastAsiaTheme="minorHAnsi" w:hAnsiTheme="minorHAnsi" w:cstheme="minorHAnsi"/>
          <w:i/>
          <w:iCs/>
          <w:color w:val="333333"/>
          <w:sz w:val="22"/>
          <w:szCs w:val="22"/>
          <w:shd w:val="clear" w:color="auto" w:fill="FBFBFB"/>
          <w:lang w:eastAsia="en-US"/>
        </w:rPr>
        <w:t>Preventing repeat victimisation</w:t>
      </w:r>
      <w:r w:rsidRPr="007B39D4">
        <w:rPr>
          <w:rFonts w:asciiTheme="minorHAnsi" w:eastAsiaTheme="minorHAnsi" w:hAnsiTheme="minorHAnsi" w:cstheme="minorHAnsi"/>
          <w:color w:val="333333"/>
          <w:sz w:val="22"/>
          <w:szCs w:val="22"/>
          <w:shd w:val="clear" w:color="auto" w:fill="FBFBFB"/>
          <w:lang w:eastAsia="en-US"/>
        </w:rPr>
        <w:t>. Available at: https://eprints.whiterose.ac.uk/116406/1/Grove%20et%20al%202012%20Preventing%20Repeat%20Victimization%20-%20A%20Systematic%20Review%20(Bra).pdf (Accessed: 07 AUGUST 2023).</w:t>
      </w:r>
    </w:p>
    <w:p w14:paraId="6B4AF13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35155CC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Newton, A., Rogerson, M. and Hirschfield, A. (2008) 'Relating Target Hardening to Burglary Risk', </w:t>
      </w:r>
      <w:r w:rsidRPr="007B39D4">
        <w:rPr>
          <w:rFonts w:asciiTheme="minorHAnsi" w:eastAsiaTheme="minorHAnsi" w:hAnsiTheme="minorHAnsi" w:cstheme="minorHAnsi"/>
          <w:i/>
          <w:iCs/>
          <w:color w:val="333333"/>
          <w:sz w:val="22"/>
          <w:szCs w:val="22"/>
          <w:shd w:val="clear" w:color="auto" w:fill="FBFBFB"/>
          <w:lang w:eastAsia="en-US"/>
        </w:rPr>
        <w:t>British Criminology Conference</w:t>
      </w:r>
      <w:r w:rsidRPr="007B39D4">
        <w:rPr>
          <w:rFonts w:asciiTheme="minorHAnsi" w:eastAsiaTheme="minorHAnsi" w:hAnsiTheme="minorHAnsi" w:cstheme="minorHAnsi"/>
          <w:color w:val="333333"/>
          <w:sz w:val="22"/>
          <w:szCs w:val="22"/>
          <w:shd w:val="clear" w:color="auto" w:fill="FBFBFB"/>
          <w:lang w:eastAsia="en-US"/>
        </w:rPr>
        <w:t>, Vol. 8, pp 153 - 174.</w:t>
      </w:r>
    </w:p>
    <w:p w14:paraId="0F94C09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58AE391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Gooch, G. and Williams, M. (2015) </w:t>
      </w:r>
      <w:r w:rsidRPr="007B39D4">
        <w:rPr>
          <w:rFonts w:asciiTheme="minorHAnsi" w:eastAsiaTheme="minorHAnsi" w:hAnsiTheme="minorHAnsi" w:cstheme="minorHAnsi"/>
          <w:i/>
          <w:iCs/>
          <w:color w:val="333333"/>
          <w:sz w:val="22"/>
          <w:szCs w:val="22"/>
          <w:shd w:val="clear" w:color="auto" w:fill="FBFBFB"/>
          <w:lang w:eastAsia="en-US"/>
        </w:rPr>
        <w:t>A Dictionary of Law Enforcement</w:t>
      </w:r>
      <w:r w:rsidRPr="007B39D4">
        <w:rPr>
          <w:rFonts w:asciiTheme="minorHAnsi" w:eastAsiaTheme="minorHAnsi" w:hAnsiTheme="minorHAnsi" w:cstheme="minorHAnsi"/>
          <w:color w:val="333333"/>
          <w:sz w:val="22"/>
          <w:szCs w:val="22"/>
          <w:shd w:val="clear" w:color="auto" w:fill="FBFBFB"/>
          <w:lang w:eastAsia="en-US"/>
        </w:rPr>
        <w:t xml:space="preserve">. 2nd </w:t>
      </w:r>
      <w:proofErr w:type="spellStart"/>
      <w:r w:rsidRPr="007B39D4">
        <w:rPr>
          <w:rFonts w:asciiTheme="minorHAnsi" w:eastAsiaTheme="minorHAnsi" w:hAnsiTheme="minorHAnsi" w:cstheme="minorHAnsi"/>
          <w:color w:val="333333"/>
          <w:sz w:val="22"/>
          <w:szCs w:val="22"/>
          <w:shd w:val="clear" w:color="auto" w:fill="FBFBFB"/>
          <w:lang w:eastAsia="en-US"/>
        </w:rPr>
        <w:t>edn</w:t>
      </w:r>
      <w:proofErr w:type="spellEnd"/>
      <w:r w:rsidRPr="007B39D4">
        <w:rPr>
          <w:rFonts w:asciiTheme="minorHAnsi" w:eastAsiaTheme="minorHAnsi" w:hAnsiTheme="minorHAnsi" w:cstheme="minorHAnsi"/>
          <w:color w:val="333333"/>
          <w:sz w:val="22"/>
          <w:szCs w:val="22"/>
          <w:shd w:val="clear" w:color="auto" w:fill="FBFBFB"/>
          <w:lang w:eastAsia="en-US"/>
        </w:rPr>
        <w:t>. Oxford University Press.</w:t>
      </w:r>
    </w:p>
    <w:p w14:paraId="2ED0794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0EC9577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Hirschfield, A., Newton, A. and Rogerson, M. (2010) ‘Linking Burglary and Target Hardening at the Property Level: New Insights </w:t>
      </w:r>
      <w:proofErr w:type="gramStart"/>
      <w:r w:rsidRPr="007B39D4">
        <w:rPr>
          <w:rFonts w:asciiTheme="minorHAnsi" w:eastAsiaTheme="minorHAnsi" w:hAnsiTheme="minorHAnsi" w:cstheme="minorHAnsi"/>
          <w:color w:val="auto"/>
          <w:sz w:val="22"/>
          <w:szCs w:val="22"/>
          <w:lang w:eastAsia="en-US"/>
        </w:rPr>
        <w:t>Into</w:t>
      </w:r>
      <w:proofErr w:type="gramEnd"/>
      <w:r w:rsidRPr="007B39D4">
        <w:rPr>
          <w:rFonts w:asciiTheme="minorHAnsi" w:eastAsiaTheme="minorHAnsi" w:hAnsiTheme="minorHAnsi" w:cstheme="minorHAnsi"/>
          <w:color w:val="auto"/>
          <w:sz w:val="22"/>
          <w:szCs w:val="22"/>
          <w:lang w:eastAsia="en-US"/>
        </w:rPr>
        <w:t xml:space="preserve"> Victimization and Burglary Protection’, Criminal justice policy review, 21(3), pp. 319–337. Available at: </w:t>
      </w:r>
      <w:hyperlink r:id="rId21" w:history="1">
        <w:r w:rsidRPr="007B39D4">
          <w:rPr>
            <w:rFonts w:asciiTheme="minorHAnsi" w:eastAsiaTheme="minorHAnsi" w:hAnsiTheme="minorHAnsi" w:cstheme="minorHAnsi"/>
            <w:color w:val="0563C1" w:themeColor="hyperlink"/>
            <w:sz w:val="22"/>
            <w:szCs w:val="22"/>
            <w:u w:val="single"/>
            <w:lang w:eastAsia="en-US"/>
          </w:rPr>
          <w:t>https://doi.org/10.1177/0887403409356965</w:t>
        </w:r>
      </w:hyperlink>
      <w:r w:rsidRPr="007B39D4">
        <w:rPr>
          <w:rFonts w:asciiTheme="minorHAnsi" w:eastAsiaTheme="minorHAnsi" w:hAnsiTheme="minorHAnsi" w:cstheme="minorHAnsi"/>
          <w:color w:val="auto"/>
          <w:sz w:val="22"/>
          <w:szCs w:val="22"/>
          <w:lang w:eastAsia="en-US"/>
        </w:rPr>
        <w:t>.</w:t>
      </w:r>
    </w:p>
    <w:p w14:paraId="5D2C117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7EA701C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67FB4F2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roofErr w:type="spellStart"/>
      <w:r w:rsidRPr="007B39D4">
        <w:rPr>
          <w:rFonts w:asciiTheme="minorHAnsi" w:eastAsiaTheme="minorHAnsi" w:hAnsiTheme="minorHAnsi" w:cstheme="minorHAnsi"/>
          <w:color w:val="auto"/>
          <w:sz w:val="22"/>
          <w:szCs w:val="22"/>
          <w:lang w:eastAsia="en-US"/>
        </w:rPr>
        <w:t>Wellsmith</w:t>
      </w:r>
      <w:proofErr w:type="spellEnd"/>
      <w:r w:rsidRPr="007B39D4">
        <w:rPr>
          <w:rFonts w:asciiTheme="minorHAnsi" w:eastAsiaTheme="minorHAnsi" w:hAnsiTheme="minorHAnsi" w:cstheme="minorHAnsi"/>
          <w:color w:val="auto"/>
          <w:sz w:val="22"/>
          <w:szCs w:val="22"/>
          <w:lang w:eastAsia="en-US"/>
        </w:rPr>
        <w:t xml:space="preserve">, M. and Birks, D.J. (2008) ‘Research on target: A collaboration between researchers and practitioners for a target hardening scheme’, International review of law, computers &amp; technology, 22(1-2), pp. 181–189. Available at: </w:t>
      </w:r>
      <w:hyperlink r:id="rId22" w:history="1">
        <w:r w:rsidRPr="007B39D4">
          <w:rPr>
            <w:rFonts w:asciiTheme="minorHAnsi" w:eastAsiaTheme="minorHAnsi" w:hAnsiTheme="minorHAnsi" w:cstheme="minorHAnsi"/>
            <w:color w:val="0563C1" w:themeColor="hyperlink"/>
            <w:sz w:val="22"/>
            <w:szCs w:val="22"/>
            <w:u w:val="single"/>
            <w:lang w:eastAsia="en-US"/>
          </w:rPr>
          <w:t>https://doi.org/10.1080/13600860801925169</w:t>
        </w:r>
      </w:hyperlink>
      <w:r w:rsidRPr="007B39D4">
        <w:rPr>
          <w:rFonts w:asciiTheme="minorHAnsi" w:eastAsiaTheme="minorHAnsi" w:hAnsiTheme="minorHAnsi" w:cstheme="minorHAnsi"/>
          <w:color w:val="auto"/>
          <w:sz w:val="22"/>
          <w:szCs w:val="22"/>
          <w:lang w:eastAsia="en-US"/>
        </w:rPr>
        <w:t>.</w:t>
      </w:r>
    </w:p>
    <w:p w14:paraId="2F18B01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61280DD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BCP Council (2023) </w:t>
      </w:r>
      <w:r w:rsidRPr="007B39D4">
        <w:rPr>
          <w:rFonts w:asciiTheme="minorHAnsi" w:eastAsiaTheme="minorHAnsi" w:hAnsiTheme="minorHAnsi" w:cstheme="minorHAnsi"/>
          <w:i/>
          <w:iCs/>
          <w:color w:val="333333"/>
          <w:sz w:val="22"/>
          <w:szCs w:val="22"/>
          <w:shd w:val="clear" w:color="auto" w:fill="FBFBFB"/>
          <w:lang w:eastAsia="en-US"/>
        </w:rPr>
        <w:t>Public Protection Notice Forms</w:t>
      </w:r>
      <w:r w:rsidRPr="007B39D4">
        <w:rPr>
          <w:rFonts w:asciiTheme="minorHAnsi" w:eastAsiaTheme="minorHAnsi" w:hAnsiTheme="minorHAnsi" w:cstheme="minorHAnsi"/>
          <w:color w:val="333333"/>
          <w:sz w:val="22"/>
          <w:szCs w:val="22"/>
          <w:shd w:val="clear" w:color="auto" w:fill="FBFBFB"/>
          <w:lang w:eastAsia="en-US"/>
        </w:rPr>
        <w:t>. Available at: https://www.bcpcouncil.gov.uk/Children-young-people-and-families/Working-in-childcare/Early-Years-Safeguarding/Multi-Agency-Risk-Assessment-Conference-and-Public-Protection-Notice-forms.aspx (Accessed: 07 AUGUST 2023).</w:t>
      </w:r>
    </w:p>
    <w:p w14:paraId="58A6CBE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11E8AFD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Caerphilly Council (2023) </w:t>
      </w:r>
      <w:r w:rsidRPr="007B39D4">
        <w:rPr>
          <w:rFonts w:asciiTheme="minorHAnsi" w:eastAsiaTheme="minorHAnsi" w:hAnsiTheme="minorHAnsi" w:cstheme="minorHAnsi"/>
          <w:i/>
          <w:iCs/>
          <w:color w:val="333333"/>
          <w:sz w:val="22"/>
          <w:szCs w:val="22"/>
          <w:shd w:val="clear" w:color="auto" w:fill="FBFBFB"/>
          <w:lang w:eastAsia="en-US"/>
        </w:rPr>
        <w:t>Social Services</w:t>
      </w:r>
      <w:r w:rsidRPr="007B39D4">
        <w:rPr>
          <w:rFonts w:asciiTheme="minorHAnsi" w:eastAsiaTheme="minorHAnsi" w:hAnsiTheme="minorHAnsi" w:cstheme="minorHAnsi"/>
          <w:color w:val="333333"/>
          <w:sz w:val="22"/>
          <w:szCs w:val="22"/>
          <w:shd w:val="clear" w:color="auto" w:fill="FBFBFB"/>
          <w:lang w:eastAsia="en-US"/>
        </w:rPr>
        <w:t>. Available at: https://www.caerphilly.gov.uk/services/services-for-adults-and-older-people/how-to-get-help-and-support (Accessed: 07 AUGUST 2023).</w:t>
      </w:r>
    </w:p>
    <w:p w14:paraId="26AD8B1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6ABCD01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Age Connect (2023) </w:t>
      </w:r>
      <w:r w:rsidRPr="007B39D4">
        <w:rPr>
          <w:rFonts w:asciiTheme="minorHAnsi" w:eastAsiaTheme="minorHAnsi" w:hAnsiTheme="minorHAnsi" w:cstheme="minorHAnsi"/>
          <w:i/>
          <w:iCs/>
          <w:color w:val="333333"/>
          <w:sz w:val="22"/>
          <w:szCs w:val="22"/>
          <w:shd w:val="clear" w:color="auto" w:fill="FBFBFB"/>
          <w:lang w:eastAsia="en-US"/>
        </w:rPr>
        <w:t xml:space="preserve">Age </w:t>
      </w:r>
      <w:proofErr w:type="gramStart"/>
      <w:r w:rsidRPr="007B39D4">
        <w:rPr>
          <w:rFonts w:asciiTheme="minorHAnsi" w:eastAsiaTheme="minorHAnsi" w:hAnsiTheme="minorHAnsi" w:cstheme="minorHAnsi"/>
          <w:i/>
          <w:iCs/>
          <w:color w:val="333333"/>
          <w:sz w:val="22"/>
          <w:szCs w:val="22"/>
          <w:shd w:val="clear" w:color="auto" w:fill="FBFBFB"/>
          <w:lang w:eastAsia="en-US"/>
        </w:rPr>
        <w:t>Connect </w:t>
      </w:r>
      <w:r w:rsidRPr="007B39D4">
        <w:rPr>
          <w:rFonts w:asciiTheme="minorHAnsi" w:eastAsiaTheme="minorHAnsi" w:hAnsiTheme="minorHAnsi" w:cstheme="minorHAnsi"/>
          <w:color w:val="333333"/>
          <w:sz w:val="22"/>
          <w:szCs w:val="22"/>
          <w:shd w:val="clear" w:color="auto" w:fill="FBFBFB"/>
          <w:lang w:eastAsia="en-US"/>
        </w:rPr>
        <w:t>.</w:t>
      </w:r>
      <w:proofErr w:type="gramEnd"/>
      <w:r w:rsidRPr="007B39D4">
        <w:rPr>
          <w:rFonts w:asciiTheme="minorHAnsi" w:eastAsiaTheme="minorHAnsi" w:hAnsiTheme="minorHAnsi" w:cstheme="minorHAnsi"/>
          <w:color w:val="333333"/>
          <w:sz w:val="22"/>
          <w:szCs w:val="22"/>
          <w:shd w:val="clear" w:color="auto" w:fill="FBFBFB"/>
          <w:lang w:eastAsia="en-US"/>
        </w:rPr>
        <w:t xml:space="preserve"> Available at: https://www.ageconnectsmorgannwg.org.uk/ (Accessed: 07 AUGUST 2023).</w:t>
      </w:r>
    </w:p>
    <w:p w14:paraId="6888A03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5C76E98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Kings College London (2023) </w:t>
      </w:r>
      <w:r w:rsidRPr="007B39D4">
        <w:rPr>
          <w:rFonts w:asciiTheme="minorHAnsi" w:eastAsiaTheme="minorHAnsi" w:hAnsiTheme="minorHAnsi" w:cstheme="minorHAnsi"/>
          <w:i/>
          <w:iCs/>
          <w:color w:val="333333"/>
          <w:sz w:val="22"/>
          <w:szCs w:val="22"/>
          <w:shd w:val="clear" w:color="auto" w:fill="FBFBFB"/>
          <w:lang w:eastAsia="en-US"/>
        </w:rPr>
        <w:t>People with mental health problems at high risk of being victim of crime</w:t>
      </w:r>
      <w:r w:rsidRPr="007B39D4">
        <w:rPr>
          <w:rFonts w:asciiTheme="minorHAnsi" w:eastAsiaTheme="minorHAnsi" w:hAnsiTheme="minorHAnsi" w:cstheme="minorHAnsi"/>
          <w:color w:val="333333"/>
          <w:sz w:val="22"/>
          <w:szCs w:val="22"/>
          <w:shd w:val="clear" w:color="auto" w:fill="FBFBFB"/>
          <w:lang w:eastAsia="en-US"/>
        </w:rPr>
        <w:t>. Available at: https://www.kcl.ac.uk/archive/news/ioppn/records/2013/october/people-with-mental-health-problems-at-high-risk-of-being-victims-of-crime#:~:text=People%20with%20severe%20mental%20illness%20were%203%20times%20more%20likely,experience%20assault%20than%20those%20without. (Accessed: 07 AUGUST 2023).</w:t>
      </w:r>
    </w:p>
    <w:p w14:paraId="58E96C1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0DE52B0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Action Fraud (2019) </w:t>
      </w:r>
      <w:r w:rsidRPr="007B39D4">
        <w:rPr>
          <w:rFonts w:asciiTheme="minorHAnsi" w:eastAsiaTheme="minorHAnsi" w:hAnsiTheme="minorHAnsi" w:cstheme="minorHAnsi"/>
          <w:i/>
          <w:iCs/>
          <w:color w:val="333333"/>
          <w:sz w:val="22"/>
          <w:szCs w:val="22"/>
          <w:shd w:val="clear" w:color="auto" w:fill="FBFBFB"/>
          <w:lang w:eastAsia="en-US"/>
        </w:rPr>
        <w:t>Most Vulnerable in society are more at risk of falling victim to fraudsters</w:t>
      </w:r>
      <w:r w:rsidRPr="007B39D4">
        <w:rPr>
          <w:rFonts w:asciiTheme="minorHAnsi" w:eastAsiaTheme="minorHAnsi" w:hAnsiTheme="minorHAnsi" w:cstheme="minorHAnsi"/>
          <w:color w:val="333333"/>
          <w:sz w:val="22"/>
          <w:szCs w:val="22"/>
          <w:shd w:val="clear" w:color="auto" w:fill="FBFBFB"/>
          <w:lang w:eastAsia="en-US"/>
        </w:rPr>
        <w:t>. Available at: https://www.actionfraud.police.uk/news/most-vulnerable-in-society-are-more-at-risk-of-falling-victim-to-fraudsters (Accessed: 07 AUGUST 2023).</w:t>
      </w:r>
    </w:p>
    <w:p w14:paraId="2BAFFED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19CF3A8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roofErr w:type="spellStart"/>
      <w:r w:rsidRPr="007B39D4">
        <w:rPr>
          <w:rFonts w:asciiTheme="minorHAnsi" w:eastAsiaTheme="minorHAnsi" w:hAnsiTheme="minorHAnsi" w:cstheme="minorHAnsi"/>
          <w:color w:val="auto"/>
          <w:sz w:val="22"/>
          <w:szCs w:val="22"/>
          <w:lang w:eastAsia="en-US"/>
        </w:rPr>
        <w:t>Bernasco</w:t>
      </w:r>
      <w:proofErr w:type="spellEnd"/>
      <w:r w:rsidRPr="007B39D4">
        <w:rPr>
          <w:rFonts w:asciiTheme="minorHAnsi" w:eastAsiaTheme="minorHAnsi" w:hAnsiTheme="minorHAnsi" w:cstheme="minorHAnsi"/>
          <w:color w:val="auto"/>
          <w:sz w:val="22"/>
          <w:szCs w:val="22"/>
          <w:lang w:eastAsia="en-US"/>
        </w:rPr>
        <w:t xml:space="preserve">, W. (2008) ‘Them Again? Same-Offender Involvement in Repeat and Near Repeat Burglaries’, European journal of criminology, 5(4), pp. 411–431. Available at: </w:t>
      </w:r>
      <w:hyperlink r:id="rId23" w:history="1">
        <w:r w:rsidRPr="007B39D4">
          <w:rPr>
            <w:rFonts w:asciiTheme="minorHAnsi" w:eastAsiaTheme="minorHAnsi" w:hAnsiTheme="minorHAnsi" w:cstheme="minorHAnsi"/>
            <w:color w:val="0563C1" w:themeColor="hyperlink"/>
            <w:sz w:val="22"/>
            <w:szCs w:val="22"/>
            <w:u w:val="single"/>
            <w:lang w:eastAsia="en-US"/>
          </w:rPr>
          <w:t>https://doi.org/10.1177/1477370808095124</w:t>
        </w:r>
      </w:hyperlink>
      <w:r w:rsidRPr="007B39D4">
        <w:rPr>
          <w:rFonts w:asciiTheme="minorHAnsi" w:eastAsiaTheme="minorHAnsi" w:hAnsiTheme="minorHAnsi" w:cstheme="minorHAnsi"/>
          <w:color w:val="auto"/>
          <w:sz w:val="22"/>
          <w:szCs w:val="22"/>
          <w:lang w:eastAsia="en-US"/>
        </w:rPr>
        <w:t>.</w:t>
      </w:r>
    </w:p>
    <w:p w14:paraId="3E05BD3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7D37BA5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5DF4AEF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Short, M., </w:t>
      </w:r>
      <w:proofErr w:type="spellStart"/>
      <w:r w:rsidRPr="007B39D4">
        <w:rPr>
          <w:rFonts w:asciiTheme="minorHAnsi" w:eastAsiaTheme="minorHAnsi" w:hAnsiTheme="minorHAnsi" w:cstheme="minorHAnsi"/>
          <w:color w:val="auto"/>
          <w:sz w:val="22"/>
          <w:szCs w:val="22"/>
          <w:lang w:eastAsia="en-US"/>
        </w:rPr>
        <w:t>D’Orsonga</w:t>
      </w:r>
      <w:proofErr w:type="spellEnd"/>
      <w:r w:rsidRPr="007B39D4">
        <w:rPr>
          <w:rFonts w:asciiTheme="minorHAnsi" w:eastAsiaTheme="minorHAnsi" w:hAnsiTheme="minorHAnsi" w:cstheme="minorHAnsi"/>
          <w:color w:val="auto"/>
          <w:sz w:val="22"/>
          <w:szCs w:val="22"/>
          <w:lang w:eastAsia="en-US"/>
        </w:rPr>
        <w:t xml:space="preserve">, M., </w:t>
      </w:r>
      <w:proofErr w:type="spellStart"/>
      <w:r w:rsidRPr="007B39D4">
        <w:rPr>
          <w:rFonts w:asciiTheme="minorHAnsi" w:eastAsiaTheme="minorHAnsi" w:hAnsiTheme="minorHAnsi" w:cstheme="minorHAnsi"/>
          <w:color w:val="auto"/>
          <w:sz w:val="22"/>
          <w:szCs w:val="22"/>
          <w:lang w:eastAsia="en-US"/>
        </w:rPr>
        <w:t>Brantingham</w:t>
      </w:r>
      <w:proofErr w:type="spellEnd"/>
      <w:r w:rsidRPr="007B39D4">
        <w:rPr>
          <w:rFonts w:asciiTheme="minorHAnsi" w:eastAsiaTheme="minorHAnsi" w:hAnsiTheme="minorHAnsi" w:cstheme="minorHAnsi"/>
          <w:color w:val="auto"/>
          <w:sz w:val="22"/>
          <w:szCs w:val="22"/>
          <w:lang w:eastAsia="en-US"/>
        </w:rPr>
        <w:t xml:space="preserve">, P. and Tita G. (2009) ‘Measuring and </w:t>
      </w:r>
      <w:proofErr w:type="spellStart"/>
      <w:r w:rsidRPr="007B39D4">
        <w:rPr>
          <w:rFonts w:asciiTheme="minorHAnsi" w:eastAsiaTheme="minorHAnsi" w:hAnsiTheme="minorHAnsi" w:cstheme="minorHAnsi"/>
          <w:color w:val="auto"/>
          <w:sz w:val="22"/>
          <w:szCs w:val="22"/>
          <w:lang w:eastAsia="en-US"/>
        </w:rPr>
        <w:t>Modeling</w:t>
      </w:r>
      <w:proofErr w:type="spellEnd"/>
      <w:r w:rsidRPr="007B39D4">
        <w:rPr>
          <w:rFonts w:asciiTheme="minorHAnsi" w:eastAsiaTheme="minorHAnsi" w:hAnsiTheme="minorHAnsi" w:cstheme="minorHAnsi"/>
          <w:color w:val="auto"/>
          <w:sz w:val="22"/>
          <w:szCs w:val="22"/>
          <w:lang w:eastAsia="en-US"/>
        </w:rPr>
        <w:t xml:space="preserve"> Repeat and Near-Repeat Burglary Effects’, Journal of quantitative criminology, 25(3), pp. 325–339. Available at: </w:t>
      </w:r>
      <w:hyperlink r:id="rId24" w:history="1">
        <w:r w:rsidRPr="007B39D4">
          <w:rPr>
            <w:rFonts w:asciiTheme="minorHAnsi" w:eastAsiaTheme="minorHAnsi" w:hAnsiTheme="minorHAnsi" w:cstheme="minorHAnsi"/>
            <w:color w:val="0563C1" w:themeColor="hyperlink"/>
            <w:sz w:val="22"/>
            <w:szCs w:val="22"/>
            <w:u w:val="single"/>
            <w:lang w:eastAsia="en-US"/>
          </w:rPr>
          <w:t>https://doi.org/10.1007/s10940-009-9068-8</w:t>
        </w:r>
      </w:hyperlink>
      <w:r w:rsidRPr="007B39D4">
        <w:rPr>
          <w:rFonts w:asciiTheme="minorHAnsi" w:eastAsiaTheme="minorHAnsi" w:hAnsiTheme="minorHAnsi" w:cstheme="minorHAnsi"/>
          <w:color w:val="auto"/>
          <w:sz w:val="22"/>
          <w:szCs w:val="22"/>
          <w:lang w:eastAsia="en-US"/>
        </w:rPr>
        <w:t>.</w:t>
      </w:r>
    </w:p>
    <w:p w14:paraId="0EEA04D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2C8794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roofErr w:type="spellStart"/>
      <w:r w:rsidRPr="007B39D4">
        <w:rPr>
          <w:rFonts w:asciiTheme="minorHAnsi" w:eastAsiaTheme="minorHAnsi" w:hAnsiTheme="minorHAnsi" w:cstheme="minorHAnsi"/>
          <w:color w:val="333333"/>
          <w:sz w:val="22"/>
          <w:szCs w:val="22"/>
          <w:shd w:val="clear" w:color="auto" w:fill="FBFBFB"/>
          <w:lang w:eastAsia="en-US"/>
        </w:rPr>
        <w:t>Chainey</w:t>
      </w:r>
      <w:proofErr w:type="spellEnd"/>
      <w:r w:rsidRPr="007B39D4">
        <w:rPr>
          <w:rFonts w:asciiTheme="minorHAnsi" w:eastAsiaTheme="minorHAnsi" w:hAnsiTheme="minorHAnsi" w:cstheme="minorHAnsi"/>
          <w:color w:val="333333"/>
          <w:sz w:val="22"/>
          <w:szCs w:val="22"/>
          <w:shd w:val="clear" w:color="auto" w:fill="FBFBFB"/>
          <w:lang w:eastAsia="en-US"/>
        </w:rPr>
        <w:t>, S. (2023) </w:t>
      </w:r>
      <w:r w:rsidRPr="007B39D4">
        <w:rPr>
          <w:rFonts w:asciiTheme="minorHAnsi" w:eastAsiaTheme="minorHAnsi" w:hAnsiTheme="minorHAnsi" w:cstheme="minorHAnsi"/>
          <w:i/>
          <w:iCs/>
          <w:color w:val="333333"/>
          <w:sz w:val="22"/>
          <w:szCs w:val="22"/>
          <w:shd w:val="clear" w:color="auto" w:fill="FBFBFB"/>
          <w:lang w:eastAsia="en-US"/>
        </w:rPr>
        <w:t>Repeat Victimisation</w:t>
      </w:r>
      <w:r w:rsidRPr="007B39D4">
        <w:rPr>
          <w:rFonts w:asciiTheme="minorHAnsi" w:eastAsiaTheme="minorHAnsi" w:hAnsiTheme="minorHAnsi" w:cstheme="minorHAnsi"/>
          <w:color w:val="333333"/>
          <w:sz w:val="22"/>
          <w:szCs w:val="22"/>
          <w:shd w:val="clear" w:color="auto" w:fill="FBFBFB"/>
          <w:lang w:eastAsia="en-US"/>
        </w:rPr>
        <w:t>. Available at: https://www.ucl.ac.uk/jill-dando-institute/sites/jill-dando-institute/files/repeat_victimisation_1-5_all.pdf (Accessed: 07 AUGUST 2023).</w:t>
      </w:r>
    </w:p>
    <w:p w14:paraId="1FE19C72"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2D3B7A5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5DD1F70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Farrell, G. (2005). Handbook of Crime Prevention and Community Safety’, </w:t>
      </w:r>
      <w:proofErr w:type="gramStart"/>
      <w:r w:rsidRPr="007B39D4">
        <w:rPr>
          <w:rFonts w:asciiTheme="minorHAnsi" w:eastAsiaTheme="minorHAnsi" w:hAnsiTheme="minorHAnsi" w:cstheme="minorHAnsi"/>
          <w:color w:val="auto"/>
          <w:sz w:val="22"/>
          <w:szCs w:val="22"/>
          <w:lang w:eastAsia="en-US"/>
        </w:rPr>
        <w:t>Policing :</w:t>
      </w:r>
      <w:proofErr w:type="gramEnd"/>
      <w:r w:rsidRPr="007B39D4">
        <w:rPr>
          <w:rFonts w:asciiTheme="minorHAnsi" w:hAnsiTheme="minorHAnsi" w:cstheme="minorHAnsi"/>
          <w:spacing w:val="7"/>
          <w:kern w:val="36"/>
          <w:sz w:val="22"/>
          <w:szCs w:val="22"/>
        </w:rPr>
        <w:t xml:space="preserve"> </w:t>
      </w:r>
      <w:r w:rsidRPr="007B39D4">
        <w:rPr>
          <w:rFonts w:asciiTheme="minorHAnsi" w:eastAsiaTheme="minorHAnsi" w:hAnsiTheme="minorHAnsi" w:cstheme="minorHAnsi"/>
          <w:color w:val="auto"/>
          <w:sz w:val="22"/>
          <w:szCs w:val="22"/>
          <w:lang w:eastAsia="en-US"/>
        </w:rPr>
        <w:t xml:space="preserve">Progress and prospects in the prevention of repeat victimization. New York: Oxford University Press, pp. 365–370. Available at: </w:t>
      </w:r>
      <w:hyperlink r:id="rId25" w:history="1">
        <w:r w:rsidRPr="007B39D4">
          <w:rPr>
            <w:rFonts w:asciiTheme="minorHAnsi" w:eastAsiaTheme="minorHAnsi" w:hAnsiTheme="minorHAnsi" w:cstheme="minorHAnsi"/>
            <w:color w:val="0563C1" w:themeColor="hyperlink"/>
            <w:sz w:val="22"/>
            <w:szCs w:val="22"/>
            <w:u w:val="single"/>
            <w:lang w:eastAsia="en-US"/>
          </w:rPr>
          <w:t>https://doi.org/10.1093/police/pax083</w:t>
        </w:r>
      </w:hyperlink>
      <w:r w:rsidRPr="007B39D4">
        <w:rPr>
          <w:rFonts w:asciiTheme="minorHAnsi" w:eastAsiaTheme="minorHAnsi" w:hAnsiTheme="minorHAnsi" w:cstheme="minorHAnsi"/>
          <w:color w:val="auto"/>
          <w:sz w:val="22"/>
          <w:szCs w:val="22"/>
          <w:lang w:eastAsia="en-US"/>
        </w:rPr>
        <w:t>.</w:t>
      </w:r>
    </w:p>
    <w:p w14:paraId="5AFFD9E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245782DB"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C43E2C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Cozens, P. and Love, T. (2015) ‘A Review and Current Status of Crime Prevention through Environmental Design (CPTED)’, Journal of planning literature, 30(4), pp. 393–412. Available at: </w:t>
      </w:r>
      <w:hyperlink r:id="rId26" w:history="1">
        <w:r w:rsidRPr="007B39D4">
          <w:rPr>
            <w:rFonts w:asciiTheme="minorHAnsi" w:eastAsiaTheme="minorHAnsi" w:hAnsiTheme="minorHAnsi" w:cstheme="minorHAnsi"/>
            <w:color w:val="0563C1" w:themeColor="hyperlink"/>
            <w:sz w:val="22"/>
            <w:szCs w:val="22"/>
            <w:u w:val="single"/>
            <w:lang w:eastAsia="en-US"/>
          </w:rPr>
          <w:t>https://doi.org/10.1177/0885412215595440</w:t>
        </w:r>
      </w:hyperlink>
      <w:r w:rsidRPr="007B39D4">
        <w:rPr>
          <w:rFonts w:asciiTheme="minorHAnsi" w:eastAsiaTheme="minorHAnsi" w:hAnsiTheme="minorHAnsi" w:cstheme="minorHAnsi"/>
          <w:color w:val="auto"/>
          <w:sz w:val="22"/>
          <w:szCs w:val="22"/>
          <w:lang w:eastAsia="en-US"/>
        </w:rPr>
        <w:t>.</w:t>
      </w:r>
    </w:p>
    <w:p w14:paraId="635FB04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68F97DC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65B6F7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roofErr w:type="spellStart"/>
      <w:r w:rsidRPr="007B39D4">
        <w:rPr>
          <w:rFonts w:asciiTheme="minorHAnsi" w:eastAsiaTheme="minorHAnsi" w:hAnsiTheme="minorHAnsi" w:cstheme="minorHAnsi"/>
          <w:color w:val="auto"/>
          <w:sz w:val="22"/>
          <w:szCs w:val="22"/>
          <w:lang w:eastAsia="en-US"/>
        </w:rPr>
        <w:t>Reynald</w:t>
      </w:r>
      <w:proofErr w:type="spellEnd"/>
      <w:r w:rsidRPr="007B39D4">
        <w:rPr>
          <w:rFonts w:asciiTheme="minorHAnsi" w:eastAsiaTheme="minorHAnsi" w:hAnsiTheme="minorHAnsi" w:cstheme="minorHAnsi"/>
          <w:color w:val="auto"/>
          <w:sz w:val="22"/>
          <w:szCs w:val="22"/>
          <w:lang w:eastAsia="en-US"/>
        </w:rPr>
        <w:t xml:space="preserve">, D.M. (2011) ‘Translating CPTED into Crime Preventive Action: A Critical Examination of CPTED as a Tool for Active Guardianship’, European journal on criminal policy and research, 17(1), pp. 69–81. Available at: </w:t>
      </w:r>
      <w:hyperlink r:id="rId27" w:history="1">
        <w:r w:rsidRPr="007B39D4">
          <w:rPr>
            <w:rFonts w:asciiTheme="minorHAnsi" w:eastAsiaTheme="minorHAnsi" w:hAnsiTheme="minorHAnsi" w:cstheme="minorHAnsi"/>
            <w:color w:val="0563C1" w:themeColor="hyperlink"/>
            <w:sz w:val="22"/>
            <w:szCs w:val="22"/>
            <w:u w:val="single"/>
            <w:lang w:eastAsia="en-US"/>
          </w:rPr>
          <w:t>https://doi.org/10.1007/s10610-010-9135-6</w:t>
        </w:r>
      </w:hyperlink>
      <w:r w:rsidRPr="007B39D4">
        <w:rPr>
          <w:rFonts w:asciiTheme="minorHAnsi" w:eastAsiaTheme="minorHAnsi" w:hAnsiTheme="minorHAnsi" w:cstheme="minorHAnsi"/>
          <w:color w:val="auto"/>
          <w:sz w:val="22"/>
          <w:szCs w:val="22"/>
          <w:lang w:eastAsia="en-US"/>
        </w:rPr>
        <w:t>.</w:t>
      </w:r>
    </w:p>
    <w:p w14:paraId="3CD12F0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00716B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Coventry Council (2023) </w:t>
      </w:r>
      <w:r w:rsidRPr="007B39D4">
        <w:rPr>
          <w:rFonts w:asciiTheme="minorHAnsi" w:eastAsiaTheme="minorHAnsi" w:hAnsiTheme="minorHAnsi" w:cstheme="minorHAnsi"/>
          <w:i/>
          <w:iCs/>
          <w:color w:val="333333"/>
          <w:sz w:val="22"/>
          <w:szCs w:val="22"/>
          <w:shd w:val="clear" w:color="auto" w:fill="FBFBFB"/>
          <w:lang w:eastAsia="en-US"/>
        </w:rPr>
        <w:t>Rogue Traders and Doorstep crime</w:t>
      </w:r>
      <w:r w:rsidRPr="007B39D4">
        <w:rPr>
          <w:rFonts w:asciiTheme="minorHAnsi" w:eastAsiaTheme="minorHAnsi" w:hAnsiTheme="minorHAnsi" w:cstheme="minorHAnsi"/>
          <w:color w:val="333333"/>
          <w:sz w:val="22"/>
          <w:szCs w:val="22"/>
          <w:shd w:val="clear" w:color="auto" w:fill="FBFBFB"/>
          <w:lang w:eastAsia="en-US"/>
        </w:rPr>
        <w:t>. Available at: https://www.coventry.gov.uk/trading-standards/rogue-traders-doorstep-crime/4#:~:text=Trustmark%20Scheme-</w:t>
      </w:r>
      <w:r w:rsidRPr="007B39D4">
        <w:rPr>
          <w:rFonts w:asciiTheme="minorHAnsi" w:eastAsiaTheme="minorHAnsi" w:hAnsiTheme="minorHAnsi" w:cstheme="minorHAnsi"/>
          <w:color w:val="333333"/>
          <w:sz w:val="22"/>
          <w:szCs w:val="22"/>
          <w:shd w:val="clear" w:color="auto" w:fill="FBFBFB"/>
          <w:lang w:eastAsia="en-US"/>
        </w:rPr>
        <w:lastRenderedPageBreak/>
        <w:t>,What%20is%20a%20rogue%20trader%3F,done%20or%20isn%27t%20needed. (Accessed: 07 AUGUST 2023).</w:t>
      </w:r>
    </w:p>
    <w:p w14:paraId="6AFF09C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UK Parliament (2021) </w:t>
      </w:r>
      <w:r w:rsidRPr="007B39D4">
        <w:rPr>
          <w:rFonts w:asciiTheme="minorHAnsi" w:eastAsiaTheme="minorHAnsi" w:hAnsiTheme="minorHAnsi" w:cstheme="minorHAnsi"/>
          <w:i/>
          <w:iCs/>
          <w:color w:val="333333"/>
          <w:sz w:val="22"/>
          <w:szCs w:val="22"/>
          <w:shd w:val="clear" w:color="auto" w:fill="FBFBFB"/>
          <w:lang w:eastAsia="en-US"/>
        </w:rPr>
        <w:t>Financial Fraud and Vulnerable people</w:t>
      </w:r>
      <w:r w:rsidRPr="007B39D4">
        <w:rPr>
          <w:rFonts w:asciiTheme="minorHAnsi" w:eastAsiaTheme="minorHAnsi" w:hAnsiTheme="minorHAnsi" w:cstheme="minorHAnsi"/>
          <w:color w:val="333333"/>
          <w:sz w:val="22"/>
          <w:szCs w:val="22"/>
          <w:shd w:val="clear" w:color="auto" w:fill="FBFBFB"/>
          <w:lang w:eastAsia="en-US"/>
        </w:rPr>
        <w:t>. Available at: </w:t>
      </w:r>
      <w:proofErr w:type="gramStart"/>
      <w:r w:rsidRPr="007B39D4">
        <w:rPr>
          <w:rFonts w:asciiTheme="minorHAnsi" w:eastAsiaTheme="minorHAnsi" w:hAnsiTheme="minorHAnsi" w:cstheme="minorHAnsi"/>
          <w:color w:val="333333"/>
          <w:sz w:val="22"/>
          <w:szCs w:val="22"/>
          <w:shd w:val="clear" w:color="auto" w:fill="FBFBFB"/>
          <w:lang w:eastAsia="en-US"/>
        </w:rPr>
        <w:t>https://lordslibrary.parliament.uk/financial-fraud-and-vulnerable-people/#:~:text=It%20reported%20that%20national%20polling,victim%20of%20an%20online%20scam..</w:t>
      </w:r>
      <w:proofErr w:type="gramEnd"/>
      <w:r w:rsidRPr="007B39D4">
        <w:rPr>
          <w:rFonts w:asciiTheme="minorHAnsi" w:eastAsiaTheme="minorHAnsi" w:hAnsiTheme="minorHAnsi" w:cstheme="minorHAnsi"/>
          <w:color w:val="333333"/>
          <w:sz w:val="22"/>
          <w:szCs w:val="22"/>
          <w:shd w:val="clear" w:color="auto" w:fill="FBFBFB"/>
          <w:lang w:eastAsia="en-US"/>
        </w:rPr>
        <w:t xml:space="preserve"> (Accessed: 07 AUGUST 2023).</w:t>
      </w:r>
    </w:p>
    <w:p w14:paraId="5527D477"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740EAEB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 xml:space="preserve">Age UK (2016) Scamming and its </w:t>
      </w:r>
      <w:proofErr w:type="spellStart"/>
      <w:r w:rsidRPr="007B39D4">
        <w:rPr>
          <w:rFonts w:asciiTheme="minorHAnsi" w:eastAsiaTheme="minorHAnsi" w:hAnsiTheme="minorHAnsi" w:cstheme="minorHAnsi"/>
          <w:color w:val="333333"/>
          <w:sz w:val="22"/>
          <w:szCs w:val="22"/>
          <w:shd w:val="clear" w:color="auto" w:fill="FBFBFB"/>
          <w:lang w:eastAsia="en-US"/>
        </w:rPr>
        <w:t>affect</w:t>
      </w:r>
      <w:proofErr w:type="spellEnd"/>
      <w:r w:rsidRPr="007B39D4">
        <w:rPr>
          <w:rFonts w:asciiTheme="minorHAnsi" w:eastAsiaTheme="minorHAnsi" w:hAnsiTheme="minorHAnsi" w:cstheme="minorHAnsi"/>
          <w:color w:val="333333"/>
          <w:sz w:val="22"/>
          <w:szCs w:val="22"/>
          <w:shd w:val="clear" w:color="auto" w:fill="FBFBFB"/>
          <w:lang w:eastAsia="en-US"/>
        </w:rPr>
        <w:t xml:space="preserve"> on</w:t>
      </w:r>
      <w:r w:rsidRPr="007B39D4">
        <w:rPr>
          <w:rFonts w:asciiTheme="minorHAnsi" w:eastAsiaTheme="minorHAnsi" w:hAnsiTheme="minorHAnsi" w:cstheme="minorHAnsi"/>
          <w:i/>
          <w:iCs/>
          <w:color w:val="333333"/>
          <w:sz w:val="22"/>
          <w:szCs w:val="22"/>
          <w:shd w:val="clear" w:color="auto" w:fill="FBFBFB"/>
          <w:lang w:eastAsia="en-US"/>
        </w:rPr>
        <w:t> Vulnerable people</w:t>
      </w:r>
      <w:r w:rsidRPr="007B39D4">
        <w:rPr>
          <w:rFonts w:asciiTheme="minorHAnsi" w:eastAsiaTheme="minorHAnsi" w:hAnsiTheme="minorHAnsi" w:cstheme="minorHAnsi"/>
          <w:color w:val="333333"/>
          <w:sz w:val="22"/>
          <w:szCs w:val="22"/>
          <w:shd w:val="clear" w:color="auto" w:fill="FBFBFB"/>
          <w:lang w:eastAsia="en-US"/>
        </w:rPr>
        <w:t xml:space="preserve">. Available at: </w:t>
      </w:r>
      <w:proofErr w:type="gramStart"/>
      <w:r w:rsidRPr="007B39D4">
        <w:rPr>
          <w:rFonts w:asciiTheme="minorHAnsi" w:eastAsiaTheme="minorHAnsi" w:hAnsiTheme="minorHAnsi" w:cstheme="minorHAnsi"/>
          <w:color w:val="333333"/>
          <w:sz w:val="22"/>
          <w:szCs w:val="22"/>
          <w:shd w:val="clear" w:color="auto" w:fill="FBFBFB"/>
          <w:lang w:eastAsia="en-US"/>
        </w:rPr>
        <w:t>https://www.ageuk.org.uk/globalassets/age-uk/documents/reports-and-publications/reports-and-briefings/safe-at-home/age_uk_briefing_fraud_and_scams_sept_2016.pdf..</w:t>
      </w:r>
      <w:proofErr w:type="gramEnd"/>
      <w:r w:rsidRPr="007B39D4">
        <w:rPr>
          <w:rFonts w:asciiTheme="minorHAnsi" w:eastAsiaTheme="minorHAnsi" w:hAnsiTheme="minorHAnsi" w:cstheme="minorHAnsi"/>
          <w:color w:val="333333"/>
          <w:sz w:val="22"/>
          <w:szCs w:val="22"/>
          <w:shd w:val="clear" w:color="auto" w:fill="FBFBFB"/>
          <w:lang w:eastAsia="en-US"/>
        </w:rPr>
        <w:t xml:space="preserve"> (Accessed: 07 AUGUST 2023).</w:t>
      </w:r>
    </w:p>
    <w:p w14:paraId="7251D2B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480D725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The National Archives (2006) Fraud Act 2006. Available at: https://www.legislation.gov.uk/ukpga/2006/35/section/2.  (Accessed: 07 AUGUST 2023).</w:t>
      </w:r>
    </w:p>
    <w:p w14:paraId="46E89F4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6532D2D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College of policing (2023) Investigation Process. Available at: https://www.college.police.uk/app/investigation/investigation-process.  (Accessed: 07 AUGUST 2023).</w:t>
      </w:r>
    </w:p>
    <w:p w14:paraId="69D035F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73B3EC3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Kent Police (2023) </w:t>
      </w:r>
      <w:r w:rsidRPr="007B39D4">
        <w:rPr>
          <w:rFonts w:asciiTheme="minorHAnsi" w:eastAsiaTheme="minorHAnsi" w:hAnsiTheme="minorHAnsi" w:cstheme="minorHAnsi"/>
          <w:i/>
          <w:iCs/>
          <w:color w:val="333333"/>
          <w:sz w:val="22"/>
          <w:szCs w:val="22"/>
          <w:shd w:val="clear" w:color="auto" w:fill="FBFBFB"/>
          <w:lang w:eastAsia="en-US"/>
        </w:rPr>
        <w:t>Crime and Intelligence</w:t>
      </w:r>
      <w:r w:rsidRPr="007B39D4">
        <w:rPr>
          <w:rFonts w:asciiTheme="minorHAnsi" w:eastAsiaTheme="minorHAnsi" w:hAnsiTheme="minorHAnsi" w:cstheme="minorHAnsi"/>
          <w:color w:val="333333"/>
          <w:sz w:val="22"/>
          <w:szCs w:val="22"/>
          <w:shd w:val="clear" w:color="auto" w:fill="FBFBFB"/>
          <w:lang w:eastAsia="en-US"/>
        </w:rPr>
        <w:t>. Available at: https://www.kent.police.uk/foi-ai/kent-police/Policy/crime-and-intelligence/crime-investigation-policy-n26/.  (Accessed: 07 AUGUST 2023).</w:t>
      </w:r>
    </w:p>
    <w:p w14:paraId="587B15B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
    <w:p w14:paraId="04FCC575"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r w:rsidRPr="007B39D4">
        <w:rPr>
          <w:rFonts w:asciiTheme="minorHAnsi" w:eastAsiaTheme="minorHAnsi" w:hAnsiTheme="minorHAnsi" w:cstheme="minorHAnsi"/>
          <w:color w:val="333333"/>
          <w:sz w:val="22"/>
          <w:szCs w:val="22"/>
          <w:shd w:val="clear" w:color="auto" w:fill="FBFBFB"/>
          <w:lang w:eastAsia="en-US"/>
        </w:rPr>
        <w:t>Association of Chief Police Officers (2012) </w:t>
      </w:r>
      <w:r w:rsidRPr="007B39D4">
        <w:rPr>
          <w:rFonts w:asciiTheme="minorHAnsi" w:eastAsiaTheme="minorHAnsi" w:hAnsiTheme="minorHAnsi" w:cstheme="minorHAnsi"/>
          <w:i/>
          <w:iCs/>
          <w:color w:val="333333"/>
          <w:sz w:val="22"/>
          <w:szCs w:val="22"/>
          <w:shd w:val="clear" w:color="auto" w:fill="FBFBFB"/>
          <w:lang w:eastAsia="en-US"/>
        </w:rPr>
        <w:t>Core Investigative Doctrine</w:t>
      </w:r>
      <w:r w:rsidRPr="007B39D4">
        <w:rPr>
          <w:rFonts w:asciiTheme="minorHAnsi" w:eastAsiaTheme="minorHAnsi" w:hAnsiTheme="minorHAnsi" w:cstheme="minorHAnsi"/>
          <w:color w:val="333333"/>
          <w:sz w:val="22"/>
          <w:szCs w:val="22"/>
          <w:shd w:val="clear" w:color="auto" w:fill="FBFBFB"/>
          <w:lang w:eastAsia="en-US"/>
        </w:rPr>
        <w:t>. Available at: </w:t>
      </w:r>
      <w:proofErr w:type="gramStart"/>
      <w:r w:rsidRPr="007B39D4">
        <w:rPr>
          <w:rFonts w:asciiTheme="minorHAnsi" w:eastAsiaTheme="minorHAnsi" w:hAnsiTheme="minorHAnsi" w:cstheme="minorHAnsi"/>
          <w:color w:val="333333"/>
          <w:sz w:val="22"/>
          <w:szCs w:val="22"/>
          <w:shd w:val="clear" w:color="auto" w:fill="FBFBFB"/>
          <w:lang w:eastAsia="en-US"/>
        </w:rPr>
        <w:t>https://www.whatdotheyknow.com/request/387377/response/948818/attach/2/Core%20Investigative%20Doctrine%202012.pdf?cookie_passthrough=1  (</w:t>
      </w:r>
      <w:proofErr w:type="gramEnd"/>
      <w:r w:rsidRPr="007B39D4">
        <w:rPr>
          <w:rFonts w:asciiTheme="minorHAnsi" w:eastAsiaTheme="minorHAnsi" w:hAnsiTheme="minorHAnsi" w:cstheme="minorHAnsi"/>
          <w:color w:val="333333"/>
          <w:sz w:val="22"/>
          <w:szCs w:val="22"/>
          <w:shd w:val="clear" w:color="auto" w:fill="FBFBFB"/>
          <w:lang w:eastAsia="en-US"/>
        </w:rPr>
        <w:t>Accessed: 07 AUGUST 2023).</w:t>
      </w:r>
    </w:p>
    <w:p w14:paraId="702FC0E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7308BFAD"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Stainton, I. (2022) Criminal investigation. Edited by R. Ewin. St Albans: Critical Publishing.</w:t>
      </w:r>
    </w:p>
    <w:p w14:paraId="31AE34A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0325C3CF"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The National Archives (2023) </w:t>
      </w:r>
      <w:r w:rsidRPr="007B39D4">
        <w:rPr>
          <w:rFonts w:asciiTheme="minorHAnsi" w:eastAsiaTheme="minorHAnsi" w:hAnsiTheme="minorHAnsi" w:cstheme="minorHAnsi"/>
          <w:i/>
          <w:iCs/>
          <w:color w:val="auto"/>
          <w:sz w:val="22"/>
          <w:szCs w:val="22"/>
          <w:lang w:eastAsia="en-US"/>
        </w:rPr>
        <w:t>Criminal Procedures and Investigations Act 1996</w:t>
      </w:r>
      <w:r w:rsidRPr="007B39D4">
        <w:rPr>
          <w:rFonts w:asciiTheme="minorHAnsi" w:eastAsiaTheme="minorHAnsi" w:hAnsiTheme="minorHAnsi" w:cstheme="minorHAnsi"/>
          <w:color w:val="auto"/>
          <w:sz w:val="22"/>
          <w:szCs w:val="22"/>
          <w:lang w:eastAsia="en-US"/>
        </w:rPr>
        <w:t>. Available at: </w:t>
      </w:r>
      <w:proofErr w:type="gramStart"/>
      <w:r w:rsidRPr="007B39D4">
        <w:rPr>
          <w:rFonts w:asciiTheme="minorHAnsi" w:eastAsiaTheme="minorHAnsi" w:hAnsiTheme="minorHAnsi" w:cstheme="minorHAnsi"/>
          <w:color w:val="auto"/>
          <w:sz w:val="22"/>
          <w:szCs w:val="22"/>
          <w:lang w:eastAsia="en-US"/>
        </w:rPr>
        <w:t>https://www.legislation.gov.uk/ukpga/1996/25/contents  (</w:t>
      </w:r>
      <w:proofErr w:type="gramEnd"/>
      <w:r w:rsidRPr="007B39D4">
        <w:rPr>
          <w:rFonts w:asciiTheme="minorHAnsi" w:eastAsiaTheme="minorHAnsi" w:hAnsiTheme="minorHAnsi" w:cstheme="minorHAnsi"/>
          <w:color w:val="auto"/>
          <w:sz w:val="22"/>
          <w:szCs w:val="22"/>
          <w:lang w:eastAsia="en-US"/>
        </w:rPr>
        <w:t>Accessed: 07 AUGUST 2023).</w:t>
      </w:r>
    </w:p>
    <w:p w14:paraId="5AD57BF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B01B389"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Crown Prosecution Service (2023) </w:t>
      </w:r>
      <w:r w:rsidRPr="007B39D4">
        <w:rPr>
          <w:rFonts w:asciiTheme="minorHAnsi" w:eastAsiaTheme="minorHAnsi" w:hAnsiTheme="minorHAnsi" w:cstheme="minorHAnsi"/>
          <w:i/>
          <w:iCs/>
          <w:color w:val="auto"/>
          <w:sz w:val="22"/>
          <w:szCs w:val="22"/>
          <w:lang w:eastAsia="en-US"/>
        </w:rPr>
        <w:t>Bail</w:t>
      </w:r>
      <w:r w:rsidRPr="007B39D4">
        <w:rPr>
          <w:rFonts w:asciiTheme="minorHAnsi" w:eastAsiaTheme="minorHAnsi" w:hAnsiTheme="minorHAnsi" w:cstheme="minorHAnsi"/>
          <w:color w:val="auto"/>
          <w:sz w:val="22"/>
          <w:szCs w:val="22"/>
          <w:lang w:eastAsia="en-US"/>
        </w:rPr>
        <w:t>. Available at: </w:t>
      </w:r>
      <w:proofErr w:type="gramStart"/>
      <w:r w:rsidRPr="007B39D4">
        <w:rPr>
          <w:rFonts w:asciiTheme="minorHAnsi" w:eastAsiaTheme="minorHAnsi" w:hAnsiTheme="minorHAnsi" w:cstheme="minorHAnsi"/>
          <w:color w:val="auto"/>
          <w:sz w:val="22"/>
          <w:szCs w:val="22"/>
          <w:lang w:eastAsia="en-US"/>
        </w:rPr>
        <w:t>https://www.cps.gov.uk/legal-guidance/bail  (</w:t>
      </w:r>
      <w:proofErr w:type="gramEnd"/>
      <w:r w:rsidRPr="007B39D4">
        <w:rPr>
          <w:rFonts w:asciiTheme="minorHAnsi" w:eastAsiaTheme="minorHAnsi" w:hAnsiTheme="minorHAnsi" w:cstheme="minorHAnsi"/>
          <w:color w:val="auto"/>
          <w:sz w:val="22"/>
          <w:szCs w:val="22"/>
          <w:lang w:eastAsia="en-US"/>
        </w:rPr>
        <w:t>Accessed: 07 AUGUST 2023).</w:t>
      </w:r>
    </w:p>
    <w:p w14:paraId="1B516278"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1C3B44F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roofErr w:type="spellStart"/>
      <w:r w:rsidRPr="007B39D4">
        <w:rPr>
          <w:rFonts w:asciiTheme="minorHAnsi" w:eastAsiaTheme="minorHAnsi" w:hAnsiTheme="minorHAnsi" w:cstheme="minorHAnsi"/>
          <w:color w:val="333333"/>
          <w:sz w:val="22"/>
          <w:szCs w:val="22"/>
          <w:shd w:val="clear" w:color="auto" w:fill="FBFBFB"/>
          <w:lang w:eastAsia="en-US"/>
        </w:rPr>
        <w:t>Whinney</w:t>
      </w:r>
      <w:proofErr w:type="spellEnd"/>
      <w:r w:rsidRPr="007B39D4">
        <w:rPr>
          <w:rFonts w:asciiTheme="minorHAnsi" w:eastAsiaTheme="minorHAnsi" w:hAnsiTheme="minorHAnsi" w:cstheme="minorHAnsi"/>
          <w:color w:val="333333"/>
          <w:sz w:val="22"/>
          <w:szCs w:val="22"/>
          <w:shd w:val="clear" w:color="auto" w:fill="FBFBFB"/>
          <w:lang w:eastAsia="en-US"/>
        </w:rPr>
        <w:t xml:space="preserve">, A. (2015) 'A descriptive analysis of Multi-Agency Risk Assessment Conferences (MARACs) for reducing the future harm of domestic abuse in Suffolk', Available </w:t>
      </w:r>
      <w:r w:rsidRPr="007B39D4">
        <w:rPr>
          <w:rFonts w:asciiTheme="minorHAnsi" w:eastAsiaTheme="minorHAnsi" w:hAnsiTheme="minorHAnsi" w:cstheme="minorHAnsi"/>
          <w:color w:val="333333"/>
          <w:sz w:val="22"/>
          <w:szCs w:val="22"/>
          <w:shd w:val="clear" w:color="auto" w:fill="FBFBFB"/>
          <w:lang w:eastAsia="en-US"/>
        </w:rPr>
        <w:lastRenderedPageBreak/>
        <w:t>at: https://www.crim.cam.ac.uk/system/files/documents/andrew-whinney.pdf (Accessed: 07 AUGUST 2023)</w:t>
      </w:r>
    </w:p>
    <w:p w14:paraId="28D0F053"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333333"/>
          <w:sz w:val="22"/>
          <w:szCs w:val="22"/>
          <w:shd w:val="clear" w:color="auto" w:fill="FBFBFB"/>
          <w:lang w:eastAsia="en-US"/>
        </w:rPr>
      </w:pPr>
      <w:proofErr w:type="spellStart"/>
      <w:r w:rsidRPr="007B39D4">
        <w:rPr>
          <w:rFonts w:asciiTheme="minorHAnsi" w:eastAsiaTheme="minorHAnsi" w:hAnsiTheme="minorHAnsi" w:cstheme="minorHAnsi"/>
          <w:color w:val="333333"/>
          <w:sz w:val="22"/>
          <w:szCs w:val="22"/>
          <w:shd w:val="clear" w:color="auto" w:fill="FBFBFB"/>
          <w:lang w:eastAsia="en-US"/>
        </w:rPr>
        <w:t>Adisa</w:t>
      </w:r>
      <w:proofErr w:type="spellEnd"/>
      <w:r w:rsidRPr="007B39D4">
        <w:rPr>
          <w:rFonts w:asciiTheme="minorHAnsi" w:eastAsiaTheme="minorHAnsi" w:hAnsiTheme="minorHAnsi" w:cstheme="minorHAnsi"/>
          <w:color w:val="333333"/>
          <w:sz w:val="22"/>
          <w:szCs w:val="22"/>
          <w:shd w:val="clear" w:color="auto" w:fill="FBFBFB"/>
          <w:lang w:eastAsia="en-US"/>
        </w:rPr>
        <w:t>, O. (2020) 'Professionals’ perceptions of MARACs and barriers to attendance: Headline findings from the ‘Are MARACs still fit for purpose?’ survey', Available at: https://www.uos.ac.uk/sites/www.uos.ac.uk/files/Are%20maracs%20still%20fit%20for%20purpose_briefing%20paper%202020%20FINAL.pdf (Accessed: 07 AUGUST 2023)</w:t>
      </w:r>
    </w:p>
    <w:p w14:paraId="72A07604"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10DC7DCE"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Allen, M. (2012) ‘Domestic Violence within the Irish Travelling Community: The Challenge for Social Work’, The British journal of social work, 42(5), pp. 870–886. Available at: </w:t>
      </w:r>
      <w:hyperlink r:id="rId28" w:history="1">
        <w:r w:rsidRPr="007B39D4">
          <w:rPr>
            <w:rFonts w:asciiTheme="minorHAnsi" w:eastAsiaTheme="minorHAnsi" w:hAnsiTheme="minorHAnsi" w:cstheme="minorHAnsi"/>
            <w:color w:val="0563C1" w:themeColor="hyperlink"/>
            <w:sz w:val="22"/>
            <w:szCs w:val="22"/>
            <w:u w:val="single"/>
            <w:lang w:eastAsia="en-US"/>
          </w:rPr>
          <w:t>https://doi.org/10.1093/bjsw/bcr140</w:t>
        </w:r>
      </w:hyperlink>
      <w:r w:rsidRPr="007B39D4">
        <w:rPr>
          <w:rFonts w:asciiTheme="minorHAnsi" w:eastAsiaTheme="minorHAnsi" w:hAnsiTheme="minorHAnsi" w:cstheme="minorHAnsi"/>
          <w:color w:val="auto"/>
          <w:sz w:val="22"/>
          <w:szCs w:val="22"/>
          <w:lang w:eastAsia="en-US"/>
        </w:rPr>
        <w:t>.</w:t>
      </w:r>
    </w:p>
    <w:p w14:paraId="75D2EF2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382E52B0"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O’ Neill, E., Abdul-Razak, N., </w:t>
      </w:r>
      <w:proofErr w:type="spellStart"/>
      <w:r w:rsidRPr="007B39D4">
        <w:rPr>
          <w:rFonts w:asciiTheme="minorHAnsi" w:eastAsiaTheme="minorHAnsi" w:hAnsiTheme="minorHAnsi" w:cstheme="minorHAnsi"/>
          <w:color w:val="auto"/>
          <w:sz w:val="22"/>
          <w:szCs w:val="22"/>
          <w:lang w:eastAsia="en-US"/>
        </w:rPr>
        <w:t>Anastasova</w:t>
      </w:r>
      <w:proofErr w:type="spellEnd"/>
      <w:r w:rsidRPr="007B39D4">
        <w:rPr>
          <w:rFonts w:asciiTheme="minorHAnsi" w:eastAsiaTheme="minorHAnsi" w:hAnsiTheme="minorHAnsi" w:cstheme="minorHAnsi"/>
          <w:color w:val="auto"/>
          <w:sz w:val="22"/>
          <w:szCs w:val="22"/>
          <w:lang w:eastAsia="en-US"/>
        </w:rPr>
        <w:t xml:space="preserve">, Z. and </w:t>
      </w:r>
      <w:proofErr w:type="spellStart"/>
      <w:r w:rsidRPr="007B39D4">
        <w:rPr>
          <w:rFonts w:asciiTheme="minorHAnsi" w:eastAsiaTheme="minorHAnsi" w:hAnsiTheme="minorHAnsi" w:cstheme="minorHAnsi"/>
          <w:color w:val="auto"/>
          <w:sz w:val="22"/>
          <w:szCs w:val="22"/>
          <w:lang w:eastAsia="en-US"/>
        </w:rPr>
        <w:t>O’Callanghan</w:t>
      </w:r>
      <w:proofErr w:type="spellEnd"/>
      <w:r w:rsidRPr="007B39D4">
        <w:rPr>
          <w:rFonts w:asciiTheme="minorHAnsi" w:eastAsiaTheme="minorHAnsi" w:hAnsiTheme="minorHAnsi" w:cstheme="minorHAnsi"/>
          <w:color w:val="auto"/>
          <w:sz w:val="22"/>
          <w:szCs w:val="22"/>
          <w:lang w:eastAsia="en-US"/>
        </w:rPr>
        <w:t xml:space="preserve">, C. (2022) ‘Case series: Psychosocial challenges of female youth within the Irish travelling community’, European psychiatry, 65(S1), pp. S329–S330. Available at: </w:t>
      </w:r>
      <w:hyperlink r:id="rId29" w:history="1">
        <w:r w:rsidRPr="007B39D4">
          <w:rPr>
            <w:rFonts w:asciiTheme="minorHAnsi" w:eastAsiaTheme="minorHAnsi" w:hAnsiTheme="minorHAnsi" w:cstheme="minorHAnsi"/>
            <w:color w:val="0563C1" w:themeColor="hyperlink"/>
            <w:sz w:val="22"/>
            <w:szCs w:val="22"/>
            <w:u w:val="single"/>
            <w:lang w:eastAsia="en-US"/>
          </w:rPr>
          <w:t>https://doi.org/10.1192/j.eurpsy.2022.839</w:t>
        </w:r>
      </w:hyperlink>
      <w:r w:rsidRPr="007B39D4">
        <w:rPr>
          <w:rFonts w:asciiTheme="minorHAnsi" w:eastAsiaTheme="minorHAnsi" w:hAnsiTheme="minorHAnsi" w:cstheme="minorHAnsi"/>
          <w:color w:val="auto"/>
          <w:sz w:val="22"/>
          <w:szCs w:val="22"/>
          <w:lang w:eastAsia="en-US"/>
        </w:rPr>
        <w:t>.</w:t>
      </w:r>
    </w:p>
    <w:p w14:paraId="6426EC66"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447E351"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 xml:space="preserve">James, Z. (2010). Rural Policing and policing the rural, </w:t>
      </w:r>
      <w:proofErr w:type="gramStart"/>
      <w:r w:rsidRPr="007B39D4">
        <w:rPr>
          <w:rFonts w:asciiTheme="minorHAnsi" w:eastAsiaTheme="minorHAnsi" w:hAnsiTheme="minorHAnsi" w:cstheme="minorHAnsi"/>
          <w:color w:val="auto"/>
          <w:sz w:val="22"/>
          <w:szCs w:val="22"/>
          <w:lang w:eastAsia="en-US"/>
        </w:rPr>
        <w:t>Policing :Gypsies</w:t>
      </w:r>
      <w:proofErr w:type="gramEnd"/>
      <w:r w:rsidRPr="007B39D4">
        <w:rPr>
          <w:rFonts w:asciiTheme="minorHAnsi" w:eastAsiaTheme="minorHAnsi" w:hAnsiTheme="minorHAnsi" w:cstheme="minorHAnsi"/>
          <w:color w:val="auto"/>
          <w:sz w:val="22"/>
          <w:szCs w:val="22"/>
          <w:lang w:eastAsia="en-US"/>
        </w:rPr>
        <w:t xml:space="preserve"> and Travellers in the Countryside. United Kingdom:  Routledge, Available at: </w:t>
      </w:r>
      <w:hyperlink r:id="rId30" w:history="1">
        <w:r w:rsidRPr="007B39D4">
          <w:rPr>
            <w:rFonts w:asciiTheme="minorHAnsi" w:eastAsiaTheme="minorHAnsi" w:hAnsiTheme="minorHAnsi" w:cstheme="minorHAnsi"/>
            <w:color w:val="0563C1" w:themeColor="hyperlink"/>
            <w:sz w:val="22"/>
            <w:szCs w:val="22"/>
            <w:u w:val="single"/>
            <w:lang w:eastAsia="en-US"/>
          </w:rPr>
          <w:t>https://www.taylorfrancis.com/chapters/edit/10.4324/9781315607191-14/gypsies-travellers-countryside-zo%C3%AB-james?context=ubx&amp;refId=41b9dc4f-fcf6-42f9-977e-2d198122e24d</w:t>
        </w:r>
      </w:hyperlink>
      <w:r w:rsidRPr="007B39D4">
        <w:rPr>
          <w:rFonts w:asciiTheme="minorHAnsi" w:eastAsiaTheme="minorHAnsi" w:hAnsiTheme="minorHAnsi" w:cstheme="minorHAnsi"/>
          <w:color w:val="auto"/>
          <w:sz w:val="22"/>
          <w:szCs w:val="22"/>
          <w:lang w:eastAsia="en-US"/>
        </w:rPr>
        <w:t xml:space="preserve"> (Accessed: 07 AUGUST 2023)</w:t>
      </w:r>
    </w:p>
    <w:p w14:paraId="14E8613C"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31E7073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070CFA0A" w14:textId="77777777" w:rsidR="007B39D4" w:rsidRPr="007B39D4" w:rsidRDefault="007B39D4" w:rsidP="007B39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7B39D4">
        <w:rPr>
          <w:rFonts w:asciiTheme="minorHAnsi" w:eastAsiaTheme="minorHAnsi" w:hAnsiTheme="minorHAnsi" w:cstheme="minorHAnsi"/>
          <w:color w:val="auto"/>
          <w:sz w:val="22"/>
          <w:szCs w:val="22"/>
          <w:lang w:eastAsia="en-US"/>
        </w:rPr>
        <w:t>Ramsden, J. (2014) ‘Book Review: Affect and Cognition in Criminal Decision Making’, Probation Journal. London, England: SAGE Publications, pp. 440–442. Available at: https://doi.org/10.1177/0264550514561145.</w:t>
      </w:r>
    </w:p>
    <w:p w14:paraId="65AF5B51" w14:textId="77777777" w:rsidR="00051DD1" w:rsidRDefault="00051DD1" w:rsidP="00EA28F1">
      <w:pPr>
        <w:keepNext/>
        <w:spacing w:before="240" w:after="60"/>
        <w:ind w:right="237"/>
        <w:jc w:val="both"/>
      </w:pPr>
    </w:p>
    <w:sectPr w:rsidR="00051DD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B7379" w14:textId="77777777" w:rsidR="00051DD1" w:rsidRDefault="00051D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EA78E" w14:textId="77777777" w:rsidR="00051DD1" w:rsidRDefault="00051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C3D3F" w14:textId="77777777" w:rsidR="00051DD1" w:rsidRDefault="00051D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70951" w14:textId="77777777" w:rsidR="00051DD1" w:rsidRDefault="00051D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3308D" w14:textId="77777777" w:rsidR="00051DD1" w:rsidRDefault="00051DD1">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2EFA973A"/>
    <w:lvl w:ilvl="0" w:tplc="F5AA0A4C">
      <w:start w:val="1"/>
      <w:numFmt w:val="decimal"/>
      <w:lvlText w:val="%1."/>
      <w:lvlJc w:val="left"/>
      <w:pPr>
        <w:ind w:left="720" w:hanging="360"/>
      </w:pPr>
    </w:lvl>
    <w:lvl w:ilvl="1" w:tplc="5D864644">
      <w:start w:val="1"/>
      <w:numFmt w:val="lowerLetter"/>
      <w:lvlText w:val="%2."/>
      <w:lvlJc w:val="left"/>
      <w:pPr>
        <w:ind w:left="1440" w:hanging="360"/>
      </w:pPr>
    </w:lvl>
    <w:lvl w:ilvl="2" w:tplc="17800140">
      <w:start w:val="1"/>
      <w:numFmt w:val="lowerRoman"/>
      <w:lvlText w:val="%3."/>
      <w:lvlJc w:val="right"/>
      <w:pPr>
        <w:ind w:left="2160" w:hanging="180"/>
      </w:pPr>
    </w:lvl>
    <w:lvl w:ilvl="3" w:tplc="559E0F5E">
      <w:start w:val="1"/>
      <w:numFmt w:val="decimal"/>
      <w:lvlText w:val="%4."/>
      <w:lvlJc w:val="left"/>
      <w:pPr>
        <w:ind w:left="2880" w:hanging="360"/>
      </w:pPr>
    </w:lvl>
    <w:lvl w:ilvl="4" w:tplc="DB5E4980">
      <w:start w:val="1"/>
      <w:numFmt w:val="lowerLetter"/>
      <w:lvlText w:val="%5."/>
      <w:lvlJc w:val="left"/>
      <w:pPr>
        <w:ind w:left="3600" w:hanging="360"/>
      </w:pPr>
    </w:lvl>
    <w:lvl w:ilvl="5" w:tplc="038A0C32">
      <w:start w:val="1"/>
      <w:numFmt w:val="lowerRoman"/>
      <w:lvlText w:val="%6."/>
      <w:lvlJc w:val="right"/>
      <w:pPr>
        <w:ind w:left="4320" w:hanging="180"/>
      </w:pPr>
    </w:lvl>
    <w:lvl w:ilvl="6" w:tplc="44305002">
      <w:start w:val="1"/>
      <w:numFmt w:val="decimal"/>
      <w:lvlText w:val="%7."/>
      <w:lvlJc w:val="left"/>
      <w:pPr>
        <w:ind w:left="5040" w:hanging="360"/>
      </w:pPr>
    </w:lvl>
    <w:lvl w:ilvl="7" w:tplc="E3F25BF8">
      <w:start w:val="1"/>
      <w:numFmt w:val="lowerLetter"/>
      <w:lvlText w:val="%8."/>
      <w:lvlJc w:val="left"/>
      <w:pPr>
        <w:ind w:left="5760" w:hanging="360"/>
      </w:pPr>
    </w:lvl>
    <w:lvl w:ilvl="8" w:tplc="965027A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01DE0D6C"/>
    <w:lvl w:ilvl="0" w:tplc="35602734">
      <w:start w:val="1"/>
      <w:numFmt w:val="decimal"/>
      <w:lvlText w:val="%1."/>
      <w:lvlJc w:val="left"/>
      <w:pPr>
        <w:ind w:left="720" w:hanging="360"/>
      </w:pPr>
    </w:lvl>
    <w:lvl w:ilvl="1" w:tplc="7F4030B0">
      <w:start w:val="1"/>
      <w:numFmt w:val="decimal"/>
      <w:lvlText w:val="%2."/>
      <w:lvlJc w:val="left"/>
      <w:pPr>
        <w:ind w:left="1440" w:hanging="360"/>
      </w:pPr>
    </w:lvl>
    <w:lvl w:ilvl="2" w:tplc="5FDE3DAE">
      <w:start w:val="1"/>
      <w:numFmt w:val="lowerRoman"/>
      <w:lvlText w:val="%3."/>
      <w:lvlJc w:val="right"/>
      <w:pPr>
        <w:ind w:left="2160" w:hanging="180"/>
      </w:pPr>
    </w:lvl>
    <w:lvl w:ilvl="3" w:tplc="89C00ECA">
      <w:start w:val="1"/>
      <w:numFmt w:val="decimal"/>
      <w:lvlText w:val="%4."/>
      <w:lvlJc w:val="left"/>
      <w:pPr>
        <w:ind w:left="2880" w:hanging="360"/>
      </w:pPr>
    </w:lvl>
    <w:lvl w:ilvl="4" w:tplc="A48E6A42">
      <w:start w:val="1"/>
      <w:numFmt w:val="lowerLetter"/>
      <w:lvlText w:val="%5."/>
      <w:lvlJc w:val="left"/>
      <w:pPr>
        <w:ind w:left="3600" w:hanging="360"/>
      </w:pPr>
    </w:lvl>
    <w:lvl w:ilvl="5" w:tplc="C966E2D8">
      <w:start w:val="1"/>
      <w:numFmt w:val="lowerRoman"/>
      <w:lvlText w:val="%6."/>
      <w:lvlJc w:val="right"/>
      <w:pPr>
        <w:ind w:left="4320" w:hanging="180"/>
      </w:pPr>
    </w:lvl>
    <w:lvl w:ilvl="6" w:tplc="3D2E5E02">
      <w:start w:val="1"/>
      <w:numFmt w:val="decimal"/>
      <w:lvlText w:val="%7."/>
      <w:lvlJc w:val="left"/>
      <w:pPr>
        <w:ind w:left="5040" w:hanging="360"/>
      </w:pPr>
    </w:lvl>
    <w:lvl w:ilvl="7" w:tplc="0EE83AE6">
      <w:start w:val="1"/>
      <w:numFmt w:val="lowerLetter"/>
      <w:lvlText w:val="%8."/>
      <w:lvlJc w:val="left"/>
      <w:pPr>
        <w:ind w:left="5760" w:hanging="360"/>
      </w:pPr>
    </w:lvl>
    <w:lvl w:ilvl="8" w:tplc="06BEFB9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0086383">
    <w:abstractNumId w:val="47"/>
  </w:num>
  <w:num w:numId="2" w16cid:durableId="1260673008">
    <w:abstractNumId w:val="10"/>
  </w:num>
  <w:num w:numId="3" w16cid:durableId="1314673820">
    <w:abstractNumId w:val="1"/>
    <w:lvlOverride w:ilvl="0">
      <w:lvl w:ilvl="0">
        <w:start w:val="1"/>
        <w:numFmt w:val="bullet"/>
        <w:lvlText w:val=""/>
        <w:lvlJc w:val="left"/>
        <w:pPr>
          <w:ind w:left="720" w:hanging="360"/>
        </w:pPr>
        <w:rPr>
          <w:rFonts w:ascii="Symbol" w:hAnsi="Symbol" w:hint="default"/>
        </w:rPr>
      </w:lvl>
    </w:lvlOverride>
  </w:num>
  <w:num w:numId="4" w16cid:durableId="1914970065">
    <w:abstractNumId w:val="22"/>
  </w:num>
  <w:num w:numId="5" w16cid:durableId="379942254">
    <w:abstractNumId w:val="44"/>
  </w:num>
  <w:num w:numId="6" w16cid:durableId="604339508">
    <w:abstractNumId w:val="46"/>
  </w:num>
  <w:num w:numId="7" w16cid:durableId="456677537">
    <w:abstractNumId w:val="34"/>
  </w:num>
  <w:num w:numId="8" w16cid:durableId="79838704">
    <w:abstractNumId w:val="32"/>
  </w:num>
  <w:num w:numId="9" w16cid:durableId="1224411640">
    <w:abstractNumId w:val="29"/>
  </w:num>
  <w:num w:numId="10" w16cid:durableId="1774740959">
    <w:abstractNumId w:val="30"/>
  </w:num>
  <w:num w:numId="11" w16cid:durableId="1344015892">
    <w:abstractNumId w:val="9"/>
  </w:num>
  <w:num w:numId="12" w16cid:durableId="1158379781">
    <w:abstractNumId w:val="33"/>
  </w:num>
  <w:num w:numId="13" w16cid:durableId="650528192">
    <w:abstractNumId w:val="17"/>
  </w:num>
  <w:num w:numId="14" w16cid:durableId="745691016">
    <w:abstractNumId w:val="16"/>
  </w:num>
  <w:num w:numId="15" w16cid:durableId="518391146">
    <w:abstractNumId w:val="26"/>
  </w:num>
  <w:num w:numId="16" w16cid:durableId="1647319043">
    <w:abstractNumId w:val="7"/>
  </w:num>
  <w:num w:numId="17" w16cid:durableId="625625681">
    <w:abstractNumId w:val="25"/>
  </w:num>
  <w:num w:numId="18" w16cid:durableId="203711175">
    <w:abstractNumId w:val="15"/>
  </w:num>
  <w:num w:numId="19" w16cid:durableId="753667164">
    <w:abstractNumId w:val="13"/>
  </w:num>
  <w:num w:numId="20" w16cid:durableId="68709659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2407865">
    <w:abstractNumId w:val="23"/>
  </w:num>
  <w:num w:numId="22" w16cid:durableId="607392691">
    <w:abstractNumId w:val="18"/>
  </w:num>
  <w:num w:numId="23" w16cid:durableId="1087118768">
    <w:abstractNumId w:val="14"/>
  </w:num>
  <w:num w:numId="24" w16cid:durableId="1685668584">
    <w:abstractNumId w:val="11"/>
  </w:num>
  <w:num w:numId="25" w16cid:durableId="1560900013">
    <w:abstractNumId w:val="27"/>
  </w:num>
  <w:num w:numId="26" w16cid:durableId="1069572038">
    <w:abstractNumId w:val="19"/>
  </w:num>
  <w:num w:numId="27" w16cid:durableId="785193400">
    <w:abstractNumId w:val="40"/>
  </w:num>
  <w:num w:numId="28" w16cid:durableId="529611818">
    <w:abstractNumId w:val="35"/>
  </w:num>
  <w:num w:numId="29" w16cid:durableId="475295797">
    <w:abstractNumId w:val="39"/>
  </w:num>
  <w:num w:numId="30" w16cid:durableId="1413551217">
    <w:abstractNumId w:val="20"/>
  </w:num>
  <w:num w:numId="31" w16cid:durableId="1222323811">
    <w:abstractNumId w:val="42"/>
  </w:num>
  <w:num w:numId="32" w16cid:durableId="608003613">
    <w:abstractNumId w:val="31"/>
  </w:num>
  <w:num w:numId="33" w16cid:durableId="808136356">
    <w:abstractNumId w:val="12"/>
  </w:num>
  <w:num w:numId="34" w16cid:durableId="1247230110">
    <w:abstractNumId w:val="43"/>
  </w:num>
  <w:num w:numId="35" w16cid:durableId="148255755">
    <w:abstractNumId w:val="38"/>
  </w:num>
  <w:num w:numId="36" w16cid:durableId="519124689">
    <w:abstractNumId w:val="4"/>
  </w:num>
  <w:num w:numId="37" w16cid:durableId="917591711">
    <w:abstractNumId w:val="45"/>
  </w:num>
  <w:num w:numId="38" w16cid:durableId="1603763617">
    <w:abstractNumId w:val="41"/>
  </w:num>
  <w:num w:numId="39" w16cid:durableId="1182621896">
    <w:abstractNumId w:val="36"/>
  </w:num>
  <w:num w:numId="40" w16cid:durableId="364986518">
    <w:abstractNumId w:val="37"/>
  </w:num>
  <w:num w:numId="41" w16cid:durableId="576944567">
    <w:abstractNumId w:val="3"/>
  </w:num>
  <w:num w:numId="42" w16cid:durableId="758671664">
    <w:abstractNumId w:val="5"/>
  </w:num>
  <w:num w:numId="43" w16cid:durableId="195121677">
    <w:abstractNumId w:val="24"/>
  </w:num>
  <w:num w:numId="44" w16cid:durableId="739910143">
    <w:abstractNumId w:val="6"/>
  </w:num>
  <w:num w:numId="45" w16cid:durableId="256865678">
    <w:abstractNumId w:val="2"/>
  </w:num>
  <w:num w:numId="46" w16cid:durableId="462650127">
    <w:abstractNumId w:val="0"/>
  </w:num>
  <w:num w:numId="47" w16cid:durableId="838346095">
    <w:abstractNumId w:val="21"/>
  </w:num>
  <w:num w:numId="48" w16cid:durableId="584920714">
    <w:abstractNumId w:val="28"/>
  </w:num>
  <w:num w:numId="49" w16cid:durableId="12805751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DD1"/>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2F9D"/>
    <w:rsid w:val="000F1599"/>
    <w:rsid w:val="000F1769"/>
    <w:rsid w:val="000F6196"/>
    <w:rsid w:val="000F7ECD"/>
    <w:rsid w:val="00102E64"/>
    <w:rsid w:val="0010312C"/>
    <w:rsid w:val="00105788"/>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5AE5"/>
    <w:rsid w:val="0075704F"/>
    <w:rsid w:val="00763B2D"/>
    <w:rsid w:val="00772924"/>
    <w:rsid w:val="00784EC4"/>
    <w:rsid w:val="007872F2"/>
    <w:rsid w:val="007874BC"/>
    <w:rsid w:val="007908E0"/>
    <w:rsid w:val="00793EB3"/>
    <w:rsid w:val="00794205"/>
    <w:rsid w:val="00797012"/>
    <w:rsid w:val="007A1F6A"/>
    <w:rsid w:val="007B0DE3"/>
    <w:rsid w:val="007B39D4"/>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E2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oi.org/10.1177/0885412215595440" TargetMode="External"/><Relationship Id="rId3" Type="http://schemas.openxmlformats.org/officeDocument/2006/relationships/customXml" Target="../customXml/item3.xml"/><Relationship Id="rId21" Type="http://schemas.openxmlformats.org/officeDocument/2006/relationships/hyperlink" Target="https://doi.org/10.1177/088740340935696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oi.org/10.1093/police/pax083"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doi.org/10.1192/j.eurpsy.2022.8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7/s10940-009-9068-8"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oi.org/10.1177/1477370808095124" TargetMode="External"/><Relationship Id="rId28" Type="http://schemas.openxmlformats.org/officeDocument/2006/relationships/hyperlink" Target="https://doi.org/10.1093/bjsw/bcr140"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080/13600860801925169" TargetMode="External"/><Relationship Id="rId27" Type="http://schemas.openxmlformats.org/officeDocument/2006/relationships/hyperlink" Target="https://doi.org/10.1007/s10610-010-9135-6" TargetMode="External"/><Relationship Id="rId30" Type="http://schemas.openxmlformats.org/officeDocument/2006/relationships/hyperlink" Target="https://www.taylorfrancis.com/chapters/edit/10.4324/9781315607191-14/gypsies-travellers-countryside-zo%C3%AB-james?context=ubx&amp;refId=41b9dc4f-fcf6-42f9-977e-2d198122e2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6170</Words>
  <Characters>38434</Characters>
  <Application>Microsoft Office Word</Application>
  <DocSecurity>0</DocSecurity>
  <Lines>320</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Blackwood, Adam</cp:lastModifiedBy>
  <cp:revision>2</cp:revision>
  <cp:lastPrinted>2014-08-26T08:55:00Z</cp:lastPrinted>
  <dcterms:created xsi:type="dcterms:W3CDTF">2023-08-07T14:56:00Z</dcterms:created>
  <dcterms:modified xsi:type="dcterms:W3CDTF">2023-08-07T14:56:00Z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2023-07-07T12:12:12Z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75721187-1e4d-4311-b993-aa860be9847e</vt:lpwstr>
  </property>
  <property fmtid="{D5CDD505-2E9C-101B-9397-08002B2CF9AE}" pid="9" name="MSIP_Label_f2acd28b-79a3-4a0f-b0ff-4b75658b1549_ContentBits">
    <vt:lpwstr>0</vt:lpwstr>
  </property>
</Properties>
</file>