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00239" w14:textId="77777777" w:rsidR="00143E0E" w:rsidRPr="00D66265" w:rsidRDefault="00143E0E" w:rsidP="00D66265">
      <w:pPr>
        <w:spacing w:line="360" w:lineRule="auto"/>
        <w:rPr>
          <w:rFonts w:ascii="Arial" w:hAnsi="Arial" w:cs="Arial"/>
        </w:rPr>
      </w:pPr>
    </w:p>
    <w:p w14:paraId="18A213D6" w14:textId="77777777" w:rsidR="00143E0E" w:rsidRPr="00D66265" w:rsidRDefault="00143E0E" w:rsidP="00D66265">
      <w:pPr>
        <w:spacing w:line="360" w:lineRule="auto"/>
        <w:rPr>
          <w:rFonts w:ascii="Arial" w:hAnsi="Arial" w:cs="Arial"/>
        </w:rPr>
      </w:pPr>
    </w:p>
    <w:p w14:paraId="1CDFA507" w14:textId="77777777" w:rsidR="00143E0E" w:rsidRPr="00D66265" w:rsidRDefault="00143E0E" w:rsidP="00D66265">
      <w:pPr>
        <w:spacing w:line="360" w:lineRule="auto"/>
        <w:jc w:val="center"/>
        <w:rPr>
          <w:rFonts w:ascii="Arial" w:hAnsi="Arial" w:cs="Arial"/>
        </w:rPr>
      </w:pPr>
    </w:p>
    <w:p w14:paraId="4ACABE6E" w14:textId="77777777" w:rsidR="00143E0E" w:rsidRPr="00D66265" w:rsidRDefault="00143E0E" w:rsidP="00D66265">
      <w:pPr>
        <w:spacing w:line="360" w:lineRule="auto"/>
        <w:jc w:val="center"/>
        <w:rPr>
          <w:rFonts w:ascii="Arial" w:hAnsi="Arial" w:cs="Arial"/>
        </w:rPr>
      </w:pPr>
    </w:p>
    <w:p w14:paraId="7AA1453A" w14:textId="22108F54" w:rsidR="00480ABF" w:rsidRPr="00D66265" w:rsidRDefault="00480ABF" w:rsidP="00D66265">
      <w:pPr>
        <w:spacing w:line="360" w:lineRule="auto"/>
        <w:jc w:val="center"/>
        <w:rPr>
          <w:rFonts w:ascii="Arial" w:hAnsi="Arial" w:cs="Arial"/>
        </w:rPr>
      </w:pPr>
      <w:r w:rsidRPr="00D66265">
        <w:rPr>
          <w:rFonts w:ascii="Arial" w:hAnsi="Arial" w:cs="Arial"/>
        </w:rPr>
        <w:t>Name</w:t>
      </w:r>
      <w:r w:rsidR="00AD5261">
        <w:rPr>
          <w:rFonts w:ascii="Arial" w:hAnsi="Arial" w:cs="Arial"/>
        </w:rPr>
        <w:t xml:space="preserve">: </w:t>
      </w:r>
      <w:proofErr w:type="spellStart"/>
      <w:r w:rsidR="00AD5261">
        <w:rPr>
          <w:rFonts w:ascii="Arial" w:hAnsi="Arial" w:cs="Arial"/>
        </w:rPr>
        <w:t>Mutiat</w:t>
      </w:r>
      <w:proofErr w:type="spellEnd"/>
      <w:r w:rsidR="00AD5261">
        <w:rPr>
          <w:rFonts w:ascii="Arial" w:hAnsi="Arial" w:cs="Arial"/>
        </w:rPr>
        <w:t xml:space="preserve"> </w:t>
      </w:r>
      <w:proofErr w:type="spellStart"/>
      <w:r w:rsidR="00AD5261">
        <w:rPr>
          <w:rFonts w:ascii="Arial" w:hAnsi="Arial" w:cs="Arial"/>
        </w:rPr>
        <w:t>shobajo</w:t>
      </w:r>
      <w:proofErr w:type="spellEnd"/>
      <w:r w:rsidR="00AD5261">
        <w:rPr>
          <w:rFonts w:ascii="Arial" w:hAnsi="Arial" w:cs="Arial"/>
        </w:rPr>
        <w:t xml:space="preserve"> </w:t>
      </w:r>
    </w:p>
    <w:p w14:paraId="2252452A" w14:textId="0F70FF70" w:rsidR="00AD5261" w:rsidRPr="00AD5261" w:rsidRDefault="00480ABF" w:rsidP="00AD5261">
      <w:pPr>
        <w:spacing w:line="360" w:lineRule="auto"/>
        <w:jc w:val="center"/>
        <w:rPr>
          <w:rFonts w:ascii="Arial" w:hAnsi="Arial" w:cs="Arial"/>
          <w:lang w:val="en-GB"/>
        </w:rPr>
      </w:pPr>
      <w:r w:rsidRPr="00D66265">
        <w:rPr>
          <w:rFonts w:ascii="Arial" w:hAnsi="Arial" w:cs="Arial"/>
        </w:rPr>
        <w:t>Course</w:t>
      </w:r>
      <w:r w:rsidR="00AD5261">
        <w:rPr>
          <w:rFonts w:ascii="Arial" w:hAnsi="Arial" w:cs="Arial"/>
        </w:rPr>
        <w:t xml:space="preserve"> module:</w:t>
      </w:r>
      <w:r w:rsidR="00AD5261" w:rsidRPr="00AD5261">
        <w:rPr>
          <w:rFonts w:ascii="Arial" w:eastAsia="Times New Roman" w:hAnsi="Arial" w:cs="Arial"/>
          <w:b/>
          <w:bCs/>
          <w:lang w:val="en-GB" w:eastAsia="en-GB"/>
        </w:rPr>
        <w:t xml:space="preserve"> </w:t>
      </w:r>
      <w:r w:rsidR="00AD5261" w:rsidRPr="00AD5261">
        <w:rPr>
          <w:rFonts w:ascii="Arial" w:hAnsi="Arial" w:cs="Arial"/>
          <w:b/>
          <w:bCs/>
          <w:lang w:val="en-GB"/>
        </w:rPr>
        <w:t xml:space="preserve">Living with Care: The Older Person </w:t>
      </w:r>
    </w:p>
    <w:p w14:paraId="17E9ACFF" w14:textId="49341787" w:rsidR="00480ABF" w:rsidRPr="00AD5261" w:rsidRDefault="00AD5261" w:rsidP="00AD5261">
      <w:pPr>
        <w:spacing w:line="360" w:lineRule="auto"/>
        <w:jc w:val="center"/>
        <w:rPr>
          <w:rFonts w:ascii="Arial" w:hAnsi="Arial" w:cs="Arial"/>
          <w:lang w:val="en-GB"/>
        </w:rPr>
      </w:pPr>
      <w:r>
        <w:rPr>
          <w:rFonts w:ascii="Arial" w:hAnsi="Arial" w:cs="Arial"/>
        </w:rPr>
        <w:t xml:space="preserve"> </w:t>
      </w:r>
      <w:r w:rsidRPr="00AD5261">
        <w:rPr>
          <w:rFonts w:ascii="Arial" w:hAnsi="Arial" w:cs="Arial"/>
          <w:b/>
          <w:bCs/>
          <w:lang w:val="en-GB"/>
        </w:rPr>
        <w:t xml:space="preserve">BMHP6009 </w:t>
      </w:r>
    </w:p>
    <w:p w14:paraId="0F72374D" w14:textId="77777777" w:rsidR="00AD5261" w:rsidRPr="00AD5261" w:rsidRDefault="00480ABF" w:rsidP="00AD5261">
      <w:pPr>
        <w:spacing w:line="360" w:lineRule="auto"/>
        <w:jc w:val="center"/>
        <w:rPr>
          <w:rFonts w:ascii="Arial" w:hAnsi="Arial" w:cs="Arial"/>
          <w:lang w:val="en-GB"/>
        </w:rPr>
      </w:pPr>
      <w:r w:rsidRPr="00D66265">
        <w:rPr>
          <w:rFonts w:ascii="Arial" w:hAnsi="Arial" w:cs="Arial"/>
        </w:rPr>
        <w:t>Professor’s Name</w:t>
      </w:r>
      <w:r w:rsidR="00AD5261">
        <w:rPr>
          <w:rFonts w:ascii="Arial" w:hAnsi="Arial" w:cs="Arial"/>
        </w:rPr>
        <w:t xml:space="preserve">: </w:t>
      </w:r>
      <w:r w:rsidR="00AD5261" w:rsidRPr="00AD5261">
        <w:rPr>
          <w:rFonts w:ascii="Arial" w:hAnsi="Arial" w:cs="Arial"/>
          <w:b/>
          <w:bCs/>
          <w:lang w:val="en-GB"/>
        </w:rPr>
        <w:t xml:space="preserve">Diola </w:t>
      </w:r>
      <w:proofErr w:type="spellStart"/>
      <w:r w:rsidR="00AD5261" w:rsidRPr="00AD5261">
        <w:rPr>
          <w:rFonts w:ascii="Arial" w:hAnsi="Arial" w:cs="Arial"/>
          <w:b/>
          <w:bCs/>
          <w:lang w:val="en-GB"/>
        </w:rPr>
        <w:t>Bijlhout</w:t>
      </w:r>
      <w:proofErr w:type="spellEnd"/>
      <w:r w:rsidR="00AD5261" w:rsidRPr="00AD5261">
        <w:rPr>
          <w:rFonts w:ascii="Arial" w:hAnsi="Arial" w:cs="Arial"/>
          <w:b/>
          <w:bCs/>
          <w:lang w:val="en-GB"/>
        </w:rPr>
        <w:t xml:space="preserve"> </w:t>
      </w:r>
    </w:p>
    <w:p w14:paraId="2AEB2AC2" w14:textId="1E194D06" w:rsidR="00480ABF" w:rsidRPr="00D66265" w:rsidRDefault="00480ABF" w:rsidP="00D66265">
      <w:pPr>
        <w:spacing w:line="360" w:lineRule="auto"/>
        <w:jc w:val="center"/>
        <w:rPr>
          <w:rFonts w:ascii="Arial" w:hAnsi="Arial" w:cs="Arial"/>
        </w:rPr>
      </w:pPr>
      <w:r w:rsidRPr="00D66265">
        <w:rPr>
          <w:rFonts w:ascii="Arial" w:hAnsi="Arial" w:cs="Arial"/>
        </w:rPr>
        <w:t>Institution</w:t>
      </w:r>
      <w:r w:rsidR="00AD5261">
        <w:rPr>
          <w:rFonts w:ascii="Arial" w:hAnsi="Arial" w:cs="Arial"/>
        </w:rPr>
        <w:t xml:space="preserve"> University of </w:t>
      </w:r>
      <w:r w:rsidR="004B4C53">
        <w:rPr>
          <w:rFonts w:ascii="Arial" w:hAnsi="Arial" w:cs="Arial"/>
        </w:rPr>
        <w:t>Wales</w:t>
      </w:r>
      <w:r w:rsidR="00AD5261">
        <w:rPr>
          <w:rFonts w:ascii="Arial" w:hAnsi="Arial" w:cs="Arial"/>
        </w:rPr>
        <w:t xml:space="preserve"> trinity saint David</w:t>
      </w:r>
    </w:p>
    <w:p w14:paraId="1AD4276D" w14:textId="2D0DA56C" w:rsidR="00480ABF" w:rsidRPr="00D66265" w:rsidRDefault="00480ABF" w:rsidP="00D66265">
      <w:pPr>
        <w:spacing w:line="360" w:lineRule="auto"/>
        <w:jc w:val="center"/>
        <w:rPr>
          <w:rFonts w:ascii="Arial" w:hAnsi="Arial" w:cs="Arial"/>
        </w:rPr>
      </w:pPr>
      <w:r w:rsidRPr="00D66265">
        <w:rPr>
          <w:rFonts w:ascii="Arial" w:hAnsi="Arial" w:cs="Arial"/>
        </w:rPr>
        <w:t>Location of Institution</w:t>
      </w:r>
      <w:r w:rsidR="00AD5261">
        <w:rPr>
          <w:rFonts w:ascii="Arial" w:hAnsi="Arial" w:cs="Arial"/>
        </w:rPr>
        <w:t>: London</w:t>
      </w:r>
    </w:p>
    <w:p w14:paraId="0EBFA989" w14:textId="77777777" w:rsidR="00143E0E" w:rsidRPr="00D66265" w:rsidRDefault="00143E0E" w:rsidP="00D66265">
      <w:pPr>
        <w:spacing w:line="360" w:lineRule="auto"/>
        <w:rPr>
          <w:rFonts w:ascii="Arial" w:hAnsi="Arial" w:cs="Arial"/>
        </w:rPr>
      </w:pPr>
      <w:r w:rsidRPr="00D66265">
        <w:rPr>
          <w:rFonts w:ascii="Arial" w:hAnsi="Arial" w:cs="Arial"/>
        </w:rPr>
        <w:br w:type="page"/>
      </w:r>
    </w:p>
    <w:sdt>
      <w:sdtPr>
        <w:rPr>
          <w:rFonts w:ascii="Arial" w:eastAsiaTheme="minorHAnsi" w:hAnsi="Arial" w:cs="Arial"/>
          <w:b w:val="0"/>
          <w:bCs w:val="0"/>
          <w:color w:val="auto"/>
          <w:sz w:val="22"/>
          <w:szCs w:val="22"/>
          <w:lang w:eastAsia="en-US"/>
        </w:rPr>
        <w:id w:val="-859590321"/>
        <w:docPartObj>
          <w:docPartGallery w:val="Table of Contents"/>
          <w:docPartUnique/>
        </w:docPartObj>
      </w:sdtPr>
      <w:sdtEndPr>
        <w:rPr>
          <w:noProof/>
        </w:rPr>
      </w:sdtEndPr>
      <w:sdtContent>
        <w:p w14:paraId="69D79887" w14:textId="77777777" w:rsidR="00952A5C" w:rsidRPr="00D66265" w:rsidRDefault="00952A5C" w:rsidP="00D66265">
          <w:pPr>
            <w:pStyle w:val="TOCHeading"/>
            <w:spacing w:line="360" w:lineRule="auto"/>
            <w:rPr>
              <w:rFonts w:ascii="Arial" w:hAnsi="Arial" w:cs="Arial"/>
              <w:color w:val="auto"/>
              <w:sz w:val="22"/>
              <w:szCs w:val="22"/>
            </w:rPr>
          </w:pPr>
          <w:r w:rsidRPr="00D66265">
            <w:rPr>
              <w:rFonts w:ascii="Arial" w:hAnsi="Arial" w:cs="Arial"/>
              <w:color w:val="auto"/>
              <w:sz w:val="22"/>
              <w:szCs w:val="22"/>
            </w:rPr>
            <w:t>Table of Contents</w:t>
          </w:r>
        </w:p>
        <w:p w14:paraId="0F034FE2" w14:textId="77777777" w:rsidR="00952A5C" w:rsidRPr="00D66265" w:rsidRDefault="00952A5C" w:rsidP="00D66265">
          <w:pPr>
            <w:pStyle w:val="TOC1"/>
            <w:tabs>
              <w:tab w:val="right" w:leader="dot" w:pos="9350"/>
            </w:tabs>
            <w:spacing w:line="360" w:lineRule="auto"/>
            <w:rPr>
              <w:rFonts w:ascii="Arial" w:hAnsi="Arial" w:cs="Arial"/>
              <w:noProof/>
            </w:rPr>
          </w:pPr>
          <w:r w:rsidRPr="00D66265">
            <w:rPr>
              <w:rFonts w:ascii="Arial" w:hAnsi="Arial" w:cs="Arial"/>
            </w:rPr>
            <w:fldChar w:fldCharType="begin"/>
          </w:r>
          <w:r w:rsidRPr="00D66265">
            <w:rPr>
              <w:rFonts w:ascii="Arial" w:hAnsi="Arial" w:cs="Arial"/>
            </w:rPr>
            <w:instrText xml:space="preserve"> TOC \o "1-3" \h \z \u </w:instrText>
          </w:r>
          <w:r w:rsidRPr="00D66265">
            <w:rPr>
              <w:rFonts w:ascii="Arial" w:hAnsi="Arial" w:cs="Arial"/>
            </w:rPr>
            <w:fldChar w:fldCharType="separate"/>
          </w:r>
          <w:hyperlink w:anchor="_Toc111555489" w:history="1">
            <w:r w:rsidRPr="00D66265">
              <w:rPr>
                <w:rStyle w:val="Hyperlink"/>
                <w:rFonts w:ascii="Arial" w:hAnsi="Arial" w:cs="Arial"/>
                <w:noProof/>
                <w:color w:val="auto"/>
              </w:rPr>
              <w:t>Introduction</w:t>
            </w:r>
            <w:r w:rsidRPr="00D66265">
              <w:rPr>
                <w:rFonts w:ascii="Arial" w:hAnsi="Arial" w:cs="Arial"/>
                <w:noProof/>
                <w:webHidden/>
              </w:rPr>
              <w:tab/>
            </w:r>
            <w:r w:rsidRPr="00D66265">
              <w:rPr>
                <w:rFonts w:ascii="Arial" w:hAnsi="Arial" w:cs="Arial"/>
                <w:noProof/>
                <w:webHidden/>
              </w:rPr>
              <w:fldChar w:fldCharType="begin"/>
            </w:r>
            <w:r w:rsidRPr="00D66265">
              <w:rPr>
                <w:rFonts w:ascii="Arial" w:hAnsi="Arial" w:cs="Arial"/>
                <w:noProof/>
                <w:webHidden/>
              </w:rPr>
              <w:instrText xml:space="preserve"> PAGEREF _Toc111555489 \h </w:instrText>
            </w:r>
            <w:r w:rsidRPr="00D66265">
              <w:rPr>
                <w:rFonts w:ascii="Arial" w:hAnsi="Arial" w:cs="Arial"/>
                <w:noProof/>
                <w:webHidden/>
              </w:rPr>
            </w:r>
            <w:r w:rsidRPr="00D66265">
              <w:rPr>
                <w:rFonts w:ascii="Arial" w:hAnsi="Arial" w:cs="Arial"/>
                <w:noProof/>
                <w:webHidden/>
              </w:rPr>
              <w:fldChar w:fldCharType="separate"/>
            </w:r>
            <w:r w:rsidRPr="00D66265">
              <w:rPr>
                <w:rFonts w:ascii="Arial" w:hAnsi="Arial" w:cs="Arial"/>
                <w:noProof/>
                <w:webHidden/>
              </w:rPr>
              <w:t>2</w:t>
            </w:r>
            <w:r w:rsidRPr="00D66265">
              <w:rPr>
                <w:rFonts w:ascii="Arial" w:hAnsi="Arial" w:cs="Arial"/>
                <w:noProof/>
                <w:webHidden/>
              </w:rPr>
              <w:fldChar w:fldCharType="end"/>
            </w:r>
          </w:hyperlink>
        </w:p>
        <w:p w14:paraId="0D1C469B"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0" w:history="1">
            <w:r w:rsidR="00952A5C" w:rsidRPr="00D66265">
              <w:rPr>
                <w:rStyle w:val="Hyperlink"/>
                <w:rFonts w:ascii="Arial" w:hAnsi="Arial" w:cs="Arial"/>
                <w:noProof/>
                <w:color w:val="auto"/>
              </w:rPr>
              <w:t>The Elderly People in the United Kingdom and Nigeria</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_Toc111555490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2</w:t>
            </w:r>
            <w:r w:rsidR="00952A5C" w:rsidRPr="00D66265">
              <w:rPr>
                <w:rFonts w:ascii="Arial" w:hAnsi="Arial" w:cs="Arial"/>
                <w:noProof/>
                <w:webHidden/>
              </w:rPr>
              <w:fldChar w:fldCharType="end"/>
            </w:r>
          </w:hyperlink>
        </w:p>
        <w:p w14:paraId="10CD4FF3"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1" w:history="1">
            <w:r w:rsidR="00952A5C" w:rsidRPr="00D66265">
              <w:rPr>
                <w:rStyle w:val="Hyperlink"/>
                <w:rFonts w:ascii="Arial" w:hAnsi="Arial" w:cs="Arial"/>
                <w:noProof/>
                <w:color w:val="auto"/>
              </w:rPr>
              <w:t>Statistics on the Ageing Population</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_Toc111555491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3</w:t>
            </w:r>
            <w:r w:rsidR="00952A5C" w:rsidRPr="00D66265">
              <w:rPr>
                <w:rFonts w:ascii="Arial" w:hAnsi="Arial" w:cs="Arial"/>
                <w:noProof/>
                <w:webHidden/>
              </w:rPr>
              <w:fldChar w:fldCharType="end"/>
            </w:r>
          </w:hyperlink>
        </w:p>
        <w:p w14:paraId="2F80D420"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2" w:history="1">
            <w:r w:rsidR="00952A5C" w:rsidRPr="00D66265">
              <w:rPr>
                <w:rStyle w:val="Hyperlink"/>
                <w:rFonts w:ascii="Arial" w:hAnsi="Arial" w:cs="Arial"/>
                <w:noProof/>
                <w:color w:val="auto"/>
              </w:rPr>
              <w:t>Relevant Theories of Loneliness and Social Isolation</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_Toc111555492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4</w:t>
            </w:r>
            <w:r w:rsidR="00952A5C" w:rsidRPr="00D66265">
              <w:rPr>
                <w:rFonts w:ascii="Arial" w:hAnsi="Arial" w:cs="Arial"/>
                <w:noProof/>
                <w:webHidden/>
              </w:rPr>
              <w:fldChar w:fldCharType="end"/>
            </w:r>
          </w:hyperlink>
        </w:p>
        <w:p w14:paraId="7C56A7F6"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3" w:history="1">
            <w:r w:rsidR="00952A5C" w:rsidRPr="00D66265">
              <w:rPr>
                <w:rStyle w:val="Hyperlink"/>
                <w:rFonts w:ascii="Arial" w:hAnsi="Arial" w:cs="Arial"/>
                <w:noProof/>
                <w:color w:val="auto"/>
              </w:rPr>
              <w:t>The Impact of Loneliness and Isolation on an Older Person Living Within a Care Setting</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_Toc111555493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5</w:t>
            </w:r>
            <w:r w:rsidR="00952A5C" w:rsidRPr="00D66265">
              <w:rPr>
                <w:rFonts w:ascii="Arial" w:hAnsi="Arial" w:cs="Arial"/>
                <w:noProof/>
                <w:webHidden/>
              </w:rPr>
              <w:fldChar w:fldCharType="end"/>
            </w:r>
          </w:hyperlink>
        </w:p>
        <w:p w14:paraId="23768E7E"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4" w:history="1">
            <w:r w:rsidR="00952A5C" w:rsidRPr="00D66265">
              <w:rPr>
                <w:rStyle w:val="Hyperlink"/>
                <w:rFonts w:ascii="Arial" w:hAnsi="Arial" w:cs="Arial"/>
                <w:noProof/>
                <w:color w:val="auto"/>
              </w:rPr>
              <w:t>Current Legislation and Policies</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_Toc111555494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6</w:t>
            </w:r>
            <w:r w:rsidR="00952A5C" w:rsidRPr="00D66265">
              <w:rPr>
                <w:rFonts w:ascii="Arial" w:hAnsi="Arial" w:cs="Arial"/>
                <w:noProof/>
                <w:webHidden/>
              </w:rPr>
              <w:fldChar w:fldCharType="end"/>
            </w:r>
          </w:hyperlink>
        </w:p>
        <w:p w14:paraId="164530A6"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5" w:history="1">
            <w:r w:rsidR="00952A5C" w:rsidRPr="00D66265">
              <w:rPr>
                <w:rStyle w:val="Hyperlink"/>
                <w:rFonts w:ascii="Arial" w:hAnsi="Arial" w:cs="Arial"/>
                <w:noProof/>
                <w:color w:val="auto"/>
              </w:rPr>
              <w:t>The Prospective Future of the Care of the Older Person</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_Toc111555495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7</w:t>
            </w:r>
            <w:r w:rsidR="00952A5C" w:rsidRPr="00D66265">
              <w:rPr>
                <w:rFonts w:ascii="Arial" w:hAnsi="Arial" w:cs="Arial"/>
                <w:noProof/>
                <w:webHidden/>
              </w:rPr>
              <w:fldChar w:fldCharType="end"/>
            </w:r>
          </w:hyperlink>
        </w:p>
        <w:p w14:paraId="7767FE9B"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6" w:history="1">
            <w:r w:rsidR="00952A5C" w:rsidRPr="00D66265">
              <w:rPr>
                <w:rStyle w:val="Hyperlink"/>
                <w:rFonts w:ascii="Arial" w:hAnsi="Arial" w:cs="Arial"/>
                <w:noProof/>
                <w:color w:val="auto"/>
              </w:rPr>
              <w:t>Recommendations</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_Toc111555496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7</w:t>
            </w:r>
            <w:r w:rsidR="00952A5C" w:rsidRPr="00D66265">
              <w:rPr>
                <w:rFonts w:ascii="Arial" w:hAnsi="Arial" w:cs="Arial"/>
                <w:noProof/>
                <w:webHidden/>
              </w:rPr>
              <w:fldChar w:fldCharType="end"/>
            </w:r>
          </w:hyperlink>
        </w:p>
        <w:p w14:paraId="6B9F8A40" w14:textId="77777777" w:rsidR="00952A5C" w:rsidRPr="00D66265" w:rsidRDefault="00000000" w:rsidP="00D66265">
          <w:pPr>
            <w:pStyle w:val="TOC1"/>
            <w:tabs>
              <w:tab w:val="right" w:leader="dot" w:pos="9350"/>
            </w:tabs>
            <w:spacing w:line="360" w:lineRule="auto"/>
            <w:rPr>
              <w:rFonts w:ascii="Arial" w:hAnsi="Arial" w:cs="Arial"/>
              <w:noProof/>
            </w:rPr>
          </w:pPr>
          <w:hyperlink w:anchor="_Toc111555497" w:history="1">
            <w:r w:rsidR="00952A5C" w:rsidRPr="00D66265">
              <w:rPr>
                <w:rStyle w:val="Hyperlink"/>
                <w:rFonts w:ascii="Arial" w:hAnsi="Arial" w:cs="Arial"/>
                <w:noProof/>
                <w:color w:val="auto"/>
              </w:rPr>
              <w:t>Bibliography</w:t>
            </w:r>
            <w:r w:rsidR="00952A5C" w:rsidRPr="00D66265">
              <w:rPr>
                <w:rFonts w:ascii="Arial" w:hAnsi="Arial" w:cs="Arial"/>
                <w:noProof/>
                <w:webHidden/>
              </w:rPr>
              <w:tab/>
            </w:r>
            <w:r w:rsidR="00952A5C" w:rsidRPr="00D66265">
              <w:rPr>
                <w:rFonts w:ascii="Arial" w:hAnsi="Arial" w:cs="Arial"/>
                <w:noProof/>
                <w:webHidden/>
              </w:rPr>
              <w:fldChar w:fldCharType="begin"/>
            </w:r>
            <w:r w:rsidR="00952A5C" w:rsidRPr="00D66265">
              <w:rPr>
                <w:rFonts w:ascii="Arial" w:hAnsi="Arial" w:cs="Arial"/>
                <w:noProof/>
                <w:webHidden/>
              </w:rPr>
              <w:instrText xml:space="preserve"> PAGEREF _Toc111555497 \h </w:instrText>
            </w:r>
            <w:r w:rsidR="00952A5C" w:rsidRPr="00D66265">
              <w:rPr>
                <w:rFonts w:ascii="Arial" w:hAnsi="Arial" w:cs="Arial"/>
                <w:noProof/>
                <w:webHidden/>
              </w:rPr>
            </w:r>
            <w:r w:rsidR="00952A5C" w:rsidRPr="00D66265">
              <w:rPr>
                <w:rFonts w:ascii="Arial" w:hAnsi="Arial" w:cs="Arial"/>
                <w:noProof/>
                <w:webHidden/>
              </w:rPr>
              <w:fldChar w:fldCharType="separate"/>
            </w:r>
            <w:r w:rsidR="00952A5C" w:rsidRPr="00D66265">
              <w:rPr>
                <w:rFonts w:ascii="Arial" w:hAnsi="Arial" w:cs="Arial"/>
                <w:noProof/>
                <w:webHidden/>
              </w:rPr>
              <w:t>9</w:t>
            </w:r>
            <w:r w:rsidR="00952A5C" w:rsidRPr="00D66265">
              <w:rPr>
                <w:rFonts w:ascii="Arial" w:hAnsi="Arial" w:cs="Arial"/>
                <w:noProof/>
                <w:webHidden/>
              </w:rPr>
              <w:fldChar w:fldCharType="end"/>
            </w:r>
          </w:hyperlink>
        </w:p>
        <w:p w14:paraId="6287A286" w14:textId="77777777" w:rsidR="00952A5C" w:rsidRPr="00D66265" w:rsidRDefault="00952A5C" w:rsidP="00D66265">
          <w:pPr>
            <w:spacing w:line="360" w:lineRule="auto"/>
            <w:rPr>
              <w:rFonts w:ascii="Arial" w:hAnsi="Arial" w:cs="Arial"/>
            </w:rPr>
          </w:pPr>
          <w:r w:rsidRPr="00D66265">
            <w:rPr>
              <w:rFonts w:ascii="Arial" w:hAnsi="Arial" w:cs="Arial"/>
              <w:b/>
              <w:bCs/>
              <w:noProof/>
            </w:rPr>
            <w:fldChar w:fldCharType="end"/>
          </w:r>
        </w:p>
      </w:sdtContent>
    </w:sdt>
    <w:p w14:paraId="0872D077" w14:textId="77777777" w:rsidR="00952A5C" w:rsidRPr="00D66265" w:rsidRDefault="00952A5C" w:rsidP="00D66265">
      <w:pPr>
        <w:spacing w:line="360" w:lineRule="auto"/>
        <w:rPr>
          <w:rFonts w:ascii="Arial" w:hAnsi="Arial" w:cs="Arial"/>
        </w:rPr>
      </w:pPr>
    </w:p>
    <w:p w14:paraId="37B41A48" w14:textId="77777777" w:rsidR="00952A5C" w:rsidRPr="00D66265" w:rsidRDefault="00952A5C" w:rsidP="00D66265">
      <w:pPr>
        <w:spacing w:line="360" w:lineRule="auto"/>
        <w:rPr>
          <w:rFonts w:ascii="Arial" w:hAnsi="Arial" w:cs="Arial"/>
        </w:rPr>
      </w:pPr>
      <w:r w:rsidRPr="00D66265">
        <w:rPr>
          <w:rFonts w:ascii="Arial" w:hAnsi="Arial" w:cs="Arial"/>
        </w:rPr>
        <w:br w:type="page"/>
      </w:r>
    </w:p>
    <w:p w14:paraId="136106B7" w14:textId="77777777" w:rsidR="001236BD" w:rsidRPr="00D66265" w:rsidRDefault="00480ABF" w:rsidP="00D66265">
      <w:pPr>
        <w:spacing w:line="360" w:lineRule="auto"/>
        <w:jc w:val="center"/>
        <w:rPr>
          <w:rFonts w:ascii="Arial" w:hAnsi="Arial" w:cs="Arial"/>
        </w:rPr>
      </w:pPr>
      <w:r w:rsidRPr="00D66265">
        <w:rPr>
          <w:rFonts w:ascii="Arial" w:hAnsi="Arial" w:cs="Arial"/>
        </w:rPr>
        <w:lastRenderedPageBreak/>
        <w:t>Living with Care: The Older People</w:t>
      </w:r>
    </w:p>
    <w:p w14:paraId="0C4B43B2" w14:textId="77777777" w:rsidR="003C5E9D" w:rsidRPr="00D66265" w:rsidRDefault="003C5E9D" w:rsidP="00D66265">
      <w:pPr>
        <w:pStyle w:val="Heading1"/>
        <w:spacing w:line="360" w:lineRule="auto"/>
        <w:rPr>
          <w:rFonts w:ascii="Arial" w:hAnsi="Arial" w:cs="Arial"/>
          <w:color w:val="auto"/>
          <w:sz w:val="22"/>
          <w:szCs w:val="22"/>
        </w:rPr>
      </w:pPr>
      <w:bookmarkStart w:id="0" w:name="_Toc111555489"/>
      <w:r w:rsidRPr="00D66265">
        <w:rPr>
          <w:rFonts w:ascii="Arial" w:hAnsi="Arial" w:cs="Arial"/>
          <w:color w:val="auto"/>
          <w:sz w:val="22"/>
          <w:szCs w:val="22"/>
        </w:rPr>
        <w:t>Introduction</w:t>
      </w:r>
      <w:bookmarkEnd w:id="0"/>
      <w:r w:rsidRPr="00D66265">
        <w:rPr>
          <w:rFonts w:ascii="Arial" w:hAnsi="Arial" w:cs="Arial"/>
          <w:color w:val="auto"/>
          <w:sz w:val="22"/>
          <w:szCs w:val="22"/>
        </w:rPr>
        <w:t xml:space="preserve"> </w:t>
      </w:r>
    </w:p>
    <w:p w14:paraId="3E70B365" w14:textId="77777777" w:rsidR="000C17E4" w:rsidRPr="00D66265" w:rsidRDefault="000C17E4" w:rsidP="00D66265">
      <w:pPr>
        <w:spacing w:line="360" w:lineRule="auto"/>
        <w:ind w:firstLine="720"/>
        <w:rPr>
          <w:rFonts w:ascii="Arial" w:hAnsi="Arial" w:cs="Arial"/>
        </w:rPr>
      </w:pPr>
      <w:r w:rsidRPr="00D66265">
        <w:rPr>
          <w:rFonts w:ascii="Arial" w:hAnsi="Arial" w:cs="Arial"/>
        </w:rPr>
        <w:t xml:space="preserve">Older people are at a high probability of loneliness and social isolation because of factors, including living alone, chronic illness, hearing loss, and loss of friends or family. </w:t>
      </w:r>
      <w:r w:rsidR="008E04BF" w:rsidRPr="00D66265">
        <w:rPr>
          <w:rFonts w:ascii="Arial" w:hAnsi="Arial" w:cs="Arial"/>
          <w:shd w:val="clear" w:color="auto" w:fill="FFFFFF"/>
        </w:rPr>
        <w:t>CDC (2021)</w:t>
      </w:r>
      <w:r w:rsidRPr="00D66265">
        <w:rPr>
          <w:rFonts w:ascii="Arial" w:hAnsi="Arial" w:cs="Arial"/>
        </w:rPr>
        <w:t xml:space="preserve"> defines loneliness as the feeling of being alone despite social contact. According to the report released by the National Academies of Science, Engineering, and Medicine (NASEM)</w:t>
      </w:r>
      <w:r w:rsidR="008E04BF" w:rsidRPr="00D66265">
        <w:rPr>
          <w:rFonts w:ascii="Arial" w:hAnsi="Arial" w:cs="Arial"/>
        </w:rPr>
        <w:t xml:space="preserve"> (2020)</w:t>
      </w:r>
      <w:r w:rsidRPr="00D66265">
        <w:rPr>
          <w:rFonts w:ascii="Arial" w:hAnsi="Arial" w:cs="Arial"/>
        </w:rPr>
        <w:t>, over 1/3 of older people aged 45 years or older feel lonely at times. The report also stated that older people aged 65 years or older are socially isolated. Even though it may be difficult to precisely measure loneliness and social isolation, the Cent</w:t>
      </w:r>
      <w:r w:rsidR="00097A01" w:rsidRPr="00D66265">
        <w:rPr>
          <w:rFonts w:ascii="Arial" w:hAnsi="Arial" w:cs="Arial"/>
        </w:rPr>
        <w:t>er for Disease and Control (2021</w:t>
      </w:r>
      <w:r w:rsidRPr="00D66265">
        <w:rPr>
          <w:rFonts w:ascii="Arial" w:hAnsi="Arial" w:cs="Arial"/>
        </w:rPr>
        <w:t xml:space="preserve">) mentioned there is substantial evidence that proves many older people aged 50 years are lonely or socially isolated in ways that risk their health. For example, social isolation increases an individual’s risk of premature death from causes such as obesity, physical inactivity, and smoking. A study by </w:t>
      </w:r>
      <w:r w:rsidR="008E04BF" w:rsidRPr="00D66265">
        <w:rPr>
          <w:rFonts w:ascii="Arial" w:hAnsi="Arial" w:cs="Arial"/>
        </w:rPr>
        <w:t>NASEM (2020)</w:t>
      </w:r>
      <w:r w:rsidRPr="00D66265">
        <w:rPr>
          <w:rFonts w:ascii="Arial" w:hAnsi="Arial" w:cs="Arial"/>
        </w:rPr>
        <w:t xml:space="preserve"> argued that social isolation increase by 50 percent the risk of dementia. They also stated that poor social relationships increase by 29 percent the risk of heart disease by and 32 percent risk of stroke</w:t>
      </w:r>
      <w:r w:rsidR="008E04BF" w:rsidRPr="00D66265">
        <w:rPr>
          <w:rFonts w:ascii="Arial" w:hAnsi="Arial" w:cs="Arial"/>
        </w:rPr>
        <w:t xml:space="preserve"> (NASEM, 2020)</w:t>
      </w:r>
      <w:r w:rsidRPr="00D66265">
        <w:rPr>
          <w:rFonts w:ascii="Arial" w:hAnsi="Arial" w:cs="Arial"/>
        </w:rPr>
        <w:t>. Therefore, the purpose of this study is to investigate the impact of loneliness and social isolation on the elderly population. Additionally, the paper will compare current the United Kingdom and Nigerian- based policy and provisions for the care of the older person.</w:t>
      </w:r>
      <w:r w:rsidR="00E41BCC" w:rsidRPr="00D66265">
        <w:rPr>
          <w:rFonts w:ascii="Arial" w:hAnsi="Arial" w:cs="Arial"/>
        </w:rPr>
        <w:t xml:space="preserve"> </w:t>
      </w:r>
    </w:p>
    <w:p w14:paraId="049EF838" w14:textId="77777777" w:rsidR="000C17E4" w:rsidRPr="00D66265" w:rsidRDefault="000C17E4" w:rsidP="00D66265">
      <w:pPr>
        <w:pStyle w:val="Heading1"/>
        <w:spacing w:line="360" w:lineRule="auto"/>
        <w:rPr>
          <w:rFonts w:ascii="Arial" w:hAnsi="Arial" w:cs="Arial"/>
          <w:color w:val="auto"/>
          <w:sz w:val="22"/>
          <w:szCs w:val="22"/>
        </w:rPr>
      </w:pPr>
      <w:bookmarkStart w:id="1" w:name="_Toc111555490"/>
      <w:r w:rsidRPr="00D66265">
        <w:rPr>
          <w:rFonts w:ascii="Arial" w:hAnsi="Arial" w:cs="Arial"/>
          <w:color w:val="auto"/>
          <w:sz w:val="22"/>
          <w:szCs w:val="22"/>
        </w:rPr>
        <w:t>The Elderly People in the United Kingdom and Nigeria</w:t>
      </w:r>
      <w:bookmarkEnd w:id="1"/>
    </w:p>
    <w:p w14:paraId="61A53D9B" w14:textId="77777777" w:rsidR="00EE5913" w:rsidRPr="00D66265" w:rsidRDefault="00011658" w:rsidP="00D66265">
      <w:pPr>
        <w:spacing w:line="360" w:lineRule="auto"/>
        <w:ind w:firstLine="720"/>
        <w:rPr>
          <w:rFonts w:ascii="Arial" w:hAnsi="Arial" w:cs="Arial"/>
        </w:rPr>
      </w:pPr>
      <w:r w:rsidRPr="00D66265">
        <w:rPr>
          <w:rFonts w:ascii="Arial" w:hAnsi="Arial" w:cs="Arial"/>
        </w:rPr>
        <w:t xml:space="preserve">Most elderly people in Nigeria lack access to social and care support because of associated costs. The majority are limited by out-of-pocket arrangements, scarce social and care facilities, and dwindling social care to provide them with the needed support as per the traditional ages. </w:t>
      </w:r>
      <w:r w:rsidR="00105EB5" w:rsidRPr="00D66265">
        <w:rPr>
          <w:rFonts w:ascii="Arial" w:hAnsi="Arial" w:cs="Arial"/>
        </w:rPr>
        <w:t xml:space="preserve">Ani and </w:t>
      </w:r>
      <w:proofErr w:type="spellStart"/>
      <w:r w:rsidR="00105EB5" w:rsidRPr="00D66265">
        <w:rPr>
          <w:rFonts w:ascii="Arial" w:hAnsi="Arial" w:cs="Arial"/>
        </w:rPr>
        <w:t>Isiugo-Abanihe</w:t>
      </w:r>
      <w:proofErr w:type="spellEnd"/>
      <w:r w:rsidR="00105EB5" w:rsidRPr="00D66265">
        <w:rPr>
          <w:rFonts w:ascii="Arial" w:hAnsi="Arial" w:cs="Arial"/>
        </w:rPr>
        <w:t xml:space="preserve"> (2014)</w:t>
      </w:r>
      <w:r w:rsidRPr="00D66265">
        <w:rPr>
          <w:rFonts w:ascii="Arial" w:hAnsi="Arial" w:cs="Arial"/>
        </w:rPr>
        <w:t xml:space="preserve"> is of the perception that implicit changes in social care decrease the status of older people as well as their impact on society and hence impact their overall well-being. Nigeria lacks policies for the elderly people and thus </w:t>
      </w:r>
      <w:r w:rsidR="00AF0E9E" w:rsidRPr="00D66265">
        <w:rPr>
          <w:rFonts w:ascii="Arial" w:hAnsi="Arial" w:cs="Arial"/>
        </w:rPr>
        <w:t>is</w:t>
      </w:r>
      <w:r w:rsidRPr="00D66265">
        <w:rPr>
          <w:rFonts w:ascii="Arial" w:hAnsi="Arial" w:cs="Arial"/>
        </w:rPr>
        <w:t xml:space="preserve"> at risk of disability and ill-health especially from non-communicable infections and due to lack of access to proper social and care support. Older people suffer from depression, diabetes, loss of vision, stroke, obesity, and Alzheimer’s disease. According to </w:t>
      </w:r>
      <w:proofErr w:type="spellStart"/>
      <w:r w:rsidRPr="00D66265">
        <w:rPr>
          <w:rFonts w:ascii="Arial" w:hAnsi="Arial" w:cs="Arial"/>
        </w:rPr>
        <w:t>Gureje</w:t>
      </w:r>
      <w:proofErr w:type="spellEnd"/>
      <w:r w:rsidRPr="00D66265">
        <w:rPr>
          <w:rFonts w:ascii="Arial" w:hAnsi="Arial" w:cs="Arial"/>
        </w:rPr>
        <w:t xml:space="preserve"> et al. (2008), most aged are vulnerable to a range of social and economic issues as well as physical health issues due to the effects of aging. Thus, without a social pension system, the elderly are at risk of destitution due to economic irrelevance. According to Jackson (2002), the negative outcomes of living in </w:t>
      </w:r>
      <w:r w:rsidRPr="00D66265">
        <w:rPr>
          <w:rFonts w:ascii="Arial" w:hAnsi="Arial" w:cs="Arial"/>
        </w:rPr>
        <w:lastRenderedPageBreak/>
        <w:t>poverty include a higher risk of illness, lower financial security, more difficulty in coping with the HIV/AIDS pandemic, increased stress, violence, and even homelessness. Others include mandatory retirement, insufficient financial preparations, issues associated with loneliness and isolation, and a lack of preparedness for retirement. Financial insecurity is threatened not just for the elderly but also for their relatives because of the time and effort spent on caring, which may prevent them from working in the future.</w:t>
      </w:r>
    </w:p>
    <w:p w14:paraId="1B39452B" w14:textId="77777777" w:rsidR="00011658" w:rsidRPr="00D66265" w:rsidRDefault="00EE5913" w:rsidP="00D66265">
      <w:pPr>
        <w:spacing w:line="360" w:lineRule="auto"/>
        <w:ind w:firstLine="720"/>
        <w:rPr>
          <w:rFonts w:ascii="Arial" w:hAnsi="Arial" w:cs="Arial"/>
        </w:rPr>
      </w:pPr>
      <w:r w:rsidRPr="00D66265">
        <w:rPr>
          <w:rFonts w:ascii="Arial" w:hAnsi="Arial" w:cs="Arial"/>
        </w:rPr>
        <w:t>Unlike Nigeria, the United Kingdom has improved social and care support for the elderly. The provision of care at home in Britain is evolving. While, nursing homes, residential homes, as well as hospice, remain a popular options, many people discover live-in care as an affordable and attractive alternative</w:t>
      </w:r>
      <w:r w:rsidR="00BF3DA6" w:rsidRPr="00D66265">
        <w:rPr>
          <w:rFonts w:ascii="Arial" w:hAnsi="Arial" w:cs="Arial"/>
        </w:rPr>
        <w:t xml:space="preserve"> (</w:t>
      </w:r>
      <w:proofErr w:type="spellStart"/>
      <w:r w:rsidR="00BF3DA6" w:rsidRPr="00D66265">
        <w:rPr>
          <w:rFonts w:ascii="Arial" w:hAnsi="Arial" w:cs="Arial"/>
        </w:rPr>
        <w:t>Lazell</w:t>
      </w:r>
      <w:proofErr w:type="spellEnd"/>
      <w:r w:rsidR="00BF3DA6" w:rsidRPr="00D66265">
        <w:rPr>
          <w:rFonts w:ascii="Arial" w:hAnsi="Arial" w:cs="Arial"/>
        </w:rPr>
        <w:t>, 2022)</w:t>
      </w:r>
      <w:r w:rsidRPr="00D66265">
        <w:rPr>
          <w:rFonts w:ascii="Arial" w:hAnsi="Arial" w:cs="Arial"/>
        </w:rPr>
        <w:t xml:space="preserve">. Care for older people in Britain is highly regulated and hence care providers such as nursing homes, residential homes, and care at home are constantly inspected to ensure the elderly are safe, healthy, and comfortable. For live-in care, care providers are expected to apply for membership of the United Kingdom Association and are members of the Care Quality Commission in case a care provider manages </w:t>
      </w:r>
      <w:proofErr w:type="spellStart"/>
      <w:r w:rsidRPr="00D66265">
        <w:rPr>
          <w:rFonts w:ascii="Arial" w:hAnsi="Arial" w:cs="Arial"/>
        </w:rPr>
        <w:t>carers</w:t>
      </w:r>
      <w:proofErr w:type="spellEnd"/>
      <w:r w:rsidRPr="00D66265">
        <w:rPr>
          <w:rFonts w:ascii="Arial" w:hAnsi="Arial" w:cs="Arial"/>
        </w:rPr>
        <w:t xml:space="preserve"> and provides care oversees</w:t>
      </w:r>
      <w:r w:rsidR="00BF3DA6" w:rsidRPr="00D66265">
        <w:rPr>
          <w:rFonts w:ascii="Arial" w:hAnsi="Arial" w:cs="Arial"/>
        </w:rPr>
        <w:t xml:space="preserve"> (</w:t>
      </w:r>
      <w:proofErr w:type="spellStart"/>
      <w:r w:rsidR="00BF3DA6" w:rsidRPr="00D66265">
        <w:rPr>
          <w:rFonts w:ascii="Arial" w:hAnsi="Arial" w:cs="Arial"/>
        </w:rPr>
        <w:t>Lazell</w:t>
      </w:r>
      <w:proofErr w:type="spellEnd"/>
      <w:r w:rsidR="00BF3DA6" w:rsidRPr="00D66265">
        <w:rPr>
          <w:rFonts w:ascii="Arial" w:hAnsi="Arial" w:cs="Arial"/>
        </w:rPr>
        <w:t>, 2022)</w:t>
      </w:r>
      <w:r w:rsidRPr="00D66265">
        <w:rPr>
          <w:rFonts w:ascii="Arial" w:hAnsi="Arial" w:cs="Arial"/>
        </w:rPr>
        <w:t xml:space="preserve">. </w:t>
      </w:r>
      <w:r w:rsidR="00FC7439" w:rsidRPr="00D66265">
        <w:rPr>
          <w:rFonts w:ascii="Arial" w:hAnsi="Arial" w:cs="Arial"/>
        </w:rPr>
        <w:t>In the United Kingdom, health services are offered by the National Health Service (NHS) at no cost but at the delivery point other than co-payments on ye, dental care and medications that exempt the elderly. According to Grundy (2010), p</w:t>
      </w:r>
      <w:r w:rsidR="00B95EB1" w:rsidRPr="00D66265">
        <w:rPr>
          <w:rFonts w:ascii="Arial" w:hAnsi="Arial" w:cs="Arial"/>
        </w:rPr>
        <w:t>rimary care (general practitioners), in-hospital emergency care, intermediate care (a recent focus, intended to prepare patients for discharge from the hospital and return to their own homes), preventative care and public health (like screening services), as well as some long-term care, are all provided by the National Health Service (NHS). The National Health Service is supported directly by the federal government via taxes. The provision of the majority of other services aimed at the elderly is within the purview of local governments (municipalities). These include "sheltered" housing, which consists of modest apartments in clustered buildings overseen by a resident warden; housing designed specifically for the elderly that does not provide warden services; community warden programs; and different long-term care services. Contractual partnerships with a volunteer (non-profit) and commercial (for-profit) organizations are replacing direct service provision by municipal administrations.</w:t>
      </w:r>
      <w:r w:rsidR="00011658" w:rsidRPr="00D66265">
        <w:rPr>
          <w:rFonts w:ascii="Arial" w:hAnsi="Arial" w:cs="Arial"/>
        </w:rPr>
        <w:t xml:space="preserve"> </w:t>
      </w:r>
      <w:r w:rsidR="00FC7439" w:rsidRPr="00D66265">
        <w:rPr>
          <w:rFonts w:ascii="Arial" w:hAnsi="Arial" w:cs="Arial"/>
        </w:rPr>
        <w:t xml:space="preserve"> </w:t>
      </w:r>
      <w:r w:rsidR="00BF3DA6" w:rsidRPr="00D66265">
        <w:rPr>
          <w:rFonts w:ascii="Arial" w:hAnsi="Arial" w:cs="Arial"/>
        </w:rPr>
        <w:t xml:space="preserve"> </w:t>
      </w:r>
    </w:p>
    <w:p w14:paraId="7F1F3EA3" w14:textId="77777777" w:rsidR="000C17E4" w:rsidRPr="00D66265" w:rsidRDefault="000C17E4" w:rsidP="00D66265">
      <w:pPr>
        <w:pStyle w:val="Heading1"/>
        <w:spacing w:line="360" w:lineRule="auto"/>
        <w:rPr>
          <w:rFonts w:ascii="Arial" w:hAnsi="Arial" w:cs="Arial"/>
          <w:color w:val="auto"/>
          <w:sz w:val="22"/>
          <w:szCs w:val="22"/>
        </w:rPr>
      </w:pPr>
      <w:bookmarkStart w:id="2" w:name="_Toc111555491"/>
      <w:r w:rsidRPr="00D66265">
        <w:rPr>
          <w:rFonts w:ascii="Arial" w:hAnsi="Arial" w:cs="Arial"/>
          <w:color w:val="auto"/>
          <w:sz w:val="22"/>
          <w:szCs w:val="22"/>
        </w:rPr>
        <w:t>Statistics on the Ageing Population</w:t>
      </w:r>
      <w:bookmarkEnd w:id="2"/>
    </w:p>
    <w:p w14:paraId="6CB2E002" w14:textId="77777777" w:rsidR="000C17E4" w:rsidRPr="00D66265" w:rsidRDefault="000C17E4" w:rsidP="00D66265">
      <w:pPr>
        <w:spacing w:line="360" w:lineRule="auto"/>
        <w:ind w:firstLine="720"/>
        <w:rPr>
          <w:rFonts w:ascii="Arial" w:hAnsi="Arial" w:cs="Arial"/>
        </w:rPr>
      </w:pPr>
      <w:r w:rsidRPr="00D66265">
        <w:rPr>
          <w:rFonts w:ascii="Arial" w:hAnsi="Arial" w:cs="Arial"/>
        </w:rPr>
        <w:t>The population in the United Kingdom is aging and more people live longer lives than in the past. Britain has more than 15.5 million persons aged 60 years and more and the figure makes up 23 percent of the country’s population</w:t>
      </w:r>
      <w:r w:rsidR="00F600DB" w:rsidRPr="00D66265">
        <w:rPr>
          <w:rFonts w:ascii="Arial" w:hAnsi="Arial" w:cs="Arial"/>
        </w:rPr>
        <w:t xml:space="preserve"> </w:t>
      </w:r>
      <w:r w:rsidR="00F600DB" w:rsidRPr="00D66265">
        <w:rPr>
          <w:rFonts w:ascii="Arial" w:hAnsi="Arial" w:cs="Arial"/>
          <w:shd w:val="clear" w:color="auto" w:fill="FFFFFF"/>
        </w:rPr>
        <w:t>(MHA, 2022)</w:t>
      </w:r>
      <w:r w:rsidRPr="00D66265">
        <w:rPr>
          <w:rFonts w:ascii="Arial" w:hAnsi="Arial" w:cs="Arial"/>
        </w:rPr>
        <w:t xml:space="preserve">. The country has a rising elderly </w:t>
      </w:r>
      <w:r w:rsidRPr="00D66265">
        <w:rPr>
          <w:rFonts w:ascii="Arial" w:hAnsi="Arial" w:cs="Arial"/>
        </w:rPr>
        <w:lastRenderedPageBreak/>
        <w:t>population with the current elderly people aged 80 years or more and about 600,000 of Britain’s population is aged 90 years or more. By 2030, one out of five persons in Britain, roughly 21.8 percent will be aged 65 years or more, 6.8 percent aged 75 years or more, and 3.2 percent aged 85 years or more as of ONS (2017). Britain’s population aged 85 years or more grows fast and is projected to increase two times to 3.2 million in the middle of 2041 and increase threefold by 2066 (about 5.1 million; 7 percent of Britain’s population) according to the ONS (2018). Like the United Kingdom, Nigeria also has an increasingly aging population. The population in Nigeria is about 206 million, out of which 9.4 million people are aged 60 years or more. The classification of the Nigerian population according to gender reveals that women make up 46 percent of the older persons, reaching about 4.3 million. The data is that of the 2020 census.</w:t>
      </w:r>
    </w:p>
    <w:p w14:paraId="2548A30A" w14:textId="77777777" w:rsidR="000C17E4" w:rsidRPr="00D66265" w:rsidRDefault="000C17E4" w:rsidP="00D66265">
      <w:pPr>
        <w:pStyle w:val="Heading1"/>
        <w:spacing w:line="360" w:lineRule="auto"/>
        <w:rPr>
          <w:rFonts w:ascii="Arial" w:hAnsi="Arial" w:cs="Arial"/>
          <w:color w:val="auto"/>
          <w:sz w:val="22"/>
          <w:szCs w:val="22"/>
        </w:rPr>
      </w:pPr>
      <w:bookmarkStart w:id="3" w:name="_Toc111555492"/>
      <w:r w:rsidRPr="00D66265">
        <w:rPr>
          <w:rFonts w:ascii="Arial" w:hAnsi="Arial" w:cs="Arial"/>
          <w:color w:val="auto"/>
          <w:sz w:val="22"/>
          <w:szCs w:val="22"/>
        </w:rPr>
        <w:t>Relevant Theories of Loneliness and Social Isolation</w:t>
      </w:r>
      <w:bookmarkEnd w:id="3"/>
    </w:p>
    <w:p w14:paraId="6EA38947" w14:textId="77777777" w:rsidR="007F177E" w:rsidRPr="00D66265" w:rsidRDefault="000C17E4" w:rsidP="00D66265">
      <w:pPr>
        <w:spacing w:line="360" w:lineRule="auto"/>
        <w:ind w:firstLine="720"/>
        <w:rPr>
          <w:rFonts w:ascii="Arial" w:hAnsi="Arial" w:cs="Arial"/>
        </w:rPr>
      </w:pPr>
      <w:r w:rsidRPr="00D66265">
        <w:rPr>
          <w:rFonts w:ascii="Arial" w:hAnsi="Arial" w:cs="Arial"/>
        </w:rPr>
        <w:t xml:space="preserve">Relevant theories of loneliness and social isolation include the Broaden-and-Build Theory. The theory applies to elderly persons who deal with loneliness and social isolation since it predicts that positive emotions build and broaden personal resources such as those not limited to resiliency, coping skills, and social support. Fredrickson (2006) asserts that a person’s positive emotions can broaden their thinking and attention, facilitate psychological resilience, fuel creativity, and undue adverse impacts associated with negative emotions as well as build personal resources. Specifically, Fredrickson (2006) wrote that “positive emotions widen the array of thoughts and actions that come to mind … [and] broadens habitual modes of acting and thinking” (p. 173). Fredrickson (2006) added that “individuals who express or report higher levels of positive emotion show more constructive and flexible coping, more abstract and long-term thinking, and greater emotional distance following stressful negative events” (p. 9). </w:t>
      </w:r>
    </w:p>
    <w:p w14:paraId="12D6500C" w14:textId="77777777" w:rsidR="000C17E4" w:rsidRPr="00D66265" w:rsidRDefault="000C17E4" w:rsidP="00D66265">
      <w:pPr>
        <w:spacing w:line="360" w:lineRule="auto"/>
        <w:ind w:firstLine="720"/>
        <w:rPr>
          <w:rFonts w:ascii="Arial" w:hAnsi="Arial" w:cs="Arial"/>
        </w:rPr>
      </w:pPr>
      <w:r w:rsidRPr="00D66265">
        <w:rPr>
          <w:rFonts w:ascii="Arial" w:hAnsi="Arial" w:cs="Arial"/>
        </w:rPr>
        <w:t xml:space="preserve">In a similar investigation, </w:t>
      </w:r>
      <w:proofErr w:type="spellStart"/>
      <w:r w:rsidRPr="00D66265">
        <w:rPr>
          <w:rFonts w:ascii="Arial" w:hAnsi="Arial" w:cs="Arial"/>
        </w:rPr>
        <w:t>Sholey</w:t>
      </w:r>
      <w:proofErr w:type="spellEnd"/>
      <w:r w:rsidRPr="00D66265">
        <w:rPr>
          <w:rFonts w:ascii="Arial" w:hAnsi="Arial" w:cs="Arial"/>
        </w:rPr>
        <w:t xml:space="preserve"> (2019) stated that positive emotions alleviate one’s depressed moods as well as encourage positive coping skills and hence increase their enduring personal resources with practice and time. </w:t>
      </w:r>
      <w:proofErr w:type="spellStart"/>
      <w:r w:rsidRPr="00D66265">
        <w:rPr>
          <w:rFonts w:ascii="Arial" w:hAnsi="Arial" w:cs="Arial"/>
        </w:rPr>
        <w:t>Sholey</w:t>
      </w:r>
      <w:proofErr w:type="spellEnd"/>
      <w:r w:rsidRPr="00D66265">
        <w:rPr>
          <w:rFonts w:ascii="Arial" w:hAnsi="Arial" w:cs="Arial"/>
        </w:rPr>
        <w:t xml:space="preserve"> (2019) argued that social support is a result of augmentation due to positive emotions since they include emotions such as love and interest which involve other persons. Positive emotions like social support encourage other people to draw close contrary to negative emotions like resentment and anger that discourage other people from involvement with others. As per Fredrickson (2001), positive emotions regularly promote strong social connections. Resources linked to coping skills and </w:t>
      </w:r>
      <w:r w:rsidR="0049125B" w:rsidRPr="00D66265">
        <w:rPr>
          <w:rFonts w:ascii="Arial" w:hAnsi="Arial" w:cs="Arial"/>
        </w:rPr>
        <w:t>resiliency is</w:t>
      </w:r>
      <w:r w:rsidRPr="00D66265">
        <w:rPr>
          <w:rFonts w:ascii="Arial" w:hAnsi="Arial" w:cs="Arial"/>
        </w:rPr>
        <w:t xml:space="preserve"> important for people dealing with loneliness and social isolation. As was previously said, being lonely and isolated is unhealthy, and many seniors face potentially isolating conditions like dementia and </w:t>
      </w:r>
      <w:r w:rsidRPr="00D66265">
        <w:rPr>
          <w:rFonts w:ascii="Arial" w:hAnsi="Arial" w:cs="Arial"/>
        </w:rPr>
        <w:lastRenderedPageBreak/>
        <w:t>Alzheimer's. However, the Broaden-and-Build Theory suggests that happy emotions can promote such mental resources, increasing the likelihood of an individual thriving in the midst of adversity. Because of this, people with certain conditions might benefit from taking part in activities designed to increase their likelihood of feeling good.</w:t>
      </w:r>
      <w:r w:rsidR="006276F1" w:rsidRPr="00D66265">
        <w:rPr>
          <w:rFonts w:ascii="Arial" w:hAnsi="Arial" w:cs="Arial"/>
        </w:rPr>
        <w:t xml:space="preserve"> </w:t>
      </w:r>
    </w:p>
    <w:p w14:paraId="42C99B86" w14:textId="77777777" w:rsidR="000C17E4" w:rsidRPr="00D66265" w:rsidRDefault="000C17E4" w:rsidP="00D66265">
      <w:pPr>
        <w:pStyle w:val="Heading1"/>
        <w:spacing w:line="360" w:lineRule="auto"/>
        <w:rPr>
          <w:rFonts w:ascii="Arial" w:hAnsi="Arial" w:cs="Arial"/>
          <w:color w:val="auto"/>
          <w:sz w:val="22"/>
          <w:szCs w:val="22"/>
        </w:rPr>
      </w:pPr>
      <w:bookmarkStart w:id="4" w:name="_Toc111555493"/>
      <w:r w:rsidRPr="00D66265">
        <w:rPr>
          <w:rFonts w:ascii="Arial" w:hAnsi="Arial" w:cs="Arial"/>
          <w:color w:val="auto"/>
          <w:sz w:val="22"/>
          <w:szCs w:val="22"/>
        </w:rPr>
        <w:t>The Impact of Loneliness and Isolation on an Older Person Living Within a Care Setting</w:t>
      </w:r>
      <w:bookmarkEnd w:id="4"/>
    </w:p>
    <w:p w14:paraId="4B60423D" w14:textId="77777777" w:rsidR="006276F1" w:rsidRPr="00D66265" w:rsidRDefault="006276F1" w:rsidP="00D66265">
      <w:pPr>
        <w:spacing w:line="360" w:lineRule="auto"/>
        <w:ind w:firstLine="720"/>
        <w:rPr>
          <w:rFonts w:ascii="Arial" w:hAnsi="Arial" w:cs="Arial"/>
        </w:rPr>
      </w:pPr>
      <w:r w:rsidRPr="00D66265">
        <w:rPr>
          <w:rFonts w:ascii="Arial" w:hAnsi="Arial" w:cs="Arial"/>
        </w:rPr>
        <w:t xml:space="preserve">Loneliness and social isolation are public health concerns that specifically affect the elderly worldwide. Lo0neliness and social isolation constitute the cause of mortality and morbidity with outcomes comparable to factors including lack of exercise, smoking, high blood pressure, and obesity. Additionally, loneliness is linked to reduced resistance to diseases, mental health issues like dementia and depression, and cognitive decline. While every person </w:t>
      </w:r>
      <w:r w:rsidR="00BD209E" w:rsidRPr="00D66265">
        <w:rPr>
          <w:rFonts w:ascii="Arial" w:hAnsi="Arial" w:cs="Arial"/>
        </w:rPr>
        <w:t>suffer l</w:t>
      </w:r>
      <w:r w:rsidRPr="00D66265">
        <w:rPr>
          <w:rFonts w:ascii="Arial" w:hAnsi="Arial" w:cs="Arial"/>
        </w:rPr>
        <w:t xml:space="preserve">oneliness at some point, </w:t>
      </w:r>
      <w:proofErr w:type="spellStart"/>
      <w:r w:rsidRPr="00D66265">
        <w:rPr>
          <w:rFonts w:ascii="Arial" w:hAnsi="Arial" w:cs="Arial"/>
        </w:rPr>
        <w:t>Fakoya</w:t>
      </w:r>
      <w:proofErr w:type="spellEnd"/>
      <w:r w:rsidRPr="00D66265">
        <w:rPr>
          <w:rFonts w:ascii="Arial" w:hAnsi="Arial" w:cs="Arial"/>
        </w:rPr>
        <w:t xml:space="preserve"> et al. (2020) state that the elderly have a high risk of loneliness and social isolation. In the study of the effect of loneliness and social isolation, </w:t>
      </w:r>
      <w:proofErr w:type="spellStart"/>
      <w:r w:rsidRPr="00D66265">
        <w:rPr>
          <w:rFonts w:ascii="Arial" w:hAnsi="Arial" w:cs="Arial"/>
        </w:rPr>
        <w:t>Lapane</w:t>
      </w:r>
      <w:proofErr w:type="spellEnd"/>
      <w:r w:rsidRPr="00D66265">
        <w:rPr>
          <w:rFonts w:ascii="Arial" w:hAnsi="Arial" w:cs="Arial"/>
        </w:rPr>
        <w:t xml:space="preserve"> et al. (2022) assert that people who live in social groups are less likely to experience the negative health effects of loneliness. The link between isolation and a variety of negative health effects has been investigated at the molecular level. It's possible that feelings of isolation have an effect on the immune system, contributing to deregulation of the immune response and inflammation caused by an influx of inflammatory cytokines. </w:t>
      </w:r>
      <w:r w:rsidR="00E64917" w:rsidRPr="00D66265">
        <w:rPr>
          <w:rFonts w:ascii="Arial" w:hAnsi="Arial" w:cs="Arial"/>
        </w:rPr>
        <w:t>Shankar (2020) outlined that l</w:t>
      </w:r>
      <w:r w:rsidRPr="00D66265">
        <w:rPr>
          <w:rFonts w:ascii="Arial" w:hAnsi="Arial" w:cs="Arial"/>
        </w:rPr>
        <w:t>oneliness has been associated with a wide range of negative health outcomes, including dementia, cognitive decline, depression, anxiety, alcoholism, violence, impulsivity, obesity, heart disease, hypertension, obesity, and stroke.</w:t>
      </w:r>
      <w:r w:rsidR="008A48FD" w:rsidRPr="00D66265">
        <w:rPr>
          <w:rFonts w:ascii="Arial" w:hAnsi="Arial" w:cs="Arial"/>
        </w:rPr>
        <w:t xml:space="preserve"> Loneliness associates with depression to reduce an individual’s well-being. Sur and Sinha (2009) argued that one's own personal experience of inadequate social connections is at the root of the bad emotion known as loneliness. For the most part, two theories of causation are used to identify what factors contribute to lonely lives. The first model looks at the lack of a social support system as the cause of loneliness; the second model looks at the role played by individual characteristics like personality and psychology. Studies (</w:t>
      </w:r>
      <w:proofErr w:type="spellStart"/>
      <w:r w:rsidR="008A48FD" w:rsidRPr="00D66265">
        <w:rPr>
          <w:rFonts w:ascii="Arial" w:hAnsi="Arial" w:cs="Arial"/>
        </w:rPr>
        <w:t>Elsayed</w:t>
      </w:r>
      <w:proofErr w:type="spellEnd"/>
      <w:r w:rsidR="008A48FD" w:rsidRPr="00D66265">
        <w:rPr>
          <w:rFonts w:ascii="Arial" w:hAnsi="Arial" w:cs="Arial"/>
        </w:rPr>
        <w:t xml:space="preserve"> et al., 2019; Van As et al., 2021; Liu et al., 2016) have shown that chronic feelings of isolation are harmful to one's health. A major contributor to both suicidal ideation and behavior, it is one of the three most significant causes of depression. Van As et al. (2021) conducted a research that linked feelings of loneliness to indicators of psychological maladjustment, including discontent in interpersonal interactions.</w:t>
      </w:r>
    </w:p>
    <w:p w14:paraId="46DA00D7" w14:textId="77777777" w:rsidR="000C17E4" w:rsidRPr="00D66265" w:rsidRDefault="000C17E4" w:rsidP="00D66265">
      <w:pPr>
        <w:pStyle w:val="Heading1"/>
        <w:spacing w:line="360" w:lineRule="auto"/>
        <w:rPr>
          <w:rFonts w:ascii="Arial" w:hAnsi="Arial" w:cs="Arial"/>
          <w:color w:val="auto"/>
          <w:sz w:val="22"/>
          <w:szCs w:val="22"/>
        </w:rPr>
      </w:pPr>
      <w:bookmarkStart w:id="5" w:name="_Toc111555494"/>
      <w:r w:rsidRPr="00D66265">
        <w:rPr>
          <w:rFonts w:ascii="Arial" w:hAnsi="Arial" w:cs="Arial"/>
          <w:color w:val="auto"/>
          <w:sz w:val="22"/>
          <w:szCs w:val="22"/>
        </w:rPr>
        <w:lastRenderedPageBreak/>
        <w:t>Current Legislation and Policies</w:t>
      </w:r>
      <w:bookmarkEnd w:id="5"/>
    </w:p>
    <w:p w14:paraId="345F1A6A" w14:textId="77777777" w:rsidR="000C17E4" w:rsidRPr="00D66265" w:rsidRDefault="000C17E4" w:rsidP="00D66265">
      <w:pPr>
        <w:spacing w:line="360" w:lineRule="auto"/>
        <w:ind w:firstLine="720"/>
        <w:rPr>
          <w:rFonts w:ascii="Arial" w:hAnsi="Arial" w:cs="Arial"/>
        </w:rPr>
      </w:pPr>
      <w:r w:rsidRPr="00D66265">
        <w:rPr>
          <w:rFonts w:ascii="Arial" w:hAnsi="Arial" w:cs="Arial"/>
        </w:rPr>
        <w:t>The running of a state to a large extent depends on legislations and policies that drive the machinery of the state. What a country considers as important and needs immediate attention constitute the force that drives its legislation and policy developments. The Nigerian legislations and policies relating to elderly persons aim to protect their rights. Unfortunately, the Nigerian issue of safeguarding the rights of elderly persons does not have constitutional backing and is hence considered the most fundamental document for rights protection and essential to human existence. There are several clauses in Nigeria's constitution from 1999 that appear to grant the elderly some rights in Nigerian society. For example, the provision of adequate housing, food, pension and old age care, sick benefits, sick benefits, and assistance for the disabled is outlined as part of the nation's economic purpose. The purpose of this clause is to shield the weak and disadvantaged from the consequences of society's harshness. Weak members of society who rely on the support of the government and the community should be afforded special safeguards; the government should steer its policies in this way. The Constitution further mandates that the sanctity of human dignity must be upheld and promoted in order to advance the social structure of the State, which is founded on the ideals of justice, equality, and freedom. Citizens are guaranteed equal protection under the law and the same access to benefits and protections. It's heartening to note that the Constitution mandates government action to ensure that all citizens have access to quality healthcare and that children, teenagers, and the elderly are safeguarded from exploitation and abuse as well as moral and physical neglect. It appears that the groups of persons included in this provision are safeguarded by ensuring that they have access to basic health care and other necessities.</w:t>
      </w:r>
    </w:p>
    <w:p w14:paraId="3F8513F9" w14:textId="77777777" w:rsidR="000C17E4" w:rsidRPr="00D66265" w:rsidRDefault="000C17E4" w:rsidP="00D66265">
      <w:pPr>
        <w:spacing w:line="360" w:lineRule="auto"/>
        <w:ind w:firstLine="720"/>
        <w:rPr>
          <w:rFonts w:ascii="Arial" w:hAnsi="Arial" w:cs="Arial"/>
        </w:rPr>
      </w:pPr>
      <w:r w:rsidRPr="00D66265">
        <w:rPr>
          <w:rFonts w:ascii="Arial" w:hAnsi="Arial" w:cs="Arial"/>
        </w:rPr>
        <w:t>Contrary to Nigeria, the United Kingdom has defined legislations and policies backed in the Constitution to protect the rights of elderly persons. For instance, the Care Act 2014 formally recognizes employment as a significant component to alleviate personal well-being and volunteering, and social connections, among other aspects associated with integrated life (Turner, 2015). According to the Department of Health (2014), those who do not work are at a higher risk of loneliness and social isolation. Thus, loneliness is recognized as well as the address for the elderly people in Britain through initiatives such as campaigns to eliminate loneliness. Even though loneliness is largely recognized as a social issue, Britain’s current policy recognizes the larger implications of loneliness and social isolation but has failed to develop the right measure to quantify and address change (Department of Health, 2014). In 2018, the British government published “A connected society: A strategy for tackling loneliness-</w:t>
      </w:r>
      <w:r w:rsidRPr="00D66265">
        <w:rPr>
          <w:rFonts w:ascii="Arial" w:hAnsi="Arial" w:cs="Arial"/>
        </w:rPr>
        <w:lastRenderedPageBreak/>
        <w:t>laying the foundations for change.” The British government collaborated with the Loneliness Action Group, comprising a group of forty organizations to come up with the right strategy. The government described the strategy as the initial step to building a foundation to generate the base for policy work as well as provide overreaching objectives: a commitment to improving the evidence base to understand the cause of loneliness as well as its effects and how to combat it; to integrate loneliness as a component across state policy, recognize the broader factors that can increase feelings of loneliness as well as support individuals’ resilience and social well-being; and develop a countrywide discussion regarding loneliness in order to raise awareness of its effects as well as assist tackling stigma</w:t>
      </w:r>
      <w:r w:rsidR="00F600DB" w:rsidRPr="00D66265">
        <w:rPr>
          <w:rFonts w:ascii="Arial" w:hAnsi="Arial" w:cs="Arial"/>
        </w:rPr>
        <w:t xml:space="preserve"> </w:t>
      </w:r>
      <w:r w:rsidR="00F600DB" w:rsidRPr="00D66265">
        <w:rPr>
          <w:rFonts w:ascii="Arial" w:hAnsi="Arial" w:cs="Arial"/>
          <w:shd w:val="clear" w:color="auto" w:fill="FFFFFF"/>
        </w:rPr>
        <w:t xml:space="preserve">(Macdonald and </w:t>
      </w:r>
      <w:proofErr w:type="spellStart"/>
      <w:r w:rsidR="00F600DB" w:rsidRPr="00D66265">
        <w:rPr>
          <w:rFonts w:ascii="Arial" w:hAnsi="Arial" w:cs="Arial"/>
          <w:shd w:val="clear" w:color="auto" w:fill="FFFFFF"/>
        </w:rPr>
        <w:t>Kulakiewicz</w:t>
      </w:r>
      <w:proofErr w:type="spellEnd"/>
      <w:r w:rsidR="00F600DB" w:rsidRPr="00D66265">
        <w:rPr>
          <w:rFonts w:ascii="Arial" w:hAnsi="Arial" w:cs="Arial"/>
          <w:shd w:val="clear" w:color="auto" w:fill="FFFFFF"/>
        </w:rPr>
        <w:t>, 2021)</w:t>
      </w:r>
      <w:r w:rsidRPr="00D66265">
        <w:rPr>
          <w:rFonts w:ascii="Arial" w:hAnsi="Arial" w:cs="Arial"/>
        </w:rPr>
        <w:t>. The state also stressed the need to create a socially connected society through the efforts of the national government, civil society, individuals, and employers</w:t>
      </w:r>
      <w:r w:rsidR="00F600DB" w:rsidRPr="00D66265">
        <w:rPr>
          <w:rFonts w:ascii="Arial" w:hAnsi="Arial" w:cs="Arial"/>
        </w:rPr>
        <w:t xml:space="preserve"> </w:t>
      </w:r>
      <w:r w:rsidR="00F600DB" w:rsidRPr="00D66265">
        <w:rPr>
          <w:rFonts w:ascii="Arial" w:hAnsi="Arial" w:cs="Arial"/>
          <w:shd w:val="clear" w:color="auto" w:fill="FFFFFF"/>
        </w:rPr>
        <w:t xml:space="preserve">(Macdonald and </w:t>
      </w:r>
      <w:proofErr w:type="spellStart"/>
      <w:r w:rsidR="00F600DB" w:rsidRPr="00D66265">
        <w:rPr>
          <w:rFonts w:ascii="Arial" w:hAnsi="Arial" w:cs="Arial"/>
          <w:shd w:val="clear" w:color="auto" w:fill="FFFFFF"/>
        </w:rPr>
        <w:t>Kulakiewicz</w:t>
      </w:r>
      <w:proofErr w:type="spellEnd"/>
      <w:r w:rsidR="00F600DB" w:rsidRPr="00D66265">
        <w:rPr>
          <w:rFonts w:ascii="Arial" w:hAnsi="Arial" w:cs="Arial"/>
          <w:shd w:val="clear" w:color="auto" w:fill="FFFFFF"/>
        </w:rPr>
        <w:t>, 2021)</w:t>
      </w:r>
      <w:r w:rsidRPr="00D66265">
        <w:rPr>
          <w:rFonts w:ascii="Arial" w:hAnsi="Arial" w:cs="Arial"/>
        </w:rPr>
        <w:t>. The central government would provide national leadership and undertake to collaborate with the devolved administrations to ensure a complementary strategy.</w:t>
      </w:r>
    </w:p>
    <w:p w14:paraId="6F5C0B86" w14:textId="77777777" w:rsidR="000C17E4" w:rsidRPr="00D66265" w:rsidRDefault="000C17E4" w:rsidP="00D66265">
      <w:pPr>
        <w:pStyle w:val="Heading1"/>
        <w:spacing w:line="360" w:lineRule="auto"/>
        <w:rPr>
          <w:rFonts w:ascii="Arial" w:hAnsi="Arial" w:cs="Arial"/>
          <w:color w:val="auto"/>
          <w:sz w:val="22"/>
          <w:szCs w:val="22"/>
        </w:rPr>
      </w:pPr>
      <w:bookmarkStart w:id="6" w:name="_Toc111555495"/>
      <w:r w:rsidRPr="00D66265">
        <w:rPr>
          <w:rFonts w:ascii="Arial" w:hAnsi="Arial" w:cs="Arial"/>
          <w:color w:val="auto"/>
          <w:sz w:val="22"/>
          <w:szCs w:val="22"/>
        </w:rPr>
        <w:t>The Prospective Future of the Care of the Older Person</w:t>
      </w:r>
      <w:bookmarkEnd w:id="6"/>
    </w:p>
    <w:p w14:paraId="39330C3D" w14:textId="77777777" w:rsidR="000C17E4" w:rsidRPr="00D66265" w:rsidRDefault="000C17E4" w:rsidP="00D66265">
      <w:pPr>
        <w:spacing w:line="360" w:lineRule="auto"/>
        <w:ind w:firstLine="720"/>
        <w:rPr>
          <w:rFonts w:ascii="Arial" w:hAnsi="Arial" w:cs="Arial"/>
        </w:rPr>
      </w:pPr>
      <w:r w:rsidRPr="00D66265">
        <w:rPr>
          <w:rFonts w:ascii="Arial" w:hAnsi="Arial" w:cs="Arial"/>
        </w:rPr>
        <w:t>Although the number of aging is one of the great developments since most people survive to old age, the elderly population has implications for social security, labor markets, and healthcare. With low levels of economic and social development as well as little access to sufficient healthcare, Nigeria will be hard-pressed to handle the challenges of increasing the elderly population, particularly to traditional family support which currently breaking down.</w:t>
      </w:r>
    </w:p>
    <w:p w14:paraId="76696409" w14:textId="77777777" w:rsidR="007037AE" w:rsidRPr="00D66265" w:rsidRDefault="000C17E4" w:rsidP="00D66265">
      <w:pPr>
        <w:pStyle w:val="Heading1"/>
        <w:spacing w:line="360" w:lineRule="auto"/>
        <w:rPr>
          <w:rFonts w:ascii="Arial" w:hAnsi="Arial" w:cs="Arial"/>
          <w:color w:val="auto"/>
          <w:sz w:val="22"/>
          <w:szCs w:val="22"/>
        </w:rPr>
      </w:pPr>
      <w:bookmarkStart w:id="7" w:name="_Toc111555496"/>
      <w:r w:rsidRPr="00D66265">
        <w:rPr>
          <w:rFonts w:ascii="Arial" w:hAnsi="Arial" w:cs="Arial"/>
          <w:color w:val="auto"/>
          <w:sz w:val="22"/>
          <w:szCs w:val="22"/>
        </w:rPr>
        <w:t>Recommendations</w:t>
      </w:r>
      <w:bookmarkEnd w:id="7"/>
    </w:p>
    <w:p w14:paraId="442FB258" w14:textId="77777777" w:rsidR="00DC49B4" w:rsidRPr="00D66265" w:rsidRDefault="00DC49B4" w:rsidP="00D66265">
      <w:pPr>
        <w:spacing w:line="360" w:lineRule="auto"/>
        <w:ind w:firstLine="720"/>
        <w:rPr>
          <w:rFonts w:ascii="Arial" w:hAnsi="Arial" w:cs="Arial"/>
        </w:rPr>
      </w:pPr>
      <w:r w:rsidRPr="00D66265">
        <w:rPr>
          <w:rFonts w:ascii="Arial" w:hAnsi="Arial" w:cs="Arial"/>
        </w:rPr>
        <w:t xml:space="preserve">Maintaining good social and care support for the elderly is more than providing treatment and medication. Social and care support for older people still needs adjustments to improve health and well-being. Some of the suggestions include: </w:t>
      </w:r>
    </w:p>
    <w:p w14:paraId="74D9A438" w14:textId="77777777" w:rsidR="00DC49B4" w:rsidRPr="00D66265" w:rsidRDefault="00DC49B4" w:rsidP="00D66265">
      <w:pPr>
        <w:pStyle w:val="ListParagraph"/>
        <w:numPr>
          <w:ilvl w:val="0"/>
          <w:numId w:val="1"/>
        </w:numPr>
        <w:spacing w:line="360" w:lineRule="auto"/>
        <w:rPr>
          <w:rFonts w:ascii="Arial" w:hAnsi="Arial" w:cs="Arial"/>
        </w:rPr>
      </w:pPr>
      <w:r w:rsidRPr="00D66265">
        <w:rPr>
          <w:rFonts w:ascii="Arial" w:hAnsi="Arial" w:cs="Arial"/>
        </w:rPr>
        <w:t xml:space="preserve">Enable social inclusion to eliminate incidents of loneliness and social isolation. It is important to create opportunities for the elderly to actively participate in family and community issues since isolation is the cause of emotional distress. </w:t>
      </w:r>
    </w:p>
    <w:p w14:paraId="5C7DF8C5" w14:textId="77777777" w:rsidR="00DC49B4" w:rsidRPr="00D66265" w:rsidRDefault="00DC49B4" w:rsidP="00D66265">
      <w:pPr>
        <w:pStyle w:val="ListParagraph"/>
        <w:numPr>
          <w:ilvl w:val="0"/>
          <w:numId w:val="1"/>
        </w:numPr>
        <w:spacing w:line="360" w:lineRule="auto"/>
        <w:rPr>
          <w:rFonts w:ascii="Arial" w:hAnsi="Arial" w:cs="Arial"/>
        </w:rPr>
      </w:pPr>
      <w:r w:rsidRPr="00D66265">
        <w:rPr>
          <w:rFonts w:ascii="Arial" w:hAnsi="Arial" w:cs="Arial"/>
        </w:rPr>
        <w:t xml:space="preserve">Enable person-centered care regimens through encouraging loved ones to make their decision regarding the type of care they wish to receive and at what time they need social and care support. </w:t>
      </w:r>
    </w:p>
    <w:p w14:paraId="67BD844A" w14:textId="77777777" w:rsidR="00DC49B4" w:rsidRPr="00D66265" w:rsidRDefault="00DC49B4" w:rsidP="00D66265">
      <w:pPr>
        <w:pStyle w:val="ListParagraph"/>
        <w:numPr>
          <w:ilvl w:val="0"/>
          <w:numId w:val="1"/>
        </w:numPr>
        <w:spacing w:line="360" w:lineRule="auto"/>
        <w:rPr>
          <w:rFonts w:ascii="Arial" w:hAnsi="Arial" w:cs="Arial"/>
        </w:rPr>
      </w:pPr>
      <w:r w:rsidRPr="00D66265">
        <w:rPr>
          <w:rFonts w:ascii="Arial" w:hAnsi="Arial" w:cs="Arial"/>
        </w:rPr>
        <w:t xml:space="preserve">The elderly may suffer loneliness and social isolation because of uncoordinated care. Hence, it is essential to coordinate services among all providers both informal and </w:t>
      </w:r>
      <w:r w:rsidRPr="00D66265">
        <w:rPr>
          <w:rFonts w:ascii="Arial" w:hAnsi="Arial" w:cs="Arial"/>
        </w:rPr>
        <w:lastRenderedPageBreak/>
        <w:t xml:space="preserve">formal. This translates to every person within primary care to that person who comes ones a week to check on the loved one. </w:t>
      </w:r>
    </w:p>
    <w:p w14:paraId="6C890C35" w14:textId="77777777" w:rsidR="00D1067A" w:rsidRPr="00D66265" w:rsidRDefault="00D1067A" w:rsidP="00D66265">
      <w:pPr>
        <w:pStyle w:val="ListParagraph"/>
        <w:numPr>
          <w:ilvl w:val="0"/>
          <w:numId w:val="1"/>
        </w:numPr>
        <w:spacing w:line="360" w:lineRule="auto"/>
        <w:rPr>
          <w:rFonts w:ascii="Arial" w:hAnsi="Arial" w:cs="Arial"/>
        </w:rPr>
      </w:pPr>
      <w:r w:rsidRPr="00D66265">
        <w:rPr>
          <w:rFonts w:ascii="Arial" w:hAnsi="Arial" w:cs="Arial"/>
        </w:rPr>
        <w:t xml:space="preserve">Acknowledging the role of caregiving families may help to improved care and well-being of the elderly because of their integral role in the country’s collective function to care for older population. </w:t>
      </w:r>
      <w:r w:rsidR="00EA6218" w:rsidRPr="00D66265">
        <w:rPr>
          <w:rFonts w:ascii="Arial" w:hAnsi="Arial" w:cs="Arial"/>
        </w:rPr>
        <w:t>For seniors living with a debilitating or terminal illness, their families are their major source of care. These days, it</w:t>
      </w:r>
      <w:r w:rsidR="007F60FD" w:rsidRPr="00D66265">
        <w:rPr>
          <w:rFonts w:ascii="Arial" w:hAnsi="Arial" w:cs="Arial"/>
        </w:rPr>
        <w:t xml:space="preserve"> is </w:t>
      </w:r>
      <w:r w:rsidR="00EA6218" w:rsidRPr="00D66265">
        <w:rPr>
          <w:rFonts w:ascii="Arial" w:hAnsi="Arial" w:cs="Arial"/>
        </w:rPr>
        <w:t xml:space="preserve">unrealistic to count on family caregivers to shoulder the whole burden of providing sophisticated care and assistance on their own. Family caregivers should be given more credit, more knowledge, and more meaningful assistance in order to enable them care for their elderly loved ones and ensure their own health, financial stability, and well-being. The committee wants to see a change in how families are treated when it comes to providing for and caring for seniors. Care must shift from its current concentration on the individual to include the whole unit. </w:t>
      </w:r>
      <w:r w:rsidRPr="00D66265">
        <w:rPr>
          <w:rFonts w:ascii="Arial" w:hAnsi="Arial" w:cs="Arial"/>
        </w:rPr>
        <w:t xml:space="preserve"> </w:t>
      </w:r>
    </w:p>
    <w:p w14:paraId="60A63AB9" w14:textId="77777777" w:rsidR="006401F4" w:rsidRPr="00D66265" w:rsidRDefault="006401F4" w:rsidP="00D66265">
      <w:pPr>
        <w:spacing w:line="360" w:lineRule="auto"/>
        <w:rPr>
          <w:rFonts w:ascii="Arial" w:hAnsi="Arial" w:cs="Arial"/>
        </w:rPr>
      </w:pPr>
      <w:r w:rsidRPr="00D66265">
        <w:rPr>
          <w:rFonts w:ascii="Arial" w:hAnsi="Arial" w:cs="Arial"/>
        </w:rPr>
        <w:br w:type="page"/>
      </w:r>
    </w:p>
    <w:p w14:paraId="6427B395" w14:textId="77777777" w:rsidR="008E04BF" w:rsidRPr="00D66265" w:rsidRDefault="008E04BF" w:rsidP="00D66265">
      <w:pPr>
        <w:pStyle w:val="Heading1"/>
        <w:spacing w:line="360" w:lineRule="auto"/>
        <w:rPr>
          <w:rFonts w:ascii="Arial" w:hAnsi="Arial" w:cs="Arial"/>
          <w:color w:val="auto"/>
          <w:sz w:val="22"/>
          <w:szCs w:val="22"/>
        </w:rPr>
      </w:pPr>
      <w:bookmarkStart w:id="8" w:name="_Toc111555497"/>
      <w:r w:rsidRPr="00D66265">
        <w:rPr>
          <w:rFonts w:ascii="Arial" w:hAnsi="Arial" w:cs="Arial"/>
          <w:color w:val="auto"/>
          <w:sz w:val="22"/>
          <w:szCs w:val="22"/>
        </w:rPr>
        <w:lastRenderedPageBreak/>
        <w:t>Bibliography</w:t>
      </w:r>
      <w:bookmarkEnd w:id="8"/>
    </w:p>
    <w:p w14:paraId="622135F1" w14:textId="77777777" w:rsidR="0074667B" w:rsidRPr="00D66265" w:rsidRDefault="0074667B" w:rsidP="00D66265">
      <w:pPr>
        <w:spacing w:line="360" w:lineRule="auto"/>
        <w:ind w:left="720" w:hanging="720"/>
        <w:rPr>
          <w:rFonts w:ascii="Arial" w:hAnsi="Arial" w:cs="Arial"/>
        </w:rPr>
      </w:pPr>
      <w:r w:rsidRPr="00D66265">
        <w:rPr>
          <w:rFonts w:ascii="Arial" w:hAnsi="Arial" w:cs="Arial"/>
          <w:shd w:val="clear" w:color="auto" w:fill="FFFFFF"/>
        </w:rPr>
        <w:t>Age, U.K., 2019. Later life in the United Kingdom 2019. </w:t>
      </w:r>
      <w:r w:rsidRPr="00D66265">
        <w:rPr>
          <w:rFonts w:ascii="Arial" w:hAnsi="Arial" w:cs="Arial"/>
          <w:i/>
          <w:iCs/>
          <w:shd w:val="clear" w:color="auto" w:fill="FFFFFF"/>
        </w:rPr>
        <w:t xml:space="preserve">URL: www. </w:t>
      </w:r>
      <w:proofErr w:type="spellStart"/>
      <w:r w:rsidRPr="00D66265">
        <w:rPr>
          <w:rFonts w:ascii="Arial" w:hAnsi="Arial" w:cs="Arial"/>
          <w:i/>
          <w:iCs/>
          <w:shd w:val="clear" w:color="auto" w:fill="FFFFFF"/>
        </w:rPr>
        <w:t>ageuk</w:t>
      </w:r>
      <w:proofErr w:type="spellEnd"/>
      <w:r w:rsidRPr="00D66265">
        <w:rPr>
          <w:rFonts w:ascii="Arial" w:hAnsi="Arial" w:cs="Arial"/>
          <w:i/>
          <w:iCs/>
          <w:shd w:val="clear" w:color="auto" w:fill="FFFFFF"/>
        </w:rPr>
        <w:t xml:space="preserve">. org. </w:t>
      </w:r>
      <w:proofErr w:type="spellStart"/>
      <w:r w:rsidRPr="00D66265">
        <w:rPr>
          <w:rFonts w:ascii="Arial" w:hAnsi="Arial" w:cs="Arial"/>
          <w:i/>
          <w:iCs/>
          <w:shd w:val="clear" w:color="auto" w:fill="FFFFFF"/>
        </w:rPr>
        <w:t>uk</w:t>
      </w:r>
      <w:proofErr w:type="spellEnd"/>
      <w:r w:rsidRPr="00D66265">
        <w:rPr>
          <w:rFonts w:ascii="Arial" w:hAnsi="Arial" w:cs="Arial"/>
          <w:i/>
          <w:iCs/>
          <w:shd w:val="clear" w:color="auto" w:fill="FFFFFF"/>
        </w:rPr>
        <w:t>/Documents/EN-GB/Factsheets/</w:t>
      </w:r>
      <w:proofErr w:type="spellStart"/>
      <w:r w:rsidRPr="00D66265">
        <w:rPr>
          <w:rFonts w:ascii="Arial" w:hAnsi="Arial" w:cs="Arial"/>
          <w:i/>
          <w:iCs/>
          <w:shd w:val="clear" w:color="auto" w:fill="FFFFFF"/>
        </w:rPr>
        <w:t>Later_Life_UK_factsheet</w:t>
      </w:r>
      <w:proofErr w:type="spellEnd"/>
      <w:r w:rsidRPr="00D66265">
        <w:rPr>
          <w:rFonts w:ascii="Arial" w:hAnsi="Arial" w:cs="Arial"/>
          <w:i/>
          <w:iCs/>
          <w:shd w:val="clear" w:color="auto" w:fill="FFFFFF"/>
        </w:rPr>
        <w:t>. pdf</w:t>
      </w:r>
      <w:r w:rsidRPr="00D66265">
        <w:rPr>
          <w:rFonts w:ascii="Arial" w:hAnsi="Arial" w:cs="Arial"/>
          <w:shd w:val="clear" w:color="auto" w:fill="FFFFFF"/>
        </w:rPr>
        <w:t xml:space="preserve">. </w:t>
      </w:r>
    </w:p>
    <w:p w14:paraId="2F1F3E16"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 xml:space="preserve">Ani, J.I. and </w:t>
      </w:r>
      <w:proofErr w:type="spellStart"/>
      <w:r w:rsidRPr="00D66265">
        <w:rPr>
          <w:rFonts w:ascii="Arial" w:hAnsi="Arial" w:cs="Arial"/>
          <w:shd w:val="clear" w:color="auto" w:fill="FFFFFF"/>
        </w:rPr>
        <w:t>Isiugo-Abanihe</w:t>
      </w:r>
      <w:proofErr w:type="spellEnd"/>
      <w:r w:rsidRPr="00D66265">
        <w:rPr>
          <w:rFonts w:ascii="Arial" w:hAnsi="Arial" w:cs="Arial"/>
          <w:shd w:val="clear" w:color="auto" w:fill="FFFFFF"/>
        </w:rPr>
        <w:t xml:space="preserve">, U.C., Experiences of Ageing and Social Support for the Elderly in Ibadan, Nigeria. </w:t>
      </w:r>
    </w:p>
    <w:p w14:paraId="5C9D9C2B"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CDC, 2021. </w:t>
      </w:r>
      <w:r w:rsidRPr="00D66265">
        <w:rPr>
          <w:rFonts w:ascii="Arial" w:hAnsi="Arial" w:cs="Arial"/>
          <w:i/>
          <w:iCs/>
          <w:shd w:val="clear" w:color="auto" w:fill="FFFFFF"/>
        </w:rPr>
        <w:t>Loneliness and Social Isolation Linked to Serious Health Conditions</w:t>
      </w:r>
      <w:r w:rsidRPr="00D66265">
        <w:rPr>
          <w:rFonts w:ascii="Arial" w:hAnsi="Arial" w:cs="Arial"/>
          <w:shd w:val="clear" w:color="auto" w:fill="FFFFFF"/>
        </w:rPr>
        <w:t>. [online] Available at: &lt;https://www.cdc.gov/aging/publications/features/lonely-older-adults.html&gt; [Accessed 15 August 2022].</w:t>
      </w:r>
    </w:p>
    <w:p w14:paraId="257D1715" w14:textId="77777777" w:rsidR="0074667B" w:rsidRPr="00D66265" w:rsidRDefault="0074667B" w:rsidP="00D66265">
      <w:pPr>
        <w:spacing w:line="360" w:lineRule="auto"/>
        <w:ind w:left="720" w:hanging="720"/>
        <w:rPr>
          <w:rFonts w:ascii="Arial" w:hAnsi="Arial" w:cs="Arial"/>
          <w:shd w:val="clear" w:color="auto" w:fill="FFFFFF"/>
        </w:rPr>
      </w:pPr>
      <w:proofErr w:type="spellStart"/>
      <w:r w:rsidRPr="00D66265">
        <w:rPr>
          <w:rFonts w:ascii="Arial" w:hAnsi="Arial" w:cs="Arial"/>
          <w:shd w:val="clear" w:color="auto" w:fill="FFFFFF"/>
        </w:rPr>
        <w:t>Elsayed</w:t>
      </w:r>
      <w:proofErr w:type="spellEnd"/>
      <w:r w:rsidRPr="00D66265">
        <w:rPr>
          <w:rFonts w:ascii="Arial" w:hAnsi="Arial" w:cs="Arial"/>
          <w:shd w:val="clear" w:color="auto" w:fill="FFFFFF"/>
        </w:rPr>
        <w:t>, E.B.M., El-</w:t>
      </w:r>
      <w:proofErr w:type="spellStart"/>
      <w:r w:rsidRPr="00D66265">
        <w:rPr>
          <w:rFonts w:ascii="Arial" w:hAnsi="Arial" w:cs="Arial"/>
          <w:shd w:val="clear" w:color="auto" w:fill="FFFFFF"/>
        </w:rPr>
        <w:t>Etreby</w:t>
      </w:r>
      <w:proofErr w:type="spellEnd"/>
      <w:r w:rsidRPr="00D66265">
        <w:rPr>
          <w:rFonts w:ascii="Arial" w:hAnsi="Arial" w:cs="Arial"/>
          <w:shd w:val="clear" w:color="auto" w:fill="FFFFFF"/>
        </w:rPr>
        <w:t>, R.R. and Ibrahim, A.A.W., 2019. Relationship between social support, loneliness, and depression among elderly people. </w:t>
      </w:r>
      <w:r w:rsidRPr="00D66265">
        <w:rPr>
          <w:rFonts w:ascii="Arial" w:hAnsi="Arial" w:cs="Arial"/>
          <w:i/>
          <w:iCs/>
          <w:shd w:val="clear" w:color="auto" w:fill="FFFFFF"/>
        </w:rPr>
        <w:t>International Journal of Nursing Didactics</w:t>
      </w:r>
      <w:r w:rsidRPr="00D66265">
        <w:rPr>
          <w:rFonts w:ascii="Arial" w:hAnsi="Arial" w:cs="Arial"/>
          <w:shd w:val="clear" w:color="auto" w:fill="FFFFFF"/>
        </w:rPr>
        <w:t>, </w:t>
      </w:r>
      <w:r w:rsidRPr="00D66265">
        <w:rPr>
          <w:rFonts w:ascii="Arial" w:hAnsi="Arial" w:cs="Arial"/>
          <w:i/>
          <w:iCs/>
          <w:shd w:val="clear" w:color="auto" w:fill="FFFFFF"/>
        </w:rPr>
        <w:t>9</w:t>
      </w:r>
      <w:r w:rsidRPr="00D66265">
        <w:rPr>
          <w:rFonts w:ascii="Arial" w:hAnsi="Arial" w:cs="Arial"/>
          <w:shd w:val="clear" w:color="auto" w:fill="FFFFFF"/>
        </w:rPr>
        <w:t>(01), pp.39-47.</w:t>
      </w:r>
    </w:p>
    <w:p w14:paraId="4AEB44F7" w14:textId="77777777" w:rsidR="0074667B" w:rsidRPr="00D66265" w:rsidRDefault="0074667B" w:rsidP="00D66265">
      <w:pPr>
        <w:spacing w:line="360" w:lineRule="auto"/>
        <w:ind w:left="720" w:hanging="720"/>
        <w:rPr>
          <w:rFonts w:ascii="Arial" w:hAnsi="Arial" w:cs="Arial"/>
          <w:shd w:val="clear" w:color="auto" w:fill="FFFFFF"/>
        </w:rPr>
      </w:pPr>
      <w:proofErr w:type="spellStart"/>
      <w:r w:rsidRPr="00D66265">
        <w:rPr>
          <w:rFonts w:ascii="Arial" w:hAnsi="Arial" w:cs="Arial"/>
          <w:shd w:val="clear" w:color="auto" w:fill="FFFFFF"/>
        </w:rPr>
        <w:t>Fakoya</w:t>
      </w:r>
      <w:proofErr w:type="spellEnd"/>
      <w:r w:rsidRPr="00D66265">
        <w:rPr>
          <w:rFonts w:ascii="Arial" w:hAnsi="Arial" w:cs="Arial"/>
          <w:shd w:val="clear" w:color="auto" w:fill="FFFFFF"/>
        </w:rPr>
        <w:t xml:space="preserve">, O.A., </w:t>
      </w:r>
      <w:proofErr w:type="spellStart"/>
      <w:r w:rsidRPr="00D66265">
        <w:rPr>
          <w:rFonts w:ascii="Arial" w:hAnsi="Arial" w:cs="Arial"/>
          <w:shd w:val="clear" w:color="auto" w:fill="FFFFFF"/>
        </w:rPr>
        <w:t>McCorry</w:t>
      </w:r>
      <w:proofErr w:type="spellEnd"/>
      <w:r w:rsidRPr="00D66265">
        <w:rPr>
          <w:rFonts w:ascii="Arial" w:hAnsi="Arial" w:cs="Arial"/>
          <w:shd w:val="clear" w:color="auto" w:fill="FFFFFF"/>
        </w:rPr>
        <w:t>, N.K. and Donnelly, M., 2020. Loneliness and social isolation interventions for older adults: a scoping review of reviews. </w:t>
      </w:r>
      <w:r w:rsidRPr="00D66265">
        <w:rPr>
          <w:rFonts w:ascii="Arial" w:hAnsi="Arial" w:cs="Arial"/>
          <w:i/>
          <w:iCs/>
          <w:shd w:val="clear" w:color="auto" w:fill="FFFFFF"/>
        </w:rPr>
        <w:t>BMC public health</w:t>
      </w:r>
      <w:r w:rsidRPr="00D66265">
        <w:rPr>
          <w:rFonts w:ascii="Arial" w:hAnsi="Arial" w:cs="Arial"/>
          <w:shd w:val="clear" w:color="auto" w:fill="FFFFFF"/>
        </w:rPr>
        <w:t>, </w:t>
      </w:r>
      <w:r w:rsidRPr="00D66265">
        <w:rPr>
          <w:rFonts w:ascii="Arial" w:hAnsi="Arial" w:cs="Arial"/>
          <w:i/>
          <w:iCs/>
          <w:shd w:val="clear" w:color="auto" w:fill="FFFFFF"/>
        </w:rPr>
        <w:t>20</w:t>
      </w:r>
      <w:r w:rsidRPr="00D66265">
        <w:rPr>
          <w:rFonts w:ascii="Arial" w:hAnsi="Arial" w:cs="Arial"/>
          <w:shd w:val="clear" w:color="auto" w:fill="FFFFFF"/>
        </w:rPr>
        <w:t>(1), pp.1-14.</w:t>
      </w:r>
    </w:p>
    <w:p w14:paraId="3EC18462"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Grundy, E., 2010. The care of older people in the United Kingdom: problems, provision and policy. </w:t>
      </w:r>
      <w:proofErr w:type="spellStart"/>
      <w:r w:rsidRPr="00D66265">
        <w:rPr>
          <w:rFonts w:ascii="Arial" w:hAnsi="Arial" w:cs="Arial"/>
          <w:i/>
          <w:iCs/>
          <w:shd w:val="clear" w:color="auto" w:fill="FFFFFF"/>
        </w:rPr>
        <w:t>documento</w:t>
      </w:r>
      <w:proofErr w:type="spellEnd"/>
      <w:r w:rsidRPr="00D66265">
        <w:rPr>
          <w:rFonts w:ascii="Arial" w:hAnsi="Arial" w:cs="Arial"/>
          <w:i/>
          <w:iCs/>
          <w:shd w:val="clear" w:color="auto" w:fill="FFFFFF"/>
        </w:rPr>
        <w:t xml:space="preserve"> </w:t>
      </w:r>
      <w:proofErr w:type="spellStart"/>
      <w:r w:rsidRPr="00D66265">
        <w:rPr>
          <w:rFonts w:ascii="Arial" w:hAnsi="Arial" w:cs="Arial"/>
          <w:i/>
          <w:iCs/>
          <w:shd w:val="clear" w:color="auto" w:fill="FFFFFF"/>
        </w:rPr>
        <w:t>preparado</w:t>
      </w:r>
      <w:proofErr w:type="spellEnd"/>
      <w:r w:rsidRPr="00D66265">
        <w:rPr>
          <w:rFonts w:ascii="Arial" w:hAnsi="Arial" w:cs="Arial"/>
          <w:i/>
          <w:iCs/>
          <w:shd w:val="clear" w:color="auto" w:fill="FFFFFF"/>
        </w:rPr>
        <w:t xml:space="preserve"> para </w:t>
      </w:r>
      <w:proofErr w:type="spellStart"/>
      <w:r w:rsidRPr="00D66265">
        <w:rPr>
          <w:rFonts w:ascii="Arial" w:hAnsi="Arial" w:cs="Arial"/>
          <w:i/>
          <w:iCs/>
          <w:shd w:val="clear" w:color="auto" w:fill="FFFFFF"/>
        </w:rPr>
        <w:t>el</w:t>
      </w:r>
      <w:proofErr w:type="spellEnd"/>
      <w:r w:rsidRPr="00D66265">
        <w:rPr>
          <w:rFonts w:ascii="Arial" w:hAnsi="Arial" w:cs="Arial"/>
          <w:i/>
          <w:iCs/>
          <w:shd w:val="clear" w:color="auto" w:fill="FFFFFF"/>
        </w:rPr>
        <w:t xml:space="preserve"> </w:t>
      </w:r>
      <w:proofErr w:type="spellStart"/>
      <w:r w:rsidRPr="00D66265">
        <w:rPr>
          <w:rFonts w:ascii="Arial" w:hAnsi="Arial" w:cs="Arial"/>
          <w:i/>
          <w:iCs/>
          <w:shd w:val="clear" w:color="auto" w:fill="FFFFFF"/>
        </w:rPr>
        <w:t>seminario</w:t>
      </w:r>
      <w:proofErr w:type="spellEnd"/>
      <w:r w:rsidRPr="00D66265">
        <w:rPr>
          <w:rFonts w:ascii="Arial" w:hAnsi="Arial" w:cs="Arial"/>
          <w:i/>
          <w:iCs/>
          <w:shd w:val="clear" w:color="auto" w:fill="FFFFFF"/>
        </w:rPr>
        <w:t xml:space="preserve"> </w:t>
      </w:r>
      <w:proofErr w:type="spellStart"/>
      <w:r w:rsidRPr="00D66265">
        <w:rPr>
          <w:rFonts w:ascii="Arial" w:hAnsi="Arial" w:cs="Arial"/>
          <w:i/>
          <w:iCs/>
          <w:shd w:val="clear" w:color="auto" w:fill="FFFFFF"/>
        </w:rPr>
        <w:t>internacional</w:t>
      </w:r>
      <w:proofErr w:type="spellEnd"/>
      <w:r w:rsidRPr="00D66265">
        <w:rPr>
          <w:rFonts w:ascii="Arial" w:hAnsi="Arial" w:cs="Arial"/>
          <w:i/>
          <w:iCs/>
          <w:shd w:val="clear" w:color="auto" w:fill="FFFFFF"/>
        </w:rPr>
        <w:t xml:space="preserve"> </w:t>
      </w:r>
      <w:proofErr w:type="spellStart"/>
      <w:r w:rsidRPr="00D66265">
        <w:rPr>
          <w:rFonts w:ascii="Arial" w:hAnsi="Arial" w:cs="Arial"/>
          <w:i/>
          <w:iCs/>
          <w:shd w:val="clear" w:color="auto" w:fill="FFFFFF"/>
        </w:rPr>
        <w:t>Experiencias</w:t>
      </w:r>
      <w:proofErr w:type="spellEnd"/>
      <w:r w:rsidRPr="00D66265">
        <w:rPr>
          <w:rFonts w:ascii="Arial" w:hAnsi="Arial" w:cs="Arial"/>
          <w:i/>
          <w:iCs/>
          <w:shd w:val="clear" w:color="auto" w:fill="FFFFFF"/>
        </w:rPr>
        <w:t xml:space="preserve"> </w:t>
      </w:r>
      <w:proofErr w:type="spellStart"/>
      <w:r w:rsidRPr="00D66265">
        <w:rPr>
          <w:rFonts w:ascii="Arial" w:hAnsi="Arial" w:cs="Arial"/>
          <w:i/>
          <w:iCs/>
          <w:shd w:val="clear" w:color="auto" w:fill="FFFFFF"/>
        </w:rPr>
        <w:t>Internacionales</w:t>
      </w:r>
      <w:proofErr w:type="spellEnd"/>
      <w:r w:rsidRPr="00D66265">
        <w:rPr>
          <w:rFonts w:ascii="Arial" w:hAnsi="Arial" w:cs="Arial"/>
          <w:i/>
          <w:iCs/>
          <w:shd w:val="clear" w:color="auto" w:fill="FFFFFF"/>
        </w:rPr>
        <w:t xml:space="preserve"> y </w:t>
      </w:r>
      <w:proofErr w:type="spellStart"/>
      <w:r w:rsidRPr="00D66265">
        <w:rPr>
          <w:rFonts w:ascii="Arial" w:hAnsi="Arial" w:cs="Arial"/>
          <w:i/>
          <w:iCs/>
          <w:shd w:val="clear" w:color="auto" w:fill="FFFFFF"/>
        </w:rPr>
        <w:t>Propuestas</w:t>
      </w:r>
      <w:proofErr w:type="spellEnd"/>
      <w:r w:rsidRPr="00D66265">
        <w:rPr>
          <w:rFonts w:ascii="Arial" w:hAnsi="Arial" w:cs="Arial"/>
          <w:i/>
          <w:iCs/>
          <w:shd w:val="clear" w:color="auto" w:fill="FFFFFF"/>
        </w:rPr>
        <w:t xml:space="preserve"> para </w:t>
      </w:r>
      <w:proofErr w:type="spellStart"/>
      <w:r w:rsidRPr="00D66265">
        <w:rPr>
          <w:rFonts w:ascii="Arial" w:hAnsi="Arial" w:cs="Arial"/>
          <w:i/>
          <w:iCs/>
          <w:shd w:val="clear" w:color="auto" w:fill="FFFFFF"/>
        </w:rPr>
        <w:t>Consolidar</w:t>
      </w:r>
      <w:proofErr w:type="spellEnd"/>
      <w:r w:rsidRPr="00D66265">
        <w:rPr>
          <w:rFonts w:ascii="Arial" w:hAnsi="Arial" w:cs="Arial"/>
          <w:i/>
          <w:iCs/>
          <w:shd w:val="clear" w:color="auto" w:fill="FFFFFF"/>
        </w:rPr>
        <w:t xml:space="preserve"> la Red Nacional de </w:t>
      </w:r>
      <w:proofErr w:type="spellStart"/>
      <w:r w:rsidRPr="00D66265">
        <w:rPr>
          <w:rFonts w:ascii="Arial" w:hAnsi="Arial" w:cs="Arial"/>
          <w:i/>
          <w:iCs/>
          <w:shd w:val="clear" w:color="auto" w:fill="FFFFFF"/>
        </w:rPr>
        <w:t>Cuido</w:t>
      </w:r>
      <w:proofErr w:type="spellEnd"/>
      <w:r w:rsidRPr="00D66265">
        <w:rPr>
          <w:rFonts w:ascii="Arial" w:hAnsi="Arial" w:cs="Arial"/>
          <w:i/>
          <w:iCs/>
          <w:shd w:val="clear" w:color="auto" w:fill="FFFFFF"/>
        </w:rPr>
        <w:t xml:space="preserve"> de las Personas </w:t>
      </w:r>
      <w:proofErr w:type="spellStart"/>
      <w:r w:rsidRPr="00D66265">
        <w:rPr>
          <w:rFonts w:ascii="Arial" w:hAnsi="Arial" w:cs="Arial"/>
          <w:i/>
          <w:iCs/>
          <w:shd w:val="clear" w:color="auto" w:fill="FFFFFF"/>
        </w:rPr>
        <w:t>mayores</w:t>
      </w:r>
      <w:proofErr w:type="spellEnd"/>
      <w:r w:rsidRPr="00D66265">
        <w:rPr>
          <w:rFonts w:ascii="Arial" w:hAnsi="Arial" w:cs="Arial"/>
          <w:i/>
          <w:iCs/>
          <w:shd w:val="clear" w:color="auto" w:fill="FFFFFF"/>
        </w:rPr>
        <w:t xml:space="preserve"> </w:t>
      </w:r>
      <w:proofErr w:type="spellStart"/>
      <w:r w:rsidRPr="00D66265">
        <w:rPr>
          <w:rFonts w:ascii="Arial" w:hAnsi="Arial" w:cs="Arial"/>
          <w:i/>
          <w:iCs/>
          <w:shd w:val="clear" w:color="auto" w:fill="FFFFFF"/>
        </w:rPr>
        <w:t>en</w:t>
      </w:r>
      <w:proofErr w:type="spellEnd"/>
      <w:r w:rsidRPr="00D66265">
        <w:rPr>
          <w:rFonts w:ascii="Arial" w:hAnsi="Arial" w:cs="Arial"/>
          <w:i/>
          <w:iCs/>
          <w:shd w:val="clear" w:color="auto" w:fill="FFFFFF"/>
        </w:rPr>
        <w:t xml:space="preserve"> Costa Rica, San José</w:t>
      </w:r>
      <w:r w:rsidRPr="00D66265">
        <w:rPr>
          <w:rFonts w:ascii="Arial" w:hAnsi="Arial" w:cs="Arial"/>
          <w:shd w:val="clear" w:color="auto" w:fill="FFFFFF"/>
        </w:rPr>
        <w:t>, </w:t>
      </w:r>
      <w:r w:rsidRPr="00D66265">
        <w:rPr>
          <w:rFonts w:ascii="Arial" w:hAnsi="Arial" w:cs="Arial"/>
          <w:i/>
          <w:iCs/>
          <w:shd w:val="clear" w:color="auto" w:fill="FFFFFF"/>
        </w:rPr>
        <w:t>22</w:t>
      </w:r>
      <w:r w:rsidRPr="00D66265">
        <w:rPr>
          <w:rFonts w:ascii="Arial" w:hAnsi="Arial" w:cs="Arial"/>
          <w:shd w:val="clear" w:color="auto" w:fill="FFFFFF"/>
        </w:rPr>
        <w:t>.</w:t>
      </w:r>
    </w:p>
    <w:p w14:paraId="21007679" w14:textId="77777777" w:rsidR="0074667B" w:rsidRPr="00D66265" w:rsidRDefault="0074667B" w:rsidP="00D66265">
      <w:pPr>
        <w:spacing w:line="360" w:lineRule="auto"/>
        <w:ind w:left="720" w:hanging="720"/>
        <w:rPr>
          <w:rFonts w:ascii="Arial" w:hAnsi="Arial" w:cs="Arial"/>
          <w:shd w:val="clear" w:color="auto" w:fill="FFFFFF"/>
        </w:rPr>
      </w:pPr>
      <w:proofErr w:type="spellStart"/>
      <w:r w:rsidRPr="00D66265">
        <w:rPr>
          <w:rFonts w:ascii="Arial" w:hAnsi="Arial" w:cs="Arial"/>
          <w:shd w:val="clear" w:color="auto" w:fill="FFFFFF"/>
        </w:rPr>
        <w:t>Lapane</w:t>
      </w:r>
      <w:proofErr w:type="spellEnd"/>
      <w:r w:rsidRPr="00D66265">
        <w:rPr>
          <w:rFonts w:ascii="Arial" w:hAnsi="Arial" w:cs="Arial"/>
          <w:shd w:val="clear" w:color="auto" w:fill="FFFFFF"/>
        </w:rPr>
        <w:t xml:space="preserve">, K.L., Lim, E., McPhillips, E., </w:t>
      </w:r>
      <w:proofErr w:type="spellStart"/>
      <w:r w:rsidRPr="00D66265">
        <w:rPr>
          <w:rFonts w:ascii="Arial" w:hAnsi="Arial" w:cs="Arial"/>
          <w:shd w:val="clear" w:color="auto" w:fill="FFFFFF"/>
        </w:rPr>
        <w:t>Barooah</w:t>
      </w:r>
      <w:proofErr w:type="spellEnd"/>
      <w:r w:rsidRPr="00D66265">
        <w:rPr>
          <w:rFonts w:ascii="Arial" w:hAnsi="Arial" w:cs="Arial"/>
          <w:shd w:val="clear" w:color="auto" w:fill="FFFFFF"/>
        </w:rPr>
        <w:t>, A., Yuan, Y. and Dube, C.E., 2022. Health effects of loneliness and social isolation in older adults living in congregate long term care settings: A systematic review of quantitative and qualitative evidence. </w:t>
      </w:r>
      <w:r w:rsidRPr="00D66265">
        <w:rPr>
          <w:rFonts w:ascii="Arial" w:hAnsi="Arial" w:cs="Arial"/>
          <w:i/>
          <w:iCs/>
          <w:shd w:val="clear" w:color="auto" w:fill="FFFFFF"/>
        </w:rPr>
        <w:t>Archives of Gerontology and Geriatrics</w:t>
      </w:r>
      <w:r w:rsidRPr="00D66265">
        <w:rPr>
          <w:rFonts w:ascii="Arial" w:hAnsi="Arial" w:cs="Arial"/>
          <w:shd w:val="clear" w:color="auto" w:fill="FFFFFF"/>
        </w:rPr>
        <w:t>, p.104728.</w:t>
      </w:r>
    </w:p>
    <w:p w14:paraId="29CDD5C0"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 xml:space="preserve">Liu, L., Gou, Z. and </w:t>
      </w:r>
      <w:proofErr w:type="spellStart"/>
      <w:r w:rsidRPr="00D66265">
        <w:rPr>
          <w:rFonts w:ascii="Arial" w:hAnsi="Arial" w:cs="Arial"/>
          <w:shd w:val="clear" w:color="auto" w:fill="FFFFFF"/>
        </w:rPr>
        <w:t>Zuo</w:t>
      </w:r>
      <w:proofErr w:type="spellEnd"/>
      <w:r w:rsidRPr="00D66265">
        <w:rPr>
          <w:rFonts w:ascii="Arial" w:hAnsi="Arial" w:cs="Arial"/>
          <w:shd w:val="clear" w:color="auto" w:fill="FFFFFF"/>
        </w:rPr>
        <w:t>, J., 2016. Social support mediates loneliness and depression in elderly people. </w:t>
      </w:r>
      <w:r w:rsidRPr="00D66265">
        <w:rPr>
          <w:rFonts w:ascii="Arial" w:hAnsi="Arial" w:cs="Arial"/>
          <w:i/>
          <w:iCs/>
          <w:shd w:val="clear" w:color="auto" w:fill="FFFFFF"/>
        </w:rPr>
        <w:t>Journal of health psychology</w:t>
      </w:r>
      <w:r w:rsidRPr="00D66265">
        <w:rPr>
          <w:rFonts w:ascii="Arial" w:hAnsi="Arial" w:cs="Arial"/>
          <w:shd w:val="clear" w:color="auto" w:fill="FFFFFF"/>
        </w:rPr>
        <w:t>, </w:t>
      </w:r>
      <w:r w:rsidRPr="00D66265">
        <w:rPr>
          <w:rFonts w:ascii="Arial" w:hAnsi="Arial" w:cs="Arial"/>
          <w:i/>
          <w:iCs/>
          <w:shd w:val="clear" w:color="auto" w:fill="FFFFFF"/>
        </w:rPr>
        <w:t>21</w:t>
      </w:r>
      <w:r w:rsidRPr="00D66265">
        <w:rPr>
          <w:rFonts w:ascii="Arial" w:hAnsi="Arial" w:cs="Arial"/>
          <w:shd w:val="clear" w:color="auto" w:fill="FFFFFF"/>
        </w:rPr>
        <w:t>(5), pp.750-758.</w:t>
      </w:r>
    </w:p>
    <w:p w14:paraId="588DFFC3"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MHA, 2022. </w:t>
      </w:r>
      <w:r w:rsidRPr="00D66265">
        <w:rPr>
          <w:rFonts w:ascii="Arial" w:hAnsi="Arial" w:cs="Arial"/>
          <w:i/>
          <w:iCs/>
          <w:shd w:val="clear" w:color="auto" w:fill="FFFFFF"/>
        </w:rPr>
        <w:t>Facts &amp; Stats - Older People in the UK | MHA</w:t>
      </w:r>
      <w:r w:rsidRPr="00D66265">
        <w:rPr>
          <w:rFonts w:ascii="Arial" w:hAnsi="Arial" w:cs="Arial"/>
          <w:shd w:val="clear" w:color="auto" w:fill="FFFFFF"/>
        </w:rPr>
        <w:t>. [online] Mha.org.uk. Available at: &lt;https://www.mha.org.uk/get-involved/policy-influencing/facts-stats/&gt; [Accessed 15 August 2022].</w:t>
      </w:r>
    </w:p>
    <w:p w14:paraId="5A99D3F3"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lastRenderedPageBreak/>
        <w:t xml:space="preserve">National Academies of Sciences, Engineering, and Medicine. 2020. Social Isolation and Loneliness in Older Adults: Opportunities for the Health Care System. Washington, DC: The National Academies Press. </w:t>
      </w:r>
      <w:hyperlink r:id="rId6" w:history="1">
        <w:r w:rsidRPr="00D66265">
          <w:rPr>
            <w:rStyle w:val="Hyperlink"/>
            <w:rFonts w:ascii="Arial" w:hAnsi="Arial" w:cs="Arial"/>
            <w:color w:val="auto"/>
            <w:shd w:val="clear" w:color="auto" w:fill="FFFFFF"/>
          </w:rPr>
          <w:t>https://doi.org/10.17226/25663</w:t>
        </w:r>
      </w:hyperlink>
      <w:r w:rsidRPr="00D66265">
        <w:rPr>
          <w:rFonts w:ascii="Arial" w:hAnsi="Arial" w:cs="Arial"/>
          <w:shd w:val="clear" w:color="auto" w:fill="FFFFFF"/>
        </w:rPr>
        <w:t xml:space="preserve"> </w:t>
      </w:r>
    </w:p>
    <w:p w14:paraId="5A64F1A2" w14:textId="77777777" w:rsidR="0074667B" w:rsidRPr="00D66265" w:rsidRDefault="0074667B" w:rsidP="00D66265">
      <w:pPr>
        <w:spacing w:line="360" w:lineRule="auto"/>
        <w:ind w:left="720" w:hanging="720"/>
        <w:rPr>
          <w:rFonts w:ascii="Arial" w:hAnsi="Arial" w:cs="Arial"/>
          <w:shd w:val="clear" w:color="auto" w:fill="FFFFFF"/>
        </w:rPr>
      </w:pPr>
      <w:proofErr w:type="spellStart"/>
      <w:r w:rsidRPr="00D66265">
        <w:rPr>
          <w:rFonts w:ascii="Arial" w:hAnsi="Arial" w:cs="Arial"/>
          <w:shd w:val="clear" w:color="auto" w:fill="FFFFFF"/>
        </w:rPr>
        <w:t>Sholey</w:t>
      </w:r>
      <w:proofErr w:type="spellEnd"/>
      <w:r w:rsidRPr="00D66265">
        <w:rPr>
          <w:rFonts w:ascii="Arial" w:hAnsi="Arial" w:cs="Arial"/>
          <w:shd w:val="clear" w:color="auto" w:fill="FFFFFF"/>
        </w:rPr>
        <w:t>, E., 2019. Social isolation and loneliness and the experience of gratitude and affection.</w:t>
      </w:r>
    </w:p>
    <w:p w14:paraId="6D96C451"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 xml:space="preserve">Sur, </w:t>
      </w:r>
      <w:proofErr w:type="gramStart"/>
      <w:r w:rsidRPr="00D66265">
        <w:rPr>
          <w:rFonts w:ascii="Arial" w:hAnsi="Arial" w:cs="Arial"/>
          <w:shd w:val="clear" w:color="auto" w:fill="FFFFFF"/>
        </w:rPr>
        <w:t>S.</w:t>
      </w:r>
      <w:proofErr w:type="gramEnd"/>
      <w:r w:rsidRPr="00D66265">
        <w:rPr>
          <w:rFonts w:ascii="Arial" w:hAnsi="Arial" w:cs="Arial"/>
          <w:shd w:val="clear" w:color="auto" w:fill="FFFFFF"/>
        </w:rPr>
        <w:t xml:space="preserve"> and Sinha, V.K., 2009. Event-related potential: An overview. </w:t>
      </w:r>
      <w:r w:rsidRPr="00D66265">
        <w:rPr>
          <w:rFonts w:ascii="Arial" w:hAnsi="Arial" w:cs="Arial"/>
          <w:i/>
          <w:iCs/>
          <w:shd w:val="clear" w:color="auto" w:fill="FFFFFF"/>
        </w:rPr>
        <w:t>Industrial psychiatry journal</w:t>
      </w:r>
      <w:r w:rsidRPr="00D66265">
        <w:rPr>
          <w:rFonts w:ascii="Arial" w:hAnsi="Arial" w:cs="Arial"/>
          <w:shd w:val="clear" w:color="auto" w:fill="FFFFFF"/>
        </w:rPr>
        <w:t>, </w:t>
      </w:r>
      <w:r w:rsidRPr="00D66265">
        <w:rPr>
          <w:rFonts w:ascii="Arial" w:hAnsi="Arial" w:cs="Arial"/>
          <w:i/>
          <w:iCs/>
          <w:shd w:val="clear" w:color="auto" w:fill="FFFFFF"/>
        </w:rPr>
        <w:t>18</w:t>
      </w:r>
      <w:r w:rsidRPr="00D66265">
        <w:rPr>
          <w:rFonts w:ascii="Arial" w:hAnsi="Arial" w:cs="Arial"/>
          <w:shd w:val="clear" w:color="auto" w:fill="FFFFFF"/>
        </w:rPr>
        <w:t>(1), p.70.</w:t>
      </w:r>
    </w:p>
    <w:p w14:paraId="4BF649EA"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 xml:space="preserve">Turner, S. and Cooper Ueki, M., 2015. Current policy and legislation in E </w:t>
      </w:r>
      <w:proofErr w:type="spellStart"/>
      <w:r w:rsidRPr="00D66265">
        <w:rPr>
          <w:rFonts w:ascii="Arial" w:hAnsi="Arial" w:cs="Arial"/>
          <w:shd w:val="clear" w:color="auto" w:fill="FFFFFF"/>
        </w:rPr>
        <w:t>ngland</w:t>
      </w:r>
      <w:proofErr w:type="spellEnd"/>
      <w:r w:rsidRPr="00D66265">
        <w:rPr>
          <w:rFonts w:ascii="Arial" w:hAnsi="Arial" w:cs="Arial"/>
          <w:shd w:val="clear" w:color="auto" w:fill="FFFFFF"/>
        </w:rPr>
        <w:t xml:space="preserve"> regarding older people–what this means for older people with learning disabilities: a discussion paper. </w:t>
      </w:r>
      <w:r w:rsidRPr="00D66265">
        <w:rPr>
          <w:rFonts w:ascii="Arial" w:hAnsi="Arial" w:cs="Arial"/>
          <w:i/>
          <w:iCs/>
          <w:shd w:val="clear" w:color="auto" w:fill="FFFFFF"/>
        </w:rPr>
        <w:t>British Journal of Learning Disabilities</w:t>
      </w:r>
      <w:r w:rsidRPr="00D66265">
        <w:rPr>
          <w:rFonts w:ascii="Arial" w:hAnsi="Arial" w:cs="Arial"/>
          <w:shd w:val="clear" w:color="auto" w:fill="FFFFFF"/>
        </w:rPr>
        <w:t>, </w:t>
      </w:r>
      <w:r w:rsidRPr="00D66265">
        <w:rPr>
          <w:rFonts w:ascii="Arial" w:hAnsi="Arial" w:cs="Arial"/>
          <w:i/>
          <w:iCs/>
          <w:shd w:val="clear" w:color="auto" w:fill="FFFFFF"/>
        </w:rPr>
        <w:t>43</w:t>
      </w:r>
      <w:r w:rsidRPr="00D66265">
        <w:rPr>
          <w:rFonts w:ascii="Arial" w:hAnsi="Arial" w:cs="Arial"/>
          <w:shd w:val="clear" w:color="auto" w:fill="FFFFFF"/>
        </w:rPr>
        <w:t xml:space="preserve">(4), pp.254-260. </w:t>
      </w:r>
    </w:p>
    <w:p w14:paraId="427E84D4" w14:textId="77777777" w:rsidR="0074667B" w:rsidRPr="00D66265" w:rsidRDefault="0074667B" w:rsidP="00D66265">
      <w:pPr>
        <w:spacing w:line="360" w:lineRule="auto"/>
        <w:ind w:left="720" w:hanging="720"/>
        <w:rPr>
          <w:rFonts w:ascii="Arial" w:hAnsi="Arial" w:cs="Arial"/>
          <w:shd w:val="clear" w:color="auto" w:fill="FFFFFF"/>
        </w:rPr>
      </w:pPr>
      <w:r w:rsidRPr="00D66265">
        <w:rPr>
          <w:rFonts w:ascii="Arial" w:hAnsi="Arial" w:cs="Arial"/>
          <w:shd w:val="clear" w:color="auto" w:fill="FFFFFF"/>
        </w:rPr>
        <w:t xml:space="preserve">Van As, B.A.L., </w:t>
      </w:r>
      <w:proofErr w:type="spellStart"/>
      <w:r w:rsidRPr="00D66265">
        <w:rPr>
          <w:rFonts w:ascii="Arial" w:hAnsi="Arial" w:cs="Arial"/>
          <w:shd w:val="clear" w:color="auto" w:fill="FFFFFF"/>
        </w:rPr>
        <w:t>Imbimbo</w:t>
      </w:r>
      <w:proofErr w:type="spellEnd"/>
      <w:r w:rsidRPr="00D66265">
        <w:rPr>
          <w:rFonts w:ascii="Arial" w:hAnsi="Arial" w:cs="Arial"/>
          <w:shd w:val="clear" w:color="auto" w:fill="FFFFFF"/>
        </w:rPr>
        <w:t xml:space="preserve">, E., </w:t>
      </w:r>
      <w:proofErr w:type="spellStart"/>
      <w:r w:rsidRPr="00D66265">
        <w:rPr>
          <w:rFonts w:ascii="Arial" w:hAnsi="Arial" w:cs="Arial"/>
          <w:shd w:val="clear" w:color="auto" w:fill="FFFFFF"/>
        </w:rPr>
        <w:t>Franceschi</w:t>
      </w:r>
      <w:proofErr w:type="spellEnd"/>
      <w:r w:rsidRPr="00D66265">
        <w:rPr>
          <w:rFonts w:ascii="Arial" w:hAnsi="Arial" w:cs="Arial"/>
          <w:shd w:val="clear" w:color="auto" w:fill="FFFFFF"/>
        </w:rPr>
        <w:t xml:space="preserve">, A., </w:t>
      </w:r>
      <w:proofErr w:type="spellStart"/>
      <w:r w:rsidRPr="00D66265">
        <w:rPr>
          <w:rFonts w:ascii="Arial" w:hAnsi="Arial" w:cs="Arial"/>
          <w:shd w:val="clear" w:color="auto" w:fill="FFFFFF"/>
        </w:rPr>
        <w:t>Menesini</w:t>
      </w:r>
      <w:proofErr w:type="spellEnd"/>
      <w:r w:rsidRPr="00D66265">
        <w:rPr>
          <w:rFonts w:ascii="Arial" w:hAnsi="Arial" w:cs="Arial"/>
          <w:shd w:val="clear" w:color="auto" w:fill="FFFFFF"/>
        </w:rPr>
        <w:t xml:space="preserve">, E. and </w:t>
      </w:r>
      <w:proofErr w:type="spellStart"/>
      <w:r w:rsidRPr="00D66265">
        <w:rPr>
          <w:rFonts w:ascii="Arial" w:hAnsi="Arial" w:cs="Arial"/>
          <w:shd w:val="clear" w:color="auto" w:fill="FFFFFF"/>
        </w:rPr>
        <w:t>Nocentini</w:t>
      </w:r>
      <w:proofErr w:type="spellEnd"/>
      <w:r w:rsidRPr="00D66265">
        <w:rPr>
          <w:rFonts w:ascii="Arial" w:hAnsi="Arial" w:cs="Arial"/>
          <w:shd w:val="clear" w:color="auto" w:fill="FFFFFF"/>
        </w:rPr>
        <w:t>, A., 2021. The longitudinal association between loneliness and depressive symptoms in the elderly: a systematic review. </w:t>
      </w:r>
      <w:r w:rsidRPr="00D66265">
        <w:rPr>
          <w:rFonts w:ascii="Arial" w:hAnsi="Arial" w:cs="Arial"/>
          <w:i/>
          <w:iCs/>
          <w:shd w:val="clear" w:color="auto" w:fill="FFFFFF"/>
        </w:rPr>
        <w:t>International Psychogeriatrics</w:t>
      </w:r>
      <w:r w:rsidRPr="00D66265">
        <w:rPr>
          <w:rFonts w:ascii="Arial" w:hAnsi="Arial" w:cs="Arial"/>
          <w:shd w:val="clear" w:color="auto" w:fill="FFFFFF"/>
        </w:rPr>
        <w:t>, pp.1-13.</w:t>
      </w:r>
    </w:p>
    <w:p w14:paraId="0ABA854C" w14:textId="77777777" w:rsidR="00BB5F19" w:rsidRPr="00D66265" w:rsidRDefault="00BB5F19" w:rsidP="00D66265">
      <w:pPr>
        <w:spacing w:line="360" w:lineRule="auto"/>
        <w:ind w:left="720" w:hanging="720"/>
        <w:rPr>
          <w:rFonts w:ascii="Arial" w:hAnsi="Arial" w:cs="Arial"/>
          <w:shd w:val="clear" w:color="auto" w:fill="FFFFFF"/>
        </w:rPr>
      </w:pPr>
    </w:p>
    <w:p w14:paraId="309864A4" w14:textId="77777777" w:rsidR="00F600DB" w:rsidRPr="00D66265" w:rsidRDefault="00F600DB" w:rsidP="00D66265">
      <w:pPr>
        <w:spacing w:line="360" w:lineRule="auto"/>
        <w:rPr>
          <w:rFonts w:ascii="Arial" w:hAnsi="Arial" w:cs="Arial"/>
          <w:shd w:val="clear" w:color="auto" w:fill="FFFFFF"/>
        </w:rPr>
      </w:pPr>
    </w:p>
    <w:p w14:paraId="6159AB9C" w14:textId="77777777" w:rsidR="00254A06" w:rsidRPr="00D66265" w:rsidRDefault="00254A06" w:rsidP="00D66265">
      <w:pPr>
        <w:spacing w:line="360" w:lineRule="auto"/>
        <w:rPr>
          <w:rFonts w:ascii="Arial" w:hAnsi="Arial" w:cs="Arial"/>
          <w:shd w:val="clear" w:color="auto" w:fill="FFFFFF"/>
        </w:rPr>
      </w:pPr>
    </w:p>
    <w:p w14:paraId="48197D2D" w14:textId="77777777" w:rsidR="00254A06" w:rsidRPr="00D66265" w:rsidRDefault="00254A06" w:rsidP="00D66265">
      <w:pPr>
        <w:spacing w:line="360" w:lineRule="auto"/>
        <w:rPr>
          <w:rFonts w:ascii="Arial" w:hAnsi="Arial" w:cs="Arial"/>
          <w:shd w:val="clear" w:color="auto" w:fill="FFFFFF"/>
        </w:rPr>
      </w:pPr>
    </w:p>
    <w:p w14:paraId="14E40AB5" w14:textId="77777777" w:rsidR="008E04BF" w:rsidRPr="00D66265" w:rsidRDefault="008E04BF" w:rsidP="00D66265">
      <w:pPr>
        <w:spacing w:line="360" w:lineRule="auto"/>
        <w:rPr>
          <w:rFonts w:ascii="Arial" w:hAnsi="Arial" w:cs="Arial"/>
        </w:rPr>
      </w:pPr>
    </w:p>
    <w:sectPr w:rsidR="008E04BF" w:rsidRPr="00D662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215A49"/>
    <w:multiLevelType w:val="hybridMultilevel"/>
    <w:tmpl w:val="CEC4E350"/>
    <w:lvl w:ilvl="0" w:tplc="6FAA44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2847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6D7"/>
    <w:rsid w:val="00011658"/>
    <w:rsid w:val="000359D4"/>
    <w:rsid w:val="0004594D"/>
    <w:rsid w:val="00097A01"/>
    <w:rsid w:val="000A0716"/>
    <w:rsid w:val="000C17E4"/>
    <w:rsid w:val="000C6372"/>
    <w:rsid w:val="00105EB5"/>
    <w:rsid w:val="001236BD"/>
    <w:rsid w:val="00143E0E"/>
    <w:rsid w:val="00170775"/>
    <w:rsid w:val="00194BFA"/>
    <w:rsid w:val="001B635F"/>
    <w:rsid w:val="001B6CEA"/>
    <w:rsid w:val="001C1AAA"/>
    <w:rsid w:val="001E4366"/>
    <w:rsid w:val="00242CB8"/>
    <w:rsid w:val="00254A06"/>
    <w:rsid w:val="0025618F"/>
    <w:rsid w:val="002963D4"/>
    <w:rsid w:val="002D540A"/>
    <w:rsid w:val="002F4F57"/>
    <w:rsid w:val="00313530"/>
    <w:rsid w:val="0039337B"/>
    <w:rsid w:val="003C5E9D"/>
    <w:rsid w:val="003D3EAE"/>
    <w:rsid w:val="003E5169"/>
    <w:rsid w:val="003F1E94"/>
    <w:rsid w:val="003F6E19"/>
    <w:rsid w:val="00430EA0"/>
    <w:rsid w:val="00444FE7"/>
    <w:rsid w:val="00480ABF"/>
    <w:rsid w:val="0048772D"/>
    <w:rsid w:val="0049125B"/>
    <w:rsid w:val="004A345F"/>
    <w:rsid w:val="004B4C53"/>
    <w:rsid w:val="004E79E7"/>
    <w:rsid w:val="0050067D"/>
    <w:rsid w:val="005062D7"/>
    <w:rsid w:val="00516BB5"/>
    <w:rsid w:val="005D04DB"/>
    <w:rsid w:val="006276F1"/>
    <w:rsid w:val="006401F4"/>
    <w:rsid w:val="00647FA1"/>
    <w:rsid w:val="006A56D7"/>
    <w:rsid w:val="006C00C2"/>
    <w:rsid w:val="006C6DD2"/>
    <w:rsid w:val="006F2075"/>
    <w:rsid w:val="006F6705"/>
    <w:rsid w:val="007037AE"/>
    <w:rsid w:val="0074667B"/>
    <w:rsid w:val="0076523E"/>
    <w:rsid w:val="00770E5E"/>
    <w:rsid w:val="007B3AD0"/>
    <w:rsid w:val="007B6077"/>
    <w:rsid w:val="007B7214"/>
    <w:rsid w:val="007D6A61"/>
    <w:rsid w:val="007F177E"/>
    <w:rsid w:val="007F60FD"/>
    <w:rsid w:val="008252D1"/>
    <w:rsid w:val="00860841"/>
    <w:rsid w:val="008734AE"/>
    <w:rsid w:val="008A48FD"/>
    <w:rsid w:val="008E034D"/>
    <w:rsid w:val="008E04BF"/>
    <w:rsid w:val="008E68F4"/>
    <w:rsid w:val="008F5C78"/>
    <w:rsid w:val="009210BA"/>
    <w:rsid w:val="00952A5C"/>
    <w:rsid w:val="00955562"/>
    <w:rsid w:val="00976CDC"/>
    <w:rsid w:val="00983D0F"/>
    <w:rsid w:val="00986826"/>
    <w:rsid w:val="009A7524"/>
    <w:rsid w:val="009D29FD"/>
    <w:rsid w:val="009F4D30"/>
    <w:rsid w:val="00A34ED2"/>
    <w:rsid w:val="00A46104"/>
    <w:rsid w:val="00A4783A"/>
    <w:rsid w:val="00A876FF"/>
    <w:rsid w:val="00AA1944"/>
    <w:rsid w:val="00AB777D"/>
    <w:rsid w:val="00AD5261"/>
    <w:rsid w:val="00AF0E9E"/>
    <w:rsid w:val="00B1179E"/>
    <w:rsid w:val="00B32CE6"/>
    <w:rsid w:val="00B366B4"/>
    <w:rsid w:val="00B56496"/>
    <w:rsid w:val="00B95EB1"/>
    <w:rsid w:val="00BB5F19"/>
    <w:rsid w:val="00BC4819"/>
    <w:rsid w:val="00BD209E"/>
    <w:rsid w:val="00BE2DD2"/>
    <w:rsid w:val="00BF3DA6"/>
    <w:rsid w:val="00C136A7"/>
    <w:rsid w:val="00C50C97"/>
    <w:rsid w:val="00C54BE4"/>
    <w:rsid w:val="00C8243F"/>
    <w:rsid w:val="00D1067A"/>
    <w:rsid w:val="00D31BEB"/>
    <w:rsid w:val="00D5367D"/>
    <w:rsid w:val="00D61153"/>
    <w:rsid w:val="00D66265"/>
    <w:rsid w:val="00D81ACF"/>
    <w:rsid w:val="00DC0226"/>
    <w:rsid w:val="00DC49B4"/>
    <w:rsid w:val="00DD0FF3"/>
    <w:rsid w:val="00DD1E2A"/>
    <w:rsid w:val="00DD47F3"/>
    <w:rsid w:val="00DE1667"/>
    <w:rsid w:val="00E07BC4"/>
    <w:rsid w:val="00E2621C"/>
    <w:rsid w:val="00E41BCC"/>
    <w:rsid w:val="00E5393B"/>
    <w:rsid w:val="00E644A3"/>
    <w:rsid w:val="00E64917"/>
    <w:rsid w:val="00E7348F"/>
    <w:rsid w:val="00EA6218"/>
    <w:rsid w:val="00EE2FDD"/>
    <w:rsid w:val="00EE5913"/>
    <w:rsid w:val="00EF5887"/>
    <w:rsid w:val="00F108BC"/>
    <w:rsid w:val="00F600DB"/>
    <w:rsid w:val="00F673B5"/>
    <w:rsid w:val="00F96345"/>
    <w:rsid w:val="00FA0CF7"/>
    <w:rsid w:val="00FA5B58"/>
    <w:rsid w:val="00FB7A19"/>
    <w:rsid w:val="00FB7AA5"/>
    <w:rsid w:val="00FC1E78"/>
    <w:rsid w:val="00FC7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873AE"/>
  <w15:docId w15:val="{82F60A8E-52F0-984B-A3B9-E2775FD4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54A06"/>
    <w:rPr>
      <w:i/>
      <w:iCs/>
    </w:rPr>
  </w:style>
  <w:style w:type="character" w:styleId="Hyperlink">
    <w:name w:val="Hyperlink"/>
    <w:basedOn w:val="DefaultParagraphFont"/>
    <w:uiPriority w:val="99"/>
    <w:unhideWhenUsed/>
    <w:rsid w:val="00254A06"/>
    <w:rPr>
      <w:color w:val="0000FF"/>
      <w:u w:val="single"/>
    </w:rPr>
  </w:style>
  <w:style w:type="paragraph" w:styleId="ListParagraph">
    <w:name w:val="List Paragraph"/>
    <w:basedOn w:val="Normal"/>
    <w:uiPriority w:val="34"/>
    <w:qFormat/>
    <w:rsid w:val="0074667B"/>
    <w:pPr>
      <w:ind w:left="720"/>
      <w:contextualSpacing/>
    </w:pPr>
  </w:style>
  <w:style w:type="character" w:customStyle="1" w:styleId="Heading1Char">
    <w:name w:val="Heading 1 Char"/>
    <w:basedOn w:val="DefaultParagraphFont"/>
    <w:link w:val="Heading1"/>
    <w:uiPriority w:val="9"/>
    <w:rsid w:val="00FB7AA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52A5C"/>
    <w:pPr>
      <w:outlineLvl w:val="9"/>
    </w:pPr>
    <w:rPr>
      <w:lang w:eastAsia="ja-JP"/>
    </w:rPr>
  </w:style>
  <w:style w:type="paragraph" w:styleId="TOC1">
    <w:name w:val="toc 1"/>
    <w:basedOn w:val="Normal"/>
    <w:next w:val="Normal"/>
    <w:autoRedefine/>
    <w:uiPriority w:val="39"/>
    <w:unhideWhenUsed/>
    <w:rsid w:val="00952A5C"/>
    <w:pPr>
      <w:spacing w:after="100"/>
    </w:pPr>
  </w:style>
  <w:style w:type="paragraph" w:styleId="BalloonText">
    <w:name w:val="Balloon Text"/>
    <w:basedOn w:val="Normal"/>
    <w:link w:val="BalloonTextChar"/>
    <w:uiPriority w:val="99"/>
    <w:semiHidden/>
    <w:unhideWhenUsed/>
    <w:rsid w:val="00952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2A5C"/>
    <w:rPr>
      <w:rFonts w:ascii="Tahoma" w:hAnsi="Tahoma" w:cs="Tahoma"/>
      <w:sz w:val="16"/>
      <w:szCs w:val="16"/>
    </w:rPr>
  </w:style>
  <w:style w:type="paragraph" w:styleId="NormalWeb">
    <w:name w:val="Normal (Web)"/>
    <w:basedOn w:val="Normal"/>
    <w:uiPriority w:val="99"/>
    <w:semiHidden/>
    <w:unhideWhenUsed/>
    <w:rsid w:val="00AD526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9657878">
      <w:bodyDiv w:val="1"/>
      <w:marLeft w:val="0"/>
      <w:marRight w:val="0"/>
      <w:marTop w:val="0"/>
      <w:marBottom w:val="0"/>
      <w:divBdr>
        <w:top w:val="none" w:sz="0" w:space="0" w:color="auto"/>
        <w:left w:val="none" w:sz="0" w:space="0" w:color="auto"/>
        <w:bottom w:val="none" w:sz="0" w:space="0" w:color="auto"/>
        <w:right w:val="none" w:sz="0" w:space="0" w:color="auto"/>
      </w:divBdr>
      <w:divsChild>
        <w:div w:id="1563758401">
          <w:marLeft w:val="0"/>
          <w:marRight w:val="0"/>
          <w:marTop w:val="0"/>
          <w:marBottom w:val="0"/>
          <w:divBdr>
            <w:top w:val="none" w:sz="0" w:space="0" w:color="auto"/>
            <w:left w:val="none" w:sz="0" w:space="0" w:color="auto"/>
            <w:bottom w:val="none" w:sz="0" w:space="0" w:color="auto"/>
            <w:right w:val="none" w:sz="0" w:space="0" w:color="auto"/>
          </w:divBdr>
          <w:divsChild>
            <w:div w:id="834689626">
              <w:marLeft w:val="0"/>
              <w:marRight w:val="0"/>
              <w:marTop w:val="0"/>
              <w:marBottom w:val="0"/>
              <w:divBdr>
                <w:top w:val="none" w:sz="0" w:space="0" w:color="auto"/>
                <w:left w:val="none" w:sz="0" w:space="0" w:color="auto"/>
                <w:bottom w:val="none" w:sz="0" w:space="0" w:color="auto"/>
                <w:right w:val="none" w:sz="0" w:space="0" w:color="auto"/>
              </w:divBdr>
              <w:divsChild>
                <w:div w:id="230039442">
                  <w:marLeft w:val="0"/>
                  <w:marRight w:val="0"/>
                  <w:marTop w:val="0"/>
                  <w:marBottom w:val="0"/>
                  <w:divBdr>
                    <w:top w:val="none" w:sz="0" w:space="0" w:color="auto"/>
                    <w:left w:val="none" w:sz="0" w:space="0" w:color="auto"/>
                    <w:bottom w:val="none" w:sz="0" w:space="0" w:color="auto"/>
                    <w:right w:val="none" w:sz="0" w:space="0" w:color="auto"/>
                  </w:divBdr>
                  <w:divsChild>
                    <w:div w:id="190352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234244">
      <w:bodyDiv w:val="1"/>
      <w:marLeft w:val="0"/>
      <w:marRight w:val="0"/>
      <w:marTop w:val="0"/>
      <w:marBottom w:val="0"/>
      <w:divBdr>
        <w:top w:val="none" w:sz="0" w:space="0" w:color="auto"/>
        <w:left w:val="none" w:sz="0" w:space="0" w:color="auto"/>
        <w:bottom w:val="none" w:sz="0" w:space="0" w:color="auto"/>
        <w:right w:val="none" w:sz="0" w:space="0" w:color="auto"/>
      </w:divBdr>
      <w:divsChild>
        <w:div w:id="92483432">
          <w:marLeft w:val="0"/>
          <w:marRight w:val="0"/>
          <w:marTop w:val="0"/>
          <w:marBottom w:val="0"/>
          <w:divBdr>
            <w:top w:val="none" w:sz="0" w:space="0" w:color="auto"/>
            <w:left w:val="none" w:sz="0" w:space="0" w:color="auto"/>
            <w:bottom w:val="none" w:sz="0" w:space="0" w:color="auto"/>
            <w:right w:val="none" w:sz="0" w:space="0" w:color="auto"/>
          </w:divBdr>
          <w:divsChild>
            <w:div w:id="69885805">
              <w:marLeft w:val="0"/>
              <w:marRight w:val="0"/>
              <w:marTop w:val="0"/>
              <w:marBottom w:val="0"/>
              <w:divBdr>
                <w:top w:val="none" w:sz="0" w:space="0" w:color="auto"/>
                <w:left w:val="none" w:sz="0" w:space="0" w:color="auto"/>
                <w:bottom w:val="none" w:sz="0" w:space="0" w:color="auto"/>
                <w:right w:val="none" w:sz="0" w:space="0" w:color="auto"/>
              </w:divBdr>
              <w:divsChild>
                <w:div w:id="105751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848254">
      <w:bodyDiv w:val="1"/>
      <w:marLeft w:val="0"/>
      <w:marRight w:val="0"/>
      <w:marTop w:val="0"/>
      <w:marBottom w:val="0"/>
      <w:divBdr>
        <w:top w:val="none" w:sz="0" w:space="0" w:color="auto"/>
        <w:left w:val="none" w:sz="0" w:space="0" w:color="auto"/>
        <w:bottom w:val="none" w:sz="0" w:space="0" w:color="auto"/>
        <w:right w:val="none" w:sz="0" w:space="0" w:color="auto"/>
      </w:divBdr>
      <w:divsChild>
        <w:div w:id="1645815666">
          <w:marLeft w:val="0"/>
          <w:marRight w:val="0"/>
          <w:marTop w:val="0"/>
          <w:marBottom w:val="0"/>
          <w:divBdr>
            <w:top w:val="none" w:sz="0" w:space="0" w:color="auto"/>
            <w:left w:val="none" w:sz="0" w:space="0" w:color="auto"/>
            <w:bottom w:val="none" w:sz="0" w:space="0" w:color="auto"/>
            <w:right w:val="none" w:sz="0" w:space="0" w:color="auto"/>
          </w:divBdr>
          <w:divsChild>
            <w:div w:id="1128815638">
              <w:marLeft w:val="0"/>
              <w:marRight w:val="0"/>
              <w:marTop w:val="0"/>
              <w:marBottom w:val="0"/>
              <w:divBdr>
                <w:top w:val="none" w:sz="0" w:space="0" w:color="auto"/>
                <w:left w:val="none" w:sz="0" w:space="0" w:color="auto"/>
                <w:bottom w:val="none" w:sz="0" w:space="0" w:color="auto"/>
                <w:right w:val="none" w:sz="0" w:space="0" w:color="auto"/>
              </w:divBdr>
              <w:divsChild>
                <w:div w:id="1741630389">
                  <w:marLeft w:val="0"/>
                  <w:marRight w:val="0"/>
                  <w:marTop w:val="0"/>
                  <w:marBottom w:val="0"/>
                  <w:divBdr>
                    <w:top w:val="none" w:sz="0" w:space="0" w:color="auto"/>
                    <w:left w:val="none" w:sz="0" w:space="0" w:color="auto"/>
                    <w:bottom w:val="none" w:sz="0" w:space="0" w:color="auto"/>
                    <w:right w:val="none" w:sz="0" w:space="0" w:color="auto"/>
                  </w:divBdr>
                  <w:divsChild>
                    <w:div w:id="9490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077586">
      <w:bodyDiv w:val="1"/>
      <w:marLeft w:val="0"/>
      <w:marRight w:val="0"/>
      <w:marTop w:val="0"/>
      <w:marBottom w:val="0"/>
      <w:divBdr>
        <w:top w:val="none" w:sz="0" w:space="0" w:color="auto"/>
        <w:left w:val="none" w:sz="0" w:space="0" w:color="auto"/>
        <w:bottom w:val="none" w:sz="0" w:space="0" w:color="auto"/>
        <w:right w:val="none" w:sz="0" w:space="0" w:color="auto"/>
      </w:divBdr>
      <w:divsChild>
        <w:div w:id="2028633393">
          <w:marLeft w:val="0"/>
          <w:marRight w:val="0"/>
          <w:marTop w:val="0"/>
          <w:marBottom w:val="0"/>
          <w:divBdr>
            <w:top w:val="none" w:sz="0" w:space="0" w:color="auto"/>
            <w:left w:val="none" w:sz="0" w:space="0" w:color="auto"/>
            <w:bottom w:val="none" w:sz="0" w:space="0" w:color="auto"/>
            <w:right w:val="none" w:sz="0" w:space="0" w:color="auto"/>
          </w:divBdr>
          <w:divsChild>
            <w:div w:id="1985351397">
              <w:marLeft w:val="0"/>
              <w:marRight w:val="0"/>
              <w:marTop w:val="0"/>
              <w:marBottom w:val="0"/>
              <w:divBdr>
                <w:top w:val="none" w:sz="0" w:space="0" w:color="auto"/>
                <w:left w:val="none" w:sz="0" w:space="0" w:color="auto"/>
                <w:bottom w:val="none" w:sz="0" w:space="0" w:color="auto"/>
                <w:right w:val="none" w:sz="0" w:space="0" w:color="auto"/>
              </w:divBdr>
              <w:divsChild>
                <w:div w:id="943459492">
                  <w:marLeft w:val="0"/>
                  <w:marRight w:val="0"/>
                  <w:marTop w:val="0"/>
                  <w:marBottom w:val="0"/>
                  <w:divBdr>
                    <w:top w:val="none" w:sz="0" w:space="0" w:color="auto"/>
                    <w:left w:val="none" w:sz="0" w:space="0" w:color="auto"/>
                    <w:bottom w:val="none" w:sz="0" w:space="0" w:color="auto"/>
                    <w:right w:val="none" w:sz="0" w:space="0" w:color="auto"/>
                  </w:divBdr>
                  <w:divsChild>
                    <w:div w:id="46118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028995">
      <w:bodyDiv w:val="1"/>
      <w:marLeft w:val="0"/>
      <w:marRight w:val="0"/>
      <w:marTop w:val="0"/>
      <w:marBottom w:val="0"/>
      <w:divBdr>
        <w:top w:val="none" w:sz="0" w:space="0" w:color="auto"/>
        <w:left w:val="none" w:sz="0" w:space="0" w:color="auto"/>
        <w:bottom w:val="none" w:sz="0" w:space="0" w:color="auto"/>
        <w:right w:val="none" w:sz="0" w:space="0" w:color="auto"/>
      </w:divBdr>
      <w:divsChild>
        <w:div w:id="733309432">
          <w:marLeft w:val="0"/>
          <w:marRight w:val="0"/>
          <w:marTop w:val="0"/>
          <w:marBottom w:val="0"/>
          <w:divBdr>
            <w:top w:val="none" w:sz="0" w:space="0" w:color="auto"/>
            <w:left w:val="none" w:sz="0" w:space="0" w:color="auto"/>
            <w:bottom w:val="none" w:sz="0" w:space="0" w:color="auto"/>
            <w:right w:val="none" w:sz="0" w:space="0" w:color="auto"/>
          </w:divBdr>
          <w:divsChild>
            <w:div w:id="1513033360">
              <w:marLeft w:val="0"/>
              <w:marRight w:val="0"/>
              <w:marTop w:val="0"/>
              <w:marBottom w:val="0"/>
              <w:divBdr>
                <w:top w:val="none" w:sz="0" w:space="0" w:color="auto"/>
                <w:left w:val="none" w:sz="0" w:space="0" w:color="auto"/>
                <w:bottom w:val="none" w:sz="0" w:space="0" w:color="auto"/>
                <w:right w:val="none" w:sz="0" w:space="0" w:color="auto"/>
              </w:divBdr>
              <w:divsChild>
                <w:div w:id="1956518409">
                  <w:marLeft w:val="0"/>
                  <w:marRight w:val="0"/>
                  <w:marTop w:val="0"/>
                  <w:marBottom w:val="0"/>
                  <w:divBdr>
                    <w:top w:val="none" w:sz="0" w:space="0" w:color="auto"/>
                    <w:left w:val="none" w:sz="0" w:space="0" w:color="auto"/>
                    <w:bottom w:val="none" w:sz="0" w:space="0" w:color="auto"/>
                    <w:right w:val="none" w:sz="0" w:space="0" w:color="auto"/>
                  </w:divBdr>
                  <w:divsChild>
                    <w:div w:id="196484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918308">
      <w:bodyDiv w:val="1"/>
      <w:marLeft w:val="0"/>
      <w:marRight w:val="0"/>
      <w:marTop w:val="0"/>
      <w:marBottom w:val="0"/>
      <w:divBdr>
        <w:top w:val="none" w:sz="0" w:space="0" w:color="auto"/>
        <w:left w:val="none" w:sz="0" w:space="0" w:color="auto"/>
        <w:bottom w:val="none" w:sz="0" w:space="0" w:color="auto"/>
        <w:right w:val="none" w:sz="0" w:space="0" w:color="auto"/>
      </w:divBdr>
      <w:divsChild>
        <w:div w:id="23211618">
          <w:marLeft w:val="0"/>
          <w:marRight w:val="0"/>
          <w:marTop w:val="0"/>
          <w:marBottom w:val="0"/>
          <w:divBdr>
            <w:top w:val="none" w:sz="0" w:space="0" w:color="auto"/>
            <w:left w:val="none" w:sz="0" w:space="0" w:color="auto"/>
            <w:bottom w:val="none" w:sz="0" w:space="0" w:color="auto"/>
            <w:right w:val="none" w:sz="0" w:space="0" w:color="auto"/>
          </w:divBdr>
          <w:divsChild>
            <w:div w:id="74327152">
              <w:marLeft w:val="0"/>
              <w:marRight w:val="0"/>
              <w:marTop w:val="0"/>
              <w:marBottom w:val="0"/>
              <w:divBdr>
                <w:top w:val="none" w:sz="0" w:space="0" w:color="auto"/>
                <w:left w:val="none" w:sz="0" w:space="0" w:color="auto"/>
                <w:bottom w:val="none" w:sz="0" w:space="0" w:color="auto"/>
                <w:right w:val="none" w:sz="0" w:space="0" w:color="auto"/>
              </w:divBdr>
              <w:divsChild>
                <w:div w:id="107442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7226/2566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ACD44-6879-4BBD-9D4A-6F6E73EFA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3256</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Mutiat Shobajo (1910057)</cp:lastModifiedBy>
  <cp:revision>5</cp:revision>
  <dcterms:created xsi:type="dcterms:W3CDTF">2022-09-07T12:59:00Z</dcterms:created>
  <dcterms:modified xsi:type="dcterms:W3CDTF">2022-09-07T13:01:00Z</dcterms:modified>
</cp:coreProperties>
</file>