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7FC9B9" w14:textId="241B2222" w:rsidR="00CC275B" w:rsidRPr="00B11543" w:rsidRDefault="008C5074" w:rsidP="00CC275B">
      <w:pPr>
        <w:jc w:val="center"/>
        <w:rPr>
          <w:rFonts w:ascii="Times New Roman" w:hAnsi="Times New Roman" w:cs="Times New Roman"/>
          <w:sz w:val="32"/>
          <w:szCs w:val="32"/>
        </w:rPr>
      </w:pPr>
      <w:r>
        <w:rPr>
          <w:noProof/>
        </w:rPr>
        <w:drawing>
          <wp:anchor distT="0" distB="0" distL="114300" distR="114300" simplePos="0" relativeHeight="251659264" behindDoc="0" locked="0" layoutInCell="1" allowOverlap="1" wp14:anchorId="4E78BEB1" wp14:editId="3226B038">
            <wp:simplePos x="0" y="0"/>
            <wp:positionH relativeFrom="column">
              <wp:posOffset>-370205</wp:posOffset>
            </wp:positionH>
            <wp:positionV relativeFrom="paragraph">
              <wp:posOffset>0</wp:posOffset>
            </wp:positionV>
            <wp:extent cx="2296795" cy="2165985"/>
            <wp:effectExtent l="0" t="0" r="8255"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296795" cy="2165985"/>
                    </a:xfrm>
                    <a:prstGeom prst="rect">
                      <a:avLst/>
                    </a:prstGeom>
                  </pic:spPr>
                </pic:pic>
              </a:graphicData>
            </a:graphic>
            <wp14:sizeRelH relativeFrom="margin">
              <wp14:pctWidth>0</wp14:pctWidth>
            </wp14:sizeRelH>
            <wp14:sizeRelV relativeFrom="margin">
              <wp14:pctHeight>0</wp14:pctHeight>
            </wp14:sizeRelV>
          </wp:anchor>
        </w:drawing>
      </w:r>
    </w:p>
    <w:p w14:paraId="0C6A8D8F" w14:textId="5196DFF9" w:rsidR="00CC275B" w:rsidRPr="00B11543" w:rsidRDefault="00CC275B" w:rsidP="00CC275B">
      <w:pPr>
        <w:jc w:val="center"/>
        <w:rPr>
          <w:rFonts w:ascii="Times New Roman" w:hAnsi="Times New Roman" w:cs="Times New Roman"/>
          <w:sz w:val="32"/>
          <w:szCs w:val="32"/>
        </w:rPr>
      </w:pPr>
    </w:p>
    <w:p w14:paraId="2638E19B" w14:textId="3F9B9D95" w:rsidR="00CC275B" w:rsidRPr="00B11543" w:rsidRDefault="00CC275B" w:rsidP="00CC275B">
      <w:pPr>
        <w:jc w:val="center"/>
        <w:rPr>
          <w:rFonts w:ascii="Times New Roman" w:hAnsi="Times New Roman" w:cs="Times New Roman"/>
          <w:sz w:val="32"/>
          <w:szCs w:val="32"/>
        </w:rPr>
      </w:pPr>
    </w:p>
    <w:p w14:paraId="6F33B785" w14:textId="77777777" w:rsidR="00CC275B" w:rsidRPr="00B11543" w:rsidRDefault="00CC275B" w:rsidP="00CC275B">
      <w:pPr>
        <w:jc w:val="center"/>
        <w:rPr>
          <w:rFonts w:ascii="Times New Roman" w:hAnsi="Times New Roman" w:cs="Times New Roman"/>
          <w:sz w:val="32"/>
          <w:szCs w:val="32"/>
        </w:rPr>
      </w:pPr>
    </w:p>
    <w:p w14:paraId="2E145CB5" w14:textId="3B072111" w:rsidR="00D339C0" w:rsidRPr="00B11543" w:rsidRDefault="00E61CA3" w:rsidP="00CC275B">
      <w:pPr>
        <w:jc w:val="center"/>
        <w:rPr>
          <w:rFonts w:ascii="Times New Roman" w:hAnsi="Times New Roman" w:cs="Times New Roman"/>
          <w:b/>
          <w:sz w:val="44"/>
          <w:szCs w:val="32"/>
        </w:rPr>
      </w:pPr>
      <w:r>
        <w:rPr>
          <w:rFonts w:ascii="Times New Roman" w:hAnsi="Times New Roman" w:cs="Times New Roman"/>
          <w:b/>
          <w:sz w:val="44"/>
          <w:szCs w:val="32"/>
        </w:rPr>
        <w:t xml:space="preserve">LCBB5004 </w:t>
      </w:r>
      <w:r w:rsidR="00FF64B3" w:rsidRPr="00B11543">
        <w:rPr>
          <w:rFonts w:ascii="Times New Roman" w:hAnsi="Times New Roman" w:cs="Times New Roman"/>
          <w:b/>
          <w:sz w:val="44"/>
          <w:szCs w:val="32"/>
        </w:rPr>
        <w:t>Managing People</w:t>
      </w:r>
    </w:p>
    <w:p w14:paraId="5E355B1A" w14:textId="736B4067" w:rsidR="00AD3D7C" w:rsidRDefault="00FF64B3" w:rsidP="00CC275B">
      <w:pPr>
        <w:jc w:val="center"/>
        <w:rPr>
          <w:rFonts w:ascii="Times New Roman" w:hAnsi="Times New Roman" w:cs="Times New Roman"/>
          <w:b/>
          <w:sz w:val="44"/>
          <w:szCs w:val="32"/>
        </w:rPr>
      </w:pPr>
      <w:r w:rsidRPr="00B11543">
        <w:rPr>
          <w:rFonts w:ascii="Times New Roman" w:hAnsi="Times New Roman" w:cs="Times New Roman"/>
          <w:b/>
          <w:sz w:val="44"/>
          <w:szCs w:val="32"/>
        </w:rPr>
        <w:t>Assessment Component 2</w:t>
      </w:r>
    </w:p>
    <w:p w14:paraId="7492A640" w14:textId="52F6EA26" w:rsidR="00E61CA3" w:rsidRDefault="00E61CA3" w:rsidP="00CC275B">
      <w:pPr>
        <w:jc w:val="center"/>
        <w:rPr>
          <w:rFonts w:ascii="Times New Roman" w:hAnsi="Times New Roman" w:cs="Times New Roman"/>
          <w:b/>
          <w:sz w:val="44"/>
          <w:szCs w:val="32"/>
        </w:rPr>
      </w:pPr>
      <w:r>
        <w:rPr>
          <w:rFonts w:ascii="Times New Roman" w:hAnsi="Times New Roman" w:cs="Times New Roman"/>
          <w:b/>
          <w:sz w:val="44"/>
          <w:szCs w:val="32"/>
        </w:rPr>
        <w:t xml:space="preserve">REPORT </w:t>
      </w:r>
    </w:p>
    <w:p w14:paraId="65818972" w14:textId="77777777" w:rsidR="00E61CA3" w:rsidRPr="007A1B98" w:rsidRDefault="00E61CA3" w:rsidP="00CC275B">
      <w:pPr>
        <w:jc w:val="center"/>
        <w:rPr>
          <w:rFonts w:ascii="Times New Roman" w:hAnsi="Times New Roman" w:cs="Times New Roman"/>
          <w:bCs/>
          <w:sz w:val="36"/>
          <w:szCs w:val="36"/>
        </w:rPr>
      </w:pPr>
    </w:p>
    <w:p w14:paraId="3FF4DBFF" w14:textId="551A5665" w:rsidR="00AD3D7C" w:rsidRDefault="007A1B98" w:rsidP="00AD3D7C">
      <w:pPr>
        <w:jc w:val="center"/>
        <w:rPr>
          <w:rFonts w:ascii="Times New Roman" w:hAnsi="Times New Roman" w:cs="Times New Roman"/>
          <w:sz w:val="32"/>
          <w:szCs w:val="32"/>
        </w:rPr>
      </w:pPr>
      <w:r>
        <w:rPr>
          <w:rFonts w:ascii="Times New Roman" w:hAnsi="Times New Roman" w:cs="Times New Roman"/>
          <w:sz w:val="32"/>
          <w:szCs w:val="32"/>
        </w:rPr>
        <w:t xml:space="preserve">Lecturer: Abdi Rahman </w:t>
      </w:r>
    </w:p>
    <w:p w14:paraId="6E7139B4" w14:textId="4D5D9554" w:rsidR="007A1B98" w:rsidRPr="00B11543" w:rsidRDefault="007A1B98" w:rsidP="00AD3D7C">
      <w:pPr>
        <w:jc w:val="center"/>
        <w:rPr>
          <w:rFonts w:ascii="Times New Roman" w:hAnsi="Times New Roman" w:cs="Times New Roman"/>
          <w:sz w:val="32"/>
          <w:szCs w:val="32"/>
        </w:rPr>
      </w:pPr>
      <w:r>
        <w:rPr>
          <w:rFonts w:ascii="Times New Roman" w:hAnsi="Times New Roman" w:cs="Times New Roman"/>
          <w:sz w:val="32"/>
          <w:szCs w:val="32"/>
        </w:rPr>
        <w:t xml:space="preserve">Student: Elena </w:t>
      </w:r>
      <w:r w:rsidR="00C51583">
        <w:rPr>
          <w:rFonts w:ascii="Times New Roman" w:hAnsi="Times New Roman" w:cs="Times New Roman"/>
          <w:sz w:val="32"/>
          <w:szCs w:val="32"/>
        </w:rPr>
        <w:t xml:space="preserve">Georgieva </w:t>
      </w:r>
      <w:proofErr w:type="spellStart"/>
      <w:r w:rsidR="00C51583">
        <w:rPr>
          <w:rFonts w:ascii="Times New Roman" w:hAnsi="Times New Roman" w:cs="Times New Roman"/>
          <w:sz w:val="32"/>
          <w:szCs w:val="32"/>
        </w:rPr>
        <w:t>Vasileva</w:t>
      </w:r>
      <w:proofErr w:type="spellEnd"/>
      <w:r w:rsidR="00C51583">
        <w:rPr>
          <w:rFonts w:ascii="Times New Roman" w:hAnsi="Times New Roman" w:cs="Times New Roman"/>
          <w:sz w:val="32"/>
          <w:szCs w:val="32"/>
        </w:rPr>
        <w:t xml:space="preserve"> 2115092</w:t>
      </w:r>
    </w:p>
    <w:p w14:paraId="2FA8A087" w14:textId="77777777" w:rsidR="00AD3D7C" w:rsidRPr="00B11543" w:rsidRDefault="00AD3D7C" w:rsidP="00AD3D7C">
      <w:pPr>
        <w:jc w:val="center"/>
        <w:rPr>
          <w:rFonts w:ascii="Times New Roman" w:hAnsi="Times New Roman" w:cs="Times New Roman"/>
          <w:sz w:val="32"/>
          <w:szCs w:val="32"/>
        </w:rPr>
      </w:pPr>
    </w:p>
    <w:p w14:paraId="73231B2E" w14:textId="77777777" w:rsidR="00AD3D7C" w:rsidRPr="00B11543" w:rsidRDefault="00AD3D7C" w:rsidP="00AD3D7C">
      <w:pPr>
        <w:jc w:val="center"/>
        <w:rPr>
          <w:rFonts w:ascii="Times New Roman" w:hAnsi="Times New Roman" w:cs="Times New Roman"/>
          <w:sz w:val="32"/>
          <w:szCs w:val="32"/>
        </w:rPr>
      </w:pPr>
    </w:p>
    <w:p w14:paraId="24D6A022" w14:textId="77777777" w:rsidR="00AD3D7C" w:rsidRPr="00B11543" w:rsidRDefault="00AD3D7C" w:rsidP="00AD3D7C">
      <w:pPr>
        <w:jc w:val="center"/>
        <w:rPr>
          <w:rFonts w:ascii="Times New Roman" w:hAnsi="Times New Roman" w:cs="Times New Roman"/>
          <w:sz w:val="32"/>
          <w:szCs w:val="32"/>
        </w:rPr>
      </w:pPr>
    </w:p>
    <w:p w14:paraId="58CA0BE5" w14:textId="77777777" w:rsidR="00AD3D7C" w:rsidRPr="00B11543" w:rsidRDefault="00AD3D7C" w:rsidP="00AD3D7C">
      <w:pPr>
        <w:jc w:val="center"/>
        <w:rPr>
          <w:rFonts w:ascii="Times New Roman" w:hAnsi="Times New Roman" w:cs="Times New Roman"/>
          <w:sz w:val="32"/>
          <w:szCs w:val="32"/>
        </w:rPr>
      </w:pPr>
    </w:p>
    <w:p w14:paraId="5A373E56" w14:textId="77777777" w:rsidR="00AD3D7C" w:rsidRPr="00B11543" w:rsidRDefault="00AD3D7C" w:rsidP="00AD3D7C">
      <w:pPr>
        <w:jc w:val="center"/>
        <w:rPr>
          <w:rFonts w:ascii="Times New Roman" w:hAnsi="Times New Roman" w:cs="Times New Roman"/>
          <w:sz w:val="32"/>
          <w:szCs w:val="32"/>
        </w:rPr>
      </w:pPr>
    </w:p>
    <w:p w14:paraId="145F4389" w14:textId="77777777" w:rsidR="00AD3D7C" w:rsidRPr="00B11543" w:rsidRDefault="00AD3D7C" w:rsidP="00AD3D7C">
      <w:pPr>
        <w:jc w:val="center"/>
        <w:rPr>
          <w:rFonts w:ascii="Times New Roman" w:hAnsi="Times New Roman" w:cs="Times New Roman"/>
          <w:sz w:val="32"/>
          <w:szCs w:val="32"/>
        </w:rPr>
      </w:pPr>
    </w:p>
    <w:p w14:paraId="25AE8D87" w14:textId="77777777" w:rsidR="00AD3D7C" w:rsidRPr="00B11543" w:rsidRDefault="00AD3D7C" w:rsidP="00AD3D7C">
      <w:pPr>
        <w:jc w:val="center"/>
        <w:rPr>
          <w:rFonts w:ascii="Times New Roman" w:hAnsi="Times New Roman" w:cs="Times New Roman"/>
          <w:sz w:val="32"/>
          <w:szCs w:val="32"/>
        </w:rPr>
      </w:pPr>
    </w:p>
    <w:p w14:paraId="347834B5" w14:textId="77777777" w:rsidR="00AD3D7C" w:rsidRPr="00B11543" w:rsidRDefault="00AD3D7C" w:rsidP="00AD3D7C">
      <w:pPr>
        <w:jc w:val="center"/>
        <w:rPr>
          <w:rFonts w:ascii="Times New Roman" w:hAnsi="Times New Roman" w:cs="Times New Roman"/>
          <w:sz w:val="32"/>
          <w:szCs w:val="32"/>
        </w:rPr>
      </w:pPr>
    </w:p>
    <w:p w14:paraId="028AD43B" w14:textId="77777777" w:rsidR="00AD3D7C" w:rsidRPr="00B11543" w:rsidRDefault="00AD3D7C" w:rsidP="00AD3D7C">
      <w:pPr>
        <w:jc w:val="center"/>
        <w:rPr>
          <w:rFonts w:ascii="Times New Roman" w:hAnsi="Times New Roman" w:cs="Times New Roman"/>
          <w:sz w:val="32"/>
          <w:szCs w:val="32"/>
        </w:rPr>
      </w:pPr>
    </w:p>
    <w:p w14:paraId="22FC920F" w14:textId="77777777" w:rsidR="00AD3D7C" w:rsidRPr="00B11543" w:rsidRDefault="00AD3D7C" w:rsidP="00CC275B">
      <w:pPr>
        <w:rPr>
          <w:rFonts w:ascii="Times New Roman" w:hAnsi="Times New Roman" w:cs="Times New Roman"/>
          <w:sz w:val="32"/>
          <w:szCs w:val="32"/>
        </w:rPr>
      </w:pPr>
    </w:p>
    <w:p w14:paraId="4E7C0CE3" w14:textId="77777777" w:rsidR="00AD3D7C" w:rsidRPr="00B11543" w:rsidRDefault="00AD3D7C" w:rsidP="00AD3D7C">
      <w:pPr>
        <w:rPr>
          <w:rFonts w:ascii="Times New Roman" w:hAnsi="Times New Roman" w:cs="Times New Roman"/>
          <w:sz w:val="24"/>
          <w:szCs w:val="24"/>
        </w:rPr>
      </w:pPr>
    </w:p>
    <w:p w14:paraId="08073D3B" w14:textId="77777777" w:rsidR="00AD3D7C" w:rsidRPr="00B11543" w:rsidRDefault="00AD3D7C" w:rsidP="00AD3D7C">
      <w:pPr>
        <w:rPr>
          <w:rFonts w:ascii="Times New Roman" w:hAnsi="Times New Roman" w:cs="Times New Roman"/>
          <w:sz w:val="24"/>
          <w:szCs w:val="24"/>
        </w:rPr>
      </w:pPr>
    </w:p>
    <w:p w14:paraId="18C4AEF7" w14:textId="77777777" w:rsidR="00AD3D7C" w:rsidRPr="00B11543" w:rsidRDefault="00AD3D7C" w:rsidP="00AD3D7C">
      <w:pPr>
        <w:rPr>
          <w:rFonts w:ascii="Times New Roman" w:hAnsi="Times New Roman" w:cs="Times New Roman"/>
          <w:sz w:val="24"/>
          <w:szCs w:val="24"/>
        </w:rPr>
      </w:pPr>
    </w:p>
    <w:p w14:paraId="4C790BDA" w14:textId="77777777" w:rsidR="00AD3D7C" w:rsidRPr="00B11543" w:rsidRDefault="00AD3D7C" w:rsidP="00AD3D7C">
      <w:pPr>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lang w:val="en-GB" w:eastAsia="en-US"/>
        </w:rPr>
        <w:id w:val="1371812360"/>
        <w:docPartObj>
          <w:docPartGallery w:val="Table of Contents"/>
          <w:docPartUnique/>
        </w:docPartObj>
      </w:sdtPr>
      <w:sdtEndPr/>
      <w:sdtContent>
        <w:p w14:paraId="5AC88708" w14:textId="77777777" w:rsidR="00CC275B" w:rsidRPr="00B11543" w:rsidRDefault="00CC275B">
          <w:pPr>
            <w:pStyle w:val="TOCHeading"/>
            <w:rPr>
              <w:lang w:val="en-GB"/>
            </w:rPr>
          </w:pPr>
          <w:r w:rsidRPr="00B11543">
            <w:rPr>
              <w:lang w:val="en-GB"/>
            </w:rPr>
            <w:t>Contents</w:t>
          </w:r>
        </w:p>
        <w:p w14:paraId="59F119C4" w14:textId="77777777" w:rsidR="00456782" w:rsidRDefault="00CC275B">
          <w:pPr>
            <w:pStyle w:val="TOC1"/>
            <w:tabs>
              <w:tab w:val="right" w:leader="dot" w:pos="9350"/>
            </w:tabs>
            <w:rPr>
              <w:rFonts w:eastAsiaTheme="minorEastAsia" w:cs="Vrinda"/>
              <w:noProof/>
              <w:szCs w:val="28"/>
              <w:lang w:val="en-US" w:bidi="bn-BD"/>
            </w:rPr>
          </w:pPr>
          <w:r w:rsidRPr="00B11543">
            <w:fldChar w:fldCharType="begin"/>
          </w:r>
          <w:r w:rsidRPr="00B11543">
            <w:instrText xml:space="preserve"> TOC \o "1-3" \h \z \u </w:instrText>
          </w:r>
          <w:r w:rsidRPr="00B11543">
            <w:fldChar w:fldCharType="separate"/>
          </w:r>
          <w:hyperlink w:anchor="_Toc130673967" w:history="1">
            <w:r w:rsidR="00456782" w:rsidRPr="00CC569E">
              <w:rPr>
                <w:rStyle w:val="Hyperlink"/>
                <w:rFonts w:ascii="Times New Roman" w:hAnsi="Times New Roman" w:cs="Times New Roman"/>
                <w:noProof/>
              </w:rPr>
              <w:t>Introduction</w:t>
            </w:r>
            <w:r w:rsidR="00456782">
              <w:rPr>
                <w:noProof/>
                <w:webHidden/>
              </w:rPr>
              <w:tab/>
            </w:r>
            <w:r w:rsidR="00456782">
              <w:rPr>
                <w:noProof/>
                <w:webHidden/>
              </w:rPr>
              <w:fldChar w:fldCharType="begin"/>
            </w:r>
            <w:r w:rsidR="00456782">
              <w:rPr>
                <w:noProof/>
                <w:webHidden/>
              </w:rPr>
              <w:instrText xml:space="preserve"> PAGEREF _Toc130673967 \h </w:instrText>
            </w:r>
            <w:r w:rsidR="00456782">
              <w:rPr>
                <w:noProof/>
                <w:webHidden/>
              </w:rPr>
            </w:r>
            <w:r w:rsidR="00456782">
              <w:rPr>
                <w:noProof/>
                <w:webHidden/>
              </w:rPr>
              <w:fldChar w:fldCharType="separate"/>
            </w:r>
            <w:r w:rsidR="00456782">
              <w:rPr>
                <w:noProof/>
                <w:webHidden/>
              </w:rPr>
              <w:t>1</w:t>
            </w:r>
            <w:r w:rsidR="00456782">
              <w:rPr>
                <w:noProof/>
                <w:webHidden/>
              </w:rPr>
              <w:fldChar w:fldCharType="end"/>
            </w:r>
          </w:hyperlink>
        </w:p>
        <w:p w14:paraId="11766892" w14:textId="77777777" w:rsidR="00456782" w:rsidRDefault="004115AC">
          <w:pPr>
            <w:pStyle w:val="TOC1"/>
            <w:tabs>
              <w:tab w:val="right" w:leader="dot" w:pos="9350"/>
            </w:tabs>
            <w:rPr>
              <w:rFonts w:eastAsiaTheme="minorEastAsia" w:cs="Vrinda"/>
              <w:noProof/>
              <w:szCs w:val="28"/>
              <w:lang w:val="en-US" w:bidi="bn-BD"/>
            </w:rPr>
          </w:pPr>
          <w:hyperlink w:anchor="_Toc130673968" w:history="1">
            <w:r w:rsidR="00456782" w:rsidRPr="00CC569E">
              <w:rPr>
                <w:rStyle w:val="Hyperlink"/>
                <w:rFonts w:ascii="Times New Roman" w:eastAsia="Times New Roman" w:hAnsi="Times New Roman" w:cs="Times New Roman"/>
                <w:noProof/>
              </w:rPr>
              <w:t>Benefits of implementing flexible working strategies in the workplace</w:t>
            </w:r>
            <w:r w:rsidR="00456782">
              <w:rPr>
                <w:noProof/>
                <w:webHidden/>
              </w:rPr>
              <w:tab/>
            </w:r>
            <w:r w:rsidR="00456782">
              <w:rPr>
                <w:noProof/>
                <w:webHidden/>
              </w:rPr>
              <w:fldChar w:fldCharType="begin"/>
            </w:r>
            <w:r w:rsidR="00456782">
              <w:rPr>
                <w:noProof/>
                <w:webHidden/>
              </w:rPr>
              <w:instrText xml:space="preserve"> PAGEREF _Toc130673968 \h </w:instrText>
            </w:r>
            <w:r w:rsidR="00456782">
              <w:rPr>
                <w:noProof/>
                <w:webHidden/>
              </w:rPr>
            </w:r>
            <w:r w:rsidR="00456782">
              <w:rPr>
                <w:noProof/>
                <w:webHidden/>
              </w:rPr>
              <w:fldChar w:fldCharType="separate"/>
            </w:r>
            <w:r w:rsidR="00456782">
              <w:rPr>
                <w:noProof/>
                <w:webHidden/>
              </w:rPr>
              <w:t>2</w:t>
            </w:r>
            <w:r w:rsidR="00456782">
              <w:rPr>
                <w:noProof/>
                <w:webHidden/>
              </w:rPr>
              <w:fldChar w:fldCharType="end"/>
            </w:r>
          </w:hyperlink>
        </w:p>
        <w:p w14:paraId="06965FE4" w14:textId="77777777" w:rsidR="00456782" w:rsidRDefault="004115AC">
          <w:pPr>
            <w:pStyle w:val="TOC1"/>
            <w:tabs>
              <w:tab w:val="right" w:leader="dot" w:pos="9350"/>
            </w:tabs>
            <w:rPr>
              <w:rFonts w:eastAsiaTheme="minorEastAsia" w:cs="Vrinda"/>
              <w:noProof/>
              <w:szCs w:val="28"/>
              <w:lang w:val="en-US" w:bidi="bn-BD"/>
            </w:rPr>
          </w:pPr>
          <w:hyperlink w:anchor="_Toc130673969" w:history="1">
            <w:r w:rsidR="00456782" w:rsidRPr="00CC569E">
              <w:rPr>
                <w:rStyle w:val="Hyperlink"/>
                <w:rFonts w:ascii="Times New Roman" w:eastAsia="Times New Roman" w:hAnsi="Times New Roman" w:cs="Times New Roman"/>
                <w:noProof/>
              </w:rPr>
              <w:t>The factors to consider when implementing flexible working in the organisation</w:t>
            </w:r>
            <w:r w:rsidR="00456782">
              <w:rPr>
                <w:noProof/>
                <w:webHidden/>
              </w:rPr>
              <w:tab/>
            </w:r>
            <w:r w:rsidR="00456782">
              <w:rPr>
                <w:noProof/>
                <w:webHidden/>
              </w:rPr>
              <w:fldChar w:fldCharType="begin"/>
            </w:r>
            <w:r w:rsidR="00456782">
              <w:rPr>
                <w:noProof/>
                <w:webHidden/>
              </w:rPr>
              <w:instrText xml:space="preserve"> PAGEREF _Toc130673969 \h </w:instrText>
            </w:r>
            <w:r w:rsidR="00456782">
              <w:rPr>
                <w:noProof/>
                <w:webHidden/>
              </w:rPr>
            </w:r>
            <w:r w:rsidR="00456782">
              <w:rPr>
                <w:noProof/>
                <w:webHidden/>
              </w:rPr>
              <w:fldChar w:fldCharType="separate"/>
            </w:r>
            <w:r w:rsidR="00456782">
              <w:rPr>
                <w:noProof/>
                <w:webHidden/>
              </w:rPr>
              <w:t>4</w:t>
            </w:r>
            <w:r w:rsidR="00456782">
              <w:rPr>
                <w:noProof/>
                <w:webHidden/>
              </w:rPr>
              <w:fldChar w:fldCharType="end"/>
            </w:r>
          </w:hyperlink>
        </w:p>
        <w:p w14:paraId="51E95FCE" w14:textId="77777777" w:rsidR="00456782" w:rsidRDefault="004115AC">
          <w:pPr>
            <w:pStyle w:val="TOC1"/>
            <w:tabs>
              <w:tab w:val="right" w:leader="dot" w:pos="9350"/>
            </w:tabs>
            <w:rPr>
              <w:rFonts w:eastAsiaTheme="minorEastAsia" w:cs="Vrinda"/>
              <w:noProof/>
              <w:szCs w:val="28"/>
              <w:lang w:val="en-US" w:bidi="bn-BD"/>
            </w:rPr>
          </w:pPr>
          <w:hyperlink w:anchor="_Toc130673970" w:history="1">
            <w:r w:rsidR="00456782" w:rsidRPr="00CC569E">
              <w:rPr>
                <w:rStyle w:val="Hyperlink"/>
                <w:rFonts w:ascii="Times New Roman" w:eastAsia="Times New Roman" w:hAnsi="Times New Roman" w:cs="Times New Roman"/>
                <w:noProof/>
              </w:rPr>
              <w:t>Evaluation of prompting strategies for employee engagement at the time of implementing flexible working</w:t>
            </w:r>
            <w:r w:rsidR="00456782">
              <w:rPr>
                <w:noProof/>
                <w:webHidden/>
              </w:rPr>
              <w:tab/>
            </w:r>
            <w:r w:rsidR="00456782">
              <w:rPr>
                <w:noProof/>
                <w:webHidden/>
              </w:rPr>
              <w:fldChar w:fldCharType="begin"/>
            </w:r>
            <w:r w:rsidR="00456782">
              <w:rPr>
                <w:noProof/>
                <w:webHidden/>
              </w:rPr>
              <w:instrText xml:space="preserve"> PAGEREF _Toc130673970 \h </w:instrText>
            </w:r>
            <w:r w:rsidR="00456782">
              <w:rPr>
                <w:noProof/>
                <w:webHidden/>
              </w:rPr>
            </w:r>
            <w:r w:rsidR="00456782">
              <w:rPr>
                <w:noProof/>
                <w:webHidden/>
              </w:rPr>
              <w:fldChar w:fldCharType="separate"/>
            </w:r>
            <w:r w:rsidR="00456782">
              <w:rPr>
                <w:noProof/>
                <w:webHidden/>
              </w:rPr>
              <w:t>5</w:t>
            </w:r>
            <w:r w:rsidR="00456782">
              <w:rPr>
                <w:noProof/>
                <w:webHidden/>
              </w:rPr>
              <w:fldChar w:fldCharType="end"/>
            </w:r>
          </w:hyperlink>
        </w:p>
        <w:p w14:paraId="010D4199" w14:textId="77777777" w:rsidR="00456782" w:rsidRDefault="004115AC">
          <w:pPr>
            <w:pStyle w:val="TOC1"/>
            <w:tabs>
              <w:tab w:val="right" w:leader="dot" w:pos="9350"/>
            </w:tabs>
            <w:rPr>
              <w:rFonts w:eastAsiaTheme="minorEastAsia" w:cs="Vrinda"/>
              <w:noProof/>
              <w:szCs w:val="28"/>
              <w:lang w:val="en-US" w:bidi="bn-BD"/>
            </w:rPr>
          </w:pPr>
          <w:hyperlink w:anchor="_Toc130673971" w:history="1">
            <w:r w:rsidR="00456782" w:rsidRPr="00CC569E">
              <w:rPr>
                <w:rStyle w:val="Hyperlink"/>
                <w:rFonts w:ascii="Times New Roman" w:eastAsia="Times New Roman" w:hAnsi="Times New Roman" w:cs="Times New Roman"/>
                <w:noProof/>
              </w:rPr>
              <w:t>Describe the method of evaluating the employee value proposition for implementing a pay structure</w:t>
            </w:r>
            <w:r w:rsidR="00456782">
              <w:rPr>
                <w:noProof/>
                <w:webHidden/>
              </w:rPr>
              <w:tab/>
            </w:r>
            <w:r w:rsidR="00456782">
              <w:rPr>
                <w:noProof/>
                <w:webHidden/>
              </w:rPr>
              <w:fldChar w:fldCharType="begin"/>
            </w:r>
            <w:r w:rsidR="00456782">
              <w:rPr>
                <w:noProof/>
                <w:webHidden/>
              </w:rPr>
              <w:instrText xml:space="preserve"> PAGEREF _Toc130673971 \h </w:instrText>
            </w:r>
            <w:r w:rsidR="00456782">
              <w:rPr>
                <w:noProof/>
                <w:webHidden/>
              </w:rPr>
            </w:r>
            <w:r w:rsidR="00456782">
              <w:rPr>
                <w:noProof/>
                <w:webHidden/>
              </w:rPr>
              <w:fldChar w:fldCharType="separate"/>
            </w:r>
            <w:r w:rsidR="00456782">
              <w:rPr>
                <w:noProof/>
                <w:webHidden/>
              </w:rPr>
              <w:t>7</w:t>
            </w:r>
            <w:r w:rsidR="00456782">
              <w:rPr>
                <w:noProof/>
                <w:webHidden/>
              </w:rPr>
              <w:fldChar w:fldCharType="end"/>
            </w:r>
          </w:hyperlink>
        </w:p>
        <w:p w14:paraId="749A434D" w14:textId="77777777" w:rsidR="00456782" w:rsidRDefault="004115AC">
          <w:pPr>
            <w:pStyle w:val="TOC1"/>
            <w:tabs>
              <w:tab w:val="right" w:leader="dot" w:pos="9350"/>
            </w:tabs>
            <w:rPr>
              <w:rFonts w:eastAsiaTheme="minorEastAsia" w:cs="Vrinda"/>
              <w:noProof/>
              <w:szCs w:val="28"/>
              <w:lang w:val="en-US" w:bidi="bn-BD"/>
            </w:rPr>
          </w:pPr>
          <w:hyperlink w:anchor="_Toc130673972" w:history="1">
            <w:r w:rsidR="00456782" w:rsidRPr="00CC569E">
              <w:rPr>
                <w:rStyle w:val="Hyperlink"/>
                <w:rFonts w:ascii="Times New Roman" w:eastAsia="Times New Roman" w:hAnsi="Times New Roman" w:cs="Times New Roman"/>
                <w:noProof/>
              </w:rPr>
              <w:t>Conclusion</w:t>
            </w:r>
            <w:r w:rsidR="00456782">
              <w:rPr>
                <w:noProof/>
                <w:webHidden/>
              </w:rPr>
              <w:tab/>
            </w:r>
            <w:r w:rsidR="00456782">
              <w:rPr>
                <w:noProof/>
                <w:webHidden/>
              </w:rPr>
              <w:fldChar w:fldCharType="begin"/>
            </w:r>
            <w:r w:rsidR="00456782">
              <w:rPr>
                <w:noProof/>
                <w:webHidden/>
              </w:rPr>
              <w:instrText xml:space="preserve"> PAGEREF _Toc130673972 \h </w:instrText>
            </w:r>
            <w:r w:rsidR="00456782">
              <w:rPr>
                <w:noProof/>
                <w:webHidden/>
              </w:rPr>
            </w:r>
            <w:r w:rsidR="00456782">
              <w:rPr>
                <w:noProof/>
                <w:webHidden/>
              </w:rPr>
              <w:fldChar w:fldCharType="separate"/>
            </w:r>
            <w:r w:rsidR="00456782">
              <w:rPr>
                <w:noProof/>
                <w:webHidden/>
              </w:rPr>
              <w:t>9</w:t>
            </w:r>
            <w:r w:rsidR="00456782">
              <w:rPr>
                <w:noProof/>
                <w:webHidden/>
              </w:rPr>
              <w:fldChar w:fldCharType="end"/>
            </w:r>
          </w:hyperlink>
        </w:p>
        <w:p w14:paraId="5D14CE11" w14:textId="77777777" w:rsidR="00456782" w:rsidRDefault="004115AC">
          <w:pPr>
            <w:pStyle w:val="TOC1"/>
            <w:tabs>
              <w:tab w:val="right" w:leader="dot" w:pos="9350"/>
            </w:tabs>
            <w:rPr>
              <w:rFonts w:eastAsiaTheme="minorEastAsia" w:cs="Vrinda"/>
              <w:noProof/>
              <w:szCs w:val="28"/>
              <w:lang w:val="en-US" w:bidi="bn-BD"/>
            </w:rPr>
          </w:pPr>
          <w:hyperlink w:anchor="_Toc130673973" w:history="1">
            <w:r w:rsidR="00456782" w:rsidRPr="00CC569E">
              <w:rPr>
                <w:rStyle w:val="Hyperlink"/>
                <w:rFonts w:ascii="Times New Roman" w:hAnsi="Times New Roman" w:cs="Times New Roman"/>
                <w:noProof/>
              </w:rPr>
              <w:t>References</w:t>
            </w:r>
            <w:r w:rsidR="00456782">
              <w:rPr>
                <w:noProof/>
                <w:webHidden/>
              </w:rPr>
              <w:tab/>
            </w:r>
            <w:r w:rsidR="00456782">
              <w:rPr>
                <w:noProof/>
                <w:webHidden/>
              </w:rPr>
              <w:fldChar w:fldCharType="begin"/>
            </w:r>
            <w:r w:rsidR="00456782">
              <w:rPr>
                <w:noProof/>
                <w:webHidden/>
              </w:rPr>
              <w:instrText xml:space="preserve"> PAGEREF _Toc130673973 \h </w:instrText>
            </w:r>
            <w:r w:rsidR="00456782">
              <w:rPr>
                <w:noProof/>
                <w:webHidden/>
              </w:rPr>
            </w:r>
            <w:r w:rsidR="00456782">
              <w:rPr>
                <w:noProof/>
                <w:webHidden/>
              </w:rPr>
              <w:fldChar w:fldCharType="separate"/>
            </w:r>
            <w:r w:rsidR="00456782">
              <w:rPr>
                <w:noProof/>
                <w:webHidden/>
              </w:rPr>
              <w:t>10</w:t>
            </w:r>
            <w:r w:rsidR="00456782">
              <w:rPr>
                <w:noProof/>
                <w:webHidden/>
              </w:rPr>
              <w:fldChar w:fldCharType="end"/>
            </w:r>
          </w:hyperlink>
        </w:p>
        <w:p w14:paraId="0232598A" w14:textId="77777777" w:rsidR="00CC275B" w:rsidRPr="00B11543" w:rsidRDefault="00CC275B" w:rsidP="00AD3D7C">
          <w:pPr>
            <w:sectPr w:rsidR="00CC275B" w:rsidRPr="00B11543" w:rsidSect="00CC275B">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cols w:space="720"/>
              <w:docGrid w:linePitch="360"/>
            </w:sectPr>
          </w:pPr>
          <w:r w:rsidRPr="00B11543">
            <w:rPr>
              <w:b/>
              <w:bCs/>
            </w:rPr>
            <w:fldChar w:fldCharType="end"/>
          </w:r>
        </w:p>
      </w:sdtContent>
    </w:sdt>
    <w:p w14:paraId="60A1C42B" w14:textId="77777777" w:rsidR="00AD3D7C" w:rsidRPr="00B11543" w:rsidRDefault="00AD3D7C" w:rsidP="00AD3D7C">
      <w:pPr>
        <w:rPr>
          <w:rFonts w:ascii="Times New Roman" w:hAnsi="Times New Roman" w:cs="Times New Roman"/>
          <w:sz w:val="24"/>
          <w:szCs w:val="24"/>
        </w:rPr>
      </w:pPr>
    </w:p>
    <w:p w14:paraId="38EF98F0" w14:textId="77777777" w:rsidR="00AD3D7C" w:rsidRPr="00B11543" w:rsidRDefault="00FF64B3" w:rsidP="00CC275B">
      <w:pPr>
        <w:pStyle w:val="Heading1"/>
        <w:spacing w:line="360" w:lineRule="auto"/>
        <w:jc w:val="both"/>
        <w:rPr>
          <w:rFonts w:ascii="Times New Roman" w:hAnsi="Times New Roman" w:cs="Times New Roman"/>
        </w:rPr>
      </w:pPr>
      <w:bookmarkStart w:id="0" w:name="_Toc130673967"/>
      <w:r w:rsidRPr="00B11543">
        <w:rPr>
          <w:rFonts w:ascii="Times New Roman" w:hAnsi="Times New Roman" w:cs="Times New Roman"/>
        </w:rPr>
        <w:t>Introduction</w:t>
      </w:r>
      <w:bookmarkEnd w:id="0"/>
    </w:p>
    <w:p w14:paraId="5ACB0E92" w14:textId="77777777" w:rsidR="00A364B7" w:rsidRPr="00B11543" w:rsidRDefault="00B11543" w:rsidP="00CC275B">
      <w:pPr>
        <w:pStyle w:val="NormalWeb"/>
        <w:spacing w:line="360" w:lineRule="auto"/>
        <w:jc w:val="both"/>
        <w:rPr>
          <w:color w:val="252525"/>
          <w:lang w:val="en-GB"/>
        </w:rPr>
      </w:pPr>
      <w:r w:rsidRPr="00B11543">
        <w:rPr>
          <w:color w:val="252525"/>
          <w:lang w:val="en-GB"/>
        </w:rPr>
        <w:t>This report</w:t>
      </w:r>
      <w:r w:rsidR="00FF64B3" w:rsidRPr="00B11543">
        <w:rPr>
          <w:color w:val="252525"/>
          <w:lang w:val="en-GB"/>
        </w:rPr>
        <w:t xml:space="preserve"> is on the topic of human resource management, and the main focus will be on the importance of flexible working times, especially in the COVID-19 context. The benefits of flexible working time will be discussed first. Following that, the factors to consider when implementing flexible working hours will be discussed. In the third sector, strategies helpful in prompting employee engagement for flexible working hours will be evaluated, and the last topic will be about evaluating the employee value proposition for implementing a pay structure.</w:t>
      </w:r>
    </w:p>
    <w:p w14:paraId="3AFAD9A5" w14:textId="77777777" w:rsidR="00A364B7" w:rsidRPr="00B11543" w:rsidRDefault="00B11543" w:rsidP="00CC275B">
      <w:pPr>
        <w:pStyle w:val="NormalWeb"/>
        <w:spacing w:line="360" w:lineRule="auto"/>
        <w:jc w:val="both"/>
        <w:rPr>
          <w:color w:val="252525"/>
          <w:lang w:val="en-GB"/>
        </w:rPr>
      </w:pPr>
      <w:r w:rsidRPr="00B11543">
        <w:rPr>
          <w:color w:val="252525"/>
          <w:lang w:val="en-GB"/>
        </w:rPr>
        <w:t>For this report</w:t>
      </w:r>
      <w:r w:rsidR="00FF64B3" w:rsidRPr="00B11543">
        <w:rPr>
          <w:color w:val="252525"/>
          <w:lang w:val="en-GB"/>
        </w:rPr>
        <w:t>, Boots UK has been chosen. Boots is one of the leading retail organisations in the sector of beauty and health. It has been serving for more than 170 years, and now it has more than 2200 stores around the world (Craft, 2022). The mission of this organisation is to become the first choice for consumers in the sectors of pharmacy, beauty, and health.</w:t>
      </w:r>
    </w:p>
    <w:p w14:paraId="447C6A47" w14:textId="77777777" w:rsidR="008B6E6D" w:rsidRPr="00B11543" w:rsidRDefault="00FF64B3" w:rsidP="00CC275B">
      <w:pPr>
        <w:spacing w:line="360" w:lineRule="auto"/>
        <w:jc w:val="center"/>
        <w:rPr>
          <w:rFonts w:ascii="Times New Roman" w:hAnsi="Times New Roman" w:cs="Times New Roman"/>
          <w:sz w:val="24"/>
          <w:szCs w:val="24"/>
        </w:rPr>
      </w:pPr>
      <w:r w:rsidRPr="00B11543">
        <w:rPr>
          <w:rFonts w:ascii="Times New Roman" w:hAnsi="Times New Roman" w:cs="Times New Roman"/>
          <w:noProof/>
          <w:sz w:val="24"/>
          <w:szCs w:val="24"/>
          <w:lang w:bidi="bn-BD"/>
        </w:rPr>
        <w:drawing>
          <wp:inline distT="0" distB="0" distL="0" distR="0" wp14:anchorId="0DC5503B" wp14:editId="65A3ADF0">
            <wp:extent cx="2143125" cy="2143125"/>
            <wp:effectExtent l="0" t="0" r="9525" b="9525"/>
            <wp:docPr id="1" name="Picture 1" descr="C:\Users\Asus\Downloads\download (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Asus\Downloads\download (5).png"/>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143125" cy="2143125"/>
                    </a:xfrm>
                    <a:prstGeom prst="rect">
                      <a:avLst/>
                    </a:prstGeom>
                    <a:noFill/>
                    <a:ln>
                      <a:noFill/>
                    </a:ln>
                  </pic:spPr>
                </pic:pic>
              </a:graphicData>
            </a:graphic>
          </wp:inline>
        </w:drawing>
      </w:r>
    </w:p>
    <w:p w14:paraId="74060FBD" w14:textId="77777777" w:rsidR="008B6E6D" w:rsidRPr="00B11543" w:rsidRDefault="00FF64B3" w:rsidP="00CC275B">
      <w:pPr>
        <w:spacing w:line="360" w:lineRule="auto"/>
        <w:jc w:val="center"/>
        <w:rPr>
          <w:rFonts w:ascii="Times New Roman" w:hAnsi="Times New Roman" w:cs="Times New Roman"/>
          <w:sz w:val="24"/>
          <w:szCs w:val="24"/>
        </w:rPr>
      </w:pPr>
      <w:r w:rsidRPr="00B11543">
        <w:rPr>
          <w:rFonts w:ascii="Times New Roman" w:hAnsi="Times New Roman" w:cs="Times New Roman"/>
          <w:b/>
          <w:i/>
          <w:sz w:val="24"/>
          <w:szCs w:val="24"/>
        </w:rPr>
        <w:t>Figure 1</w:t>
      </w:r>
      <w:r w:rsidRPr="00B11543">
        <w:rPr>
          <w:rFonts w:ascii="Times New Roman" w:hAnsi="Times New Roman" w:cs="Times New Roman"/>
          <w:sz w:val="24"/>
          <w:szCs w:val="24"/>
        </w:rPr>
        <w:t>- Logo of the Boots UK</w:t>
      </w:r>
      <w:r w:rsidR="007C34EF" w:rsidRPr="00B11543">
        <w:rPr>
          <w:rFonts w:ascii="Times New Roman" w:hAnsi="Times New Roman" w:cs="Times New Roman"/>
          <w:sz w:val="24"/>
          <w:szCs w:val="24"/>
        </w:rPr>
        <w:t xml:space="preserve"> (Craft, 2022)</w:t>
      </w:r>
    </w:p>
    <w:p w14:paraId="2796BFB8" w14:textId="77777777" w:rsidR="008B6E6D" w:rsidRPr="00B11543" w:rsidRDefault="008B6E6D" w:rsidP="00CC275B">
      <w:pPr>
        <w:spacing w:line="360" w:lineRule="auto"/>
        <w:jc w:val="both"/>
        <w:rPr>
          <w:rFonts w:ascii="Times New Roman" w:hAnsi="Times New Roman" w:cs="Times New Roman"/>
          <w:sz w:val="24"/>
          <w:szCs w:val="24"/>
        </w:rPr>
      </w:pPr>
    </w:p>
    <w:p w14:paraId="5D45CBA3" w14:textId="77777777" w:rsidR="008B6E6D" w:rsidRPr="00B11543" w:rsidRDefault="008B6E6D" w:rsidP="00CC275B">
      <w:pPr>
        <w:spacing w:line="360" w:lineRule="auto"/>
        <w:jc w:val="both"/>
        <w:rPr>
          <w:rFonts w:ascii="Times New Roman" w:hAnsi="Times New Roman" w:cs="Times New Roman"/>
          <w:sz w:val="24"/>
          <w:szCs w:val="24"/>
        </w:rPr>
      </w:pPr>
    </w:p>
    <w:p w14:paraId="59A2053A" w14:textId="77777777" w:rsidR="008B6E6D" w:rsidRPr="00B11543" w:rsidRDefault="008B6E6D" w:rsidP="00CC275B">
      <w:pPr>
        <w:spacing w:line="360" w:lineRule="auto"/>
        <w:jc w:val="both"/>
        <w:rPr>
          <w:rFonts w:ascii="Times New Roman" w:hAnsi="Times New Roman" w:cs="Times New Roman"/>
          <w:sz w:val="24"/>
          <w:szCs w:val="24"/>
        </w:rPr>
      </w:pPr>
    </w:p>
    <w:p w14:paraId="37AF7A2E" w14:textId="77777777" w:rsidR="008B6E6D" w:rsidRPr="00B11543" w:rsidRDefault="008B6E6D" w:rsidP="00CC275B">
      <w:pPr>
        <w:spacing w:line="360" w:lineRule="auto"/>
        <w:jc w:val="both"/>
        <w:rPr>
          <w:rFonts w:ascii="Times New Roman" w:hAnsi="Times New Roman" w:cs="Times New Roman"/>
          <w:sz w:val="24"/>
          <w:szCs w:val="24"/>
        </w:rPr>
      </w:pPr>
    </w:p>
    <w:p w14:paraId="61EF1711" w14:textId="77777777" w:rsidR="00CE47E7" w:rsidRPr="00B11543" w:rsidRDefault="00FF64B3" w:rsidP="00CC275B">
      <w:pPr>
        <w:pStyle w:val="Heading1"/>
        <w:spacing w:line="360" w:lineRule="auto"/>
        <w:jc w:val="both"/>
        <w:rPr>
          <w:rFonts w:ascii="Times New Roman" w:eastAsia="Times New Roman" w:hAnsi="Times New Roman" w:cs="Times New Roman"/>
        </w:rPr>
      </w:pPr>
      <w:bookmarkStart w:id="1" w:name="_Toc130673968"/>
      <w:r w:rsidRPr="00B11543">
        <w:rPr>
          <w:rFonts w:ascii="Times New Roman" w:eastAsia="Times New Roman" w:hAnsi="Times New Roman" w:cs="Times New Roman"/>
        </w:rPr>
        <w:lastRenderedPageBreak/>
        <w:t>Benefits of implementing flexible working strategies in the workplace</w:t>
      </w:r>
      <w:bookmarkEnd w:id="1"/>
    </w:p>
    <w:p w14:paraId="2C54D7A5"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xml:space="preserve">The flexible working strategy is all about giving employees a top priority. It allows for avoiding employers' rigid rules (Chung and Van der </w:t>
      </w:r>
      <w:proofErr w:type="spellStart"/>
      <w:r w:rsidRPr="00B11543">
        <w:rPr>
          <w:rFonts w:ascii="Times New Roman" w:eastAsia="Times New Roman" w:hAnsi="Times New Roman" w:cs="Times New Roman"/>
          <w:color w:val="252525"/>
          <w:sz w:val="24"/>
          <w:szCs w:val="24"/>
        </w:rPr>
        <w:t>Lippe</w:t>
      </w:r>
      <w:proofErr w:type="spellEnd"/>
      <w:r w:rsidRPr="00B11543">
        <w:rPr>
          <w:rFonts w:ascii="Times New Roman" w:eastAsia="Times New Roman" w:hAnsi="Times New Roman" w:cs="Times New Roman"/>
          <w:color w:val="252525"/>
          <w:sz w:val="24"/>
          <w:szCs w:val="24"/>
        </w:rPr>
        <w:t>, 2020). Since COVID-19, the concept of a flexible working strategy has been popular. This flexible working can be implemented following different types of strategies. Some of the strategies and their benefits are listed below:</w:t>
      </w:r>
    </w:p>
    <w:p w14:paraId="4DE1A111"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Job sharing:</w:t>
      </w:r>
      <w:r w:rsidRPr="00B11543">
        <w:rPr>
          <w:rFonts w:ascii="Times New Roman" w:eastAsia="Times New Roman" w:hAnsi="Times New Roman" w:cs="Times New Roman"/>
          <w:color w:val="252525"/>
          <w:sz w:val="24"/>
          <w:szCs w:val="24"/>
        </w:rPr>
        <w:t xml:space="preserve"> This is one of the most commonly used strategies to create a flexible work life for specialised professionals. This concept mainly refers to the partnership of two or more professionals to perform their jobs and responsibilities together (Wheatley, 2017). A team of three, for example, can be formed, and people can be available in stores on alternate days.</w:t>
      </w:r>
    </w:p>
    <w:p w14:paraId="63ECF7FE"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This strategy is best suited for people whose jobs require a great deal of concentration and brain power. When some highly experienced experts cannot be made available for work due to the pandemic situation, then job sharing can be a great solution to this problem. The lack of an expert can be overcome through this job-sharing strategy and flexible workplace. It also allows asking for freelancing from the experts when things cannot be done through the usual workers.</w:t>
      </w:r>
    </w:p>
    <w:p w14:paraId="14F2BDEB"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Time-agnostic work:</w:t>
      </w:r>
      <w:r w:rsidRPr="00B11543">
        <w:rPr>
          <w:rFonts w:ascii="Times New Roman" w:eastAsia="Times New Roman" w:hAnsi="Times New Roman" w:cs="Times New Roman"/>
          <w:color w:val="252525"/>
          <w:sz w:val="24"/>
          <w:szCs w:val="24"/>
        </w:rPr>
        <w:t xml:space="preserve"> Different people in this current world have different ways to be motivated and to be in the workflow. Local traffic conditions, local organisation timelines, and so on all have an impact on what time is preferable for employees to work. These things make a difference when choosing 9–5 work hours for the organisation. Finally, the implementation of COVID increases workforce elasticity and global demand globally</w:t>
      </w:r>
      <w:r w:rsidR="00B11543">
        <w:rPr>
          <w:rFonts w:ascii="Times New Roman" w:eastAsia="Times New Roman" w:hAnsi="Times New Roman" w:cs="Times New Roman"/>
          <w:color w:val="252525"/>
          <w:sz w:val="24"/>
          <w:szCs w:val="24"/>
        </w:rPr>
        <w:t xml:space="preserve"> (</w:t>
      </w:r>
      <w:proofErr w:type="spellStart"/>
      <w:r w:rsidR="00B11543">
        <w:rPr>
          <w:rFonts w:ascii="Times New Roman" w:hAnsi="Times New Roman" w:cs="Times New Roman"/>
          <w:sz w:val="24"/>
          <w:szCs w:val="24"/>
        </w:rPr>
        <w:t>Chanana</w:t>
      </w:r>
      <w:proofErr w:type="spellEnd"/>
      <w:r w:rsidR="00B11543">
        <w:rPr>
          <w:rFonts w:ascii="Times New Roman" w:hAnsi="Times New Roman" w:cs="Times New Roman"/>
          <w:sz w:val="24"/>
          <w:szCs w:val="24"/>
        </w:rPr>
        <w:t xml:space="preserve">, </w:t>
      </w:r>
      <w:r w:rsidR="00B11543" w:rsidRPr="00B11543">
        <w:rPr>
          <w:rFonts w:ascii="Times New Roman" w:hAnsi="Times New Roman" w:cs="Times New Roman"/>
          <w:sz w:val="24"/>
          <w:szCs w:val="24"/>
        </w:rPr>
        <w:t>2021)</w:t>
      </w:r>
      <w:r w:rsidRPr="00B11543">
        <w:rPr>
          <w:rFonts w:ascii="Times New Roman" w:eastAsia="Times New Roman" w:hAnsi="Times New Roman" w:cs="Times New Roman"/>
          <w:color w:val="252525"/>
          <w:sz w:val="24"/>
          <w:szCs w:val="24"/>
        </w:rPr>
        <w:t>. Thus, employers provide employees with the option of working flexible hours, which helps bring out the best in their employees and ensure maximum productivity. Controlling the work schedule allows employees to cope with anxiety, burnout, and other psychological distress, which have been major issues in this pandemic (</w:t>
      </w:r>
      <w:proofErr w:type="spellStart"/>
      <w:r w:rsidRPr="00B11543">
        <w:rPr>
          <w:rFonts w:ascii="Times New Roman" w:eastAsia="Times New Roman" w:hAnsi="Times New Roman" w:cs="Times New Roman"/>
          <w:color w:val="252525"/>
          <w:sz w:val="24"/>
          <w:szCs w:val="24"/>
        </w:rPr>
        <w:t>Talevi</w:t>
      </w:r>
      <w:proofErr w:type="spellEnd"/>
      <w:r w:rsidRPr="00B11543">
        <w:rPr>
          <w:rFonts w:ascii="Times New Roman" w:eastAsia="Times New Roman" w:hAnsi="Times New Roman" w:cs="Times New Roman"/>
          <w:color w:val="252525"/>
          <w:sz w:val="24"/>
          <w:szCs w:val="24"/>
        </w:rPr>
        <w:t xml:space="preserve"> et al., 2020). This strategy also helps with being more creative with work.</w:t>
      </w:r>
    </w:p>
    <w:p w14:paraId="3F6C9067"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ROWE:</w:t>
      </w:r>
      <w:r w:rsidRPr="00B11543">
        <w:rPr>
          <w:rFonts w:ascii="Times New Roman" w:eastAsia="Times New Roman" w:hAnsi="Times New Roman" w:cs="Times New Roman"/>
          <w:color w:val="252525"/>
          <w:sz w:val="24"/>
          <w:szCs w:val="24"/>
        </w:rPr>
        <w:t xml:space="preserve"> This stands for Results-Only Work Environment. This concept refers to the idea that employees should be valued through their performance or input rather than just their presence in the workplace (Eldridge and Palmer, 2009). This system helps the employee be more focused on their job rather than wasting time on aimless tasks. This system also contributes to the increased organisational output. Employees will be more accountable for their jobs if Boots UK implements </w:t>
      </w:r>
      <w:r w:rsidRPr="00B11543">
        <w:rPr>
          <w:rFonts w:ascii="Times New Roman" w:eastAsia="Times New Roman" w:hAnsi="Times New Roman" w:cs="Times New Roman"/>
          <w:color w:val="252525"/>
          <w:sz w:val="24"/>
          <w:szCs w:val="24"/>
        </w:rPr>
        <w:lastRenderedPageBreak/>
        <w:t>the ROWE concept in its stores. Assume that, rather than simply being present from 2 to 8 a.m., an employee will be evaluated based on the number of customers served.</w:t>
      </w:r>
    </w:p>
    <w:p w14:paraId="42EC8374"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In short, flexible strategies greatly aid in increased productivity at both the individual and organisational levels. The limited time of the employees gets used properly through these strategies. Flexible working strategies can also provide employees with a clear and distinct goal. Also, professionals who need to be creative and have to do a lot of brain work get extremely benefitted through these strategies. Also, the lack of an experienced employee can be easily covered up with these.</w:t>
      </w:r>
    </w:p>
    <w:p w14:paraId="067BD049"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56F23D83" w14:textId="77777777" w:rsidR="00CE47E7" w:rsidRPr="00B11543" w:rsidRDefault="00CE47E7"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262E9EE3"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65922B33"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33904155"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402732BF"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3AD28D33"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3A7F9FC4"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4D20EB8F"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02F9A020"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3D809091" w14:textId="77777777" w:rsidR="00CE47E7" w:rsidRPr="00B11543" w:rsidRDefault="00FF64B3" w:rsidP="00CC275B">
      <w:pPr>
        <w:pStyle w:val="Heading1"/>
        <w:spacing w:line="360" w:lineRule="auto"/>
        <w:jc w:val="both"/>
        <w:rPr>
          <w:rFonts w:ascii="Times New Roman" w:eastAsia="Times New Roman" w:hAnsi="Times New Roman" w:cs="Times New Roman"/>
        </w:rPr>
      </w:pPr>
      <w:bookmarkStart w:id="2" w:name="_Toc130673969"/>
      <w:r w:rsidRPr="00B11543">
        <w:rPr>
          <w:rFonts w:ascii="Times New Roman" w:eastAsia="Times New Roman" w:hAnsi="Times New Roman" w:cs="Times New Roman"/>
        </w:rPr>
        <w:t>The factors to consider when implementing flexible working in the organisation</w:t>
      </w:r>
      <w:bookmarkEnd w:id="2"/>
    </w:p>
    <w:p w14:paraId="0836D336"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Simply deciding on a flexible working strategy for the organisation is not a wise move. Boots UK needs to consider some factors and aspects before choosing and implementing a flexible working strategy for its workplace. Some of the factors to consider are as follows:</w:t>
      </w:r>
    </w:p>
    <w:p w14:paraId="3A518281"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lastRenderedPageBreak/>
        <w:t>Organisational objective:</w:t>
      </w:r>
      <w:r w:rsidRPr="00B11543">
        <w:rPr>
          <w:rFonts w:ascii="Times New Roman" w:eastAsia="Times New Roman" w:hAnsi="Times New Roman" w:cs="Times New Roman"/>
          <w:color w:val="252525"/>
          <w:sz w:val="24"/>
          <w:szCs w:val="24"/>
        </w:rPr>
        <w:t xml:space="preserve"> The first thing to be noticed while choosing a flexible working strategy is whether it serves the main organisational objective of the workplace or not. If Boots wants to highlight the creativity of its employees, ROWE could be a good choice. In cases of heavy workloads, job sharing can be a good option. In this way, Boots needs to carefully consider its objectives and employees' needs before choosing a strategy. Having an open discussion with the employees can be a good option. While COVID-19 was the easiest step the organisation could take to ensure the highest level of safety</w:t>
      </w:r>
      <w:r w:rsidR="00456782">
        <w:rPr>
          <w:rFonts w:ascii="Times New Roman" w:eastAsia="Times New Roman" w:hAnsi="Times New Roman" w:cs="Times New Roman"/>
          <w:color w:val="252525"/>
          <w:sz w:val="24"/>
          <w:szCs w:val="24"/>
        </w:rPr>
        <w:t xml:space="preserve"> (</w:t>
      </w:r>
      <w:proofErr w:type="spellStart"/>
      <w:r w:rsidR="00456782">
        <w:rPr>
          <w:rFonts w:ascii="Times New Roman" w:hAnsi="Times New Roman" w:cs="Times New Roman"/>
          <w:sz w:val="24"/>
          <w:szCs w:val="24"/>
        </w:rPr>
        <w:t>Chanana</w:t>
      </w:r>
      <w:proofErr w:type="spellEnd"/>
      <w:r w:rsidR="00456782">
        <w:rPr>
          <w:rFonts w:ascii="Times New Roman" w:hAnsi="Times New Roman" w:cs="Times New Roman"/>
          <w:sz w:val="24"/>
          <w:szCs w:val="24"/>
        </w:rPr>
        <w:t xml:space="preserve">, </w:t>
      </w:r>
      <w:r w:rsidR="00456782" w:rsidRPr="00B11543">
        <w:rPr>
          <w:rFonts w:ascii="Times New Roman" w:hAnsi="Times New Roman" w:cs="Times New Roman"/>
          <w:sz w:val="24"/>
          <w:szCs w:val="24"/>
        </w:rPr>
        <w:t>2021)</w:t>
      </w:r>
      <w:r w:rsidRPr="00B11543">
        <w:rPr>
          <w:rFonts w:ascii="Times New Roman" w:eastAsia="Times New Roman" w:hAnsi="Times New Roman" w:cs="Times New Roman"/>
          <w:color w:val="252525"/>
          <w:sz w:val="24"/>
          <w:szCs w:val="24"/>
        </w:rPr>
        <w:t>.</w:t>
      </w:r>
    </w:p>
    <w:p w14:paraId="64085811"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 xml:space="preserve">Required technologies and facilities: </w:t>
      </w:r>
      <w:r w:rsidRPr="00B11543">
        <w:rPr>
          <w:rFonts w:ascii="Times New Roman" w:eastAsia="Times New Roman" w:hAnsi="Times New Roman" w:cs="Times New Roman"/>
          <w:bCs/>
          <w:iCs/>
          <w:color w:val="252525"/>
          <w:sz w:val="24"/>
          <w:szCs w:val="24"/>
        </w:rPr>
        <w:t>Before deciding on a strategy, it is critical to assess the organization's current situation.</w:t>
      </w:r>
      <w:r w:rsidRPr="00B11543">
        <w:rPr>
          <w:rFonts w:ascii="Times New Roman" w:eastAsia="Times New Roman" w:hAnsi="Times New Roman" w:cs="Times New Roman"/>
          <w:color w:val="252525"/>
          <w:sz w:val="24"/>
          <w:szCs w:val="24"/>
        </w:rPr>
        <w:t xml:space="preserve"> Whether Boots is properly equipped to make the transition or not, job sharing, for example, requires a large number of employees to be available to work in the organisation. ROWE needs to be occupied by professionals who have expertise in their fields. When the organisation implemented remote working while complying with COVID, proper training was provided to all employees to ensure they were technologically equipped</w:t>
      </w:r>
      <w:r w:rsidR="00456782">
        <w:rPr>
          <w:rFonts w:ascii="Times New Roman" w:eastAsia="Times New Roman" w:hAnsi="Times New Roman" w:cs="Times New Roman"/>
          <w:color w:val="252525"/>
          <w:sz w:val="24"/>
          <w:szCs w:val="24"/>
        </w:rPr>
        <w:t xml:space="preserve"> (</w:t>
      </w:r>
      <w:proofErr w:type="spellStart"/>
      <w:r w:rsidR="00456782">
        <w:rPr>
          <w:rFonts w:ascii="Times New Roman" w:hAnsi="Times New Roman" w:cs="Times New Roman"/>
          <w:sz w:val="24"/>
          <w:szCs w:val="24"/>
        </w:rPr>
        <w:t>Chanana</w:t>
      </w:r>
      <w:proofErr w:type="spellEnd"/>
      <w:r w:rsidR="00456782">
        <w:rPr>
          <w:rFonts w:ascii="Times New Roman" w:hAnsi="Times New Roman" w:cs="Times New Roman"/>
          <w:sz w:val="24"/>
          <w:szCs w:val="24"/>
        </w:rPr>
        <w:t xml:space="preserve">, </w:t>
      </w:r>
      <w:r w:rsidR="00456782" w:rsidRPr="00B11543">
        <w:rPr>
          <w:rFonts w:ascii="Times New Roman" w:hAnsi="Times New Roman" w:cs="Times New Roman"/>
          <w:sz w:val="24"/>
          <w:szCs w:val="24"/>
        </w:rPr>
        <w:t>2021)</w:t>
      </w:r>
      <w:r w:rsidRPr="00B11543">
        <w:rPr>
          <w:rFonts w:ascii="Times New Roman" w:eastAsia="Times New Roman" w:hAnsi="Times New Roman" w:cs="Times New Roman"/>
          <w:color w:val="252525"/>
          <w:sz w:val="24"/>
          <w:szCs w:val="24"/>
        </w:rPr>
        <w:t>.</w:t>
      </w:r>
    </w:p>
    <w:p w14:paraId="2F276FC6"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Organisational culture</w:t>
      </w:r>
      <w:r w:rsidRPr="00B11543">
        <w:rPr>
          <w:rFonts w:ascii="Times New Roman" w:eastAsia="Times New Roman" w:hAnsi="Times New Roman" w:cs="Times New Roman"/>
          <w:bCs/>
          <w:i/>
          <w:iCs/>
          <w:color w:val="252525"/>
          <w:sz w:val="24"/>
          <w:szCs w:val="24"/>
        </w:rPr>
        <w:t xml:space="preserve">: </w:t>
      </w:r>
      <w:r w:rsidRPr="00B11543">
        <w:rPr>
          <w:rFonts w:ascii="Times New Roman" w:eastAsia="Times New Roman" w:hAnsi="Times New Roman" w:cs="Times New Roman"/>
          <w:bCs/>
          <w:iCs/>
          <w:color w:val="252525"/>
          <w:sz w:val="24"/>
          <w:szCs w:val="24"/>
        </w:rPr>
        <w:t>Organisational culture includes the values, norms, and beliefs of an organisation that employees adhere to maintain harmony (</w:t>
      </w:r>
      <w:proofErr w:type="spellStart"/>
      <w:r w:rsidRPr="00B11543">
        <w:rPr>
          <w:rFonts w:ascii="Times New Roman" w:eastAsia="Times New Roman" w:hAnsi="Times New Roman" w:cs="Times New Roman"/>
          <w:bCs/>
          <w:iCs/>
          <w:color w:val="252525"/>
          <w:sz w:val="24"/>
          <w:szCs w:val="24"/>
        </w:rPr>
        <w:t>Warrick</w:t>
      </w:r>
      <w:proofErr w:type="spellEnd"/>
      <w:r w:rsidRPr="00B11543">
        <w:rPr>
          <w:rFonts w:ascii="Times New Roman" w:eastAsia="Times New Roman" w:hAnsi="Times New Roman" w:cs="Times New Roman"/>
          <w:bCs/>
          <w:iCs/>
          <w:color w:val="252525"/>
          <w:sz w:val="24"/>
          <w:szCs w:val="24"/>
        </w:rPr>
        <w:t>, 2017). Before implementing a flexible working strategy, it must be determined whether or not it has been practised by employees</w:t>
      </w:r>
      <w:r w:rsidRPr="00B11543">
        <w:rPr>
          <w:rFonts w:ascii="Times New Roman" w:eastAsia="Times New Roman" w:hAnsi="Times New Roman" w:cs="Times New Roman"/>
          <w:bCs/>
          <w:i/>
          <w:iCs/>
          <w:color w:val="252525"/>
          <w:sz w:val="24"/>
          <w:szCs w:val="24"/>
        </w:rPr>
        <w:t xml:space="preserve">. </w:t>
      </w:r>
      <w:r w:rsidRPr="00B11543">
        <w:rPr>
          <w:rFonts w:ascii="Times New Roman" w:eastAsia="Times New Roman" w:hAnsi="Times New Roman" w:cs="Times New Roman"/>
          <w:color w:val="252525"/>
          <w:sz w:val="24"/>
          <w:szCs w:val="24"/>
        </w:rPr>
        <w:t>While COVID employees felt the urgency to isolate themselves and work from home, ROWE helped with that. Good organisational culture makes it easy to work with However, if the organisational culture is not healthy, implementing these strategies can be difficult.</w:t>
      </w:r>
    </w:p>
    <w:p w14:paraId="16F7D27A"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Other than that clear expectations and the two-way communication process, having experienced and skilled employees will also have an impact on the flexible working strategies for Boots UK.</w:t>
      </w:r>
    </w:p>
    <w:p w14:paraId="3C525A1A" w14:textId="77777777" w:rsidR="00CE47E7" w:rsidRPr="00B11543" w:rsidRDefault="00FF64B3" w:rsidP="00CC275B">
      <w:pPr>
        <w:pStyle w:val="Heading1"/>
        <w:spacing w:line="360" w:lineRule="auto"/>
        <w:jc w:val="both"/>
        <w:rPr>
          <w:rFonts w:ascii="Times New Roman" w:eastAsia="Times New Roman" w:hAnsi="Times New Roman" w:cs="Times New Roman"/>
        </w:rPr>
      </w:pPr>
      <w:bookmarkStart w:id="3" w:name="_Toc130673970"/>
      <w:r w:rsidRPr="00B11543">
        <w:rPr>
          <w:rFonts w:ascii="Times New Roman" w:eastAsia="Times New Roman" w:hAnsi="Times New Roman" w:cs="Times New Roman"/>
        </w:rPr>
        <w:t>Evaluation of prompting strategies for employee engagement at the time of implementing flexible working</w:t>
      </w:r>
      <w:bookmarkEnd w:id="3"/>
    </w:p>
    <w:p w14:paraId="3E5771BC"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xml:space="preserve">Just implementing a new strategy does not make itself effective. Employee engagement is equally important as choosing the right strategy. Employee engagement shows Boots employees' enthusiasm for their work and responsibility (Sun and </w:t>
      </w:r>
      <w:proofErr w:type="spellStart"/>
      <w:r w:rsidRPr="00B11543">
        <w:rPr>
          <w:rFonts w:ascii="Times New Roman" w:eastAsia="Times New Roman" w:hAnsi="Times New Roman" w:cs="Times New Roman"/>
          <w:color w:val="252525"/>
          <w:sz w:val="24"/>
          <w:szCs w:val="24"/>
        </w:rPr>
        <w:t>Bunchapattanasakda</w:t>
      </w:r>
      <w:proofErr w:type="spellEnd"/>
      <w:r w:rsidRPr="00B11543">
        <w:rPr>
          <w:rFonts w:ascii="Times New Roman" w:eastAsia="Times New Roman" w:hAnsi="Times New Roman" w:cs="Times New Roman"/>
          <w:color w:val="252525"/>
          <w:sz w:val="24"/>
          <w:szCs w:val="24"/>
        </w:rPr>
        <w:t>, 2019).</w:t>
      </w:r>
    </w:p>
    <w:p w14:paraId="3BB30E6A"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There are 5 C’s that can be considered to promote employee engagement while implementing flexible working strategies. Briefly, they are described below:</w:t>
      </w:r>
    </w:p>
    <w:p w14:paraId="5F3CDF88"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Care:</w:t>
      </w:r>
      <w:r w:rsidRPr="00B11543">
        <w:rPr>
          <w:rFonts w:ascii="Times New Roman" w:eastAsia="Times New Roman" w:hAnsi="Times New Roman" w:cs="Times New Roman"/>
          <w:color w:val="252525"/>
          <w:sz w:val="24"/>
          <w:szCs w:val="24"/>
        </w:rPr>
        <w:t xml:space="preserve"> Expressing care to the employees emphasises that the organisation is not here just to get profit but rather values their employees too. COVID has made the policymakers at Boots more sensitive to the well-being of their empl</w:t>
      </w:r>
      <w:r w:rsidR="00456782">
        <w:rPr>
          <w:rFonts w:ascii="Times New Roman" w:eastAsia="Times New Roman" w:hAnsi="Times New Roman" w:cs="Times New Roman"/>
          <w:color w:val="252525"/>
          <w:sz w:val="24"/>
          <w:szCs w:val="24"/>
        </w:rPr>
        <w:t xml:space="preserve">oyees (Kaushik and </w:t>
      </w:r>
      <w:proofErr w:type="spellStart"/>
      <w:r w:rsidR="00456782">
        <w:rPr>
          <w:rFonts w:ascii="Times New Roman" w:eastAsia="Times New Roman" w:hAnsi="Times New Roman" w:cs="Times New Roman"/>
          <w:color w:val="252525"/>
          <w:sz w:val="24"/>
          <w:szCs w:val="24"/>
        </w:rPr>
        <w:t>Guleria</w:t>
      </w:r>
      <w:proofErr w:type="spellEnd"/>
      <w:r w:rsidR="00456782">
        <w:rPr>
          <w:rFonts w:ascii="Times New Roman" w:eastAsia="Times New Roman" w:hAnsi="Times New Roman" w:cs="Times New Roman"/>
          <w:color w:val="252525"/>
          <w:sz w:val="24"/>
          <w:szCs w:val="24"/>
        </w:rPr>
        <w:t>, 2019</w:t>
      </w:r>
      <w:r w:rsidRPr="00B11543">
        <w:rPr>
          <w:rFonts w:ascii="Times New Roman" w:eastAsia="Times New Roman" w:hAnsi="Times New Roman" w:cs="Times New Roman"/>
          <w:color w:val="252525"/>
          <w:sz w:val="24"/>
          <w:szCs w:val="24"/>
        </w:rPr>
        <w:t>). When employees see the effective steps taken for them, it improves their overall performance and engagement.</w:t>
      </w:r>
    </w:p>
    <w:p w14:paraId="3D585B3E"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Connect.</w:t>
      </w:r>
      <w:r w:rsidRPr="00B11543">
        <w:rPr>
          <w:rFonts w:ascii="Times New Roman" w:eastAsia="Times New Roman" w:hAnsi="Times New Roman" w:cs="Times New Roman"/>
          <w:color w:val="252525"/>
          <w:sz w:val="24"/>
          <w:szCs w:val="24"/>
        </w:rPr>
        <w:t xml:space="preserve"> Making a good connection can never be overemphasised. While COVID, asking where employees were on alternate days and ensuring employees and their families were safe and the sound was the best medium for building a good connection and showing care (</w:t>
      </w:r>
      <w:proofErr w:type="spellStart"/>
      <w:r w:rsidRPr="00B11543">
        <w:rPr>
          <w:rFonts w:ascii="Times New Roman" w:eastAsia="Times New Roman" w:hAnsi="Times New Roman" w:cs="Times New Roman"/>
          <w:color w:val="252525"/>
          <w:sz w:val="24"/>
          <w:szCs w:val="24"/>
        </w:rPr>
        <w:t>Chanana</w:t>
      </w:r>
      <w:proofErr w:type="spellEnd"/>
      <w:r w:rsidRPr="00B11543">
        <w:rPr>
          <w:rFonts w:ascii="Times New Roman" w:eastAsia="Times New Roman" w:hAnsi="Times New Roman" w:cs="Times New Roman"/>
          <w:color w:val="252525"/>
          <w:sz w:val="24"/>
          <w:szCs w:val="24"/>
        </w:rPr>
        <w:t xml:space="preserve">, 2021). Making a process of getting feedback from the employees helps in knowing the current </w:t>
      </w:r>
      <w:r w:rsidR="00B11543" w:rsidRPr="00B11543">
        <w:rPr>
          <w:rFonts w:ascii="Times New Roman" w:eastAsia="Times New Roman" w:hAnsi="Times New Roman" w:cs="Times New Roman"/>
          <w:color w:val="252525"/>
          <w:sz w:val="24"/>
          <w:szCs w:val="24"/>
        </w:rPr>
        <w:t>mind-set</w:t>
      </w:r>
      <w:r w:rsidRPr="00B11543">
        <w:rPr>
          <w:rFonts w:ascii="Times New Roman" w:eastAsia="Times New Roman" w:hAnsi="Times New Roman" w:cs="Times New Roman"/>
          <w:color w:val="252525"/>
          <w:sz w:val="24"/>
          <w:szCs w:val="24"/>
        </w:rPr>
        <w:t xml:space="preserve"> of the employees regarding the organisation, and based on that, steps can be taken. Thus, employee-based initiatives make employees feel heard and motivate them to do better.</w:t>
      </w:r>
    </w:p>
    <w:p w14:paraId="01B13683"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Coach:</w:t>
      </w:r>
      <w:r w:rsidRPr="00B11543">
        <w:rPr>
          <w:rFonts w:ascii="Times New Roman" w:eastAsia="Times New Roman" w:hAnsi="Times New Roman" w:cs="Times New Roman"/>
          <w:color w:val="252525"/>
          <w:sz w:val="24"/>
          <w:szCs w:val="24"/>
        </w:rPr>
        <w:t xml:space="preserve"> In the workplace, there should be scope for coaching those who require it. In the COVID situation, Boots' technologically and IT-savvy employees were tasked with teaching others about the required ones. It helps them feel more connected and engaged in the organisation.</w:t>
      </w:r>
    </w:p>
    <w:p w14:paraId="06850307"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Contribute:</w:t>
      </w:r>
      <w:r w:rsidRPr="00B11543">
        <w:rPr>
          <w:rFonts w:ascii="Times New Roman" w:eastAsia="Times New Roman" w:hAnsi="Times New Roman" w:cs="Times New Roman"/>
          <w:color w:val="252525"/>
          <w:sz w:val="24"/>
          <w:szCs w:val="24"/>
        </w:rPr>
        <w:t xml:space="preserve"> Employees can contribute to the organisation by sharing ideas, offering solutions, giving their opinions, etc. (</w:t>
      </w:r>
      <w:proofErr w:type="spellStart"/>
      <w:r w:rsidRPr="00B11543">
        <w:rPr>
          <w:rFonts w:ascii="Times New Roman" w:eastAsia="Times New Roman" w:hAnsi="Times New Roman" w:cs="Times New Roman"/>
          <w:color w:val="252525"/>
          <w:sz w:val="24"/>
          <w:szCs w:val="24"/>
        </w:rPr>
        <w:t>Taneja</w:t>
      </w:r>
      <w:proofErr w:type="spellEnd"/>
      <w:r w:rsidRPr="00B11543">
        <w:rPr>
          <w:rFonts w:ascii="Times New Roman" w:eastAsia="Times New Roman" w:hAnsi="Times New Roman" w:cs="Times New Roman"/>
          <w:color w:val="252525"/>
          <w:sz w:val="24"/>
          <w:szCs w:val="24"/>
        </w:rPr>
        <w:t>, Sewell, and Odom, 2015). Before implanting a flexible strategy like ROEW, taking the opinions of the employees makes them feel valued, increasing their engagement in the organisation as well.</w:t>
      </w:r>
    </w:p>
    <w:p w14:paraId="37D1E94E"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Congratulate:</w:t>
      </w:r>
      <w:r w:rsidRPr="00B11543">
        <w:rPr>
          <w:rFonts w:ascii="Times New Roman" w:eastAsia="Times New Roman" w:hAnsi="Times New Roman" w:cs="Times New Roman"/>
          <w:color w:val="252525"/>
          <w:sz w:val="24"/>
          <w:szCs w:val="24"/>
        </w:rPr>
        <w:t xml:space="preserve"> Appraising the employees boosts their confidence and helps keep a positive attitude towards the organisation. While Boots employees were putting their input from different places during the time pandemic, a weekly meeting used to be held for giving feedback. Getting acknowledgement from the authorities helps them accept the new changes easily.</w:t>
      </w:r>
    </w:p>
    <w:p w14:paraId="0AF023EF"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399F486A"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2EA9D404"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44375832"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A3F5F97"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0C42ED24"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7E9023EA"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7ABEBDCB"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02840345"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1D7E1E8C"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0A66A859"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1F550D64"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1CEF6B81"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27FBF3DB"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07C6D0AF" w14:textId="77777777" w:rsidR="00CC275B" w:rsidRPr="00B11543" w:rsidRDefault="00CC275B"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p>
    <w:p w14:paraId="71407EEC" w14:textId="77777777" w:rsidR="00CE47E7" w:rsidRPr="00B11543" w:rsidRDefault="00FF64B3" w:rsidP="00CC275B">
      <w:pPr>
        <w:pStyle w:val="Heading1"/>
        <w:spacing w:line="360" w:lineRule="auto"/>
        <w:jc w:val="both"/>
        <w:rPr>
          <w:rFonts w:ascii="Times New Roman" w:eastAsia="Times New Roman" w:hAnsi="Times New Roman" w:cs="Times New Roman"/>
        </w:rPr>
      </w:pPr>
      <w:bookmarkStart w:id="4" w:name="_Toc130673971"/>
      <w:r w:rsidRPr="00B11543">
        <w:rPr>
          <w:rFonts w:ascii="Times New Roman" w:eastAsia="Times New Roman" w:hAnsi="Times New Roman" w:cs="Times New Roman"/>
        </w:rPr>
        <w:t>Describe the method of evaluating the employee value proposition for implementing a pay structure</w:t>
      </w:r>
      <w:bookmarkEnd w:id="4"/>
    </w:p>
    <w:p w14:paraId="52520A29"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The employee value proposition is the bundle of advantages employees get in exchange for investing their skills, experiences, and creativity in the organisation (</w:t>
      </w:r>
      <w:proofErr w:type="spellStart"/>
      <w:r w:rsidRPr="00B11543">
        <w:rPr>
          <w:rFonts w:ascii="Times New Roman" w:eastAsia="Times New Roman" w:hAnsi="Times New Roman" w:cs="Times New Roman"/>
          <w:color w:val="252525"/>
          <w:sz w:val="24"/>
          <w:szCs w:val="24"/>
        </w:rPr>
        <w:t>Sengupta</w:t>
      </w:r>
      <w:proofErr w:type="spellEnd"/>
      <w:r w:rsidRPr="00B11543">
        <w:rPr>
          <w:rFonts w:ascii="Times New Roman" w:eastAsia="Times New Roman" w:hAnsi="Times New Roman" w:cs="Times New Roman"/>
          <w:color w:val="252525"/>
          <w:sz w:val="24"/>
          <w:szCs w:val="24"/>
        </w:rPr>
        <w:t xml:space="preserve">, </w:t>
      </w:r>
      <w:proofErr w:type="spellStart"/>
      <w:r w:rsidRPr="00B11543">
        <w:rPr>
          <w:rFonts w:ascii="Times New Roman" w:eastAsia="Times New Roman" w:hAnsi="Times New Roman" w:cs="Times New Roman"/>
          <w:color w:val="252525"/>
          <w:sz w:val="24"/>
          <w:szCs w:val="24"/>
        </w:rPr>
        <w:t>Bamel</w:t>
      </w:r>
      <w:proofErr w:type="spellEnd"/>
      <w:r w:rsidRPr="00B11543">
        <w:rPr>
          <w:rFonts w:ascii="Times New Roman" w:eastAsia="Times New Roman" w:hAnsi="Times New Roman" w:cs="Times New Roman"/>
          <w:color w:val="252525"/>
          <w:sz w:val="24"/>
          <w:szCs w:val="24"/>
        </w:rPr>
        <w:t>, and Singh, 2015). This also serves as an organisational branding tool (</w:t>
      </w:r>
      <w:proofErr w:type="spellStart"/>
      <w:r w:rsidRPr="00B11543">
        <w:rPr>
          <w:rFonts w:ascii="Times New Roman" w:eastAsia="Times New Roman" w:hAnsi="Times New Roman" w:cs="Times New Roman"/>
          <w:color w:val="252525"/>
          <w:sz w:val="24"/>
          <w:szCs w:val="24"/>
        </w:rPr>
        <w:t>Goswami</w:t>
      </w:r>
      <w:proofErr w:type="spellEnd"/>
      <w:r w:rsidRPr="00B11543">
        <w:rPr>
          <w:rFonts w:ascii="Times New Roman" w:eastAsia="Times New Roman" w:hAnsi="Times New Roman" w:cs="Times New Roman"/>
          <w:color w:val="252525"/>
          <w:sz w:val="24"/>
          <w:szCs w:val="24"/>
        </w:rPr>
        <w:t>, 2015). Boots' distinct essence will be defined by its EVP, or employee value proposition. A pandemic or other form of distress feels like a litmus test for any organisation. Changing the pay structure of the company will have an impact on its employee value proposition. Some themes of Value Proposition Evaluation to Implement Boots pay structure will be discussed shortly -</w:t>
      </w:r>
    </w:p>
    <w:p w14:paraId="305CAC6C"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Change:</w:t>
      </w:r>
      <w:r w:rsidRPr="00B11543">
        <w:rPr>
          <w:rFonts w:ascii="Times New Roman" w:eastAsia="Times New Roman" w:hAnsi="Times New Roman" w:cs="Times New Roman"/>
          <w:color w:val="252525"/>
          <w:sz w:val="24"/>
          <w:szCs w:val="24"/>
        </w:rPr>
        <w:t xml:space="preserve"> If changing is part of the organisation’s EVP, then it will be easier to accept a change. During the pandemic, a drastic change can be noticed in the pay structure. A large number of successful employees make transitioning easier. Here, clear communication will be key for both parties.</w:t>
      </w:r>
    </w:p>
    <w:p w14:paraId="6E4F89CB"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Compensation:</w:t>
      </w:r>
      <w:r w:rsidRPr="00B11543">
        <w:rPr>
          <w:rFonts w:ascii="Times New Roman" w:eastAsia="Times New Roman" w:hAnsi="Times New Roman" w:cs="Times New Roman"/>
          <w:color w:val="252525"/>
          <w:sz w:val="24"/>
          <w:szCs w:val="24"/>
        </w:rPr>
        <w:t xml:space="preserve"> Other types of compensation can be given to employees besides the regular salary. Performance-based hiring can work wonders in this situation. This is also related to the ROWE concept of flexible working strategies. Following this in the pay structure will motivate and engage employees to their fullest potential. A bundle of sales, the price of the stock, and the profit gained can be offered to the employees (</w:t>
      </w:r>
      <w:proofErr w:type="spellStart"/>
      <w:r w:rsidRPr="00B11543">
        <w:rPr>
          <w:rFonts w:ascii="Times New Roman" w:eastAsia="Times New Roman" w:hAnsi="Times New Roman" w:cs="Times New Roman"/>
          <w:color w:val="252525"/>
          <w:sz w:val="24"/>
          <w:szCs w:val="24"/>
        </w:rPr>
        <w:t>Sundberg</w:t>
      </w:r>
      <w:proofErr w:type="spellEnd"/>
      <w:r w:rsidRPr="00B11543">
        <w:rPr>
          <w:rFonts w:ascii="Times New Roman" w:eastAsia="Times New Roman" w:hAnsi="Times New Roman" w:cs="Times New Roman"/>
          <w:color w:val="252525"/>
          <w:sz w:val="24"/>
          <w:szCs w:val="24"/>
        </w:rPr>
        <w:t>, 2020). This helps keep Boots' employees happy in the long run.</w:t>
      </w:r>
    </w:p>
    <w:p w14:paraId="7C66136C"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Inclusion and diversity:</w:t>
      </w:r>
      <w:r w:rsidRPr="00B11543">
        <w:rPr>
          <w:rFonts w:ascii="Times New Roman" w:eastAsia="Times New Roman" w:hAnsi="Times New Roman" w:cs="Times New Roman"/>
          <w:color w:val="252525"/>
          <w:sz w:val="24"/>
          <w:szCs w:val="24"/>
        </w:rPr>
        <w:t xml:space="preserve"> employees need to feel included in the organisation. The pay structure should be made keeping in mind the needs and requirements of the employees. During the pandemic, it’s important to include health compensation in the pay structure. It demonstrates the employees' sense of belonging.</w:t>
      </w:r>
    </w:p>
    <w:p w14:paraId="73041EFA"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 xml:space="preserve">Work-life balance is important for providing the best service. </w:t>
      </w:r>
      <w:r w:rsidRPr="00B11543">
        <w:rPr>
          <w:rFonts w:ascii="Times New Roman" w:eastAsia="Times New Roman" w:hAnsi="Times New Roman" w:cs="Times New Roman"/>
          <w:color w:val="252525"/>
          <w:sz w:val="24"/>
          <w:szCs w:val="24"/>
        </w:rPr>
        <w:t>Balancing two lives allows you to be more innovative and creative at work. Thus, employees can get the most out of performance-based pay. COVID has taken a great toll on everyone’s mind. After that, balancing became even more important. The pay structure should encourage flexibility among the employees so that they can have their personal lives while also giving their best to the organisation.</w:t>
      </w:r>
    </w:p>
    <w:p w14:paraId="002549B2"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b/>
          <w:bCs/>
          <w:i/>
          <w:iCs/>
          <w:color w:val="252525"/>
          <w:sz w:val="24"/>
          <w:szCs w:val="24"/>
        </w:rPr>
        <w:t>Alignment:</w:t>
      </w:r>
      <w:r w:rsidRPr="00B11543">
        <w:rPr>
          <w:rFonts w:ascii="Times New Roman" w:eastAsia="Times New Roman" w:hAnsi="Times New Roman" w:cs="Times New Roman"/>
          <w:color w:val="252525"/>
          <w:sz w:val="24"/>
          <w:szCs w:val="24"/>
        </w:rPr>
        <w:t xml:space="preserve"> Last but not least, the pay structure needs to be aligned with the values and objectives of the organisation. Boots needs to pay heed to ensure things do not conflict with each other and maintain their true value.</w:t>
      </w:r>
    </w:p>
    <w:p w14:paraId="3188E24B"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6B5E2CAA" w14:textId="77777777" w:rsidR="00CE47E7" w:rsidRPr="00B11543" w:rsidRDefault="00FF64B3"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r w:rsidRPr="00B11543">
        <w:rPr>
          <w:rFonts w:ascii="Times New Roman" w:eastAsia="Times New Roman" w:hAnsi="Times New Roman" w:cs="Times New Roman"/>
          <w:b/>
          <w:bCs/>
          <w:color w:val="252525"/>
          <w:kern w:val="36"/>
          <w:sz w:val="48"/>
          <w:szCs w:val="48"/>
        </w:rPr>
        <w:t> </w:t>
      </w:r>
    </w:p>
    <w:p w14:paraId="16E460AF" w14:textId="77777777" w:rsidR="00CE47E7" w:rsidRPr="00B11543" w:rsidRDefault="00CE47E7"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525DD4D7" w14:textId="77777777" w:rsidR="00CC275B" w:rsidRPr="00B11543" w:rsidRDefault="00CC275B"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74BB2FF1" w14:textId="77777777" w:rsidR="00CC275B" w:rsidRPr="00B11543" w:rsidRDefault="00CC275B"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4C2B29B6" w14:textId="77777777" w:rsidR="00CC275B" w:rsidRPr="00B11543" w:rsidRDefault="00CC275B"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2EEBFA05" w14:textId="77777777" w:rsidR="00CC275B" w:rsidRPr="00B11543" w:rsidRDefault="00CC275B"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2DE34F8F" w14:textId="77777777" w:rsidR="00CC275B" w:rsidRPr="00B11543" w:rsidRDefault="00CC275B"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046FEE34" w14:textId="77777777" w:rsidR="00CC275B" w:rsidRPr="00B11543" w:rsidRDefault="00CC275B" w:rsidP="00CC275B">
      <w:pPr>
        <w:spacing w:before="100" w:beforeAutospacing="1" w:after="100" w:afterAutospacing="1" w:line="360" w:lineRule="auto"/>
        <w:jc w:val="both"/>
        <w:outlineLvl w:val="0"/>
        <w:rPr>
          <w:rFonts w:ascii="Times New Roman" w:eastAsia="Times New Roman" w:hAnsi="Times New Roman" w:cs="Times New Roman"/>
          <w:b/>
          <w:bCs/>
          <w:color w:val="252525"/>
          <w:kern w:val="36"/>
          <w:sz w:val="48"/>
          <w:szCs w:val="48"/>
        </w:rPr>
      </w:pPr>
    </w:p>
    <w:p w14:paraId="5511FEC8" w14:textId="77777777" w:rsidR="00CE47E7" w:rsidRPr="00B11543" w:rsidRDefault="00FF64B3" w:rsidP="00CC275B">
      <w:pPr>
        <w:pStyle w:val="Heading1"/>
        <w:spacing w:line="360" w:lineRule="auto"/>
        <w:jc w:val="both"/>
        <w:rPr>
          <w:rFonts w:ascii="Times New Roman" w:eastAsia="Times New Roman" w:hAnsi="Times New Roman" w:cs="Times New Roman"/>
        </w:rPr>
      </w:pPr>
      <w:bookmarkStart w:id="5" w:name="_Toc130673972"/>
      <w:r w:rsidRPr="00B11543">
        <w:rPr>
          <w:rFonts w:ascii="Times New Roman" w:eastAsia="Times New Roman" w:hAnsi="Times New Roman" w:cs="Times New Roman"/>
        </w:rPr>
        <w:t>Conclusion</w:t>
      </w:r>
      <w:bookmarkEnd w:id="5"/>
    </w:p>
    <w:p w14:paraId="2E6819D8"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Flexible working strategies offer many positive aspects, like increased productivity, increased concentration, creativity, etc. This is a fantastic idea, especially in the aftermath of COVID. Some factors like facilities, employees’ abilities, and the organisation’s objectives need to be considered while implementing flexible working strategies. Five C’s named Care, Connect, Congratulate, Coach, and Contribute help promote employee engagement. And EVP is influenced by different themes like work-life balance, alignment, etc. that need to be kept in mind while imposing a pay structure.</w:t>
      </w:r>
    </w:p>
    <w:p w14:paraId="6AB44F7A"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2259FD9F"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716391BA"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3DA8C07"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423A9AF8"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5D57FF4C"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3E9F355"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128CCDD"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6547EA9D"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30068F2"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1C6D293"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13890FE5" w14:textId="77777777" w:rsidR="00CE47E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0C338A67" w14:textId="77777777" w:rsidR="00A364B7" w:rsidRPr="00B11543" w:rsidRDefault="00FF64B3" w:rsidP="00CC275B">
      <w:pPr>
        <w:spacing w:before="100" w:beforeAutospacing="1" w:after="100" w:afterAutospacing="1" w:line="360" w:lineRule="auto"/>
        <w:jc w:val="both"/>
        <w:rPr>
          <w:rFonts w:ascii="Times New Roman" w:eastAsia="Times New Roman" w:hAnsi="Times New Roman" w:cs="Times New Roman"/>
          <w:color w:val="252525"/>
          <w:sz w:val="24"/>
          <w:szCs w:val="24"/>
        </w:rPr>
      </w:pPr>
      <w:r w:rsidRPr="00B11543">
        <w:rPr>
          <w:rFonts w:ascii="Times New Roman" w:eastAsia="Times New Roman" w:hAnsi="Times New Roman" w:cs="Times New Roman"/>
          <w:color w:val="252525"/>
          <w:sz w:val="24"/>
          <w:szCs w:val="24"/>
        </w:rPr>
        <w:t> </w:t>
      </w:r>
    </w:p>
    <w:p w14:paraId="30514C76" w14:textId="77777777" w:rsidR="005B597B" w:rsidRPr="00B11543" w:rsidRDefault="00FF64B3" w:rsidP="00CC275B">
      <w:pPr>
        <w:pStyle w:val="Heading1"/>
        <w:spacing w:line="360" w:lineRule="auto"/>
        <w:jc w:val="both"/>
        <w:rPr>
          <w:rFonts w:ascii="Times New Roman" w:hAnsi="Times New Roman" w:cs="Times New Roman"/>
        </w:rPr>
      </w:pPr>
      <w:bookmarkStart w:id="6" w:name="_Toc130673973"/>
      <w:r w:rsidRPr="00B11543">
        <w:rPr>
          <w:rFonts w:ascii="Times New Roman" w:hAnsi="Times New Roman" w:cs="Times New Roman"/>
        </w:rPr>
        <w:t>References</w:t>
      </w:r>
      <w:bookmarkEnd w:id="6"/>
    </w:p>
    <w:p w14:paraId="39EF29CD"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Chanana</w:t>
      </w:r>
      <w:proofErr w:type="spellEnd"/>
      <w:r w:rsidRPr="00B11543">
        <w:rPr>
          <w:rFonts w:ascii="Times New Roman" w:hAnsi="Times New Roman" w:cs="Times New Roman"/>
          <w:sz w:val="24"/>
          <w:szCs w:val="24"/>
        </w:rPr>
        <w:t xml:space="preserve">, N. (2021). Employee engagement practices during COVID‐19 lockdown. </w:t>
      </w:r>
      <w:r w:rsidRPr="00B11543">
        <w:rPr>
          <w:rFonts w:ascii="Times New Roman" w:hAnsi="Times New Roman" w:cs="Times New Roman"/>
          <w:i/>
          <w:iCs/>
          <w:sz w:val="24"/>
          <w:szCs w:val="24"/>
        </w:rPr>
        <w:t>Journal of public affairs,</w:t>
      </w:r>
      <w:r w:rsidRPr="00B11543">
        <w:rPr>
          <w:rFonts w:ascii="Times New Roman" w:hAnsi="Times New Roman" w:cs="Times New Roman"/>
          <w:sz w:val="24"/>
          <w:szCs w:val="24"/>
        </w:rPr>
        <w:t xml:space="preserve"> 21(4), e2508.</w:t>
      </w:r>
    </w:p>
    <w:p w14:paraId="27237CA2" w14:textId="77777777" w:rsidR="00CC275B" w:rsidRPr="00B11543" w:rsidRDefault="00CC275B" w:rsidP="00CC275B">
      <w:pPr>
        <w:spacing w:line="360" w:lineRule="auto"/>
        <w:jc w:val="both"/>
        <w:rPr>
          <w:rFonts w:ascii="Times New Roman" w:hAnsi="Times New Roman" w:cs="Times New Roman"/>
          <w:sz w:val="24"/>
          <w:szCs w:val="24"/>
        </w:rPr>
      </w:pPr>
      <w:r w:rsidRPr="00B11543">
        <w:rPr>
          <w:rFonts w:ascii="Times New Roman" w:hAnsi="Times New Roman" w:cs="Times New Roman"/>
          <w:sz w:val="24"/>
          <w:szCs w:val="24"/>
        </w:rPr>
        <w:t xml:space="preserve">Chung, H., &amp; Van der </w:t>
      </w:r>
      <w:proofErr w:type="spellStart"/>
      <w:r w:rsidRPr="00B11543">
        <w:rPr>
          <w:rFonts w:ascii="Times New Roman" w:hAnsi="Times New Roman" w:cs="Times New Roman"/>
          <w:sz w:val="24"/>
          <w:szCs w:val="24"/>
        </w:rPr>
        <w:t>Lippe</w:t>
      </w:r>
      <w:proofErr w:type="spellEnd"/>
      <w:r w:rsidRPr="00B11543">
        <w:rPr>
          <w:rFonts w:ascii="Times New Roman" w:hAnsi="Times New Roman" w:cs="Times New Roman"/>
          <w:sz w:val="24"/>
          <w:szCs w:val="24"/>
        </w:rPr>
        <w:t xml:space="preserve">, T. (2020). Flexible working, work–life balance, and gender equality: Introduction. </w:t>
      </w:r>
      <w:r w:rsidRPr="00B11543">
        <w:rPr>
          <w:rFonts w:ascii="Times New Roman" w:hAnsi="Times New Roman" w:cs="Times New Roman"/>
          <w:i/>
          <w:iCs/>
          <w:sz w:val="24"/>
          <w:szCs w:val="24"/>
        </w:rPr>
        <w:t>Social Indicators Research</w:t>
      </w:r>
      <w:r w:rsidRPr="00B11543">
        <w:rPr>
          <w:rFonts w:ascii="Times New Roman" w:hAnsi="Times New Roman" w:cs="Times New Roman"/>
          <w:sz w:val="24"/>
          <w:szCs w:val="24"/>
        </w:rPr>
        <w:t>, 151(2), 365-381.</w:t>
      </w:r>
    </w:p>
    <w:p w14:paraId="1771208E" w14:textId="77777777" w:rsidR="00CC275B" w:rsidRPr="00B11543" w:rsidRDefault="00CC275B" w:rsidP="00CC275B">
      <w:pPr>
        <w:spacing w:line="360" w:lineRule="auto"/>
        <w:jc w:val="both"/>
        <w:rPr>
          <w:rFonts w:ascii="Times New Roman" w:hAnsi="Times New Roman" w:cs="Times New Roman"/>
          <w:sz w:val="24"/>
          <w:szCs w:val="24"/>
        </w:rPr>
      </w:pPr>
      <w:r w:rsidRPr="00B11543">
        <w:rPr>
          <w:rFonts w:ascii="Times New Roman" w:hAnsi="Times New Roman" w:cs="Times New Roman"/>
          <w:sz w:val="24"/>
          <w:szCs w:val="24"/>
        </w:rPr>
        <w:t xml:space="preserve">Craft, M. (2022) </w:t>
      </w:r>
      <w:r w:rsidRPr="00B11543">
        <w:rPr>
          <w:rFonts w:ascii="Times New Roman" w:hAnsi="Times New Roman" w:cs="Times New Roman"/>
          <w:i/>
          <w:iCs/>
          <w:sz w:val="24"/>
          <w:szCs w:val="24"/>
        </w:rPr>
        <w:t>Boots Beats Superdrug</w:t>
      </w:r>
      <w:r w:rsidR="00B11543">
        <w:rPr>
          <w:rFonts w:ascii="Times New Roman" w:hAnsi="Times New Roman" w:cs="Times New Roman"/>
          <w:i/>
          <w:iCs/>
          <w:sz w:val="24"/>
          <w:szCs w:val="24"/>
        </w:rPr>
        <w:t xml:space="preserve"> And Supermarkets In Health &amp;</w:t>
      </w:r>
      <w:r w:rsidRPr="00B11543">
        <w:rPr>
          <w:rFonts w:ascii="Times New Roman" w:hAnsi="Times New Roman" w:cs="Times New Roman"/>
          <w:i/>
          <w:iCs/>
          <w:sz w:val="24"/>
          <w:szCs w:val="24"/>
        </w:rPr>
        <w:t xml:space="preserve"> Beauty Ranking, </w:t>
      </w:r>
      <w:proofErr w:type="spellStart"/>
      <w:r w:rsidRPr="00B11543">
        <w:rPr>
          <w:rFonts w:ascii="Times New Roman" w:hAnsi="Times New Roman" w:cs="Times New Roman"/>
          <w:i/>
          <w:iCs/>
          <w:sz w:val="24"/>
          <w:szCs w:val="24"/>
        </w:rPr>
        <w:t>KamCity</w:t>
      </w:r>
      <w:proofErr w:type="spellEnd"/>
      <w:r w:rsidRPr="00B11543">
        <w:rPr>
          <w:rFonts w:ascii="Times New Roman" w:hAnsi="Times New Roman" w:cs="Times New Roman"/>
          <w:sz w:val="24"/>
          <w:szCs w:val="24"/>
        </w:rPr>
        <w:t>. Available at: https://www.kamcity.com/namnews/uk-and-ireland/healthbeauty/boots-beats-superdrug-and-supermarkets-in-health-beauty-ranking/ (Accessed: March 25, 2023).</w:t>
      </w:r>
    </w:p>
    <w:p w14:paraId="69FAA8EC" w14:textId="77777777" w:rsidR="00CC275B" w:rsidRPr="00B11543" w:rsidRDefault="00CC275B" w:rsidP="00CC275B">
      <w:pPr>
        <w:spacing w:line="360" w:lineRule="auto"/>
        <w:jc w:val="both"/>
        <w:rPr>
          <w:rFonts w:ascii="Times New Roman" w:hAnsi="Times New Roman" w:cs="Times New Roman"/>
          <w:sz w:val="24"/>
          <w:szCs w:val="24"/>
        </w:rPr>
      </w:pPr>
      <w:r w:rsidRPr="00B11543">
        <w:rPr>
          <w:rFonts w:ascii="Times New Roman" w:hAnsi="Times New Roman" w:cs="Times New Roman"/>
          <w:sz w:val="24"/>
          <w:szCs w:val="24"/>
        </w:rPr>
        <w:t xml:space="preserve">Eldridge, C., &amp; Palmer, N. (2009). Performance-based payment: some reflections on the discourse, evidence and unanswered questions. </w:t>
      </w:r>
      <w:r w:rsidRPr="00B11543">
        <w:rPr>
          <w:rFonts w:ascii="Times New Roman" w:hAnsi="Times New Roman" w:cs="Times New Roman"/>
          <w:i/>
          <w:iCs/>
          <w:sz w:val="24"/>
          <w:szCs w:val="24"/>
        </w:rPr>
        <w:t>Health policy and planning</w:t>
      </w:r>
      <w:r w:rsidRPr="00B11543">
        <w:rPr>
          <w:rFonts w:ascii="Times New Roman" w:hAnsi="Times New Roman" w:cs="Times New Roman"/>
          <w:sz w:val="24"/>
          <w:szCs w:val="24"/>
        </w:rPr>
        <w:t>, 24(3), 160-166.</w:t>
      </w:r>
    </w:p>
    <w:p w14:paraId="502F4E8F"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Goswami</w:t>
      </w:r>
      <w:proofErr w:type="spellEnd"/>
      <w:r w:rsidRPr="00B11543">
        <w:rPr>
          <w:rFonts w:ascii="Times New Roman" w:hAnsi="Times New Roman" w:cs="Times New Roman"/>
          <w:sz w:val="24"/>
          <w:szCs w:val="24"/>
        </w:rPr>
        <w:t xml:space="preserve">, P. (2015). Employee value proposition: a tool for employment branding. </w:t>
      </w:r>
      <w:r w:rsidRPr="00B11543">
        <w:rPr>
          <w:rFonts w:ascii="Times New Roman" w:hAnsi="Times New Roman" w:cs="Times New Roman"/>
          <w:i/>
          <w:iCs/>
          <w:sz w:val="24"/>
          <w:szCs w:val="24"/>
        </w:rPr>
        <w:t>International Journal of Scientific and Research Publications</w:t>
      </w:r>
      <w:r w:rsidRPr="00B11543">
        <w:rPr>
          <w:rFonts w:ascii="Times New Roman" w:hAnsi="Times New Roman" w:cs="Times New Roman"/>
          <w:sz w:val="24"/>
          <w:szCs w:val="24"/>
        </w:rPr>
        <w:t>, 5(12), 263-264.</w:t>
      </w:r>
    </w:p>
    <w:p w14:paraId="41E5A236" w14:textId="77777777" w:rsidR="00CC275B" w:rsidRPr="00B11543" w:rsidRDefault="00CC275B" w:rsidP="00CC275B">
      <w:pPr>
        <w:spacing w:line="360" w:lineRule="auto"/>
        <w:jc w:val="both"/>
        <w:rPr>
          <w:rFonts w:ascii="Times New Roman" w:hAnsi="Times New Roman" w:cs="Times New Roman"/>
          <w:sz w:val="24"/>
          <w:szCs w:val="24"/>
        </w:rPr>
      </w:pPr>
      <w:r w:rsidRPr="00B11543">
        <w:rPr>
          <w:rFonts w:ascii="Times New Roman" w:hAnsi="Times New Roman" w:cs="Times New Roman"/>
          <w:sz w:val="24"/>
          <w:szCs w:val="24"/>
        </w:rPr>
        <w:t xml:space="preserve">Kaushik, M., &amp; </w:t>
      </w:r>
      <w:proofErr w:type="spellStart"/>
      <w:r w:rsidRPr="00B11543">
        <w:rPr>
          <w:rFonts w:ascii="Times New Roman" w:hAnsi="Times New Roman" w:cs="Times New Roman"/>
          <w:sz w:val="24"/>
          <w:szCs w:val="24"/>
        </w:rPr>
        <w:t>Guleria</w:t>
      </w:r>
      <w:proofErr w:type="spellEnd"/>
      <w:r w:rsidRPr="00B11543">
        <w:rPr>
          <w:rFonts w:ascii="Times New Roman" w:hAnsi="Times New Roman" w:cs="Times New Roman"/>
          <w:sz w:val="24"/>
          <w:szCs w:val="24"/>
        </w:rPr>
        <w:t xml:space="preserve">, N. (2019). Employee relations and engagement during COVID-19. </w:t>
      </w:r>
      <w:r w:rsidRPr="00B11543">
        <w:rPr>
          <w:rFonts w:ascii="Times New Roman" w:hAnsi="Times New Roman" w:cs="Times New Roman"/>
          <w:i/>
          <w:iCs/>
          <w:sz w:val="24"/>
          <w:szCs w:val="24"/>
        </w:rPr>
        <w:t>Employee Relations</w:t>
      </w:r>
      <w:r w:rsidRPr="00B11543">
        <w:rPr>
          <w:rFonts w:ascii="Times New Roman" w:hAnsi="Times New Roman" w:cs="Times New Roman"/>
          <w:sz w:val="24"/>
          <w:szCs w:val="24"/>
        </w:rPr>
        <w:t>, 2(3).</w:t>
      </w:r>
    </w:p>
    <w:p w14:paraId="218CB86D"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Sengupta</w:t>
      </w:r>
      <w:proofErr w:type="spellEnd"/>
      <w:r w:rsidRPr="00B11543">
        <w:rPr>
          <w:rFonts w:ascii="Times New Roman" w:hAnsi="Times New Roman" w:cs="Times New Roman"/>
          <w:sz w:val="24"/>
          <w:szCs w:val="24"/>
        </w:rPr>
        <w:t xml:space="preserve">, A., </w:t>
      </w:r>
      <w:proofErr w:type="spellStart"/>
      <w:r w:rsidRPr="00B11543">
        <w:rPr>
          <w:rFonts w:ascii="Times New Roman" w:hAnsi="Times New Roman" w:cs="Times New Roman"/>
          <w:sz w:val="24"/>
          <w:szCs w:val="24"/>
        </w:rPr>
        <w:t>Bamel</w:t>
      </w:r>
      <w:proofErr w:type="spellEnd"/>
      <w:r w:rsidRPr="00B11543">
        <w:rPr>
          <w:rFonts w:ascii="Times New Roman" w:hAnsi="Times New Roman" w:cs="Times New Roman"/>
          <w:sz w:val="24"/>
          <w:szCs w:val="24"/>
        </w:rPr>
        <w:t xml:space="preserve">, U., &amp; Singh, P. (2015). Value proposition framework: implications for employer branding. </w:t>
      </w:r>
      <w:r w:rsidRPr="00B11543">
        <w:rPr>
          <w:rFonts w:ascii="Times New Roman" w:hAnsi="Times New Roman" w:cs="Times New Roman"/>
          <w:i/>
          <w:iCs/>
          <w:sz w:val="24"/>
          <w:szCs w:val="24"/>
        </w:rPr>
        <w:t>Decision</w:t>
      </w:r>
      <w:r w:rsidRPr="00B11543">
        <w:rPr>
          <w:rFonts w:ascii="Times New Roman" w:hAnsi="Times New Roman" w:cs="Times New Roman"/>
          <w:sz w:val="24"/>
          <w:szCs w:val="24"/>
        </w:rPr>
        <w:t>, 42(3), 307-323.</w:t>
      </w:r>
    </w:p>
    <w:p w14:paraId="2E8BFA07" w14:textId="77777777" w:rsidR="00CC275B" w:rsidRPr="00B11543" w:rsidRDefault="00CC275B" w:rsidP="00CC275B">
      <w:pPr>
        <w:spacing w:line="360" w:lineRule="auto"/>
        <w:jc w:val="both"/>
        <w:rPr>
          <w:rFonts w:ascii="Times New Roman" w:hAnsi="Times New Roman" w:cs="Times New Roman"/>
          <w:sz w:val="24"/>
          <w:szCs w:val="24"/>
        </w:rPr>
      </w:pPr>
      <w:r w:rsidRPr="00B11543">
        <w:rPr>
          <w:rFonts w:ascii="Times New Roman" w:hAnsi="Times New Roman" w:cs="Times New Roman"/>
          <w:sz w:val="24"/>
          <w:szCs w:val="24"/>
        </w:rPr>
        <w:t xml:space="preserve">Sun, L., &amp; </w:t>
      </w:r>
      <w:proofErr w:type="spellStart"/>
      <w:r w:rsidRPr="00B11543">
        <w:rPr>
          <w:rFonts w:ascii="Times New Roman" w:hAnsi="Times New Roman" w:cs="Times New Roman"/>
          <w:sz w:val="24"/>
          <w:szCs w:val="24"/>
        </w:rPr>
        <w:t>Bunchapattanasakda</w:t>
      </w:r>
      <w:proofErr w:type="spellEnd"/>
      <w:r w:rsidRPr="00B11543">
        <w:rPr>
          <w:rFonts w:ascii="Times New Roman" w:hAnsi="Times New Roman" w:cs="Times New Roman"/>
          <w:sz w:val="24"/>
          <w:szCs w:val="24"/>
        </w:rPr>
        <w:t xml:space="preserve">, C. (2019). Employee engagement: A literature review. </w:t>
      </w:r>
      <w:r w:rsidRPr="00B11543">
        <w:rPr>
          <w:rFonts w:ascii="Times New Roman" w:hAnsi="Times New Roman" w:cs="Times New Roman"/>
          <w:i/>
          <w:iCs/>
          <w:sz w:val="24"/>
          <w:szCs w:val="24"/>
        </w:rPr>
        <w:t>International Journal of Human Resource Studies</w:t>
      </w:r>
      <w:r w:rsidRPr="00B11543">
        <w:rPr>
          <w:rFonts w:ascii="Times New Roman" w:hAnsi="Times New Roman" w:cs="Times New Roman"/>
          <w:sz w:val="24"/>
          <w:szCs w:val="24"/>
        </w:rPr>
        <w:t>, 9(1), 63-80.</w:t>
      </w:r>
    </w:p>
    <w:p w14:paraId="4B039C82"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Sundberg</w:t>
      </w:r>
      <w:proofErr w:type="spellEnd"/>
      <w:r w:rsidRPr="00B11543">
        <w:rPr>
          <w:rFonts w:ascii="Times New Roman" w:hAnsi="Times New Roman" w:cs="Times New Roman"/>
          <w:sz w:val="24"/>
          <w:szCs w:val="24"/>
        </w:rPr>
        <w:t xml:space="preserve">, J. (2020) </w:t>
      </w:r>
      <w:r w:rsidRPr="00B11543">
        <w:rPr>
          <w:rFonts w:ascii="Times New Roman" w:hAnsi="Times New Roman" w:cs="Times New Roman"/>
          <w:i/>
          <w:iCs/>
          <w:sz w:val="24"/>
          <w:szCs w:val="24"/>
        </w:rPr>
        <w:t>EVP pillars in a time of crisis</w:t>
      </w:r>
      <w:r w:rsidRPr="00B11543">
        <w:rPr>
          <w:rFonts w:ascii="Times New Roman" w:hAnsi="Times New Roman" w:cs="Times New Roman"/>
          <w:sz w:val="24"/>
          <w:szCs w:val="24"/>
        </w:rPr>
        <w:t xml:space="preserve">, </w:t>
      </w:r>
      <w:r w:rsidRPr="00B11543">
        <w:rPr>
          <w:rFonts w:ascii="Times New Roman" w:hAnsi="Times New Roman" w:cs="Times New Roman"/>
          <w:i/>
          <w:iCs/>
          <w:sz w:val="24"/>
          <w:szCs w:val="24"/>
        </w:rPr>
        <w:t>Link Humans</w:t>
      </w:r>
      <w:r w:rsidRPr="00B11543">
        <w:rPr>
          <w:rFonts w:ascii="Times New Roman" w:hAnsi="Times New Roman" w:cs="Times New Roman"/>
          <w:sz w:val="24"/>
          <w:szCs w:val="24"/>
        </w:rPr>
        <w:t xml:space="preserve">. Available at: https://linkhumans.com/evp-pillars-crisis/ (Accessed: March 25, 2023). </w:t>
      </w:r>
    </w:p>
    <w:p w14:paraId="64980961"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Talevi</w:t>
      </w:r>
      <w:proofErr w:type="spellEnd"/>
      <w:r w:rsidRPr="00B11543">
        <w:rPr>
          <w:rFonts w:ascii="Times New Roman" w:hAnsi="Times New Roman" w:cs="Times New Roman"/>
          <w:sz w:val="24"/>
          <w:szCs w:val="24"/>
        </w:rPr>
        <w:t xml:space="preserve">, D., </w:t>
      </w:r>
      <w:proofErr w:type="spellStart"/>
      <w:r w:rsidRPr="00B11543">
        <w:rPr>
          <w:rFonts w:ascii="Times New Roman" w:hAnsi="Times New Roman" w:cs="Times New Roman"/>
          <w:sz w:val="24"/>
          <w:szCs w:val="24"/>
        </w:rPr>
        <w:t>Socci</w:t>
      </w:r>
      <w:proofErr w:type="spellEnd"/>
      <w:r w:rsidRPr="00B11543">
        <w:rPr>
          <w:rFonts w:ascii="Times New Roman" w:hAnsi="Times New Roman" w:cs="Times New Roman"/>
          <w:sz w:val="24"/>
          <w:szCs w:val="24"/>
        </w:rPr>
        <w:t xml:space="preserve">, V., </w:t>
      </w:r>
      <w:proofErr w:type="spellStart"/>
      <w:r w:rsidRPr="00B11543">
        <w:rPr>
          <w:rFonts w:ascii="Times New Roman" w:hAnsi="Times New Roman" w:cs="Times New Roman"/>
          <w:sz w:val="24"/>
          <w:szCs w:val="24"/>
        </w:rPr>
        <w:t>Carai</w:t>
      </w:r>
      <w:proofErr w:type="spellEnd"/>
      <w:r w:rsidRPr="00B11543">
        <w:rPr>
          <w:rFonts w:ascii="Times New Roman" w:hAnsi="Times New Roman" w:cs="Times New Roman"/>
          <w:sz w:val="24"/>
          <w:szCs w:val="24"/>
        </w:rPr>
        <w:t xml:space="preserve">, M., </w:t>
      </w:r>
      <w:proofErr w:type="spellStart"/>
      <w:r w:rsidRPr="00B11543">
        <w:rPr>
          <w:rFonts w:ascii="Times New Roman" w:hAnsi="Times New Roman" w:cs="Times New Roman"/>
          <w:sz w:val="24"/>
          <w:szCs w:val="24"/>
        </w:rPr>
        <w:t>Carnaghi</w:t>
      </w:r>
      <w:proofErr w:type="spellEnd"/>
      <w:r w:rsidRPr="00B11543">
        <w:rPr>
          <w:rFonts w:ascii="Times New Roman" w:hAnsi="Times New Roman" w:cs="Times New Roman"/>
          <w:sz w:val="24"/>
          <w:szCs w:val="24"/>
        </w:rPr>
        <w:t xml:space="preserve">, G., </w:t>
      </w:r>
      <w:proofErr w:type="spellStart"/>
      <w:r w:rsidRPr="00B11543">
        <w:rPr>
          <w:rFonts w:ascii="Times New Roman" w:hAnsi="Times New Roman" w:cs="Times New Roman"/>
          <w:sz w:val="24"/>
          <w:szCs w:val="24"/>
        </w:rPr>
        <w:t>Faleri</w:t>
      </w:r>
      <w:proofErr w:type="spellEnd"/>
      <w:r w:rsidRPr="00B11543">
        <w:rPr>
          <w:rFonts w:ascii="Times New Roman" w:hAnsi="Times New Roman" w:cs="Times New Roman"/>
          <w:sz w:val="24"/>
          <w:szCs w:val="24"/>
        </w:rPr>
        <w:t xml:space="preserve">, S., </w:t>
      </w:r>
      <w:proofErr w:type="spellStart"/>
      <w:r w:rsidRPr="00B11543">
        <w:rPr>
          <w:rFonts w:ascii="Times New Roman" w:hAnsi="Times New Roman" w:cs="Times New Roman"/>
          <w:sz w:val="24"/>
          <w:szCs w:val="24"/>
        </w:rPr>
        <w:t>Trebbi</w:t>
      </w:r>
      <w:proofErr w:type="spellEnd"/>
      <w:r w:rsidRPr="00B11543">
        <w:rPr>
          <w:rFonts w:ascii="Times New Roman" w:hAnsi="Times New Roman" w:cs="Times New Roman"/>
          <w:sz w:val="24"/>
          <w:szCs w:val="24"/>
        </w:rPr>
        <w:t xml:space="preserve">, E., ... &amp; </w:t>
      </w:r>
      <w:proofErr w:type="spellStart"/>
      <w:r w:rsidRPr="00B11543">
        <w:rPr>
          <w:rFonts w:ascii="Times New Roman" w:hAnsi="Times New Roman" w:cs="Times New Roman"/>
          <w:sz w:val="24"/>
          <w:szCs w:val="24"/>
        </w:rPr>
        <w:t>Pacitti</w:t>
      </w:r>
      <w:proofErr w:type="spellEnd"/>
      <w:r w:rsidRPr="00B11543">
        <w:rPr>
          <w:rFonts w:ascii="Times New Roman" w:hAnsi="Times New Roman" w:cs="Times New Roman"/>
          <w:sz w:val="24"/>
          <w:szCs w:val="24"/>
        </w:rPr>
        <w:t>, F. (2020). Mental health outcomes of the CoViD-19 pandemic</w:t>
      </w:r>
      <w:r w:rsidRPr="00B11543">
        <w:rPr>
          <w:rFonts w:ascii="Times New Roman" w:hAnsi="Times New Roman" w:cs="Times New Roman"/>
          <w:i/>
          <w:iCs/>
          <w:sz w:val="24"/>
          <w:szCs w:val="24"/>
        </w:rPr>
        <w:t xml:space="preserve">. </w:t>
      </w:r>
      <w:proofErr w:type="spellStart"/>
      <w:r w:rsidRPr="00B11543">
        <w:rPr>
          <w:rFonts w:ascii="Times New Roman" w:hAnsi="Times New Roman" w:cs="Times New Roman"/>
          <w:i/>
          <w:iCs/>
          <w:sz w:val="24"/>
          <w:szCs w:val="24"/>
        </w:rPr>
        <w:t>Riv</w:t>
      </w:r>
      <w:proofErr w:type="spellEnd"/>
      <w:r w:rsidRPr="00B11543">
        <w:rPr>
          <w:rFonts w:ascii="Times New Roman" w:hAnsi="Times New Roman" w:cs="Times New Roman"/>
          <w:i/>
          <w:iCs/>
          <w:sz w:val="24"/>
          <w:szCs w:val="24"/>
        </w:rPr>
        <w:t xml:space="preserve"> </w:t>
      </w:r>
      <w:proofErr w:type="spellStart"/>
      <w:r w:rsidRPr="00B11543">
        <w:rPr>
          <w:rFonts w:ascii="Times New Roman" w:hAnsi="Times New Roman" w:cs="Times New Roman"/>
          <w:i/>
          <w:iCs/>
          <w:sz w:val="24"/>
          <w:szCs w:val="24"/>
        </w:rPr>
        <w:t>Psichiatr</w:t>
      </w:r>
      <w:proofErr w:type="spellEnd"/>
      <w:r w:rsidRPr="00B11543">
        <w:rPr>
          <w:rFonts w:ascii="Times New Roman" w:hAnsi="Times New Roman" w:cs="Times New Roman"/>
          <w:sz w:val="24"/>
          <w:szCs w:val="24"/>
        </w:rPr>
        <w:t>, 55(3), 137-144.</w:t>
      </w:r>
    </w:p>
    <w:p w14:paraId="37ACCC7E"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Taneja</w:t>
      </w:r>
      <w:proofErr w:type="spellEnd"/>
      <w:r w:rsidRPr="00B11543">
        <w:rPr>
          <w:rFonts w:ascii="Times New Roman" w:hAnsi="Times New Roman" w:cs="Times New Roman"/>
          <w:sz w:val="24"/>
          <w:szCs w:val="24"/>
        </w:rPr>
        <w:t>, S., Sewell, S. S., &amp; Odom, R. Y. (2015). A culture of employee engagement: A strategic perspective for global managers</w:t>
      </w:r>
      <w:r w:rsidRPr="00B11543">
        <w:rPr>
          <w:rFonts w:ascii="Times New Roman" w:hAnsi="Times New Roman" w:cs="Times New Roman"/>
          <w:i/>
          <w:iCs/>
          <w:sz w:val="24"/>
          <w:szCs w:val="24"/>
        </w:rPr>
        <w:t>. Journal of Business Strategy</w:t>
      </w:r>
      <w:r w:rsidRPr="00B11543">
        <w:rPr>
          <w:rFonts w:ascii="Times New Roman" w:hAnsi="Times New Roman" w:cs="Times New Roman"/>
          <w:sz w:val="24"/>
          <w:szCs w:val="24"/>
        </w:rPr>
        <w:t>, 36(3), 46-56.</w:t>
      </w:r>
    </w:p>
    <w:p w14:paraId="7B2DDA15" w14:textId="77777777" w:rsidR="00CC275B" w:rsidRPr="00B11543" w:rsidRDefault="00CC275B" w:rsidP="00CC275B">
      <w:pPr>
        <w:spacing w:line="360" w:lineRule="auto"/>
        <w:jc w:val="both"/>
        <w:rPr>
          <w:rFonts w:ascii="Times New Roman" w:hAnsi="Times New Roman" w:cs="Times New Roman"/>
          <w:sz w:val="24"/>
          <w:szCs w:val="24"/>
        </w:rPr>
      </w:pPr>
      <w:proofErr w:type="spellStart"/>
      <w:r w:rsidRPr="00B11543">
        <w:rPr>
          <w:rFonts w:ascii="Times New Roman" w:hAnsi="Times New Roman" w:cs="Times New Roman"/>
          <w:sz w:val="24"/>
          <w:szCs w:val="24"/>
        </w:rPr>
        <w:t>Warrick</w:t>
      </w:r>
      <w:proofErr w:type="spellEnd"/>
      <w:r w:rsidRPr="00B11543">
        <w:rPr>
          <w:rFonts w:ascii="Times New Roman" w:hAnsi="Times New Roman" w:cs="Times New Roman"/>
          <w:sz w:val="24"/>
          <w:szCs w:val="24"/>
        </w:rPr>
        <w:t xml:space="preserve">, D. D. (2017). What leaders need to know about organizational culture. </w:t>
      </w:r>
      <w:r w:rsidRPr="00B11543">
        <w:rPr>
          <w:rFonts w:ascii="Times New Roman" w:hAnsi="Times New Roman" w:cs="Times New Roman"/>
          <w:i/>
          <w:iCs/>
          <w:sz w:val="24"/>
          <w:szCs w:val="24"/>
        </w:rPr>
        <w:t>Business Horizons,</w:t>
      </w:r>
      <w:r w:rsidRPr="00B11543">
        <w:rPr>
          <w:rFonts w:ascii="Times New Roman" w:hAnsi="Times New Roman" w:cs="Times New Roman"/>
          <w:sz w:val="24"/>
          <w:szCs w:val="24"/>
        </w:rPr>
        <w:t xml:space="preserve"> 60(3), 395-404.</w:t>
      </w:r>
    </w:p>
    <w:p w14:paraId="29144F71" w14:textId="77777777" w:rsidR="00CC275B" w:rsidRPr="00B11543" w:rsidRDefault="00CC275B" w:rsidP="00CC275B">
      <w:pPr>
        <w:spacing w:line="360" w:lineRule="auto"/>
        <w:jc w:val="both"/>
        <w:rPr>
          <w:rFonts w:ascii="Times New Roman" w:hAnsi="Times New Roman" w:cs="Times New Roman"/>
          <w:sz w:val="24"/>
          <w:szCs w:val="24"/>
        </w:rPr>
      </w:pPr>
      <w:r w:rsidRPr="00B11543">
        <w:rPr>
          <w:rFonts w:ascii="Times New Roman" w:hAnsi="Times New Roman" w:cs="Times New Roman"/>
          <w:sz w:val="24"/>
          <w:szCs w:val="24"/>
        </w:rPr>
        <w:t xml:space="preserve">Wheatley, D. (2017). Employee satisfaction and use of flexible working arrangements. </w:t>
      </w:r>
      <w:r w:rsidRPr="00B11543">
        <w:rPr>
          <w:rFonts w:ascii="Times New Roman" w:hAnsi="Times New Roman" w:cs="Times New Roman"/>
          <w:i/>
          <w:iCs/>
          <w:sz w:val="24"/>
          <w:szCs w:val="24"/>
        </w:rPr>
        <w:t>Work, employment and society</w:t>
      </w:r>
      <w:r w:rsidRPr="00B11543">
        <w:rPr>
          <w:rFonts w:ascii="Times New Roman" w:hAnsi="Times New Roman" w:cs="Times New Roman"/>
          <w:sz w:val="24"/>
          <w:szCs w:val="24"/>
        </w:rPr>
        <w:t>, 31(4), 567-585.</w:t>
      </w:r>
    </w:p>
    <w:p w14:paraId="0B38669D" w14:textId="77777777" w:rsidR="00A364B7" w:rsidRPr="00B11543" w:rsidRDefault="00A364B7" w:rsidP="00CC275B">
      <w:pPr>
        <w:spacing w:line="360" w:lineRule="auto"/>
        <w:jc w:val="both"/>
      </w:pPr>
    </w:p>
    <w:sectPr w:rsidR="00A364B7" w:rsidRPr="00B11543" w:rsidSect="00CC275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77B4C" w14:textId="77777777" w:rsidR="00280649" w:rsidRDefault="00280649" w:rsidP="00CC275B">
      <w:pPr>
        <w:spacing w:after="0" w:line="240" w:lineRule="auto"/>
      </w:pPr>
      <w:r>
        <w:separator/>
      </w:r>
    </w:p>
  </w:endnote>
  <w:endnote w:type="continuationSeparator" w:id="0">
    <w:p w14:paraId="68B28D54" w14:textId="77777777" w:rsidR="00280649" w:rsidRDefault="00280649" w:rsidP="00CC2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notTrueType/>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48D8F" w14:textId="77777777" w:rsidR="00456782" w:rsidRDefault="004567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319454"/>
      <w:docPartObj>
        <w:docPartGallery w:val="Page Numbers (Bottom of Page)"/>
        <w:docPartUnique/>
      </w:docPartObj>
    </w:sdtPr>
    <w:sdtEndPr>
      <w:rPr>
        <w:noProof/>
      </w:rPr>
    </w:sdtEndPr>
    <w:sdtContent>
      <w:p w14:paraId="0138847E" w14:textId="77777777" w:rsidR="00CC275B" w:rsidRDefault="00CC275B">
        <w:pPr>
          <w:pStyle w:val="Footer"/>
          <w:jc w:val="right"/>
        </w:pPr>
        <w:r>
          <w:fldChar w:fldCharType="begin"/>
        </w:r>
        <w:r>
          <w:instrText xml:space="preserve"> PAGE   \* MERGEFORMAT </w:instrText>
        </w:r>
        <w:r>
          <w:fldChar w:fldCharType="separate"/>
        </w:r>
        <w:r w:rsidR="00456782">
          <w:rPr>
            <w:noProof/>
          </w:rPr>
          <w:t>i</w:t>
        </w:r>
        <w:r>
          <w:rPr>
            <w:noProof/>
          </w:rPr>
          <w:fldChar w:fldCharType="end"/>
        </w:r>
      </w:p>
    </w:sdtContent>
  </w:sdt>
  <w:p w14:paraId="703F88B9" w14:textId="77777777" w:rsidR="00CC275B" w:rsidRDefault="00CC27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B81A3" w14:textId="77777777" w:rsidR="00456782" w:rsidRDefault="00456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1735D" w14:textId="77777777" w:rsidR="00280649" w:rsidRDefault="00280649" w:rsidP="00CC275B">
      <w:pPr>
        <w:spacing w:after="0" w:line="240" w:lineRule="auto"/>
      </w:pPr>
      <w:r>
        <w:separator/>
      </w:r>
    </w:p>
  </w:footnote>
  <w:footnote w:type="continuationSeparator" w:id="0">
    <w:p w14:paraId="37D253C8" w14:textId="77777777" w:rsidR="00280649" w:rsidRDefault="00280649" w:rsidP="00CC27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75F73" w14:textId="77777777" w:rsidR="00456782" w:rsidRDefault="004567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B5CE4" w14:textId="77777777" w:rsidR="00456782" w:rsidRDefault="004567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EB65B" w14:textId="77777777" w:rsidR="00456782" w:rsidRDefault="004567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3D7C"/>
    <w:rsid w:val="000805B2"/>
    <w:rsid w:val="000C3672"/>
    <w:rsid w:val="00153BE9"/>
    <w:rsid w:val="00280649"/>
    <w:rsid w:val="002E1609"/>
    <w:rsid w:val="002F13B5"/>
    <w:rsid w:val="002F61D0"/>
    <w:rsid w:val="00316541"/>
    <w:rsid w:val="003774F6"/>
    <w:rsid w:val="003B4D7F"/>
    <w:rsid w:val="003C17CF"/>
    <w:rsid w:val="00402557"/>
    <w:rsid w:val="004115AC"/>
    <w:rsid w:val="00431A6D"/>
    <w:rsid w:val="00456782"/>
    <w:rsid w:val="004A56E2"/>
    <w:rsid w:val="004B73CA"/>
    <w:rsid w:val="005318F7"/>
    <w:rsid w:val="00535F92"/>
    <w:rsid w:val="005B597B"/>
    <w:rsid w:val="005D358B"/>
    <w:rsid w:val="005D3E70"/>
    <w:rsid w:val="005D7A36"/>
    <w:rsid w:val="006951DF"/>
    <w:rsid w:val="006B58DF"/>
    <w:rsid w:val="007065A5"/>
    <w:rsid w:val="0072217E"/>
    <w:rsid w:val="00752542"/>
    <w:rsid w:val="00775FE1"/>
    <w:rsid w:val="007A1B98"/>
    <w:rsid w:val="007C34EF"/>
    <w:rsid w:val="008B6E6D"/>
    <w:rsid w:val="008C5074"/>
    <w:rsid w:val="008F621A"/>
    <w:rsid w:val="00916AB8"/>
    <w:rsid w:val="009468EE"/>
    <w:rsid w:val="00997A17"/>
    <w:rsid w:val="00A364B7"/>
    <w:rsid w:val="00AC34C1"/>
    <w:rsid w:val="00AD09F3"/>
    <w:rsid w:val="00AD3D7C"/>
    <w:rsid w:val="00B11543"/>
    <w:rsid w:val="00BC1FFE"/>
    <w:rsid w:val="00BC6743"/>
    <w:rsid w:val="00C060F6"/>
    <w:rsid w:val="00C31EF6"/>
    <w:rsid w:val="00C51583"/>
    <w:rsid w:val="00CC275B"/>
    <w:rsid w:val="00CE47E7"/>
    <w:rsid w:val="00D339C0"/>
    <w:rsid w:val="00DC2FC7"/>
    <w:rsid w:val="00DE01CA"/>
    <w:rsid w:val="00E04153"/>
    <w:rsid w:val="00E61CA3"/>
    <w:rsid w:val="00EA4C26"/>
    <w:rsid w:val="00FC082C"/>
    <w:rsid w:val="00FF64B3"/>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6ED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C34E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C34E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B6E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E6D"/>
    <w:rPr>
      <w:rFonts w:ascii="Tahoma" w:hAnsi="Tahoma" w:cs="Tahoma"/>
      <w:sz w:val="16"/>
      <w:szCs w:val="16"/>
      <w:lang w:val="en-GB"/>
    </w:rPr>
  </w:style>
  <w:style w:type="character" w:customStyle="1" w:styleId="Heading2Char">
    <w:name w:val="Heading 2 Char"/>
    <w:basedOn w:val="DefaultParagraphFont"/>
    <w:link w:val="Heading2"/>
    <w:uiPriority w:val="9"/>
    <w:rsid w:val="007C34EF"/>
    <w:rPr>
      <w:rFonts w:asciiTheme="majorHAnsi" w:eastAsiaTheme="majorEastAsia" w:hAnsiTheme="majorHAnsi" w:cstheme="majorBidi"/>
      <w:b/>
      <w:bCs/>
      <w:color w:val="4F81BD" w:themeColor="accent1"/>
      <w:sz w:val="26"/>
      <w:szCs w:val="26"/>
      <w:lang w:val="en-GB"/>
    </w:rPr>
  </w:style>
  <w:style w:type="character" w:customStyle="1" w:styleId="Heading1Char">
    <w:name w:val="Heading 1 Char"/>
    <w:basedOn w:val="DefaultParagraphFont"/>
    <w:link w:val="Heading1"/>
    <w:uiPriority w:val="9"/>
    <w:rsid w:val="007C34EF"/>
    <w:rPr>
      <w:rFonts w:asciiTheme="majorHAnsi" w:eastAsiaTheme="majorEastAsia" w:hAnsiTheme="majorHAnsi" w:cstheme="majorBidi"/>
      <w:b/>
      <w:bCs/>
      <w:color w:val="365F91" w:themeColor="accent1" w:themeShade="BF"/>
      <w:sz w:val="28"/>
      <w:szCs w:val="28"/>
      <w:lang w:val="en-GB"/>
    </w:rPr>
  </w:style>
  <w:style w:type="paragraph" w:styleId="NormalWeb">
    <w:name w:val="Normal (Web)"/>
    <w:basedOn w:val="Normal"/>
    <w:uiPriority w:val="99"/>
    <w:unhideWhenUsed/>
    <w:rsid w:val="00A364B7"/>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CC2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275B"/>
    <w:rPr>
      <w:lang w:val="en-GB"/>
    </w:rPr>
  </w:style>
  <w:style w:type="paragraph" w:styleId="Footer">
    <w:name w:val="footer"/>
    <w:basedOn w:val="Normal"/>
    <w:link w:val="FooterChar"/>
    <w:uiPriority w:val="99"/>
    <w:unhideWhenUsed/>
    <w:rsid w:val="00CC2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275B"/>
    <w:rPr>
      <w:lang w:val="en-GB"/>
    </w:rPr>
  </w:style>
  <w:style w:type="paragraph" w:styleId="TOCHeading">
    <w:name w:val="TOC Heading"/>
    <w:basedOn w:val="Heading1"/>
    <w:next w:val="Normal"/>
    <w:uiPriority w:val="39"/>
    <w:semiHidden/>
    <w:unhideWhenUsed/>
    <w:qFormat/>
    <w:rsid w:val="00CC275B"/>
    <w:pPr>
      <w:outlineLvl w:val="9"/>
    </w:pPr>
    <w:rPr>
      <w:lang w:val="en-US" w:eastAsia="ja-JP"/>
    </w:rPr>
  </w:style>
  <w:style w:type="paragraph" w:styleId="TOC1">
    <w:name w:val="toc 1"/>
    <w:basedOn w:val="Normal"/>
    <w:next w:val="Normal"/>
    <w:autoRedefine/>
    <w:uiPriority w:val="39"/>
    <w:unhideWhenUsed/>
    <w:rsid w:val="00CC275B"/>
    <w:pPr>
      <w:spacing w:after="100"/>
    </w:pPr>
  </w:style>
  <w:style w:type="character" w:styleId="Hyperlink">
    <w:name w:val="Hyperlink"/>
    <w:basedOn w:val="DefaultParagraphFont"/>
    <w:uiPriority w:val="99"/>
    <w:unhideWhenUsed/>
    <w:rsid w:val="00CC27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eader" Target="header3.xm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oter" Target="footer2.xml"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header" Target="header2.xml" /><Relationship Id="rId14"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DFCC6E-51A9-42E8-9317-3A7B2C09D2E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2264</Words>
  <Characters>12907</Characters>
  <Application>Microsoft Office Word</Application>
  <DocSecurity>0</DocSecurity>
  <Lines>107</Lines>
  <Paragraphs>30</Paragraphs>
  <ScaleCrop>false</ScaleCrop>
  <Company/>
  <LinksUpToDate>false</LinksUpToDate>
  <CharactersWithSpaces>15141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2023-03-26T04:35:00Z</dcterms:created>
  <dcterms:modified xsi:type="dcterms:W3CDTF">2023-03-26T04:35:00Z</dcterms:modified>
</cp:coreProperties>
</file>