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793355135"/>
        <w:docPartObj>
          <w:docPartGallery w:val="Cover Pages"/>
          <w:docPartUnique/>
        </w:docPartObj>
      </w:sdtPr>
      <w:sdtContent>
        <w:p w14:paraId="1534441D" w14:textId="52A184FC" w:rsidR="00FE174E" w:rsidRDefault="00FE174E">
          <w:pPr>
            <w:pStyle w:val="NoSpacing"/>
          </w:pPr>
          <w:r>
            <w:rPr>
              <w:noProof/>
            </w:rPr>
            <mc:AlternateContent>
              <mc:Choice Requires="wps">
                <w:drawing>
                  <wp:anchor distT="0" distB="0" distL="114300" distR="114300" simplePos="0" relativeHeight="251660288" behindDoc="0" locked="0" layoutInCell="1" allowOverlap="1" wp14:anchorId="068B94EF" wp14:editId="1977A07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6A946" w14:textId="17E7A593" w:rsidR="00FE174E" w:rsidRPr="00802895" w:rsidRDefault="00FE174E" w:rsidP="00802895">
                                <w:pPr>
                                  <w:pStyle w:val="NoSpacing"/>
                                  <w:rPr>
                                    <w:rFonts w:ascii="Arial" w:eastAsiaTheme="majorEastAsia" w:hAnsi="Arial" w:cs="Arial"/>
                                    <w:color w:val="262626" w:themeColor="text1" w:themeTint="D9"/>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68B94EF" id="_x0000_t202" coordsize="21600,21600" o:spt="202" path="m,l,21600r21600,l21600,xe">
                    <v:stroke joinstyle="miter"/>
                    <v:path gradientshapeok="t" o:connecttype="rect"/>
                  </v:shapetype>
                  <v:shape id="Text Box 30"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" filled="f" stroked="f" strokeweight=".5pt">
                    <v:textbox style="mso-fit-shape-to-text:t" inset="0,0,0,0">
                      <w:txbxContent>
                        <w:p w14:paraId="5C86A946" w14:textId="17E7A593" w:rsidR="00FE174E" w:rsidRPr="00802895" w:rsidRDefault="00FE174E" w:rsidP="00802895">
                          <w:pPr>
                            <w:pStyle w:val="NoSpacing"/>
                            <w:rPr>
                              <w:rFonts w:ascii="Arial" w:eastAsiaTheme="majorEastAsia" w:hAnsi="Arial" w:cs="Arial"/>
                              <w:color w:val="262626" w:themeColor="text1" w:themeTint="D9"/>
                              <w:sz w:val="24"/>
                              <w:szCs w:val="24"/>
                            </w:rPr>
                          </w:pPr>
                        </w:p>
                      </w:txbxContent>
                    </v:textbox>
                    <w10:wrap anchorx="page" anchory="page"/>
                  </v:shape>
                </w:pict>
              </mc:Fallback>
            </mc:AlternateContent>
          </w:r>
        </w:p>
        <w:p w14:paraId="20D76884" w14:textId="77777777" w:rsidR="00511BE1" w:rsidRDefault="00802895" w:rsidP="00802895">
          <w:pPr>
            <w:jc w:val="center"/>
            <w:rPr>
              <w:rFonts w:ascii="Arial" w:hAnsi="Arial" w:cs="Arial"/>
              <w:color w:val="000000"/>
            </w:rPr>
          </w:pPr>
          <w:r w:rsidRPr="00802895">
            <w:rPr>
              <w:rFonts w:ascii="Arial" w:hAnsi="Arial" w:cs="Arial"/>
              <w:color w:val="000000"/>
            </w:rPr>
            <w:t xml:space="preserve">Module: Health, Wellbeing and Sustainable Development </w:t>
          </w:r>
        </w:p>
        <w:p w14:paraId="1BE59765" w14:textId="2556C487" w:rsidR="00802895" w:rsidRPr="00802895" w:rsidRDefault="00802895" w:rsidP="00511BE1">
          <w:pPr>
            <w:jc w:val="center"/>
            <w:rPr>
              <w:rFonts w:ascii="Arial" w:hAnsi="Arial" w:cs="Arial"/>
              <w:color w:val="000000"/>
            </w:rPr>
          </w:pPr>
          <w:r w:rsidRPr="00802895">
            <w:rPr>
              <w:rFonts w:ascii="Arial" w:hAnsi="Arial" w:cs="Arial"/>
              <w:color w:val="000000"/>
            </w:rPr>
            <w:t>Module</w:t>
          </w:r>
          <w:r w:rsidR="00511BE1">
            <w:rPr>
              <w:rFonts w:ascii="Arial" w:hAnsi="Arial" w:cs="Arial"/>
              <w:color w:val="000000"/>
            </w:rPr>
            <w:t xml:space="preserve"> </w:t>
          </w:r>
          <w:r w:rsidRPr="00802895">
            <w:rPr>
              <w:rFonts w:ascii="Arial" w:hAnsi="Arial" w:cs="Arial"/>
              <w:color w:val="000000"/>
            </w:rPr>
            <w:t>Code: BMHP6030</w:t>
          </w:r>
        </w:p>
        <w:p w14:paraId="26E92DD6" w14:textId="5352A467" w:rsidR="00802895" w:rsidRPr="00802895" w:rsidRDefault="00802895" w:rsidP="00802895">
          <w:pPr>
            <w:jc w:val="center"/>
            <w:rPr>
              <w:rFonts w:ascii="Arial" w:hAnsi="Arial" w:cs="Arial"/>
              <w:color w:val="000000"/>
            </w:rPr>
          </w:pPr>
          <w:r w:rsidRPr="00802895">
            <w:rPr>
              <w:rFonts w:ascii="Arial" w:hAnsi="Arial" w:cs="Arial"/>
              <w:color w:val="000000"/>
            </w:rPr>
            <w:t>Name: Nazia Sabrina Haroon</w:t>
          </w:r>
        </w:p>
        <w:p w14:paraId="6B563D4A" w14:textId="2479E6C6" w:rsidR="00802895" w:rsidRPr="00802895" w:rsidRDefault="00802895" w:rsidP="00802895">
          <w:pPr>
            <w:jc w:val="center"/>
            <w:rPr>
              <w:rFonts w:ascii="Arial" w:hAnsi="Arial" w:cs="Arial"/>
              <w:color w:val="000000"/>
            </w:rPr>
          </w:pPr>
          <w:r w:rsidRPr="00802895">
            <w:rPr>
              <w:rFonts w:ascii="Arial" w:hAnsi="Arial" w:cs="Arial"/>
              <w:color w:val="000000"/>
            </w:rPr>
            <w:t>Student ID: 2208947</w:t>
          </w:r>
        </w:p>
        <w:p w14:paraId="7A55852F" w14:textId="73970E39" w:rsidR="00802895" w:rsidRPr="00802895" w:rsidRDefault="00802895" w:rsidP="00802895">
          <w:pPr>
            <w:jc w:val="center"/>
            <w:rPr>
              <w:rFonts w:ascii="Arial" w:hAnsi="Arial" w:cs="Arial"/>
              <w:color w:val="000000"/>
            </w:rPr>
          </w:pPr>
          <w:r w:rsidRPr="00802895">
            <w:rPr>
              <w:rFonts w:ascii="Arial" w:hAnsi="Arial" w:cs="Arial"/>
              <w:color w:val="000000"/>
            </w:rPr>
            <w:t>Assignment Title: Written Assignment (Report)</w:t>
          </w:r>
        </w:p>
        <w:p w14:paraId="1AC4A4F8" w14:textId="667A3BD0" w:rsidR="00802895" w:rsidRPr="00802895" w:rsidRDefault="00802895" w:rsidP="00802895">
          <w:pPr>
            <w:jc w:val="center"/>
          </w:pPr>
          <w:r w:rsidRPr="00802895">
            <w:rPr>
              <w:rFonts w:ascii="Arial" w:hAnsi="Arial" w:cs="Arial"/>
              <w:color w:val="000000"/>
            </w:rPr>
            <w:t>Lecturer: Parese Ahmed</w:t>
          </w:r>
          <w:r w:rsidRPr="00802895">
            <w:rPr>
              <w:noProof/>
            </w:rPr>
            <w:t xml:space="preserve"> </w:t>
          </w:r>
          <w:r w:rsidR="00FE174E" w:rsidRPr="00802895">
            <w:rPr>
              <w:noProof/>
            </w:rPr>
            <mc:AlternateContent>
              <mc:Choice Requires="wps">
                <w:drawing>
                  <wp:anchor distT="0" distB="0" distL="114300" distR="114300" simplePos="0" relativeHeight="251661312" behindDoc="0" locked="0" layoutInCell="1" allowOverlap="1" wp14:anchorId="4CA218C6" wp14:editId="3BF0828D">
                    <wp:simplePos x="0" y="0"/>
                    <wp:positionH relativeFrom="page">
                      <wp:posOffset>3177540</wp:posOffset>
                    </wp:positionH>
                    <wp:positionV relativeFrom="page">
                      <wp:posOffset>8061960</wp:posOffset>
                    </wp:positionV>
                    <wp:extent cx="3657600" cy="1064260"/>
                    <wp:effectExtent l="0" t="0" r="7620" b="2540"/>
                    <wp:wrapNone/>
                    <wp:docPr id="32" name="Text Box 28"/>
                    <wp:cNvGraphicFramePr/>
                    <a:graphic xmlns:a="http://schemas.openxmlformats.org/drawingml/2006/main">
                      <a:graphicData uri="http://schemas.microsoft.com/office/word/2010/wordprocessingShape">
                        <wps:wsp>
                          <wps:cNvSpPr txBox="1"/>
                          <wps:spPr>
                            <a:xfrm>
                              <a:off x="0" y="0"/>
                              <a:ext cx="3657600" cy="1064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6054D5" w14:textId="2CC7C7C1" w:rsidR="00FE174E" w:rsidRPr="00802895" w:rsidRDefault="00FE174E" w:rsidP="00FE174E">
                                <w:pPr>
                                  <w:pStyle w:val="NoSpacing"/>
                                  <w:spacing w:line="360" w:lineRule="auto"/>
                                  <w:rPr>
                                    <w:color w:val="595959" w:themeColor="text1" w:themeTint="A6"/>
                                    <w:sz w:val="24"/>
                                    <w:szCs w:val="24"/>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CA218C6" id="Text Box 28" o:spid="_x0000_s1027" type="#_x0000_t202" style="position:absolute;left:0;text-align:left;margin-left:250.2pt;margin-top:634.8pt;width:4in;height:83.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" filled="f" stroked="f" strokeweight=".5pt">
                    <v:textbox inset="0,0,0,0">
                      <w:txbxContent>
                        <w:p w14:paraId="5E6054D5" w14:textId="2CC7C7C1" w:rsidR="00FE174E" w:rsidRPr="00802895" w:rsidRDefault="00FE174E" w:rsidP="00FE174E">
                          <w:pPr>
                            <w:pStyle w:val="NoSpacing"/>
                            <w:spacing w:line="360" w:lineRule="auto"/>
                            <w:rPr>
                              <w:color w:val="595959" w:themeColor="text1" w:themeTint="A6"/>
                              <w:sz w:val="24"/>
                              <w:szCs w:val="24"/>
                              <w:lang w:val="en-GB"/>
                            </w:rPr>
                          </w:pPr>
                        </w:p>
                      </w:txbxContent>
                    </v:textbox>
                    <w10:wrap anchorx="page" anchory="page"/>
                  </v:shape>
                </w:pict>
              </mc:Fallback>
            </mc:AlternateContent>
          </w:r>
        </w:p>
        <w:p w14:paraId="74FBEC5E" w14:textId="77777777" w:rsidR="00802895" w:rsidRDefault="00802895" w:rsidP="00802895">
          <w:pPr>
            <w:jc w:val="both"/>
          </w:pPr>
        </w:p>
        <w:p w14:paraId="6074E419" w14:textId="77777777" w:rsidR="00802895" w:rsidRDefault="00802895" w:rsidP="00802895">
          <w:pPr>
            <w:jc w:val="both"/>
          </w:pPr>
        </w:p>
        <w:p w14:paraId="0E12C6AE" w14:textId="77777777" w:rsidR="00802895" w:rsidRDefault="00802895" w:rsidP="00802895">
          <w:pPr>
            <w:jc w:val="both"/>
          </w:pPr>
        </w:p>
        <w:p w14:paraId="5F557589" w14:textId="77777777" w:rsidR="00802895" w:rsidRDefault="00802895" w:rsidP="00802895">
          <w:pPr>
            <w:jc w:val="both"/>
          </w:pPr>
        </w:p>
        <w:p w14:paraId="292400CA" w14:textId="77777777" w:rsidR="00802895" w:rsidRDefault="00802895" w:rsidP="00802895">
          <w:pPr>
            <w:jc w:val="both"/>
          </w:pPr>
        </w:p>
        <w:p w14:paraId="3FA975E2" w14:textId="77777777" w:rsidR="00802895" w:rsidRDefault="00802895" w:rsidP="00802895">
          <w:pPr>
            <w:jc w:val="both"/>
          </w:pPr>
        </w:p>
        <w:p w14:paraId="4AE9DC6F" w14:textId="77777777" w:rsidR="00802895" w:rsidRDefault="00802895" w:rsidP="00802895">
          <w:pPr>
            <w:jc w:val="both"/>
          </w:pPr>
        </w:p>
        <w:p w14:paraId="6FF63F0D" w14:textId="77777777" w:rsidR="00802895" w:rsidRDefault="00802895" w:rsidP="00802895">
          <w:pPr>
            <w:jc w:val="both"/>
          </w:pPr>
        </w:p>
        <w:p w14:paraId="5B98CB89" w14:textId="77777777" w:rsidR="00802895" w:rsidRDefault="00802895" w:rsidP="00802895">
          <w:pPr>
            <w:jc w:val="both"/>
          </w:pPr>
        </w:p>
        <w:p w14:paraId="1A8EDAAE" w14:textId="77777777" w:rsidR="00802895" w:rsidRDefault="00802895" w:rsidP="00802895">
          <w:pPr>
            <w:jc w:val="both"/>
          </w:pPr>
        </w:p>
        <w:p w14:paraId="32A213C1" w14:textId="77777777" w:rsidR="00802895" w:rsidRDefault="00802895" w:rsidP="00802895">
          <w:pPr>
            <w:jc w:val="both"/>
          </w:pPr>
        </w:p>
        <w:p w14:paraId="41F2692D" w14:textId="77777777" w:rsidR="00802895" w:rsidRDefault="00802895" w:rsidP="00802895">
          <w:pPr>
            <w:jc w:val="both"/>
          </w:pPr>
        </w:p>
        <w:p w14:paraId="6FACEB55" w14:textId="77777777" w:rsidR="00802895" w:rsidRDefault="00802895" w:rsidP="00802895">
          <w:pPr>
            <w:jc w:val="both"/>
          </w:pPr>
        </w:p>
        <w:p w14:paraId="6EF54ED4" w14:textId="77777777" w:rsidR="00802895" w:rsidRDefault="00802895" w:rsidP="00802895">
          <w:pPr>
            <w:jc w:val="both"/>
          </w:pPr>
        </w:p>
        <w:p w14:paraId="068B55ED" w14:textId="77777777" w:rsidR="00802895" w:rsidRDefault="00802895" w:rsidP="00802895">
          <w:pPr>
            <w:jc w:val="both"/>
          </w:pPr>
        </w:p>
        <w:p w14:paraId="0F1A3B09" w14:textId="77777777" w:rsidR="00802895" w:rsidRDefault="00802895" w:rsidP="00802895">
          <w:pPr>
            <w:jc w:val="both"/>
          </w:pPr>
        </w:p>
        <w:p w14:paraId="44B16EDC" w14:textId="77777777" w:rsidR="00802895" w:rsidRDefault="00802895" w:rsidP="00802895">
          <w:pPr>
            <w:jc w:val="both"/>
          </w:pPr>
        </w:p>
        <w:p w14:paraId="45A5692B" w14:textId="77777777" w:rsidR="00802895" w:rsidRDefault="00802895" w:rsidP="00802895">
          <w:pPr>
            <w:jc w:val="both"/>
          </w:pPr>
        </w:p>
        <w:p w14:paraId="7478DB96" w14:textId="77777777" w:rsidR="00802895" w:rsidRDefault="00802895" w:rsidP="00802895">
          <w:pPr>
            <w:jc w:val="both"/>
          </w:pPr>
        </w:p>
        <w:p w14:paraId="4A585ED4" w14:textId="77777777" w:rsidR="00802895" w:rsidRDefault="00802895" w:rsidP="00802895">
          <w:pPr>
            <w:jc w:val="both"/>
          </w:pPr>
        </w:p>
        <w:p w14:paraId="584B7AFB" w14:textId="77777777" w:rsidR="00802895" w:rsidRDefault="00802895" w:rsidP="00802895">
          <w:pPr>
            <w:jc w:val="both"/>
          </w:pPr>
        </w:p>
        <w:p w14:paraId="0CFA1600" w14:textId="77777777" w:rsidR="00802895" w:rsidRDefault="00802895" w:rsidP="00802895">
          <w:pPr>
            <w:jc w:val="both"/>
          </w:pPr>
        </w:p>
        <w:p w14:paraId="0F997378" w14:textId="77777777" w:rsidR="00802895" w:rsidRDefault="00802895" w:rsidP="00802895">
          <w:pPr>
            <w:jc w:val="both"/>
          </w:pPr>
        </w:p>
        <w:p w14:paraId="583E3178" w14:textId="77777777" w:rsidR="00802895" w:rsidRDefault="00802895" w:rsidP="00802895">
          <w:pPr>
            <w:jc w:val="both"/>
          </w:pPr>
        </w:p>
        <w:p w14:paraId="085A0D75" w14:textId="0CEF6D3B" w:rsidR="00FE174E" w:rsidRDefault="00000000" w:rsidP="00802895">
          <w:pPr>
            <w:jc w:val="both"/>
          </w:pPr>
        </w:p>
      </w:sdtContent>
    </w:sdt>
    <w:sdt>
      <w:sdtPr>
        <w:rPr>
          <w:rFonts w:asciiTheme="minorHAnsi" w:eastAsiaTheme="minorHAnsi" w:hAnsiTheme="minorHAnsi" w:cstheme="minorBidi"/>
          <w:color w:val="auto"/>
          <w:kern w:val="2"/>
          <w:sz w:val="24"/>
          <w:szCs w:val="24"/>
          <w:lang w:val="en-GB"/>
          <w14:ligatures w14:val="standardContextual"/>
        </w:rPr>
        <w:id w:val="-1292511633"/>
        <w:docPartObj>
          <w:docPartGallery w:val="Table of Contents"/>
          <w:docPartUnique/>
        </w:docPartObj>
      </w:sdtPr>
      <w:sdtEndPr>
        <w:rPr>
          <w:b/>
          <w:bCs/>
          <w:noProof/>
        </w:rPr>
      </w:sdtEndPr>
      <w:sdtContent>
        <w:p w14:paraId="1EAB8841" w14:textId="21E5CF9A" w:rsidR="00A93EBB" w:rsidRDefault="00A93EBB">
          <w:pPr>
            <w:pStyle w:val="TOCHeading"/>
          </w:pPr>
          <w:r>
            <w:t>Contents</w:t>
          </w:r>
        </w:p>
        <w:p w14:paraId="6A3666A0" w14:textId="003C463E" w:rsidR="003678EA" w:rsidRDefault="00A93EBB">
          <w:pPr>
            <w:pStyle w:val="TOC1"/>
            <w:rPr>
              <w:rFonts w:eastAsiaTheme="minorEastAsia"/>
              <w:noProof/>
              <w:lang w:eastAsia="en-GB"/>
            </w:rPr>
          </w:pPr>
          <w:r>
            <w:fldChar w:fldCharType="begin"/>
          </w:r>
          <w:r>
            <w:instrText xml:space="preserve"> TOC \o "1-3" \h \z \u </w:instrText>
          </w:r>
          <w:r>
            <w:fldChar w:fldCharType="separate"/>
          </w:r>
          <w:hyperlink w:anchor="_Toc213320956" w:history="1">
            <w:r w:rsidR="003678EA" w:rsidRPr="00822A96">
              <w:rPr>
                <w:rStyle w:val="Hyperlink"/>
                <w:rFonts w:ascii="Arial" w:hAnsi="Arial" w:cs="Arial"/>
                <w:noProof/>
              </w:rPr>
              <w:t>Introduction</w:t>
            </w:r>
            <w:r w:rsidR="003678EA">
              <w:rPr>
                <w:noProof/>
                <w:webHidden/>
              </w:rPr>
              <w:tab/>
            </w:r>
            <w:r w:rsidR="003678EA">
              <w:rPr>
                <w:noProof/>
                <w:webHidden/>
              </w:rPr>
              <w:fldChar w:fldCharType="begin"/>
            </w:r>
            <w:r w:rsidR="003678EA">
              <w:rPr>
                <w:noProof/>
                <w:webHidden/>
              </w:rPr>
              <w:instrText xml:space="preserve"> PAGEREF _Toc213320956 \h </w:instrText>
            </w:r>
            <w:r w:rsidR="003678EA">
              <w:rPr>
                <w:noProof/>
                <w:webHidden/>
              </w:rPr>
            </w:r>
            <w:r w:rsidR="003678EA">
              <w:rPr>
                <w:noProof/>
                <w:webHidden/>
              </w:rPr>
              <w:fldChar w:fldCharType="separate"/>
            </w:r>
            <w:r w:rsidR="003678EA">
              <w:rPr>
                <w:noProof/>
                <w:webHidden/>
              </w:rPr>
              <w:t>2</w:t>
            </w:r>
            <w:r w:rsidR="003678EA">
              <w:rPr>
                <w:noProof/>
                <w:webHidden/>
              </w:rPr>
              <w:fldChar w:fldCharType="end"/>
            </w:r>
          </w:hyperlink>
        </w:p>
        <w:p w14:paraId="440BEB8E" w14:textId="1C5DA918" w:rsidR="003678EA" w:rsidRDefault="003678EA">
          <w:pPr>
            <w:pStyle w:val="TOC1"/>
            <w:rPr>
              <w:rFonts w:eastAsiaTheme="minorEastAsia"/>
              <w:noProof/>
              <w:lang w:eastAsia="en-GB"/>
            </w:rPr>
          </w:pPr>
          <w:hyperlink w:anchor="_Toc213320957" w:history="1">
            <w:r w:rsidRPr="00822A96">
              <w:rPr>
                <w:rStyle w:val="Hyperlink"/>
                <w:rFonts w:ascii="Arial" w:hAnsi="Arial" w:cs="Arial"/>
                <w:noProof/>
              </w:rPr>
              <w:t>Section 1: SDG 3 – Good Health and Wellbeing</w:t>
            </w:r>
            <w:r>
              <w:rPr>
                <w:noProof/>
                <w:webHidden/>
              </w:rPr>
              <w:tab/>
            </w:r>
            <w:r>
              <w:rPr>
                <w:noProof/>
                <w:webHidden/>
              </w:rPr>
              <w:fldChar w:fldCharType="begin"/>
            </w:r>
            <w:r>
              <w:rPr>
                <w:noProof/>
                <w:webHidden/>
              </w:rPr>
              <w:instrText xml:space="preserve"> PAGEREF _Toc213320957 \h </w:instrText>
            </w:r>
            <w:r>
              <w:rPr>
                <w:noProof/>
                <w:webHidden/>
              </w:rPr>
            </w:r>
            <w:r>
              <w:rPr>
                <w:noProof/>
                <w:webHidden/>
              </w:rPr>
              <w:fldChar w:fldCharType="separate"/>
            </w:r>
            <w:r>
              <w:rPr>
                <w:noProof/>
                <w:webHidden/>
              </w:rPr>
              <w:t>2</w:t>
            </w:r>
            <w:r>
              <w:rPr>
                <w:noProof/>
                <w:webHidden/>
              </w:rPr>
              <w:fldChar w:fldCharType="end"/>
            </w:r>
          </w:hyperlink>
        </w:p>
        <w:p w14:paraId="185881DA" w14:textId="5E5FD3C8" w:rsidR="003678EA" w:rsidRDefault="003678EA">
          <w:pPr>
            <w:pStyle w:val="TOC2"/>
            <w:tabs>
              <w:tab w:val="right" w:leader="dot" w:pos="9016"/>
            </w:tabs>
            <w:rPr>
              <w:rFonts w:eastAsiaTheme="minorEastAsia"/>
              <w:noProof/>
              <w:lang w:eastAsia="en-GB"/>
            </w:rPr>
          </w:pPr>
          <w:hyperlink w:anchor="_Toc213320958" w:history="1">
            <w:r w:rsidRPr="00822A96">
              <w:rPr>
                <w:rStyle w:val="Hyperlink"/>
                <w:rFonts w:ascii="Arial" w:hAnsi="Arial" w:cs="Arial"/>
                <w:noProof/>
              </w:rPr>
              <w:t>Global Overview and Challenges</w:t>
            </w:r>
            <w:r>
              <w:rPr>
                <w:noProof/>
                <w:webHidden/>
              </w:rPr>
              <w:tab/>
            </w:r>
            <w:r>
              <w:rPr>
                <w:noProof/>
                <w:webHidden/>
              </w:rPr>
              <w:fldChar w:fldCharType="begin"/>
            </w:r>
            <w:r>
              <w:rPr>
                <w:noProof/>
                <w:webHidden/>
              </w:rPr>
              <w:instrText xml:space="preserve"> PAGEREF _Toc213320958 \h </w:instrText>
            </w:r>
            <w:r>
              <w:rPr>
                <w:noProof/>
                <w:webHidden/>
              </w:rPr>
            </w:r>
            <w:r>
              <w:rPr>
                <w:noProof/>
                <w:webHidden/>
              </w:rPr>
              <w:fldChar w:fldCharType="separate"/>
            </w:r>
            <w:r>
              <w:rPr>
                <w:noProof/>
                <w:webHidden/>
              </w:rPr>
              <w:t>2</w:t>
            </w:r>
            <w:r>
              <w:rPr>
                <w:noProof/>
                <w:webHidden/>
              </w:rPr>
              <w:fldChar w:fldCharType="end"/>
            </w:r>
          </w:hyperlink>
        </w:p>
        <w:p w14:paraId="167A44D1" w14:textId="1C8FAFC6" w:rsidR="003678EA" w:rsidRDefault="003678EA">
          <w:pPr>
            <w:pStyle w:val="TOC2"/>
            <w:tabs>
              <w:tab w:val="right" w:leader="dot" w:pos="9016"/>
            </w:tabs>
            <w:rPr>
              <w:rFonts w:eastAsiaTheme="minorEastAsia"/>
              <w:noProof/>
              <w:lang w:eastAsia="en-GB"/>
            </w:rPr>
          </w:pPr>
          <w:hyperlink w:anchor="_Toc213320959" w:history="1">
            <w:r w:rsidRPr="00822A96">
              <w:rPr>
                <w:rStyle w:val="Hyperlink"/>
                <w:rFonts w:ascii="Arial" w:hAnsi="Arial" w:cs="Arial"/>
                <w:noProof/>
              </w:rPr>
              <w:t>National Strategies in the UK</w:t>
            </w:r>
            <w:r>
              <w:rPr>
                <w:noProof/>
                <w:webHidden/>
              </w:rPr>
              <w:tab/>
            </w:r>
            <w:r>
              <w:rPr>
                <w:noProof/>
                <w:webHidden/>
              </w:rPr>
              <w:fldChar w:fldCharType="begin"/>
            </w:r>
            <w:r>
              <w:rPr>
                <w:noProof/>
                <w:webHidden/>
              </w:rPr>
              <w:instrText xml:space="preserve"> PAGEREF _Toc213320959 \h </w:instrText>
            </w:r>
            <w:r>
              <w:rPr>
                <w:noProof/>
                <w:webHidden/>
              </w:rPr>
            </w:r>
            <w:r>
              <w:rPr>
                <w:noProof/>
                <w:webHidden/>
              </w:rPr>
              <w:fldChar w:fldCharType="separate"/>
            </w:r>
            <w:r>
              <w:rPr>
                <w:noProof/>
                <w:webHidden/>
              </w:rPr>
              <w:t>3</w:t>
            </w:r>
            <w:r>
              <w:rPr>
                <w:noProof/>
                <w:webHidden/>
              </w:rPr>
              <w:fldChar w:fldCharType="end"/>
            </w:r>
          </w:hyperlink>
        </w:p>
        <w:p w14:paraId="6BAEB760" w14:textId="56CF03BE" w:rsidR="003678EA" w:rsidRDefault="003678EA">
          <w:pPr>
            <w:pStyle w:val="TOC2"/>
            <w:tabs>
              <w:tab w:val="right" w:leader="dot" w:pos="9016"/>
            </w:tabs>
            <w:rPr>
              <w:rFonts w:eastAsiaTheme="minorEastAsia"/>
              <w:noProof/>
              <w:lang w:eastAsia="en-GB"/>
            </w:rPr>
          </w:pPr>
          <w:hyperlink w:anchor="_Toc213320960" w:history="1">
            <w:r w:rsidRPr="00822A96">
              <w:rPr>
                <w:rStyle w:val="Hyperlink"/>
                <w:rFonts w:ascii="Arial" w:hAnsi="Arial" w:cs="Arial"/>
                <w:noProof/>
              </w:rPr>
              <w:t>Evaluation of National Initiatives</w:t>
            </w:r>
            <w:r>
              <w:rPr>
                <w:noProof/>
                <w:webHidden/>
              </w:rPr>
              <w:tab/>
            </w:r>
            <w:r>
              <w:rPr>
                <w:noProof/>
                <w:webHidden/>
              </w:rPr>
              <w:fldChar w:fldCharType="begin"/>
            </w:r>
            <w:r>
              <w:rPr>
                <w:noProof/>
                <w:webHidden/>
              </w:rPr>
              <w:instrText xml:space="preserve"> PAGEREF _Toc213320960 \h </w:instrText>
            </w:r>
            <w:r>
              <w:rPr>
                <w:noProof/>
                <w:webHidden/>
              </w:rPr>
            </w:r>
            <w:r>
              <w:rPr>
                <w:noProof/>
                <w:webHidden/>
              </w:rPr>
              <w:fldChar w:fldCharType="separate"/>
            </w:r>
            <w:r>
              <w:rPr>
                <w:noProof/>
                <w:webHidden/>
              </w:rPr>
              <w:t>4</w:t>
            </w:r>
            <w:r>
              <w:rPr>
                <w:noProof/>
                <w:webHidden/>
              </w:rPr>
              <w:fldChar w:fldCharType="end"/>
            </w:r>
          </w:hyperlink>
        </w:p>
        <w:p w14:paraId="28BDD995" w14:textId="59926D20" w:rsidR="003678EA" w:rsidRDefault="003678EA">
          <w:pPr>
            <w:pStyle w:val="TOC2"/>
            <w:tabs>
              <w:tab w:val="right" w:leader="dot" w:pos="9016"/>
            </w:tabs>
            <w:rPr>
              <w:rFonts w:eastAsiaTheme="minorEastAsia"/>
              <w:noProof/>
              <w:lang w:eastAsia="en-GB"/>
            </w:rPr>
          </w:pPr>
          <w:hyperlink w:anchor="_Toc213320961" w:history="1">
            <w:r w:rsidRPr="00822A96">
              <w:rPr>
                <w:rStyle w:val="Hyperlink"/>
                <w:rFonts w:ascii="Arial" w:hAnsi="Arial" w:cs="Arial"/>
                <w:noProof/>
              </w:rPr>
              <w:t>Local Initiatives</w:t>
            </w:r>
            <w:r>
              <w:rPr>
                <w:noProof/>
                <w:webHidden/>
              </w:rPr>
              <w:tab/>
            </w:r>
            <w:r>
              <w:rPr>
                <w:noProof/>
                <w:webHidden/>
              </w:rPr>
              <w:fldChar w:fldCharType="begin"/>
            </w:r>
            <w:r>
              <w:rPr>
                <w:noProof/>
                <w:webHidden/>
              </w:rPr>
              <w:instrText xml:space="preserve"> PAGEREF _Toc213320961 \h </w:instrText>
            </w:r>
            <w:r>
              <w:rPr>
                <w:noProof/>
                <w:webHidden/>
              </w:rPr>
            </w:r>
            <w:r>
              <w:rPr>
                <w:noProof/>
                <w:webHidden/>
              </w:rPr>
              <w:fldChar w:fldCharType="separate"/>
            </w:r>
            <w:r>
              <w:rPr>
                <w:noProof/>
                <w:webHidden/>
              </w:rPr>
              <w:t>4</w:t>
            </w:r>
            <w:r>
              <w:rPr>
                <w:noProof/>
                <w:webHidden/>
              </w:rPr>
              <w:fldChar w:fldCharType="end"/>
            </w:r>
          </w:hyperlink>
        </w:p>
        <w:p w14:paraId="1650FEC6" w14:textId="4FE6735E" w:rsidR="003678EA" w:rsidRDefault="003678EA">
          <w:pPr>
            <w:pStyle w:val="TOC2"/>
            <w:tabs>
              <w:tab w:val="right" w:leader="dot" w:pos="9016"/>
            </w:tabs>
            <w:rPr>
              <w:rFonts w:eastAsiaTheme="minorEastAsia"/>
              <w:noProof/>
              <w:lang w:eastAsia="en-GB"/>
            </w:rPr>
          </w:pPr>
          <w:hyperlink w:anchor="_Toc213320962" w:history="1">
            <w:r w:rsidRPr="00822A96">
              <w:rPr>
                <w:rStyle w:val="Hyperlink"/>
                <w:rFonts w:ascii="Arial" w:hAnsi="Arial" w:cs="Arial"/>
                <w:noProof/>
              </w:rPr>
              <w:t>Application of Behavioural and Public Health Theories</w:t>
            </w:r>
            <w:r>
              <w:rPr>
                <w:noProof/>
                <w:webHidden/>
              </w:rPr>
              <w:tab/>
            </w:r>
            <w:r>
              <w:rPr>
                <w:noProof/>
                <w:webHidden/>
              </w:rPr>
              <w:fldChar w:fldCharType="begin"/>
            </w:r>
            <w:r>
              <w:rPr>
                <w:noProof/>
                <w:webHidden/>
              </w:rPr>
              <w:instrText xml:space="preserve"> PAGEREF _Toc213320962 \h </w:instrText>
            </w:r>
            <w:r>
              <w:rPr>
                <w:noProof/>
                <w:webHidden/>
              </w:rPr>
            </w:r>
            <w:r>
              <w:rPr>
                <w:noProof/>
                <w:webHidden/>
              </w:rPr>
              <w:fldChar w:fldCharType="separate"/>
            </w:r>
            <w:r>
              <w:rPr>
                <w:noProof/>
                <w:webHidden/>
              </w:rPr>
              <w:t>5</w:t>
            </w:r>
            <w:r>
              <w:rPr>
                <w:noProof/>
                <w:webHidden/>
              </w:rPr>
              <w:fldChar w:fldCharType="end"/>
            </w:r>
          </w:hyperlink>
        </w:p>
        <w:p w14:paraId="3C4ABD02" w14:textId="215DC1CA" w:rsidR="003678EA" w:rsidRDefault="003678EA">
          <w:pPr>
            <w:pStyle w:val="TOC2"/>
            <w:tabs>
              <w:tab w:val="right" w:leader="dot" w:pos="9016"/>
            </w:tabs>
            <w:rPr>
              <w:rFonts w:eastAsiaTheme="minorEastAsia"/>
              <w:noProof/>
              <w:lang w:eastAsia="en-GB"/>
            </w:rPr>
          </w:pPr>
          <w:hyperlink w:anchor="_Toc213320963" w:history="1">
            <w:r w:rsidRPr="00822A96">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_Toc213320963 \h </w:instrText>
            </w:r>
            <w:r>
              <w:rPr>
                <w:noProof/>
                <w:webHidden/>
              </w:rPr>
            </w:r>
            <w:r>
              <w:rPr>
                <w:noProof/>
                <w:webHidden/>
              </w:rPr>
              <w:fldChar w:fldCharType="separate"/>
            </w:r>
            <w:r>
              <w:rPr>
                <w:noProof/>
                <w:webHidden/>
              </w:rPr>
              <w:t>6</w:t>
            </w:r>
            <w:r>
              <w:rPr>
                <w:noProof/>
                <w:webHidden/>
              </w:rPr>
              <w:fldChar w:fldCharType="end"/>
            </w:r>
          </w:hyperlink>
        </w:p>
        <w:p w14:paraId="1A41CFB8" w14:textId="44FB1BDA" w:rsidR="003678EA" w:rsidRDefault="003678EA">
          <w:pPr>
            <w:pStyle w:val="TOC2"/>
            <w:tabs>
              <w:tab w:val="right" w:leader="dot" w:pos="9016"/>
            </w:tabs>
            <w:rPr>
              <w:rFonts w:eastAsiaTheme="minorEastAsia"/>
              <w:noProof/>
              <w:lang w:eastAsia="en-GB"/>
            </w:rPr>
          </w:pPr>
          <w:hyperlink w:anchor="_Toc213320964" w:history="1">
            <w:r w:rsidRPr="00822A9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_Toc213320964 \h </w:instrText>
            </w:r>
            <w:r>
              <w:rPr>
                <w:noProof/>
                <w:webHidden/>
              </w:rPr>
            </w:r>
            <w:r>
              <w:rPr>
                <w:noProof/>
                <w:webHidden/>
              </w:rPr>
              <w:fldChar w:fldCharType="separate"/>
            </w:r>
            <w:r>
              <w:rPr>
                <w:noProof/>
                <w:webHidden/>
              </w:rPr>
              <w:t>6</w:t>
            </w:r>
            <w:r>
              <w:rPr>
                <w:noProof/>
                <w:webHidden/>
              </w:rPr>
              <w:fldChar w:fldCharType="end"/>
            </w:r>
          </w:hyperlink>
        </w:p>
        <w:p w14:paraId="69CA7F16" w14:textId="6BF14003" w:rsidR="003678EA" w:rsidRDefault="003678EA">
          <w:pPr>
            <w:pStyle w:val="TOC1"/>
            <w:rPr>
              <w:rFonts w:eastAsiaTheme="minorEastAsia"/>
              <w:noProof/>
              <w:lang w:eastAsia="en-GB"/>
            </w:rPr>
          </w:pPr>
          <w:hyperlink w:anchor="_Toc213320965" w:history="1">
            <w:r w:rsidRPr="00822A96">
              <w:rPr>
                <w:rStyle w:val="Hyperlink"/>
                <w:rFonts w:ascii="Arial" w:hAnsi="Arial" w:cs="Arial"/>
                <w:noProof/>
              </w:rPr>
              <w:t>Section 2: SDG 10 – Reduced Inequalities</w:t>
            </w:r>
            <w:r>
              <w:rPr>
                <w:noProof/>
                <w:webHidden/>
              </w:rPr>
              <w:tab/>
            </w:r>
            <w:r>
              <w:rPr>
                <w:noProof/>
                <w:webHidden/>
              </w:rPr>
              <w:fldChar w:fldCharType="begin"/>
            </w:r>
            <w:r>
              <w:rPr>
                <w:noProof/>
                <w:webHidden/>
              </w:rPr>
              <w:instrText xml:space="preserve"> PAGEREF _Toc213320965 \h </w:instrText>
            </w:r>
            <w:r>
              <w:rPr>
                <w:noProof/>
                <w:webHidden/>
              </w:rPr>
            </w:r>
            <w:r>
              <w:rPr>
                <w:noProof/>
                <w:webHidden/>
              </w:rPr>
              <w:fldChar w:fldCharType="separate"/>
            </w:r>
            <w:r>
              <w:rPr>
                <w:noProof/>
                <w:webHidden/>
              </w:rPr>
              <w:t>7</w:t>
            </w:r>
            <w:r>
              <w:rPr>
                <w:noProof/>
                <w:webHidden/>
              </w:rPr>
              <w:fldChar w:fldCharType="end"/>
            </w:r>
          </w:hyperlink>
        </w:p>
        <w:p w14:paraId="187A6681" w14:textId="05F54CD5" w:rsidR="003678EA" w:rsidRDefault="003678EA">
          <w:pPr>
            <w:pStyle w:val="TOC2"/>
            <w:tabs>
              <w:tab w:val="right" w:leader="dot" w:pos="9016"/>
            </w:tabs>
            <w:rPr>
              <w:rFonts w:eastAsiaTheme="minorEastAsia"/>
              <w:noProof/>
              <w:lang w:eastAsia="en-GB"/>
            </w:rPr>
          </w:pPr>
          <w:hyperlink w:anchor="_Toc213320966" w:history="1">
            <w:r w:rsidRPr="00822A96">
              <w:rPr>
                <w:rStyle w:val="Hyperlink"/>
                <w:rFonts w:ascii="Arial" w:hAnsi="Arial" w:cs="Arial"/>
                <w:noProof/>
              </w:rPr>
              <w:t>Global, National and Local Policies</w:t>
            </w:r>
            <w:r>
              <w:rPr>
                <w:noProof/>
                <w:webHidden/>
              </w:rPr>
              <w:tab/>
            </w:r>
            <w:r>
              <w:rPr>
                <w:noProof/>
                <w:webHidden/>
              </w:rPr>
              <w:fldChar w:fldCharType="begin"/>
            </w:r>
            <w:r>
              <w:rPr>
                <w:noProof/>
                <w:webHidden/>
              </w:rPr>
              <w:instrText xml:space="preserve"> PAGEREF _Toc213320966 \h </w:instrText>
            </w:r>
            <w:r>
              <w:rPr>
                <w:noProof/>
                <w:webHidden/>
              </w:rPr>
            </w:r>
            <w:r>
              <w:rPr>
                <w:noProof/>
                <w:webHidden/>
              </w:rPr>
              <w:fldChar w:fldCharType="separate"/>
            </w:r>
            <w:r>
              <w:rPr>
                <w:noProof/>
                <w:webHidden/>
              </w:rPr>
              <w:t>7</w:t>
            </w:r>
            <w:r>
              <w:rPr>
                <w:noProof/>
                <w:webHidden/>
              </w:rPr>
              <w:fldChar w:fldCharType="end"/>
            </w:r>
          </w:hyperlink>
        </w:p>
        <w:p w14:paraId="2ABB31D7" w14:textId="12EAE7FC" w:rsidR="003678EA" w:rsidRDefault="003678EA">
          <w:pPr>
            <w:pStyle w:val="TOC2"/>
            <w:tabs>
              <w:tab w:val="right" w:leader="dot" w:pos="9016"/>
            </w:tabs>
            <w:rPr>
              <w:rFonts w:eastAsiaTheme="minorEastAsia"/>
              <w:noProof/>
              <w:lang w:eastAsia="en-GB"/>
            </w:rPr>
          </w:pPr>
          <w:hyperlink w:anchor="_Toc213320967" w:history="1">
            <w:r w:rsidRPr="00822A96">
              <w:rPr>
                <w:rStyle w:val="Hyperlink"/>
                <w:rFonts w:ascii="Arial" w:hAnsi="Arial" w:cs="Arial"/>
                <w:noProof/>
              </w:rPr>
              <w:t>Theories and Frameworks</w:t>
            </w:r>
            <w:r>
              <w:rPr>
                <w:noProof/>
                <w:webHidden/>
              </w:rPr>
              <w:tab/>
            </w:r>
            <w:r>
              <w:rPr>
                <w:noProof/>
                <w:webHidden/>
              </w:rPr>
              <w:fldChar w:fldCharType="begin"/>
            </w:r>
            <w:r>
              <w:rPr>
                <w:noProof/>
                <w:webHidden/>
              </w:rPr>
              <w:instrText xml:space="preserve"> PAGEREF _Toc213320967 \h </w:instrText>
            </w:r>
            <w:r>
              <w:rPr>
                <w:noProof/>
                <w:webHidden/>
              </w:rPr>
            </w:r>
            <w:r>
              <w:rPr>
                <w:noProof/>
                <w:webHidden/>
              </w:rPr>
              <w:fldChar w:fldCharType="separate"/>
            </w:r>
            <w:r>
              <w:rPr>
                <w:noProof/>
                <w:webHidden/>
              </w:rPr>
              <w:t>8</w:t>
            </w:r>
            <w:r>
              <w:rPr>
                <w:noProof/>
                <w:webHidden/>
              </w:rPr>
              <w:fldChar w:fldCharType="end"/>
            </w:r>
          </w:hyperlink>
        </w:p>
        <w:p w14:paraId="6A73C9D0" w14:textId="1D460C7B" w:rsidR="003678EA" w:rsidRDefault="003678EA">
          <w:pPr>
            <w:pStyle w:val="TOC2"/>
            <w:tabs>
              <w:tab w:val="right" w:leader="dot" w:pos="9016"/>
            </w:tabs>
            <w:rPr>
              <w:rFonts w:eastAsiaTheme="minorEastAsia"/>
              <w:noProof/>
              <w:lang w:eastAsia="en-GB"/>
            </w:rPr>
          </w:pPr>
          <w:hyperlink w:anchor="_Toc213320968" w:history="1">
            <w:r w:rsidRPr="00822A96">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_Toc213320968 \h </w:instrText>
            </w:r>
            <w:r>
              <w:rPr>
                <w:noProof/>
                <w:webHidden/>
              </w:rPr>
            </w:r>
            <w:r>
              <w:rPr>
                <w:noProof/>
                <w:webHidden/>
              </w:rPr>
              <w:fldChar w:fldCharType="separate"/>
            </w:r>
            <w:r>
              <w:rPr>
                <w:noProof/>
                <w:webHidden/>
              </w:rPr>
              <w:t>8</w:t>
            </w:r>
            <w:r>
              <w:rPr>
                <w:noProof/>
                <w:webHidden/>
              </w:rPr>
              <w:fldChar w:fldCharType="end"/>
            </w:r>
          </w:hyperlink>
        </w:p>
        <w:p w14:paraId="7712200E" w14:textId="3AF66051" w:rsidR="003678EA" w:rsidRDefault="003678EA">
          <w:pPr>
            <w:pStyle w:val="TOC2"/>
            <w:tabs>
              <w:tab w:val="right" w:leader="dot" w:pos="9016"/>
            </w:tabs>
            <w:rPr>
              <w:rFonts w:eastAsiaTheme="minorEastAsia"/>
              <w:noProof/>
              <w:lang w:eastAsia="en-GB"/>
            </w:rPr>
          </w:pPr>
          <w:hyperlink w:anchor="_Toc213320969" w:history="1">
            <w:r w:rsidRPr="00822A9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_Toc213320969 \h </w:instrText>
            </w:r>
            <w:r>
              <w:rPr>
                <w:noProof/>
                <w:webHidden/>
              </w:rPr>
            </w:r>
            <w:r>
              <w:rPr>
                <w:noProof/>
                <w:webHidden/>
              </w:rPr>
              <w:fldChar w:fldCharType="separate"/>
            </w:r>
            <w:r>
              <w:rPr>
                <w:noProof/>
                <w:webHidden/>
              </w:rPr>
              <w:t>9</w:t>
            </w:r>
            <w:r>
              <w:rPr>
                <w:noProof/>
                <w:webHidden/>
              </w:rPr>
              <w:fldChar w:fldCharType="end"/>
            </w:r>
          </w:hyperlink>
        </w:p>
        <w:p w14:paraId="0D649DB8" w14:textId="79A2A484" w:rsidR="003678EA" w:rsidRDefault="003678EA">
          <w:pPr>
            <w:pStyle w:val="TOC1"/>
            <w:rPr>
              <w:rFonts w:eastAsiaTheme="minorEastAsia"/>
              <w:noProof/>
              <w:lang w:eastAsia="en-GB"/>
            </w:rPr>
          </w:pPr>
          <w:hyperlink w:anchor="_Toc213320970" w:history="1">
            <w:r w:rsidRPr="00822A9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_Toc213320970 \h </w:instrText>
            </w:r>
            <w:r>
              <w:rPr>
                <w:noProof/>
                <w:webHidden/>
              </w:rPr>
            </w:r>
            <w:r>
              <w:rPr>
                <w:noProof/>
                <w:webHidden/>
              </w:rPr>
              <w:fldChar w:fldCharType="separate"/>
            </w:r>
            <w:r>
              <w:rPr>
                <w:noProof/>
                <w:webHidden/>
              </w:rPr>
              <w:t>10</w:t>
            </w:r>
            <w:r>
              <w:rPr>
                <w:noProof/>
                <w:webHidden/>
              </w:rPr>
              <w:fldChar w:fldCharType="end"/>
            </w:r>
          </w:hyperlink>
        </w:p>
        <w:p w14:paraId="68034D38" w14:textId="452448D3" w:rsidR="003678EA" w:rsidRDefault="003678EA">
          <w:pPr>
            <w:pStyle w:val="TOC1"/>
            <w:rPr>
              <w:rFonts w:eastAsiaTheme="minorEastAsia"/>
              <w:noProof/>
              <w:lang w:eastAsia="en-GB"/>
            </w:rPr>
          </w:pPr>
          <w:hyperlink w:anchor="_Toc213320971" w:history="1">
            <w:r w:rsidRPr="00822A96">
              <w:rPr>
                <w:rStyle w:val="Hyperlink"/>
                <w:noProof/>
              </w:rPr>
              <w:t>References</w:t>
            </w:r>
            <w:r>
              <w:rPr>
                <w:noProof/>
                <w:webHidden/>
              </w:rPr>
              <w:tab/>
            </w:r>
            <w:r>
              <w:rPr>
                <w:noProof/>
                <w:webHidden/>
              </w:rPr>
              <w:fldChar w:fldCharType="begin"/>
            </w:r>
            <w:r>
              <w:rPr>
                <w:noProof/>
                <w:webHidden/>
              </w:rPr>
              <w:instrText xml:space="preserve"> PAGEREF _Toc213320971 \h </w:instrText>
            </w:r>
            <w:r>
              <w:rPr>
                <w:noProof/>
                <w:webHidden/>
              </w:rPr>
            </w:r>
            <w:r>
              <w:rPr>
                <w:noProof/>
                <w:webHidden/>
              </w:rPr>
              <w:fldChar w:fldCharType="separate"/>
            </w:r>
            <w:r>
              <w:rPr>
                <w:noProof/>
                <w:webHidden/>
              </w:rPr>
              <w:t>11</w:t>
            </w:r>
            <w:r>
              <w:rPr>
                <w:noProof/>
                <w:webHidden/>
              </w:rPr>
              <w:fldChar w:fldCharType="end"/>
            </w:r>
          </w:hyperlink>
        </w:p>
        <w:p w14:paraId="3596E2FB" w14:textId="61B65215" w:rsidR="00A93EBB" w:rsidRDefault="00A93EBB">
          <w:r>
            <w:rPr>
              <w:b/>
              <w:bCs/>
              <w:noProof/>
            </w:rPr>
            <w:fldChar w:fldCharType="end"/>
          </w:r>
        </w:p>
      </w:sdtContent>
    </w:sdt>
    <w:p w14:paraId="101FAB75" w14:textId="77777777" w:rsidR="006218C0" w:rsidRPr="00F46F32" w:rsidRDefault="00A93EBB" w:rsidP="006218C0">
      <w:pPr>
        <w:pStyle w:val="Heading1"/>
        <w:rPr>
          <w:rFonts w:ascii="Arial" w:hAnsi="Arial" w:cs="Arial"/>
          <w:sz w:val="24"/>
          <w:szCs w:val="24"/>
        </w:rPr>
      </w:pPr>
      <w:r>
        <w:br w:type="page"/>
      </w:r>
      <w:bookmarkStart w:id="0" w:name="_Toc213320956"/>
      <w:r w:rsidR="006218C0" w:rsidRPr="00F46F32">
        <w:rPr>
          <w:rFonts w:ascii="Arial" w:hAnsi="Arial" w:cs="Arial"/>
          <w:sz w:val="24"/>
          <w:szCs w:val="24"/>
        </w:rPr>
        <w:lastRenderedPageBreak/>
        <w:t>Introduction</w:t>
      </w:r>
      <w:bookmarkEnd w:id="0"/>
    </w:p>
    <w:p w14:paraId="2A016925" w14:textId="77777777" w:rsidR="006218C0" w:rsidRPr="00F46F32" w:rsidRDefault="006218C0" w:rsidP="006218C0">
      <w:pPr>
        <w:rPr>
          <w:rFonts w:ascii="Arial" w:hAnsi="Arial" w:cs="Arial"/>
        </w:rPr>
      </w:pPr>
    </w:p>
    <w:p w14:paraId="132B686A" w14:textId="77777777" w:rsidR="006218C0" w:rsidRPr="00F46F32" w:rsidRDefault="006218C0" w:rsidP="006218C0">
      <w:pPr>
        <w:spacing w:line="360" w:lineRule="auto"/>
        <w:jc w:val="both"/>
        <w:rPr>
          <w:rFonts w:ascii="Arial" w:hAnsi="Arial" w:cs="Arial"/>
        </w:rPr>
      </w:pPr>
      <w:r w:rsidRPr="00F46F32">
        <w:rPr>
          <w:rFonts w:ascii="Arial" w:hAnsi="Arial" w:cs="Arial"/>
        </w:rPr>
        <w:t>The UN Sustainable Development Goals (SDGs) provide a framework to address health, wellbeing, and sustainability. SDG 3 seeks to ensure healthy lives, but challenges such as non-communicable diseases, antimicrobial resistance, and inequalities remain (WHO, 2021; UN, 2023).</w:t>
      </w:r>
    </w:p>
    <w:p w14:paraId="0351784A" w14:textId="14E4F133" w:rsidR="006218C0" w:rsidRPr="00F46F32" w:rsidRDefault="006218C0" w:rsidP="006218C0">
      <w:pPr>
        <w:spacing w:line="360" w:lineRule="auto"/>
        <w:jc w:val="both"/>
        <w:rPr>
          <w:rFonts w:ascii="Arial" w:hAnsi="Arial" w:cs="Arial"/>
        </w:rPr>
      </w:pPr>
      <w:r w:rsidRPr="00F46F32">
        <w:rPr>
          <w:rFonts w:ascii="Arial" w:hAnsi="Arial" w:cs="Arial"/>
        </w:rPr>
        <w:t xml:space="preserve">The report also considers SDG 10: Reduced Inequalities, as health outcomes are </w:t>
      </w:r>
      <w:r w:rsidR="009A3A67" w:rsidRPr="00F46F32">
        <w:rPr>
          <w:rFonts w:ascii="Arial" w:hAnsi="Arial" w:cs="Arial"/>
        </w:rPr>
        <w:t>influenced by factors such as</w:t>
      </w:r>
      <w:r w:rsidRPr="00F46F32">
        <w:rPr>
          <w:rFonts w:ascii="Arial" w:hAnsi="Arial" w:cs="Arial"/>
        </w:rPr>
        <w:t xml:space="preserve"> income, education, ethnicity, and geography (Marmot, 2020; Bambra et al., 2021). Progress on SDG 3 is limited without tackling inequities (The King</w:t>
      </w:r>
      <w:r w:rsidR="009977D5" w:rsidRPr="00F46F32">
        <w:rPr>
          <w:rFonts w:ascii="Arial" w:hAnsi="Arial" w:cs="Arial"/>
        </w:rPr>
        <w:t>'</w:t>
      </w:r>
      <w:r w:rsidRPr="00F46F32">
        <w:rPr>
          <w:rFonts w:ascii="Arial" w:hAnsi="Arial" w:cs="Arial"/>
        </w:rPr>
        <w:t>s Fund, 2022).</w:t>
      </w:r>
    </w:p>
    <w:p w14:paraId="678050D3" w14:textId="77777777" w:rsidR="006218C0" w:rsidRPr="00F46F32" w:rsidRDefault="006218C0" w:rsidP="006218C0">
      <w:pPr>
        <w:spacing w:line="360" w:lineRule="auto"/>
        <w:jc w:val="both"/>
        <w:rPr>
          <w:rFonts w:ascii="Arial" w:hAnsi="Arial" w:cs="Arial"/>
        </w:rPr>
      </w:pPr>
      <w:r w:rsidRPr="00F46F32">
        <w:rPr>
          <w:rFonts w:ascii="Arial" w:hAnsi="Arial" w:cs="Arial"/>
        </w:rPr>
        <w:t>This report analyses SDG 3 and SDG 10 globally, nationally, and locally, using theory to evaluate strengths and limitations before providing recommendations.</w:t>
      </w:r>
    </w:p>
    <w:p w14:paraId="40A9935C" w14:textId="77777777" w:rsidR="006218C0" w:rsidRPr="00F46F32" w:rsidRDefault="006218C0" w:rsidP="006218C0">
      <w:pPr>
        <w:pStyle w:val="Heading1"/>
        <w:rPr>
          <w:rFonts w:ascii="Arial" w:hAnsi="Arial" w:cs="Arial"/>
          <w:sz w:val="24"/>
          <w:szCs w:val="24"/>
        </w:rPr>
      </w:pPr>
      <w:bookmarkStart w:id="1" w:name="_Toc213320957"/>
      <w:r w:rsidRPr="00F46F32">
        <w:rPr>
          <w:rFonts w:ascii="Arial" w:hAnsi="Arial" w:cs="Arial"/>
          <w:sz w:val="24"/>
          <w:szCs w:val="24"/>
        </w:rPr>
        <w:t>Section 1: SDG 3 – Good Health and Wellbeing</w:t>
      </w:r>
      <w:bookmarkEnd w:id="1"/>
    </w:p>
    <w:p w14:paraId="4486FFB2" w14:textId="77777777" w:rsidR="006218C0" w:rsidRPr="00F46F32" w:rsidRDefault="006218C0" w:rsidP="006218C0">
      <w:pPr>
        <w:pStyle w:val="Heading2"/>
        <w:rPr>
          <w:rFonts w:ascii="Arial" w:hAnsi="Arial" w:cs="Arial"/>
          <w:sz w:val="24"/>
          <w:szCs w:val="24"/>
        </w:rPr>
      </w:pPr>
      <w:bookmarkStart w:id="2" w:name="_Toc213320958"/>
      <w:r w:rsidRPr="00F46F32">
        <w:rPr>
          <w:rFonts w:ascii="Arial" w:hAnsi="Arial" w:cs="Arial"/>
          <w:sz w:val="24"/>
          <w:szCs w:val="24"/>
        </w:rPr>
        <w:t>Global Overview and Challenges</w:t>
      </w:r>
      <w:bookmarkEnd w:id="2"/>
    </w:p>
    <w:p w14:paraId="0A0C3040" w14:textId="1C42A38E" w:rsidR="006218C0" w:rsidRPr="00F46F32" w:rsidRDefault="007A2492" w:rsidP="006218C0">
      <w:pPr>
        <w:spacing w:line="360" w:lineRule="auto"/>
        <w:jc w:val="both"/>
        <w:rPr>
          <w:rFonts w:ascii="Arial" w:hAnsi="Arial" w:cs="Arial"/>
        </w:rPr>
      </w:pPr>
      <w:r w:rsidRPr="00F46F32">
        <w:rPr>
          <w:rFonts w:ascii="Arial" w:hAnsi="Arial" w:cs="Arial"/>
        </w:rPr>
        <w:t xml:space="preserve">Sustainable Development Goal 3 (SDG 3) aims to </w:t>
      </w:r>
      <w:r w:rsidR="009977D5" w:rsidRPr="00F46F32">
        <w:rPr>
          <w:rFonts w:ascii="Arial" w:hAnsi="Arial" w:cs="Arial"/>
        </w:rPr>
        <w:t>"</w:t>
      </w:r>
      <w:r w:rsidRPr="00F46F32">
        <w:rPr>
          <w:rFonts w:ascii="Arial" w:hAnsi="Arial" w:cs="Arial"/>
        </w:rPr>
        <w:t>ensure healthy lives and promote wellbeing for all at all ages,</w:t>
      </w:r>
      <w:r w:rsidR="009977D5" w:rsidRPr="00F46F32">
        <w:rPr>
          <w:rFonts w:ascii="Arial" w:hAnsi="Arial" w:cs="Arial"/>
        </w:rPr>
        <w:t>"</w:t>
      </w:r>
      <w:r w:rsidRPr="00F46F32">
        <w:rPr>
          <w:rFonts w:ascii="Arial" w:hAnsi="Arial" w:cs="Arial"/>
        </w:rPr>
        <w:t xml:space="preserve"> but </w:t>
      </w:r>
      <w:r w:rsidR="009A3A67" w:rsidRPr="00F46F32">
        <w:rPr>
          <w:rFonts w:ascii="Arial" w:hAnsi="Arial" w:cs="Arial"/>
        </w:rPr>
        <w:t>significant global challenges slow progres</w:t>
      </w:r>
      <w:r w:rsidRPr="00F46F32">
        <w:rPr>
          <w:rFonts w:ascii="Arial" w:hAnsi="Arial" w:cs="Arial"/>
        </w:rPr>
        <w:t xml:space="preserve">s. Non-communicable diseases (NCDs) such as heart disease, diabetes, cancer, and chronic respiratory conditions account for over 70% of deaths worldwide, disproportionately affecting low- and middle-income countries (WHO, 2022). The COVID-19 pandemic further exposed weaknesses in health systems and deepened inequalities in access to care and vaccines (Bambra et al., 2021). Antimicrobial resistance (AMR) is another urgent threat, with projections of 10 million deaths annually by 2050 if left unchecked (WHO, 2021). Addressing these challenges requires action on social determinants such as income, housing, and education, aligning SDG 3 with SDG 10 on Reduced Inequalities (Marmot, 2020). The Global Polio Eradication Initiative </w:t>
      </w:r>
      <w:r w:rsidR="009A3A67" w:rsidRPr="00F46F32">
        <w:rPr>
          <w:rFonts w:ascii="Arial" w:hAnsi="Arial" w:cs="Arial"/>
        </w:rPr>
        <w:t>exemplifies the value of international collaboration, having reduced cases by 99% since 1988; however, conflict and vaccine-derived outbreaks remain significant</w:t>
      </w:r>
      <w:r w:rsidRPr="00F46F32">
        <w:rPr>
          <w:rFonts w:ascii="Arial" w:hAnsi="Arial" w:cs="Arial"/>
        </w:rPr>
        <w:t xml:space="preserve"> barriers (</w:t>
      </w:r>
      <w:proofErr w:type="spellStart"/>
      <w:r w:rsidRPr="00F46F32">
        <w:rPr>
          <w:rFonts w:ascii="Arial" w:hAnsi="Arial" w:cs="Arial"/>
        </w:rPr>
        <w:t>Bigouette</w:t>
      </w:r>
      <w:proofErr w:type="spellEnd"/>
      <w:r w:rsidRPr="00F46F32">
        <w:rPr>
          <w:rFonts w:ascii="Arial" w:hAnsi="Arial" w:cs="Arial"/>
        </w:rPr>
        <w:t xml:space="preserve"> et al., 2021; </w:t>
      </w:r>
      <w:proofErr w:type="spellStart"/>
      <w:r w:rsidRPr="00F46F32">
        <w:rPr>
          <w:rFonts w:ascii="Arial" w:hAnsi="Arial" w:cs="Arial"/>
        </w:rPr>
        <w:t>Mbaeyi</w:t>
      </w:r>
      <w:proofErr w:type="spellEnd"/>
      <w:r w:rsidRPr="00F46F32">
        <w:rPr>
          <w:rFonts w:ascii="Arial" w:hAnsi="Arial" w:cs="Arial"/>
        </w:rPr>
        <w:t xml:space="preserve"> et al., 2023). Overall, achieving SDG 3 depends not only on medical advances but also on integrated, equity-focused approaches across sectors.</w:t>
      </w:r>
    </w:p>
    <w:p w14:paraId="10A3BFE6" w14:textId="3F7D16A6" w:rsidR="006218C0" w:rsidRPr="00F46F32" w:rsidRDefault="006218C0" w:rsidP="006218C0">
      <w:pPr>
        <w:spacing w:line="360" w:lineRule="auto"/>
        <w:jc w:val="both"/>
        <w:rPr>
          <w:rFonts w:ascii="Arial" w:hAnsi="Arial" w:cs="Arial"/>
        </w:rPr>
      </w:pPr>
    </w:p>
    <w:p w14:paraId="6A79326E" w14:textId="3E7286B2" w:rsidR="007A2492" w:rsidRPr="00F46F32" w:rsidRDefault="007A2492" w:rsidP="006218C0">
      <w:pPr>
        <w:spacing w:line="240" w:lineRule="auto"/>
        <w:jc w:val="both"/>
        <w:rPr>
          <w:rFonts w:ascii="Arial" w:hAnsi="Arial" w:cs="Arial"/>
          <w:i/>
          <w:iCs/>
          <w:color w:val="156082" w:themeColor="accent1"/>
        </w:rPr>
      </w:pPr>
      <w:r w:rsidRPr="00F46F32">
        <w:rPr>
          <w:rFonts w:ascii="Arial" w:hAnsi="Arial" w:cs="Arial"/>
          <w:noProof/>
        </w:rPr>
        <w:lastRenderedPageBreak/>
        <w:drawing>
          <wp:inline distT="0" distB="0" distL="0" distR="0" wp14:anchorId="4AA62358" wp14:editId="6D20AFE9">
            <wp:extent cx="5485714" cy="4876190"/>
            <wp:effectExtent l="0" t="0" r="1270" b="635"/>
            <wp:docPr id="2087316487" name="Picture 1" descr="A diagram of a health 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316487" name="Picture 1" descr="A diagram of a health care&#10;&#10;AI-generated content may be incorrect."/>
                    <pic:cNvPicPr/>
                  </pic:nvPicPr>
                  <pic:blipFill>
                    <a:blip r:embed="rId9"/>
                    <a:stretch>
                      <a:fillRect/>
                    </a:stretch>
                  </pic:blipFill>
                  <pic:spPr>
                    <a:xfrm>
                      <a:off x="0" y="0"/>
                      <a:ext cx="5485714" cy="4876190"/>
                    </a:xfrm>
                    <a:prstGeom prst="rect">
                      <a:avLst/>
                    </a:prstGeom>
                  </pic:spPr>
                </pic:pic>
              </a:graphicData>
            </a:graphic>
          </wp:inline>
        </w:drawing>
      </w:r>
    </w:p>
    <w:p w14:paraId="5671B0B7" w14:textId="317D84A1" w:rsidR="009977D5" w:rsidRPr="00F46F32" w:rsidRDefault="009977D5" w:rsidP="006218C0">
      <w:pPr>
        <w:spacing w:line="240" w:lineRule="auto"/>
        <w:jc w:val="both"/>
        <w:rPr>
          <w:rFonts w:ascii="Arial" w:hAnsi="Arial" w:cs="Arial"/>
          <w:i/>
          <w:iCs/>
          <w:color w:val="156082" w:themeColor="accent1"/>
        </w:rPr>
      </w:pPr>
      <w:r w:rsidRPr="00F46F32">
        <w:rPr>
          <w:rFonts w:ascii="Arial" w:hAnsi="Arial" w:cs="Arial"/>
          <w:i/>
          <w:iCs/>
          <w:color w:val="156082" w:themeColor="accent1"/>
        </w:rPr>
        <w:drawing>
          <wp:inline distT="0" distB="0" distL="0" distR="0" wp14:anchorId="3755EA35" wp14:editId="529E9C91">
            <wp:extent cx="5731510" cy="367665"/>
            <wp:effectExtent l="0" t="0" r="2540" b="0"/>
            <wp:docPr id="622845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845867" name=""/>
                    <pic:cNvPicPr/>
                  </pic:nvPicPr>
                  <pic:blipFill>
                    <a:blip r:embed="rId10"/>
                    <a:stretch>
                      <a:fillRect/>
                    </a:stretch>
                  </pic:blipFill>
                  <pic:spPr>
                    <a:xfrm>
                      <a:off x="0" y="0"/>
                      <a:ext cx="5731510" cy="367665"/>
                    </a:xfrm>
                    <a:prstGeom prst="rect">
                      <a:avLst/>
                    </a:prstGeom>
                  </pic:spPr>
                </pic:pic>
              </a:graphicData>
            </a:graphic>
          </wp:inline>
        </w:drawing>
      </w:r>
    </w:p>
    <w:p w14:paraId="1ED8858E" w14:textId="77777777" w:rsidR="009977D5" w:rsidRPr="00F46F32" w:rsidRDefault="009977D5" w:rsidP="009977D5">
      <w:pPr>
        <w:pStyle w:val="Heading2"/>
        <w:rPr>
          <w:rFonts w:ascii="Arial" w:hAnsi="Arial" w:cs="Arial"/>
          <w:sz w:val="24"/>
          <w:szCs w:val="24"/>
        </w:rPr>
      </w:pPr>
    </w:p>
    <w:p w14:paraId="30C57F4D" w14:textId="76B87E77" w:rsidR="006218C0" w:rsidRPr="00F46F32" w:rsidRDefault="006218C0" w:rsidP="009977D5">
      <w:pPr>
        <w:pStyle w:val="Heading2"/>
        <w:rPr>
          <w:rFonts w:ascii="Arial" w:hAnsi="Arial" w:cs="Arial"/>
          <w:sz w:val="24"/>
          <w:szCs w:val="24"/>
        </w:rPr>
      </w:pPr>
      <w:bookmarkStart w:id="3" w:name="_Toc213320959"/>
      <w:r w:rsidRPr="00F46F32">
        <w:rPr>
          <w:rFonts w:ascii="Arial" w:hAnsi="Arial" w:cs="Arial"/>
          <w:sz w:val="24"/>
          <w:szCs w:val="24"/>
        </w:rPr>
        <w:t>National Strategies in the UK</w:t>
      </w:r>
      <w:bookmarkEnd w:id="3"/>
    </w:p>
    <w:p w14:paraId="23B170A3" w14:textId="015DE0F9" w:rsidR="006218C0" w:rsidRPr="00F46F32" w:rsidRDefault="006218C0" w:rsidP="006218C0">
      <w:pPr>
        <w:spacing w:line="360" w:lineRule="auto"/>
        <w:jc w:val="both"/>
        <w:rPr>
          <w:rFonts w:ascii="Arial" w:hAnsi="Arial" w:cs="Arial"/>
        </w:rPr>
      </w:pPr>
      <w:r w:rsidRPr="00F46F32">
        <w:rPr>
          <w:rFonts w:ascii="Arial" w:hAnsi="Arial" w:cs="Arial"/>
        </w:rPr>
        <w:t xml:space="preserve">In the United Kingdom, the NHS Long Term Plan (2019–2029) </w:t>
      </w:r>
      <w:r w:rsidR="009A3A67" w:rsidRPr="00F46F32">
        <w:rPr>
          <w:rFonts w:ascii="Arial" w:hAnsi="Arial" w:cs="Arial"/>
        </w:rPr>
        <w:t>outlines strategies to reduce preventable illnesses, enhanc</w:t>
      </w:r>
      <w:r w:rsidRPr="00F46F32">
        <w:rPr>
          <w:rFonts w:ascii="Arial" w:hAnsi="Arial" w:cs="Arial"/>
        </w:rPr>
        <w:t xml:space="preserve">e cancer and mental health services, and strengthen prevention through population health management (NHS England, 2022). The plan highlights early diagnosis, lifestyle interventions, and integrated care as core strategies. </w:t>
      </w:r>
      <w:r w:rsidR="009A3A67" w:rsidRPr="00F46F32">
        <w:rPr>
          <w:rFonts w:ascii="Arial" w:hAnsi="Arial" w:cs="Arial"/>
        </w:rPr>
        <w:t>Following the COVID-19 pandemic, there has been an increased emphasis on addressing</w:t>
      </w:r>
      <w:r w:rsidRPr="00F46F32">
        <w:rPr>
          <w:rFonts w:ascii="Arial" w:hAnsi="Arial" w:cs="Arial"/>
        </w:rPr>
        <w:t xml:space="preserve"> health inequalities and digital transformation to deliver accessible care (The King</w:t>
      </w:r>
      <w:r w:rsidR="009977D5" w:rsidRPr="00F46F32">
        <w:rPr>
          <w:rFonts w:ascii="Arial" w:hAnsi="Arial" w:cs="Arial"/>
        </w:rPr>
        <w:t>'</w:t>
      </w:r>
      <w:r w:rsidRPr="00F46F32">
        <w:rPr>
          <w:rFonts w:ascii="Arial" w:hAnsi="Arial" w:cs="Arial"/>
        </w:rPr>
        <w:t>s Fund, 2022).</w:t>
      </w:r>
    </w:p>
    <w:p w14:paraId="693AD183" w14:textId="5E5555A1" w:rsidR="006218C0" w:rsidRPr="00F46F32" w:rsidRDefault="006218C0" w:rsidP="006218C0">
      <w:pPr>
        <w:spacing w:line="360" w:lineRule="auto"/>
        <w:jc w:val="both"/>
        <w:rPr>
          <w:rFonts w:ascii="Arial" w:hAnsi="Arial" w:cs="Arial"/>
        </w:rPr>
      </w:pPr>
      <w:r w:rsidRPr="00F46F32">
        <w:rPr>
          <w:rFonts w:ascii="Arial" w:hAnsi="Arial" w:cs="Arial"/>
        </w:rPr>
        <w:t xml:space="preserve">The UK is also at the forefront of tackling AMR. The UK Health Security Agency (UKHSA) has adopted innovative campaigns such as the 2024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initiative, which used creative public engagement to raise awareness of </w:t>
      </w:r>
      <w:r w:rsidRPr="00F46F32">
        <w:rPr>
          <w:rFonts w:ascii="Arial" w:hAnsi="Arial" w:cs="Arial"/>
        </w:rPr>
        <w:lastRenderedPageBreak/>
        <w:t>responsible antibiotic use (UKHSA, 2024). Such campaigns illustrate how behaviour change strategies can support national priorities by engaging the public in preventative action.</w:t>
      </w:r>
    </w:p>
    <w:p w14:paraId="1084868E" w14:textId="77777777" w:rsidR="006218C0" w:rsidRPr="00F46F32" w:rsidRDefault="006218C0" w:rsidP="006218C0">
      <w:pPr>
        <w:spacing w:line="360" w:lineRule="auto"/>
        <w:jc w:val="both"/>
        <w:rPr>
          <w:rFonts w:ascii="Arial" w:hAnsi="Arial" w:cs="Arial"/>
        </w:rPr>
      </w:pPr>
      <w:r w:rsidRPr="00F46F32">
        <w:rPr>
          <w:rFonts w:ascii="Arial" w:hAnsi="Arial" w:cs="Arial"/>
        </w:rPr>
        <w:t>However, while these strategies are ambitious, challenges remain. The NHS faces workforce shortages, rising waiting lists, and funding pressures, all of which undermine its capacity to deliver SDG 3 outcomes equitably (Arnold et al., 2025). Additionally, digital health innovations risk widening inequalities if access is uneven, particularly among disadvantaged groups (Lupton, 2022).</w:t>
      </w:r>
    </w:p>
    <w:p w14:paraId="472AA1A5" w14:textId="77777777" w:rsidR="006218C0" w:rsidRPr="00F46F32" w:rsidRDefault="006218C0" w:rsidP="006218C0">
      <w:pPr>
        <w:pStyle w:val="Heading2"/>
        <w:rPr>
          <w:rFonts w:ascii="Arial" w:hAnsi="Arial" w:cs="Arial"/>
          <w:sz w:val="24"/>
          <w:szCs w:val="24"/>
        </w:rPr>
      </w:pPr>
      <w:bookmarkStart w:id="4" w:name="_Toc213320960"/>
      <w:r w:rsidRPr="00F46F32">
        <w:rPr>
          <w:rFonts w:ascii="Arial" w:hAnsi="Arial" w:cs="Arial"/>
          <w:sz w:val="24"/>
          <w:szCs w:val="24"/>
        </w:rPr>
        <w:t>Evaluation of National Initiatives</w:t>
      </w:r>
      <w:bookmarkEnd w:id="4"/>
    </w:p>
    <w:p w14:paraId="4988094A" w14:textId="5F44FA22" w:rsidR="006218C0" w:rsidRPr="00F46F32" w:rsidRDefault="006218C0" w:rsidP="006218C0">
      <w:pPr>
        <w:spacing w:line="360" w:lineRule="auto"/>
        <w:jc w:val="both"/>
        <w:rPr>
          <w:rFonts w:ascii="Arial" w:hAnsi="Arial" w:cs="Arial"/>
        </w:rPr>
      </w:pPr>
      <w:r w:rsidRPr="00F46F32">
        <w:rPr>
          <w:rFonts w:ascii="Arial" w:hAnsi="Arial" w:cs="Arial"/>
        </w:rPr>
        <w:t>The NHS Long Term Plan has strengthened prevention and early diagnosis, and campaigns like UKHSA</w:t>
      </w:r>
      <w:r w:rsidR="009977D5" w:rsidRPr="00F46F32">
        <w:rPr>
          <w:rFonts w:ascii="Arial" w:hAnsi="Arial" w:cs="Arial"/>
        </w:rPr>
        <w:t>'</w:t>
      </w:r>
      <w:r w:rsidRPr="00F46F32">
        <w:rPr>
          <w:rFonts w:ascii="Arial" w:hAnsi="Arial" w:cs="Arial"/>
        </w:rPr>
        <w:t xml:space="preserve">s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raised awareness of antimicrobial resistance (UKHSA, 2024). However, challenges include staff shortages, waiting times, and risks of digital exclusion (Arnold et al., 2025; Lupton, 2022). The Marmot framework </w:t>
      </w:r>
      <w:r w:rsidR="009A3A67" w:rsidRPr="00F46F32">
        <w:rPr>
          <w:rFonts w:ascii="Arial" w:hAnsi="Arial" w:cs="Arial"/>
        </w:rPr>
        <w:t>reveals that national strategies often overlook broader determinants,</w:t>
      </w:r>
      <w:r w:rsidRPr="00F46F32">
        <w:rPr>
          <w:rFonts w:ascii="Arial" w:hAnsi="Arial" w:cs="Arial"/>
        </w:rPr>
        <w:t xml:space="preserve"> such as income and housing (Marmot, 2020). It also prioritises cancer screening, mental health access, and integrated care models. Yet staff shortages and funding constraints limit implementation, with inequalities in waiting times persisting between affluent and deprived regions (The King</w:t>
      </w:r>
      <w:r w:rsidR="009977D5" w:rsidRPr="00F46F32">
        <w:rPr>
          <w:rFonts w:ascii="Arial" w:hAnsi="Arial" w:cs="Arial"/>
        </w:rPr>
        <w:t>'</w:t>
      </w:r>
      <w:r w:rsidRPr="00F46F32">
        <w:rPr>
          <w:rFonts w:ascii="Arial" w:hAnsi="Arial" w:cs="Arial"/>
        </w:rPr>
        <w:t xml:space="preserve">s Fund, 2023). Tackling antimicrobial resistance remains a national priority, with the UK contributing to </w:t>
      </w:r>
      <w:r w:rsidR="009A3A67" w:rsidRPr="00F46F32">
        <w:rPr>
          <w:rFonts w:ascii="Arial" w:hAnsi="Arial" w:cs="Arial"/>
        </w:rPr>
        <w:t xml:space="preserve">the </w:t>
      </w:r>
      <w:r w:rsidRPr="00F46F32">
        <w:rPr>
          <w:rFonts w:ascii="Arial" w:hAnsi="Arial" w:cs="Arial"/>
        </w:rPr>
        <w:t>WHO</w:t>
      </w:r>
      <w:r w:rsidR="009977D5" w:rsidRPr="00F46F32">
        <w:rPr>
          <w:rFonts w:ascii="Arial" w:hAnsi="Arial" w:cs="Arial"/>
        </w:rPr>
        <w:t>'</w:t>
      </w:r>
      <w:r w:rsidRPr="00F46F32">
        <w:rPr>
          <w:rFonts w:ascii="Arial" w:hAnsi="Arial" w:cs="Arial"/>
        </w:rPr>
        <w:t>s Global Action Plan while piloting innovative awareness campaigns.</w:t>
      </w:r>
      <w:r w:rsidR="008E3026">
        <w:rPr>
          <w:rFonts w:ascii="Arial" w:hAnsi="Arial" w:cs="Arial"/>
        </w:rPr>
        <w:t xml:space="preserve"> </w:t>
      </w:r>
      <w:proofErr w:type="gramStart"/>
      <w:r w:rsidRPr="00F46F32">
        <w:rPr>
          <w:rFonts w:ascii="Arial" w:hAnsi="Arial" w:cs="Arial"/>
        </w:rPr>
        <w:t>Digital</w:t>
      </w:r>
      <w:proofErr w:type="gramEnd"/>
      <w:r w:rsidRPr="00F46F32">
        <w:rPr>
          <w:rFonts w:ascii="Arial" w:hAnsi="Arial" w:cs="Arial"/>
        </w:rPr>
        <w:t xml:space="preserve"> health, </w:t>
      </w:r>
      <w:r w:rsidR="008E3026">
        <w:rPr>
          <w:rFonts w:ascii="Arial" w:hAnsi="Arial" w:cs="Arial"/>
        </w:rPr>
        <w:t>encompassing telemedicine and AI-supported diagnostics, has expanded significantly since the COVID-19 pandemic; however,</w:t>
      </w:r>
      <w:r w:rsidR="009A3A67" w:rsidRPr="00F46F32">
        <w:rPr>
          <w:rFonts w:ascii="Arial" w:hAnsi="Arial" w:cs="Arial"/>
        </w:rPr>
        <w:t xml:space="preserve"> careful governance is necessary to prevent the deepening of exist</w:t>
      </w:r>
      <w:r w:rsidRPr="00F46F32">
        <w:rPr>
          <w:rFonts w:ascii="Arial" w:hAnsi="Arial" w:cs="Arial"/>
        </w:rPr>
        <w:t>ing inequalities (NICE, 2024).</w:t>
      </w:r>
    </w:p>
    <w:p w14:paraId="02D92744" w14:textId="77777777" w:rsidR="006218C0" w:rsidRPr="00F46F32" w:rsidRDefault="006218C0" w:rsidP="006218C0">
      <w:pPr>
        <w:pStyle w:val="Heading2"/>
        <w:rPr>
          <w:rFonts w:ascii="Arial" w:hAnsi="Arial" w:cs="Arial"/>
          <w:sz w:val="24"/>
          <w:szCs w:val="24"/>
        </w:rPr>
      </w:pPr>
      <w:bookmarkStart w:id="5" w:name="_Toc213320961"/>
      <w:r w:rsidRPr="00F46F32">
        <w:rPr>
          <w:rFonts w:ascii="Arial" w:hAnsi="Arial" w:cs="Arial"/>
          <w:sz w:val="24"/>
          <w:szCs w:val="24"/>
        </w:rPr>
        <w:t>Local Initiatives</w:t>
      </w:r>
      <w:bookmarkEnd w:id="5"/>
    </w:p>
    <w:p w14:paraId="3D313658" w14:textId="411F12F2" w:rsidR="009A3A67" w:rsidRPr="00F46F32" w:rsidRDefault="00B461DD" w:rsidP="006218C0">
      <w:pPr>
        <w:spacing w:line="360" w:lineRule="auto"/>
        <w:jc w:val="both"/>
        <w:rPr>
          <w:rFonts w:ascii="Arial" w:hAnsi="Arial" w:cs="Arial"/>
        </w:rPr>
      </w:pPr>
      <w:r w:rsidRPr="00F46F32">
        <w:rPr>
          <w:rFonts w:ascii="Arial" w:hAnsi="Arial" w:cs="Arial"/>
        </w:rPr>
        <w:t xml:space="preserve">In Birmingham, NHS Health Checks (2018–2023) identified </w:t>
      </w:r>
      <w:r w:rsidR="009A3A67" w:rsidRPr="00F46F32">
        <w:rPr>
          <w:rFonts w:ascii="Arial" w:hAnsi="Arial" w:cs="Arial"/>
        </w:rPr>
        <w:t>a high diabetes risk, especially among deprived Asian groups, highlight</w:t>
      </w:r>
      <w:r w:rsidRPr="00F46F32">
        <w:rPr>
          <w:rFonts w:ascii="Arial" w:hAnsi="Arial" w:cs="Arial"/>
        </w:rPr>
        <w:t>ing the value of early detection but persistent inequalities (Au-Yeung et al., 2024). Social prescribing also expanded, linking patients to community support</w:t>
      </w:r>
      <w:r w:rsidR="009A3A67" w:rsidRPr="00F46F32">
        <w:rPr>
          <w:rFonts w:ascii="Arial" w:hAnsi="Arial" w:cs="Arial"/>
        </w:rPr>
        <w:t>, which nationally</w:t>
      </w:r>
      <w:r w:rsidRPr="00F46F32">
        <w:rPr>
          <w:rFonts w:ascii="Arial" w:hAnsi="Arial" w:cs="Arial"/>
        </w:rPr>
        <w:t xml:space="preserve"> improved confidence in self-management (University of Manchester, 2023). Smoking cessation services remain vital, yet uptake is lowest in disadvantaged groups (ONS, 2023). These initiatives highlight </w:t>
      </w:r>
      <w:r w:rsidR="009A3A67" w:rsidRPr="00F46F32">
        <w:rPr>
          <w:rFonts w:ascii="Arial" w:hAnsi="Arial" w:cs="Arial"/>
        </w:rPr>
        <w:t xml:space="preserve">the value of </w:t>
      </w:r>
      <w:proofErr w:type="gramStart"/>
      <w:r w:rsidR="009A3A67" w:rsidRPr="00F46F32">
        <w:rPr>
          <w:rFonts w:ascii="Arial" w:hAnsi="Arial" w:cs="Arial"/>
        </w:rPr>
        <w:t>prevention, but</w:t>
      </w:r>
      <w:proofErr w:type="gramEnd"/>
      <w:r w:rsidR="009A3A67" w:rsidRPr="00F46F32">
        <w:rPr>
          <w:rFonts w:ascii="Arial" w:hAnsi="Arial" w:cs="Arial"/>
        </w:rPr>
        <w:t xml:space="preserve"> also reveal</w:t>
      </w:r>
      <w:r w:rsidRPr="00F46F32">
        <w:rPr>
          <w:rFonts w:ascii="Arial" w:hAnsi="Arial" w:cs="Arial"/>
        </w:rPr>
        <w:t xml:space="preserve"> local capacity and equity challenges. These findings under</w:t>
      </w:r>
      <w:r w:rsidR="009A3A67" w:rsidRPr="00F46F32">
        <w:rPr>
          <w:rFonts w:ascii="Arial" w:hAnsi="Arial" w:cs="Arial"/>
        </w:rPr>
        <w:t xml:space="preserve">score the need to design outreach tailored to minority </w:t>
      </w:r>
      <w:r w:rsidR="009A3A67" w:rsidRPr="00F46F32">
        <w:rPr>
          <w:rFonts w:ascii="Arial" w:hAnsi="Arial" w:cs="Arial"/>
        </w:rPr>
        <w:lastRenderedPageBreak/>
        <w:t>communities, ensuring that</w:t>
      </w:r>
      <w:r w:rsidRPr="00F46F32">
        <w:rPr>
          <w:rFonts w:ascii="Arial" w:hAnsi="Arial" w:cs="Arial"/>
        </w:rPr>
        <w:t xml:space="preserve"> interventions are culturally sensitive and trusted. Social prescribing similarly demonstrates potential, but outcomes must be measured consistently across areas to avoid widening local inequalities. Evidence from national cohort studies confirms th</w:t>
      </w:r>
      <w:r w:rsidR="009A3A67" w:rsidRPr="00F46F32">
        <w:rPr>
          <w:rFonts w:ascii="Arial" w:hAnsi="Arial" w:cs="Arial"/>
        </w:rPr>
        <w:t>at those attending Health Checks are less likely to develop serious long-term complications</w:t>
      </w:r>
      <w:r w:rsidRPr="00F46F32">
        <w:rPr>
          <w:rFonts w:ascii="Arial" w:hAnsi="Arial" w:cs="Arial"/>
        </w:rPr>
        <w:t xml:space="preserve"> (McCracken et al., 2024). However, participation rates remain lower in deprived wards, </w:t>
      </w:r>
      <w:r w:rsidR="009A3A67" w:rsidRPr="00F46F32">
        <w:rPr>
          <w:rFonts w:ascii="Arial" w:hAnsi="Arial" w:cs="Arial"/>
        </w:rPr>
        <w:t>highlighting the persistence of structural inequalities</w:t>
      </w:r>
      <w:r w:rsidRPr="00F46F32">
        <w:rPr>
          <w:rFonts w:ascii="Arial" w:hAnsi="Arial" w:cs="Arial"/>
        </w:rPr>
        <w:t xml:space="preserve"> despite universal access. Social prescribing offers innovative, holistic care</w:t>
      </w:r>
      <w:r w:rsidR="009A3A67" w:rsidRPr="00F46F32">
        <w:rPr>
          <w:rFonts w:ascii="Arial" w:hAnsi="Arial" w:cs="Arial"/>
        </w:rPr>
        <w:t>; however, concerns remain about the sustainability of funding and the consistency of referral pathways (Race Equality Foundation, 2024).</w:t>
      </w:r>
    </w:p>
    <w:p w14:paraId="4816B3F7" w14:textId="3FD6D8C5" w:rsidR="006218C0" w:rsidRPr="00F46F32" w:rsidRDefault="00B461DD" w:rsidP="006218C0">
      <w:pPr>
        <w:spacing w:line="360" w:lineRule="auto"/>
        <w:jc w:val="both"/>
        <w:rPr>
          <w:rFonts w:ascii="Arial" w:hAnsi="Arial" w:cs="Arial"/>
        </w:rPr>
      </w:pPr>
      <w:r w:rsidRPr="00F46F32">
        <w:rPr>
          <w:rFonts w:ascii="Arial" w:hAnsi="Arial" w:cs="Arial"/>
        </w:rPr>
        <w:br/>
        <w:t>Social prescribing has also expanded in Birmingham, where link workers connect patients to community support</w:t>
      </w:r>
      <w:r w:rsidR="009A3A67" w:rsidRPr="00F46F32">
        <w:rPr>
          <w:rFonts w:ascii="Arial" w:hAnsi="Arial" w:cs="Arial"/>
        </w:rPr>
        <w:t>, including</w:t>
      </w:r>
      <w:r w:rsidRPr="00F46F32">
        <w:rPr>
          <w:rFonts w:ascii="Arial" w:hAnsi="Arial" w:cs="Arial"/>
        </w:rPr>
        <w:t xml:space="preserve"> physical activity groups, welfare advice, and mental health services. National evidence shows this model led to 47,000 more people reporting confidence in managing long-term conditions and 132,000 more reporting a good GP experience (University of Manchester, 2023). In a city with high deprivation and diverse communities, such non-medical interventions are particularly relevant to reducing health inequalities, though robust local outcome data remain limited.</w:t>
      </w:r>
      <w:r w:rsidRPr="00F46F32">
        <w:rPr>
          <w:rFonts w:ascii="Arial" w:hAnsi="Arial" w:cs="Arial"/>
        </w:rPr>
        <w:br/>
        <w:t xml:space="preserve">Smoking cessation services are another </w:t>
      </w:r>
      <w:r w:rsidR="009A3A67" w:rsidRPr="00F46F32">
        <w:rPr>
          <w:rFonts w:ascii="Arial" w:hAnsi="Arial" w:cs="Arial"/>
        </w:rPr>
        <w:t>essential</w:t>
      </w:r>
      <w:r w:rsidRPr="00F46F32">
        <w:rPr>
          <w:rFonts w:ascii="Arial" w:hAnsi="Arial" w:cs="Arial"/>
        </w:rPr>
        <w:t xml:space="preserve"> local initiative aligned with SDG 3. Local authorities provide stop smoking clinics, counselling, and pharmacological support. Smoking rates have fallen significantly in the UK, but inequalities persist, with prevalence highest in socioeconomically disadvantaged groups (ONS, 2023).</w:t>
      </w:r>
      <w:r w:rsidRPr="00F46F32">
        <w:rPr>
          <w:rFonts w:ascii="Arial" w:hAnsi="Arial" w:cs="Arial"/>
        </w:rPr>
        <w:br/>
        <w:t>These initiatives demonstrate the UK</w:t>
      </w:r>
      <w:r w:rsidR="009977D5" w:rsidRPr="00F46F32">
        <w:rPr>
          <w:rFonts w:ascii="Arial" w:hAnsi="Arial" w:cs="Arial"/>
        </w:rPr>
        <w:t>'</w:t>
      </w:r>
      <w:r w:rsidRPr="00F46F32">
        <w:rPr>
          <w:rFonts w:ascii="Arial" w:hAnsi="Arial" w:cs="Arial"/>
        </w:rPr>
        <w:t>s focus on preventative, community-based approaches. However, local capacity and resources vary significantly, raising questions about equity and sustainability.</w:t>
      </w:r>
    </w:p>
    <w:p w14:paraId="4A38BB88" w14:textId="561F9E79" w:rsidR="006218C0" w:rsidRPr="00F46F32" w:rsidRDefault="006218C0" w:rsidP="008E3026">
      <w:pPr>
        <w:pStyle w:val="Heading2"/>
        <w:rPr>
          <w:rFonts w:ascii="Arial" w:hAnsi="Arial" w:cs="Arial"/>
          <w:sz w:val="24"/>
          <w:szCs w:val="24"/>
        </w:rPr>
      </w:pPr>
      <w:bookmarkStart w:id="6" w:name="_Toc213320962"/>
      <w:r w:rsidRPr="00F46F32">
        <w:rPr>
          <w:rFonts w:ascii="Arial" w:hAnsi="Arial" w:cs="Arial"/>
          <w:sz w:val="24"/>
          <w:szCs w:val="24"/>
        </w:rPr>
        <w:t>Application of Behavioural and Public Health Theories</w:t>
      </w:r>
      <w:bookmarkEnd w:id="6"/>
    </w:p>
    <w:p w14:paraId="7D7F351B" w14:textId="512EC078" w:rsidR="006218C0" w:rsidRPr="00F46F32" w:rsidRDefault="006218C0" w:rsidP="006218C0">
      <w:pPr>
        <w:spacing w:line="360" w:lineRule="auto"/>
        <w:jc w:val="both"/>
        <w:rPr>
          <w:rFonts w:ascii="Arial" w:hAnsi="Arial" w:cs="Arial"/>
        </w:rPr>
      </w:pPr>
      <w:r w:rsidRPr="00F46F32">
        <w:rPr>
          <w:rFonts w:ascii="Arial" w:hAnsi="Arial" w:cs="Arial"/>
        </w:rPr>
        <w:t xml:space="preserve">Behavioural and public health theories </w:t>
      </w:r>
      <w:r w:rsidR="009A3A67" w:rsidRPr="00F46F32">
        <w:rPr>
          <w:rFonts w:ascii="Arial" w:hAnsi="Arial" w:cs="Arial"/>
        </w:rPr>
        <w:t>offer practical frameworks for evaluating</w:t>
      </w:r>
      <w:r w:rsidRPr="00F46F32">
        <w:rPr>
          <w:rFonts w:ascii="Arial" w:hAnsi="Arial" w:cs="Arial"/>
        </w:rPr>
        <w:t xml:space="preserve"> SDG 3 initiatives. The Health Belief Model (HBM) helps explain </w:t>
      </w:r>
      <w:r w:rsidR="009A3A67" w:rsidRPr="00F46F32">
        <w:rPr>
          <w:rFonts w:ascii="Arial" w:hAnsi="Arial" w:cs="Arial"/>
        </w:rPr>
        <w:t>the uptake of preventive services, such as NHS Health Checks, by highlighting factors including</w:t>
      </w:r>
      <w:r w:rsidRPr="00F46F32">
        <w:rPr>
          <w:rFonts w:ascii="Arial" w:hAnsi="Arial" w:cs="Arial"/>
        </w:rPr>
        <w:t xml:space="preserve"> perceived susceptibility, perceived benefits, and barriers (Rosenstock et al., cited in Jones et al., 2020). Low uptake in deprived areas suggests that barriers (e.g., mistrust, accessibility) outweigh perceived benefits.</w:t>
      </w:r>
    </w:p>
    <w:p w14:paraId="142551CF" w14:textId="28A5C3C0" w:rsidR="006218C0" w:rsidRPr="00F46F32" w:rsidRDefault="006218C0" w:rsidP="006218C0">
      <w:pPr>
        <w:spacing w:line="360" w:lineRule="auto"/>
        <w:jc w:val="both"/>
        <w:rPr>
          <w:rFonts w:ascii="Arial" w:hAnsi="Arial" w:cs="Arial"/>
        </w:rPr>
      </w:pPr>
      <w:r w:rsidRPr="00F46F32">
        <w:rPr>
          <w:rFonts w:ascii="Arial" w:hAnsi="Arial" w:cs="Arial"/>
        </w:rPr>
        <w:lastRenderedPageBreak/>
        <w:t xml:space="preserve">The Theory of Planned Behaviour (TPB) is relevant to smoking cessation, where attitudes, subjective norms, and perceived behavioural control influence </w:t>
      </w:r>
      <w:r w:rsidR="009A3A67" w:rsidRPr="00F46F32">
        <w:rPr>
          <w:rFonts w:ascii="Arial" w:hAnsi="Arial" w:cs="Arial"/>
        </w:rPr>
        <w:t>the success of quitting</w:t>
      </w:r>
      <w:r w:rsidRPr="00F46F32">
        <w:rPr>
          <w:rFonts w:ascii="Arial" w:hAnsi="Arial" w:cs="Arial"/>
        </w:rPr>
        <w:t>. Campaigns like UKHSA</w:t>
      </w:r>
      <w:r w:rsidR="009977D5" w:rsidRPr="00F46F32">
        <w:rPr>
          <w:rFonts w:ascii="Arial" w:hAnsi="Arial" w:cs="Arial"/>
        </w:rPr>
        <w:t>'</w:t>
      </w:r>
      <w:r w:rsidRPr="00F46F32">
        <w:rPr>
          <w:rFonts w:ascii="Arial" w:hAnsi="Arial" w:cs="Arial"/>
        </w:rPr>
        <w:t>s AMR initiatives also reflect Social Cognitive Theory (SCT), which stresses the role of modelling and observational learning in behaviour change (Bandura, 2001; Conner &amp; Norman, 2020).</w:t>
      </w:r>
    </w:p>
    <w:p w14:paraId="76C0358F" w14:textId="77777777" w:rsidR="006218C0" w:rsidRPr="00F46F32" w:rsidRDefault="006218C0" w:rsidP="006218C0">
      <w:pPr>
        <w:spacing w:line="360" w:lineRule="auto"/>
        <w:jc w:val="both"/>
        <w:rPr>
          <w:rFonts w:ascii="Arial" w:hAnsi="Arial" w:cs="Arial"/>
        </w:rPr>
      </w:pPr>
    </w:p>
    <w:p w14:paraId="3DE58BAD" w14:textId="2B256EFD" w:rsidR="006218C0" w:rsidRPr="00F46F32" w:rsidRDefault="006218C0" w:rsidP="008E3026">
      <w:pPr>
        <w:pStyle w:val="Heading2"/>
        <w:rPr>
          <w:rFonts w:ascii="Arial" w:hAnsi="Arial" w:cs="Arial"/>
          <w:sz w:val="24"/>
          <w:szCs w:val="24"/>
        </w:rPr>
      </w:pPr>
      <w:bookmarkStart w:id="7" w:name="_Toc213320963"/>
      <w:r w:rsidRPr="00F46F32">
        <w:rPr>
          <w:rFonts w:ascii="Arial" w:hAnsi="Arial" w:cs="Arial"/>
          <w:sz w:val="24"/>
          <w:szCs w:val="24"/>
        </w:rPr>
        <w:t>Critical Evaluation</w:t>
      </w:r>
      <w:bookmarkEnd w:id="7"/>
    </w:p>
    <w:p w14:paraId="2A2C4AB5" w14:textId="2034D01D" w:rsidR="006218C0" w:rsidRPr="00F46F32" w:rsidRDefault="006218C0" w:rsidP="006218C0">
      <w:pPr>
        <w:spacing w:line="360" w:lineRule="auto"/>
        <w:jc w:val="both"/>
        <w:rPr>
          <w:rFonts w:ascii="Arial" w:hAnsi="Arial" w:cs="Arial"/>
        </w:rPr>
      </w:pPr>
      <w:r w:rsidRPr="00F46F32">
        <w:rPr>
          <w:rFonts w:ascii="Arial" w:hAnsi="Arial" w:cs="Arial"/>
        </w:rPr>
        <w:t>The UK</w:t>
      </w:r>
      <w:r w:rsidR="009977D5" w:rsidRPr="00F46F32">
        <w:rPr>
          <w:rFonts w:ascii="Arial" w:hAnsi="Arial" w:cs="Arial"/>
        </w:rPr>
        <w:t>'</w:t>
      </w:r>
      <w:r w:rsidRPr="00F46F32">
        <w:rPr>
          <w:rFonts w:ascii="Arial" w:hAnsi="Arial" w:cs="Arial"/>
        </w:rPr>
        <w:t>s strategies show strength in combining prevention, innovation, and behavioural insights. National plans</w:t>
      </w:r>
      <w:r w:rsidR="009A3A67" w:rsidRPr="00F46F32">
        <w:rPr>
          <w:rFonts w:ascii="Arial" w:hAnsi="Arial" w:cs="Arial"/>
        </w:rPr>
        <w:t>, such as the NHS Long Term Plan, provide a coherent framework, while campaigns like</w:t>
      </w:r>
      <w:r w:rsidRPr="00F46F32">
        <w:rPr>
          <w:rFonts w:ascii="Arial" w:hAnsi="Arial" w:cs="Arial"/>
        </w:rPr>
        <w:t xml:space="preserve">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demonstrate creativity in public engagement. Local initiatives such as social prescribing reflect a shift towards holistic models of health.</w:t>
      </w:r>
    </w:p>
    <w:p w14:paraId="003AD9F3" w14:textId="2884F9CF" w:rsidR="006218C0" w:rsidRPr="00F46F32" w:rsidRDefault="006218C0" w:rsidP="006218C0">
      <w:pPr>
        <w:spacing w:line="360" w:lineRule="auto"/>
        <w:jc w:val="both"/>
        <w:rPr>
          <w:rFonts w:ascii="Arial" w:hAnsi="Arial" w:cs="Arial"/>
        </w:rPr>
      </w:pPr>
      <w:r w:rsidRPr="00F46F32">
        <w:rPr>
          <w:rFonts w:ascii="Arial" w:hAnsi="Arial" w:cs="Arial"/>
        </w:rPr>
        <w:t>Yet significant limitations remain. Global challenges</w:t>
      </w:r>
      <w:r w:rsidR="009A3A67" w:rsidRPr="00F46F32">
        <w:rPr>
          <w:rFonts w:ascii="Arial" w:hAnsi="Arial" w:cs="Arial"/>
        </w:rPr>
        <w:t>, such as NCDs and AMR, require stronger international collaboration and an</w:t>
      </w:r>
      <w:r w:rsidRPr="00F46F32">
        <w:rPr>
          <w:rFonts w:ascii="Arial" w:hAnsi="Arial" w:cs="Arial"/>
        </w:rPr>
        <w:t xml:space="preserve"> equitable distribution of resources, which the UK alone cannot solve. Nationally, funding constraints, workforce pressures, and regional inequalities limit progress. Locally, initiatives such as NHS Health Checks and smoking cessation services struggle with variable uptake and sustainability. Furthermore, digital and AI-enabled innovations risk deepening health inequalities if access is not equitably distributed (Lupton, 2022).</w:t>
      </w:r>
    </w:p>
    <w:p w14:paraId="4C8515A0" w14:textId="705294DA" w:rsidR="006218C0" w:rsidRPr="00F46F32" w:rsidRDefault="006218C0" w:rsidP="008E3026">
      <w:pPr>
        <w:pStyle w:val="Heading2"/>
        <w:rPr>
          <w:rFonts w:ascii="Arial" w:hAnsi="Arial" w:cs="Arial"/>
          <w:sz w:val="24"/>
          <w:szCs w:val="24"/>
        </w:rPr>
      </w:pPr>
      <w:bookmarkStart w:id="8" w:name="_Toc213320964"/>
      <w:r w:rsidRPr="00F46F32">
        <w:rPr>
          <w:rFonts w:ascii="Arial" w:hAnsi="Arial" w:cs="Arial"/>
          <w:sz w:val="24"/>
          <w:szCs w:val="24"/>
        </w:rPr>
        <w:t>Recommendations</w:t>
      </w:r>
      <w:bookmarkEnd w:id="8"/>
    </w:p>
    <w:p w14:paraId="289B6F92" w14:textId="77777777" w:rsidR="006218C0" w:rsidRPr="00F46F32" w:rsidRDefault="006218C0" w:rsidP="006218C0">
      <w:pPr>
        <w:spacing w:line="360" w:lineRule="auto"/>
        <w:jc w:val="both"/>
        <w:rPr>
          <w:rFonts w:ascii="Arial" w:hAnsi="Arial" w:cs="Arial"/>
        </w:rPr>
      </w:pPr>
      <w:r w:rsidRPr="00F46F32">
        <w:rPr>
          <w:rFonts w:ascii="Arial" w:hAnsi="Arial" w:cs="Arial"/>
        </w:rPr>
        <w:t>To strengthen alignment with SDG 3, recommendations should target specific initiatives:</w:t>
      </w:r>
    </w:p>
    <w:p w14:paraId="10B8F5AF" w14:textId="3D01FB96" w:rsidR="006218C0" w:rsidRPr="00F46F32" w:rsidRDefault="006218C0" w:rsidP="009A3A67">
      <w:pPr>
        <w:pStyle w:val="ListParagraph"/>
        <w:numPr>
          <w:ilvl w:val="0"/>
          <w:numId w:val="6"/>
        </w:numPr>
        <w:spacing w:line="360" w:lineRule="auto"/>
        <w:jc w:val="both"/>
        <w:rPr>
          <w:rFonts w:ascii="Arial" w:hAnsi="Arial" w:cs="Arial"/>
        </w:rPr>
      </w:pPr>
      <w:r w:rsidRPr="00F46F32">
        <w:rPr>
          <w:rFonts w:ascii="Arial" w:hAnsi="Arial" w:cs="Arial"/>
        </w:rPr>
        <w:t xml:space="preserve">Social Prescribing (local level): Establish national evaluation standards to ensure consistent measurement of outcomes across Integrated Care Systems, </w:t>
      </w:r>
      <w:r w:rsidR="009A3A67" w:rsidRPr="00F46F32">
        <w:rPr>
          <w:rFonts w:ascii="Arial" w:hAnsi="Arial" w:cs="Arial"/>
        </w:rPr>
        <w:t>with a focus</w:t>
      </w:r>
      <w:r w:rsidRPr="00F46F32">
        <w:rPr>
          <w:rFonts w:ascii="Arial" w:hAnsi="Arial" w:cs="Arial"/>
        </w:rPr>
        <w:t xml:space="preserve"> on long-term impacts on health inequalities and service demand (University of Manchester, 2023).</w:t>
      </w:r>
    </w:p>
    <w:p w14:paraId="22B5EDE7" w14:textId="5D7A46BA" w:rsidR="006218C0" w:rsidRPr="00F46F32" w:rsidRDefault="006218C0" w:rsidP="009A3A67">
      <w:pPr>
        <w:pStyle w:val="ListParagraph"/>
        <w:numPr>
          <w:ilvl w:val="0"/>
          <w:numId w:val="6"/>
        </w:numPr>
        <w:spacing w:line="360" w:lineRule="auto"/>
        <w:jc w:val="both"/>
        <w:rPr>
          <w:rFonts w:ascii="Arial" w:hAnsi="Arial" w:cs="Arial"/>
        </w:rPr>
      </w:pPr>
      <w:r w:rsidRPr="00F46F32">
        <w:rPr>
          <w:rFonts w:ascii="Arial" w:hAnsi="Arial" w:cs="Arial"/>
        </w:rPr>
        <w:t>AMR Awareness Campaigns (national level): Scale public engagement initiatives such as UKHSA</w:t>
      </w:r>
      <w:r w:rsidR="009977D5" w:rsidRPr="00F46F32">
        <w:rPr>
          <w:rFonts w:ascii="Arial" w:hAnsi="Arial" w:cs="Arial"/>
        </w:rPr>
        <w:t>'</w:t>
      </w:r>
      <w:r w:rsidRPr="00F46F32">
        <w:rPr>
          <w:rFonts w:ascii="Arial" w:hAnsi="Arial" w:cs="Arial"/>
        </w:rPr>
        <w:t xml:space="preserve">s </w:t>
      </w:r>
      <w:r w:rsidR="009977D5" w:rsidRPr="00F46F32">
        <w:rPr>
          <w:rFonts w:ascii="Arial" w:hAnsi="Arial" w:cs="Arial"/>
        </w:rPr>
        <w:t>"</w:t>
      </w:r>
      <w:r w:rsidRPr="00F46F32">
        <w:rPr>
          <w:rFonts w:ascii="Arial" w:hAnsi="Arial" w:cs="Arial"/>
        </w:rPr>
        <w:t>Singing and Dancing Pills</w:t>
      </w:r>
      <w:r w:rsidR="009977D5" w:rsidRPr="00F46F32">
        <w:rPr>
          <w:rFonts w:ascii="Arial" w:hAnsi="Arial" w:cs="Arial"/>
        </w:rPr>
        <w:t>"</w:t>
      </w:r>
      <w:r w:rsidRPr="00F46F32">
        <w:rPr>
          <w:rFonts w:ascii="Arial" w:hAnsi="Arial" w:cs="Arial"/>
        </w:rPr>
        <w:t xml:space="preserve"> campaign with tailored versions for schools and high-risk groups, ensuring sustained behaviour change (UKHSA, 2024).</w:t>
      </w:r>
    </w:p>
    <w:p w14:paraId="38747AA7" w14:textId="6A8547DF" w:rsidR="006218C0" w:rsidRPr="00F46F32" w:rsidRDefault="006218C0" w:rsidP="009A3A67">
      <w:pPr>
        <w:pStyle w:val="ListParagraph"/>
        <w:numPr>
          <w:ilvl w:val="0"/>
          <w:numId w:val="6"/>
        </w:numPr>
        <w:spacing w:line="360" w:lineRule="auto"/>
        <w:jc w:val="both"/>
        <w:rPr>
          <w:rFonts w:ascii="Arial" w:hAnsi="Arial" w:cs="Arial"/>
        </w:rPr>
      </w:pPr>
      <w:r w:rsidRPr="00F46F32">
        <w:rPr>
          <w:rFonts w:ascii="Arial" w:hAnsi="Arial" w:cs="Arial"/>
        </w:rPr>
        <w:t>Global Collaboration (global level): Strengthen UK participation in international frameworks</w:t>
      </w:r>
      <w:r w:rsidR="009A3A67" w:rsidRPr="00F46F32">
        <w:rPr>
          <w:rFonts w:ascii="Arial" w:hAnsi="Arial" w:cs="Arial"/>
        </w:rPr>
        <w:t>, such as the WHO</w:t>
      </w:r>
      <w:r w:rsidR="009977D5" w:rsidRPr="00F46F32">
        <w:rPr>
          <w:rFonts w:ascii="Arial" w:hAnsi="Arial" w:cs="Arial"/>
        </w:rPr>
        <w:t>'</w:t>
      </w:r>
      <w:r w:rsidR="009A3A67" w:rsidRPr="00F46F32">
        <w:rPr>
          <w:rFonts w:ascii="Arial" w:hAnsi="Arial" w:cs="Arial"/>
        </w:rPr>
        <w:t xml:space="preserve">s Global Action Plan on AMR and the Global </w:t>
      </w:r>
      <w:r w:rsidR="009A3A67" w:rsidRPr="00F46F32">
        <w:rPr>
          <w:rFonts w:ascii="Arial" w:hAnsi="Arial" w:cs="Arial"/>
        </w:rPr>
        <w:lastRenderedPageBreak/>
        <w:t>Polio Eradication Initiative, by</w:t>
      </w:r>
      <w:r w:rsidRPr="00F46F32">
        <w:rPr>
          <w:rFonts w:ascii="Arial" w:hAnsi="Arial" w:cs="Arial"/>
        </w:rPr>
        <w:t xml:space="preserve"> contributing both funding and expertise to accelerate progress (WHO, 2021).</w:t>
      </w:r>
    </w:p>
    <w:p w14:paraId="67923A4C" w14:textId="059FBDF6" w:rsidR="006218C0" w:rsidRPr="00F46F32" w:rsidRDefault="006218C0" w:rsidP="006218C0">
      <w:pPr>
        <w:spacing w:line="360" w:lineRule="auto"/>
        <w:jc w:val="both"/>
        <w:rPr>
          <w:rFonts w:ascii="Arial" w:hAnsi="Arial" w:cs="Arial"/>
        </w:rPr>
      </w:pPr>
      <w:r w:rsidRPr="00F46F32">
        <w:rPr>
          <w:rFonts w:ascii="Arial" w:hAnsi="Arial" w:cs="Arial"/>
        </w:rPr>
        <w:t xml:space="preserve">These recommendations </w:t>
      </w:r>
      <w:r w:rsidR="009A3A67" w:rsidRPr="00F46F32">
        <w:rPr>
          <w:rFonts w:ascii="Arial" w:hAnsi="Arial" w:cs="Arial"/>
        </w:rPr>
        <w:t>offer practical, evidence-based actions that are clearly linked to existing initiatives, thereby</w:t>
      </w:r>
      <w:r w:rsidRPr="00F46F32">
        <w:rPr>
          <w:rFonts w:ascii="Arial" w:hAnsi="Arial" w:cs="Arial"/>
        </w:rPr>
        <w:t xml:space="preserve"> enhancing their effectiveness and supporting both SDG 3 and SDG 10.</w:t>
      </w:r>
    </w:p>
    <w:p w14:paraId="6FD36972" w14:textId="77777777" w:rsidR="006218C0" w:rsidRPr="00F46F32" w:rsidRDefault="006218C0" w:rsidP="006218C0">
      <w:pPr>
        <w:pStyle w:val="Heading1"/>
        <w:rPr>
          <w:rFonts w:ascii="Arial" w:hAnsi="Arial" w:cs="Arial"/>
          <w:sz w:val="24"/>
          <w:szCs w:val="24"/>
        </w:rPr>
      </w:pPr>
      <w:bookmarkStart w:id="9" w:name="_Toc213320965"/>
      <w:r w:rsidRPr="00F46F32">
        <w:rPr>
          <w:rFonts w:ascii="Arial" w:hAnsi="Arial" w:cs="Arial"/>
          <w:sz w:val="24"/>
          <w:szCs w:val="24"/>
        </w:rPr>
        <w:t>Section 2: SDG 10 – Reduced Inequalities</w:t>
      </w:r>
      <w:bookmarkEnd w:id="9"/>
    </w:p>
    <w:p w14:paraId="1C813393" w14:textId="77777777" w:rsidR="006218C0" w:rsidRPr="00F46F32" w:rsidRDefault="006218C0" w:rsidP="006218C0">
      <w:pPr>
        <w:rPr>
          <w:rFonts w:ascii="Arial" w:hAnsi="Arial" w:cs="Arial"/>
        </w:rPr>
      </w:pPr>
    </w:p>
    <w:p w14:paraId="23A45D4E" w14:textId="083425FE" w:rsidR="006218C0" w:rsidRPr="00F46F32" w:rsidRDefault="006218C0" w:rsidP="006218C0">
      <w:pPr>
        <w:spacing w:line="360" w:lineRule="auto"/>
        <w:jc w:val="both"/>
        <w:rPr>
          <w:rFonts w:ascii="Arial" w:hAnsi="Arial" w:cs="Arial"/>
        </w:rPr>
      </w:pPr>
      <w:r w:rsidRPr="00F46F32">
        <w:rPr>
          <w:rFonts w:ascii="Arial" w:hAnsi="Arial" w:cs="Arial"/>
        </w:rPr>
        <w:t>SDG 10: Reduced Inequalities aims to reduce disparities within and between countries. Inequalities in income, education, ethnicity, disability, and geography s</w:t>
      </w:r>
      <w:r w:rsidR="009A3A67" w:rsidRPr="00F46F32">
        <w:rPr>
          <w:rFonts w:ascii="Arial" w:hAnsi="Arial" w:cs="Arial"/>
        </w:rPr>
        <w:t>ignificantly influence health outcomes, indicating that progress on SDG 3 is limited without addressing these inequities (Marmot, 2020; Bambra, Lynch,</w:t>
      </w:r>
      <w:r w:rsidRPr="00F46F32">
        <w:rPr>
          <w:rFonts w:ascii="Arial" w:hAnsi="Arial" w:cs="Arial"/>
        </w:rPr>
        <w:t xml:space="preserve"> and Smith, 2021). The COVID-19 pandemic exposed and deepened these gaps, with disadvantaged populations experiencing higher morbidity and mortality. Achieving SDG 10 therefore</w:t>
      </w:r>
      <w:r w:rsidR="009A3A67" w:rsidRPr="00F46F32">
        <w:rPr>
          <w:rFonts w:ascii="Arial" w:hAnsi="Arial" w:cs="Arial"/>
        </w:rPr>
        <w:t>,</w:t>
      </w:r>
      <w:r w:rsidRPr="00F46F32">
        <w:rPr>
          <w:rFonts w:ascii="Arial" w:hAnsi="Arial" w:cs="Arial"/>
        </w:rPr>
        <w:t xml:space="preserve"> underpins sustainable wellbeing by promoting fairness and social justice (United Nations, 2023).</w:t>
      </w:r>
    </w:p>
    <w:p w14:paraId="739C3713" w14:textId="77777777" w:rsidR="006218C0" w:rsidRPr="00F46F32" w:rsidRDefault="006218C0" w:rsidP="006218C0">
      <w:pPr>
        <w:pStyle w:val="Heading2"/>
        <w:rPr>
          <w:rFonts w:ascii="Arial" w:hAnsi="Arial" w:cs="Arial"/>
          <w:sz w:val="24"/>
          <w:szCs w:val="24"/>
        </w:rPr>
      </w:pPr>
      <w:bookmarkStart w:id="10" w:name="_Toc213320966"/>
      <w:r w:rsidRPr="00F46F32">
        <w:rPr>
          <w:rFonts w:ascii="Arial" w:hAnsi="Arial" w:cs="Arial"/>
          <w:sz w:val="24"/>
          <w:szCs w:val="24"/>
        </w:rPr>
        <w:t>Global, National and Local Policies</w:t>
      </w:r>
      <w:bookmarkEnd w:id="10"/>
    </w:p>
    <w:p w14:paraId="4AF9C784" w14:textId="77777777" w:rsidR="006218C0" w:rsidRPr="00F46F32" w:rsidRDefault="006218C0" w:rsidP="006218C0">
      <w:pPr>
        <w:rPr>
          <w:rFonts w:ascii="Arial" w:hAnsi="Arial" w:cs="Arial"/>
        </w:rPr>
      </w:pPr>
    </w:p>
    <w:p w14:paraId="6B67F748" w14:textId="7CBBC9F4" w:rsidR="006218C0" w:rsidRPr="00F46F32" w:rsidRDefault="006218C0" w:rsidP="006218C0">
      <w:pPr>
        <w:spacing w:line="360" w:lineRule="auto"/>
        <w:jc w:val="both"/>
        <w:rPr>
          <w:rFonts w:ascii="Arial" w:hAnsi="Arial" w:cs="Arial"/>
        </w:rPr>
      </w:pPr>
      <w:r w:rsidRPr="00F46F32">
        <w:rPr>
          <w:rFonts w:ascii="Arial" w:hAnsi="Arial" w:cs="Arial"/>
        </w:rPr>
        <w:t xml:space="preserve">At the global level, the UN calls for strengthened social protection, fair access to vaccines, and disaggregated health data to ensure that </w:t>
      </w:r>
      <w:r w:rsidR="009977D5" w:rsidRPr="00F46F32">
        <w:rPr>
          <w:rFonts w:ascii="Arial" w:hAnsi="Arial" w:cs="Arial"/>
        </w:rPr>
        <w:t>"</w:t>
      </w:r>
      <w:r w:rsidRPr="00F46F32">
        <w:rPr>
          <w:rFonts w:ascii="Arial" w:hAnsi="Arial" w:cs="Arial"/>
        </w:rPr>
        <w:t>no one is left behind</w:t>
      </w:r>
      <w:r w:rsidR="009977D5" w:rsidRPr="00F46F32">
        <w:rPr>
          <w:rFonts w:ascii="Arial" w:hAnsi="Arial" w:cs="Arial"/>
        </w:rPr>
        <w:t>"</w:t>
      </w:r>
      <w:r w:rsidRPr="00F46F32">
        <w:rPr>
          <w:rFonts w:ascii="Arial" w:hAnsi="Arial" w:cs="Arial"/>
        </w:rPr>
        <w:t xml:space="preserve"> (United Nations, 2023). WHO also emphasises tackling the </w:t>
      </w:r>
      <w:r w:rsidRPr="00F46F32">
        <w:rPr>
          <w:rFonts w:ascii="Arial" w:hAnsi="Arial" w:cs="Arial"/>
          <w:i/>
          <w:iCs/>
        </w:rPr>
        <w:t>social determinants of health</w:t>
      </w:r>
      <w:r w:rsidRPr="00F46F32">
        <w:rPr>
          <w:rFonts w:ascii="Arial" w:hAnsi="Arial" w:cs="Arial"/>
        </w:rPr>
        <w:t>, from housing to education, to close equity gaps (WHO, 2021).</w:t>
      </w:r>
    </w:p>
    <w:p w14:paraId="0E866751" w14:textId="576C8D39" w:rsidR="006218C0" w:rsidRPr="00F46F32" w:rsidRDefault="006218C0" w:rsidP="006218C0">
      <w:pPr>
        <w:spacing w:line="360" w:lineRule="auto"/>
        <w:jc w:val="both"/>
        <w:rPr>
          <w:rFonts w:ascii="Arial" w:hAnsi="Arial" w:cs="Arial"/>
        </w:rPr>
      </w:pPr>
      <w:r w:rsidRPr="00F46F32">
        <w:rPr>
          <w:rFonts w:ascii="Arial" w:hAnsi="Arial" w:cs="Arial"/>
        </w:rPr>
        <w:t>Nationally, the UK has embedded equity through the Core20PLUS5 framework, which identifies the most deprived 20% of the population and locally defined high-risk groups, focusing on five clinical priorities: maternity, severe mental illness, chronic respiratory disease, cancer diagnosis, and hypertension (NHS England, 2021). Alongside this, the Levelling Up agenda seeks to reduce regional inequalities, though progress has been inconsistent (The King</w:t>
      </w:r>
      <w:r w:rsidR="009977D5" w:rsidRPr="00F46F32">
        <w:rPr>
          <w:rFonts w:ascii="Arial" w:hAnsi="Arial" w:cs="Arial"/>
        </w:rPr>
        <w:t>'</w:t>
      </w:r>
      <w:r w:rsidRPr="00F46F32">
        <w:rPr>
          <w:rFonts w:ascii="Arial" w:hAnsi="Arial" w:cs="Arial"/>
        </w:rPr>
        <w:t xml:space="preserve">s Fund, 2023). To improve </w:t>
      </w:r>
      <w:proofErr w:type="gramStart"/>
      <w:r w:rsidRPr="00F46F32">
        <w:rPr>
          <w:rFonts w:ascii="Arial" w:hAnsi="Arial" w:cs="Arial"/>
        </w:rPr>
        <w:t>evidence</w:t>
      </w:r>
      <w:proofErr w:type="gramEnd"/>
      <w:r w:rsidRPr="00F46F32">
        <w:rPr>
          <w:rFonts w:ascii="Arial" w:hAnsi="Arial" w:cs="Arial"/>
        </w:rPr>
        <w:t xml:space="preserve"> use, the Office for Health Improvement and Disparities (OHID) has issued evaluation guidance stressing theory-based models, equity-sensitive indicators, and robust data collection (OHID, 2023). Meanwhile, NICE</w:t>
      </w:r>
      <w:r w:rsidR="009977D5" w:rsidRPr="00F46F32">
        <w:rPr>
          <w:rFonts w:ascii="Arial" w:hAnsi="Arial" w:cs="Arial"/>
        </w:rPr>
        <w:t>'</w:t>
      </w:r>
      <w:r w:rsidRPr="00F46F32">
        <w:rPr>
          <w:rFonts w:ascii="Arial" w:hAnsi="Arial" w:cs="Arial"/>
        </w:rPr>
        <w:t xml:space="preserve">s 2024 position on AI highlights the risks </w:t>
      </w:r>
      <w:r w:rsidR="009A3A67" w:rsidRPr="00F46F32">
        <w:rPr>
          <w:rFonts w:ascii="Arial" w:hAnsi="Arial" w:cs="Arial"/>
        </w:rPr>
        <w:t xml:space="preserve">associated with biased </w:t>
      </w:r>
      <w:r w:rsidR="009A3A67" w:rsidRPr="00F46F32">
        <w:rPr>
          <w:rFonts w:ascii="Arial" w:hAnsi="Arial" w:cs="Arial"/>
        </w:rPr>
        <w:lastRenderedPageBreak/>
        <w:t>datasets and emphasises the importance of transparent and</w:t>
      </w:r>
      <w:r w:rsidRPr="00F46F32">
        <w:rPr>
          <w:rFonts w:ascii="Arial" w:hAnsi="Arial" w:cs="Arial"/>
        </w:rPr>
        <w:t xml:space="preserve"> inclusive evidence generation (NICE, 2024).</w:t>
      </w:r>
    </w:p>
    <w:p w14:paraId="5536401A" w14:textId="5779C68E" w:rsidR="006218C0" w:rsidRPr="00F46F32" w:rsidRDefault="006218C0" w:rsidP="006218C0">
      <w:pPr>
        <w:spacing w:line="360" w:lineRule="auto"/>
        <w:jc w:val="both"/>
        <w:rPr>
          <w:rFonts w:ascii="Arial" w:hAnsi="Arial" w:cs="Arial"/>
        </w:rPr>
      </w:pPr>
      <w:r w:rsidRPr="00F46F32">
        <w:rPr>
          <w:rFonts w:ascii="Arial" w:hAnsi="Arial" w:cs="Arial"/>
        </w:rPr>
        <w:t>At the local level, Integrated Care Systems (ICSs) implement Core20PLUS5 priorities through tailored programmes, such as smoking cessation in deprived maternity wards, hypertension outreach in underserved areas, and physical health checks for people with severe mental illness (NHS England, 2021). Local councils also deliver NHS Health Checks and stop-smoking services, though uptake is often lowest in deprived communities (Robson et al., 2017; ONS, 2023). In Wales, Life Sciences Hub Wales supports projects t</w:t>
      </w:r>
      <w:r w:rsidR="009A3A67" w:rsidRPr="00F46F32">
        <w:rPr>
          <w:rFonts w:ascii="Arial" w:hAnsi="Arial" w:cs="Arial"/>
        </w:rPr>
        <w:t>hat target digital inclusion and preventive health, demonstrat</w:t>
      </w:r>
      <w:r w:rsidRPr="00F46F32">
        <w:rPr>
          <w:rFonts w:ascii="Arial" w:hAnsi="Arial" w:cs="Arial"/>
        </w:rPr>
        <w:t>ing how local innovation can scale equity-based solutions (</w:t>
      </w:r>
      <w:proofErr w:type="spellStart"/>
      <w:r w:rsidRPr="00F46F32">
        <w:rPr>
          <w:rFonts w:ascii="Arial" w:hAnsi="Arial" w:cs="Arial"/>
        </w:rPr>
        <w:t>LSHub</w:t>
      </w:r>
      <w:proofErr w:type="spellEnd"/>
      <w:r w:rsidRPr="00F46F32">
        <w:rPr>
          <w:rFonts w:ascii="Arial" w:hAnsi="Arial" w:cs="Arial"/>
        </w:rPr>
        <w:t xml:space="preserve"> Wales, 2024).</w:t>
      </w:r>
    </w:p>
    <w:p w14:paraId="1D460FB2" w14:textId="77777777" w:rsidR="006218C0" w:rsidRPr="00F46F32" w:rsidRDefault="006218C0" w:rsidP="006218C0">
      <w:pPr>
        <w:spacing w:line="360" w:lineRule="auto"/>
        <w:jc w:val="both"/>
        <w:rPr>
          <w:rFonts w:ascii="Arial" w:hAnsi="Arial" w:cs="Arial"/>
        </w:rPr>
      </w:pPr>
    </w:p>
    <w:p w14:paraId="23D4E8DF" w14:textId="77777777" w:rsidR="006218C0" w:rsidRPr="00F46F32" w:rsidRDefault="006218C0" w:rsidP="006218C0">
      <w:pPr>
        <w:pStyle w:val="Heading2"/>
        <w:rPr>
          <w:rFonts w:ascii="Arial" w:hAnsi="Arial" w:cs="Arial"/>
          <w:sz w:val="24"/>
          <w:szCs w:val="24"/>
        </w:rPr>
      </w:pPr>
      <w:bookmarkStart w:id="11" w:name="_Toc213320967"/>
      <w:r w:rsidRPr="00F46F32">
        <w:rPr>
          <w:rFonts w:ascii="Arial" w:hAnsi="Arial" w:cs="Arial"/>
          <w:sz w:val="24"/>
          <w:szCs w:val="24"/>
        </w:rPr>
        <w:t>Theories and Frameworks</w:t>
      </w:r>
      <w:bookmarkEnd w:id="11"/>
    </w:p>
    <w:p w14:paraId="39F6783F" w14:textId="77777777" w:rsidR="006218C0" w:rsidRPr="00F46F32" w:rsidRDefault="006218C0" w:rsidP="006218C0">
      <w:pPr>
        <w:rPr>
          <w:rFonts w:ascii="Arial" w:hAnsi="Arial" w:cs="Arial"/>
        </w:rPr>
      </w:pPr>
    </w:p>
    <w:p w14:paraId="3F6FDC6F" w14:textId="1F3DC588" w:rsidR="006218C0" w:rsidRPr="00F46F32" w:rsidRDefault="006218C0" w:rsidP="006218C0">
      <w:pPr>
        <w:spacing w:line="360" w:lineRule="auto"/>
        <w:jc w:val="both"/>
        <w:rPr>
          <w:rFonts w:ascii="Arial" w:hAnsi="Arial" w:cs="Arial"/>
        </w:rPr>
      </w:pPr>
      <w:r w:rsidRPr="00F46F32">
        <w:rPr>
          <w:rFonts w:ascii="Arial" w:hAnsi="Arial" w:cs="Arial"/>
        </w:rPr>
        <w:t xml:space="preserve">Frameworks are crucial for designing equitable policy. The Marmot Review </w:t>
      </w:r>
      <w:r w:rsidR="009A3A67" w:rsidRPr="00F46F32">
        <w:rPr>
          <w:rFonts w:ascii="Arial" w:hAnsi="Arial" w:cs="Arial"/>
        </w:rPr>
        <w:t>advocates for proportionate universalism, suggesting that universal interventions should be delivered with greater intensity to</w:t>
      </w:r>
      <w:r w:rsidRPr="00F46F32">
        <w:rPr>
          <w:rFonts w:ascii="Arial" w:hAnsi="Arial" w:cs="Arial"/>
        </w:rPr>
        <w:t xml:space="preserve"> disadvantaged groups (Marmot, 2020). Evaluation guidance from OHID (2023) </w:t>
      </w:r>
      <w:r w:rsidR="009A3A67" w:rsidRPr="00F46F32">
        <w:rPr>
          <w:rFonts w:ascii="Arial" w:hAnsi="Arial" w:cs="Arial"/>
        </w:rPr>
        <w:t>emphasises equity-focused logic models and the use of</w:t>
      </w:r>
      <w:r w:rsidRPr="00F46F32">
        <w:rPr>
          <w:rFonts w:ascii="Arial" w:hAnsi="Arial" w:cs="Arial"/>
        </w:rPr>
        <w:t xml:space="preserve"> disaggregated data to assess effectiveness. Behavioural theories</w:t>
      </w:r>
      <w:r w:rsidR="009A3A67" w:rsidRPr="00F46F32">
        <w:rPr>
          <w:rFonts w:ascii="Arial" w:hAnsi="Arial" w:cs="Arial"/>
        </w:rPr>
        <w:t xml:space="preserve">, such as the Health Belief Model (HBM) and the Theory of Planned Behaviour (TPB), help tailor interventions for </w:t>
      </w:r>
      <w:r w:rsidR="009977D5" w:rsidRPr="00F46F32">
        <w:rPr>
          <w:rFonts w:ascii="Arial" w:hAnsi="Arial" w:cs="Arial"/>
        </w:rPr>
        <w:t>"</w:t>
      </w:r>
      <w:r w:rsidR="009A3A67" w:rsidRPr="00F46F32">
        <w:rPr>
          <w:rFonts w:ascii="Arial" w:hAnsi="Arial" w:cs="Arial"/>
        </w:rPr>
        <w:t>PLUS</w:t>
      </w:r>
      <w:r w:rsidR="009977D5" w:rsidRPr="00F46F32">
        <w:rPr>
          <w:rFonts w:ascii="Arial" w:hAnsi="Arial" w:cs="Arial"/>
        </w:rPr>
        <w:t>"</w:t>
      </w:r>
      <w:r w:rsidR="009A3A67" w:rsidRPr="00F46F32">
        <w:rPr>
          <w:rFonts w:ascii="Arial" w:hAnsi="Arial" w:cs="Arial"/>
        </w:rPr>
        <w:t xml:space="preserve"> groups, addressing barriers, social norms, and perceptions that influence</w:t>
      </w:r>
      <w:r w:rsidRPr="00F46F32">
        <w:rPr>
          <w:rFonts w:ascii="Arial" w:hAnsi="Arial" w:cs="Arial"/>
        </w:rPr>
        <w:t xml:space="preserve"> service uptake (Conner and Norman, 2020). Finally, the NICE (2024) AI framework highlights the importance of inclusive datasets and bias checks in digital health, ensuring innovation reduces rather than reinforces inequalities.</w:t>
      </w:r>
    </w:p>
    <w:p w14:paraId="4168561B" w14:textId="77777777" w:rsidR="006218C0" w:rsidRPr="00F46F32" w:rsidRDefault="006218C0" w:rsidP="006218C0">
      <w:pPr>
        <w:pStyle w:val="Heading2"/>
        <w:rPr>
          <w:rFonts w:ascii="Arial" w:hAnsi="Arial" w:cs="Arial"/>
          <w:sz w:val="24"/>
          <w:szCs w:val="24"/>
        </w:rPr>
      </w:pPr>
      <w:bookmarkStart w:id="12" w:name="_Toc213320968"/>
      <w:r w:rsidRPr="00F46F32">
        <w:rPr>
          <w:rFonts w:ascii="Arial" w:hAnsi="Arial" w:cs="Arial"/>
          <w:sz w:val="24"/>
          <w:szCs w:val="24"/>
        </w:rPr>
        <w:t>Critical Evaluation</w:t>
      </w:r>
      <w:bookmarkEnd w:id="12"/>
    </w:p>
    <w:p w14:paraId="5ABC2419" w14:textId="7D1E5521" w:rsidR="006218C0" w:rsidRPr="00F46F32" w:rsidRDefault="006218C0" w:rsidP="006218C0">
      <w:pPr>
        <w:spacing w:line="360" w:lineRule="auto"/>
        <w:jc w:val="both"/>
        <w:rPr>
          <w:rFonts w:ascii="Arial" w:hAnsi="Arial" w:cs="Arial"/>
        </w:rPr>
      </w:pPr>
      <w:r w:rsidRPr="00F46F32">
        <w:rPr>
          <w:rFonts w:ascii="Arial" w:hAnsi="Arial" w:cs="Arial"/>
        </w:rPr>
        <w:t>The UK</w:t>
      </w:r>
      <w:r w:rsidR="009977D5" w:rsidRPr="00F46F32">
        <w:rPr>
          <w:rFonts w:ascii="Arial" w:hAnsi="Arial" w:cs="Arial"/>
        </w:rPr>
        <w:t>'</w:t>
      </w:r>
      <w:r w:rsidRPr="00F46F32">
        <w:rPr>
          <w:rFonts w:ascii="Arial" w:hAnsi="Arial" w:cs="Arial"/>
        </w:rPr>
        <w:t>s approach to SDG 10 has several strengths. Core20PLUS5 provides clear operational targets, improving accountability across ICSs. National guidance on evaluation and AI evidence generation embeds consistency and safeguards equity (OHID, 2023; NICE, 2024). Locally, social prescribing and targeted prevention illustrate holistic approaches that address not only medical but also social needs (Polley et al., 2017).</w:t>
      </w:r>
    </w:p>
    <w:p w14:paraId="7EC1A832" w14:textId="28EE3B57" w:rsidR="006218C0" w:rsidRPr="00F46F32" w:rsidRDefault="006218C0" w:rsidP="006218C0">
      <w:pPr>
        <w:spacing w:line="360" w:lineRule="auto"/>
        <w:jc w:val="both"/>
        <w:rPr>
          <w:rFonts w:ascii="Arial" w:hAnsi="Arial" w:cs="Arial"/>
        </w:rPr>
      </w:pPr>
      <w:r w:rsidRPr="00F46F32">
        <w:rPr>
          <w:rFonts w:ascii="Arial" w:hAnsi="Arial" w:cs="Arial"/>
        </w:rPr>
        <w:t>However, limitations remain. Workforce shortages and funding pressures constrain service capacity, threatening progress (Appleby, 2022; The King</w:t>
      </w:r>
      <w:r w:rsidR="009977D5" w:rsidRPr="00F46F32">
        <w:rPr>
          <w:rFonts w:ascii="Arial" w:hAnsi="Arial" w:cs="Arial"/>
        </w:rPr>
        <w:t>'</w:t>
      </w:r>
      <w:r w:rsidRPr="00F46F32">
        <w:rPr>
          <w:rFonts w:ascii="Arial" w:hAnsi="Arial" w:cs="Arial"/>
        </w:rPr>
        <w:t xml:space="preserve">s Fund, 2023). </w:t>
      </w:r>
      <w:r w:rsidRPr="00F46F32">
        <w:rPr>
          <w:rFonts w:ascii="Arial" w:hAnsi="Arial" w:cs="Arial"/>
        </w:rPr>
        <w:lastRenderedPageBreak/>
        <w:t xml:space="preserve">Coverage is uneven, creating postcode lotteries where deprived communities may still miss out. Data gaps—particularly for ethnicity, disability, and intersecting identities—limit the </w:t>
      </w:r>
      <w:r w:rsidR="009A3A67" w:rsidRPr="00F46F32">
        <w:rPr>
          <w:rFonts w:ascii="Arial" w:hAnsi="Arial" w:cs="Arial"/>
        </w:rPr>
        <w:t>effectiveness of monitoring inequalities</w:t>
      </w:r>
      <w:r w:rsidRPr="00F46F32">
        <w:rPr>
          <w:rFonts w:ascii="Arial" w:hAnsi="Arial" w:cs="Arial"/>
        </w:rPr>
        <w:t xml:space="preserve"> (United Nations, 2023). Finally, digital health risks </w:t>
      </w:r>
      <w:r w:rsidR="009A3A67" w:rsidRPr="00F46F32">
        <w:rPr>
          <w:rFonts w:ascii="Arial" w:hAnsi="Arial" w:cs="Arial"/>
        </w:rPr>
        <w:t>can reinforce disparities unless explicitly designed for inclusion, as many disadvantaged groups face barriers to</w:t>
      </w:r>
      <w:r w:rsidRPr="00F46F32">
        <w:rPr>
          <w:rFonts w:ascii="Arial" w:hAnsi="Arial" w:cs="Arial"/>
        </w:rPr>
        <w:t xml:space="preserve"> digital access and skills (The Health Foundation, 2023; NICE, 2024).</w:t>
      </w:r>
    </w:p>
    <w:p w14:paraId="665E938D" w14:textId="77777777" w:rsidR="006218C0" w:rsidRPr="00F46F32" w:rsidRDefault="006218C0" w:rsidP="006218C0">
      <w:pPr>
        <w:pStyle w:val="Heading2"/>
        <w:rPr>
          <w:rFonts w:ascii="Arial" w:hAnsi="Arial" w:cs="Arial"/>
          <w:sz w:val="24"/>
          <w:szCs w:val="24"/>
        </w:rPr>
      </w:pPr>
      <w:bookmarkStart w:id="13" w:name="_Toc213320969"/>
      <w:r w:rsidRPr="00F46F32">
        <w:rPr>
          <w:rFonts w:ascii="Arial" w:hAnsi="Arial" w:cs="Arial"/>
          <w:sz w:val="24"/>
          <w:szCs w:val="24"/>
        </w:rPr>
        <w:t>Recommendations</w:t>
      </w:r>
      <w:bookmarkEnd w:id="13"/>
    </w:p>
    <w:p w14:paraId="554F7F22" w14:textId="687FC205" w:rsidR="006218C0" w:rsidRPr="00F46F32" w:rsidRDefault="006218C0" w:rsidP="009A3A67">
      <w:pPr>
        <w:pStyle w:val="ListParagraph"/>
        <w:numPr>
          <w:ilvl w:val="0"/>
          <w:numId w:val="7"/>
        </w:numPr>
        <w:spacing w:line="360" w:lineRule="auto"/>
        <w:jc w:val="both"/>
        <w:rPr>
          <w:rFonts w:ascii="Arial" w:hAnsi="Arial" w:cs="Arial"/>
        </w:rPr>
      </w:pPr>
      <w:r w:rsidRPr="00F46F32">
        <w:rPr>
          <w:rFonts w:ascii="Arial" w:hAnsi="Arial" w:cs="Arial"/>
        </w:rPr>
        <w:t>Invest in proportionate prevention: scale up funding and staff for outreach in deprived areas, using co-designed approaches to build trust</w:t>
      </w:r>
      <w:r w:rsidR="009977D5" w:rsidRPr="00F46F32">
        <w:rPr>
          <w:rFonts w:ascii="Arial" w:hAnsi="Arial" w:cs="Arial"/>
        </w:rPr>
        <w:t xml:space="preserve"> (The King's Fund, 2023)</w:t>
      </w:r>
      <w:r w:rsidRPr="00F46F32">
        <w:rPr>
          <w:rFonts w:ascii="Arial" w:hAnsi="Arial" w:cs="Arial"/>
        </w:rPr>
        <w:t>.</w:t>
      </w:r>
    </w:p>
    <w:p w14:paraId="65CD1F4E" w14:textId="0C3D1805" w:rsidR="006218C0" w:rsidRPr="00F46F32" w:rsidRDefault="006218C0" w:rsidP="009A3A67">
      <w:pPr>
        <w:pStyle w:val="ListParagraph"/>
        <w:numPr>
          <w:ilvl w:val="0"/>
          <w:numId w:val="7"/>
        </w:numPr>
        <w:spacing w:line="360" w:lineRule="auto"/>
        <w:jc w:val="both"/>
        <w:rPr>
          <w:rFonts w:ascii="Arial" w:hAnsi="Arial" w:cs="Arial"/>
        </w:rPr>
      </w:pPr>
      <w:r w:rsidRPr="00F46F32">
        <w:rPr>
          <w:rFonts w:ascii="Arial" w:hAnsi="Arial" w:cs="Arial"/>
        </w:rPr>
        <w:t xml:space="preserve">Improve data and evaluation: mandate disaggregated reporting by deprivation, ethnicity, and disability, using theory-based </w:t>
      </w:r>
      <w:r w:rsidR="009A3A67" w:rsidRPr="00F46F32">
        <w:rPr>
          <w:rFonts w:ascii="Arial" w:hAnsi="Arial" w:cs="Arial"/>
        </w:rPr>
        <w:t>assessment</w:t>
      </w:r>
      <w:r w:rsidRPr="00F46F32">
        <w:rPr>
          <w:rFonts w:ascii="Arial" w:hAnsi="Arial" w:cs="Arial"/>
        </w:rPr>
        <w:t xml:space="preserve"> to identify what works.</w:t>
      </w:r>
    </w:p>
    <w:p w14:paraId="0936D904" w14:textId="1F45EEDC" w:rsidR="006218C0" w:rsidRPr="00F46F32" w:rsidRDefault="006218C0" w:rsidP="009977D5">
      <w:pPr>
        <w:pStyle w:val="ListParagraph"/>
        <w:numPr>
          <w:ilvl w:val="0"/>
          <w:numId w:val="7"/>
        </w:numPr>
        <w:spacing w:line="360" w:lineRule="auto"/>
        <w:jc w:val="both"/>
        <w:rPr>
          <w:rFonts w:ascii="Arial" w:hAnsi="Arial" w:cs="Arial"/>
        </w:rPr>
      </w:pPr>
      <w:r w:rsidRPr="00F46F32">
        <w:rPr>
          <w:rFonts w:ascii="Arial" w:hAnsi="Arial" w:cs="Arial"/>
        </w:rPr>
        <w:t>Ensure digital inclusion</w:t>
      </w:r>
      <w:r w:rsidR="009A3A67" w:rsidRPr="00F46F32">
        <w:rPr>
          <w:rFonts w:ascii="Arial" w:hAnsi="Arial" w:cs="Arial"/>
        </w:rPr>
        <w:t xml:space="preserve"> by supporting disadvantaged groups with devices, skills,</w:t>
      </w:r>
      <w:r w:rsidRPr="00F46F32">
        <w:rPr>
          <w:rFonts w:ascii="Arial" w:hAnsi="Arial" w:cs="Arial"/>
        </w:rPr>
        <w:t xml:space="preserve"> and connectivity, and require equity impact assessments for AI-enabled tools</w:t>
      </w:r>
      <w:r w:rsidR="009977D5" w:rsidRPr="00F46F32">
        <w:rPr>
          <w:rFonts w:ascii="Arial" w:hAnsi="Arial" w:cs="Arial"/>
        </w:rPr>
        <w:t xml:space="preserve"> </w:t>
      </w:r>
      <w:r w:rsidR="009977D5" w:rsidRPr="00F46F32">
        <w:rPr>
          <w:rFonts w:ascii="Arial" w:hAnsi="Arial" w:cs="Arial"/>
        </w:rPr>
        <w:t>(The Health Foundation, 2023; NICE, 2024).</w:t>
      </w:r>
    </w:p>
    <w:p w14:paraId="0C5E38EF" w14:textId="77777777" w:rsidR="006218C0" w:rsidRPr="00F46F32" w:rsidRDefault="006218C0" w:rsidP="009A3A67">
      <w:pPr>
        <w:pStyle w:val="ListParagraph"/>
        <w:numPr>
          <w:ilvl w:val="0"/>
          <w:numId w:val="7"/>
        </w:numPr>
        <w:spacing w:line="360" w:lineRule="auto"/>
        <w:jc w:val="both"/>
        <w:rPr>
          <w:rFonts w:ascii="Arial" w:hAnsi="Arial" w:cs="Arial"/>
        </w:rPr>
      </w:pPr>
      <w:r w:rsidRPr="00F46F32">
        <w:rPr>
          <w:rFonts w:ascii="Arial" w:hAnsi="Arial" w:cs="Arial"/>
        </w:rPr>
        <w:t>Spread proven models: scale successful local projects, using platforms like Life Sciences Hub Wales to share innovation.</w:t>
      </w:r>
    </w:p>
    <w:p w14:paraId="15BAE585" w14:textId="77777777" w:rsidR="006218C0" w:rsidRPr="00F46F32" w:rsidRDefault="006218C0" w:rsidP="006218C0">
      <w:pPr>
        <w:spacing w:line="360" w:lineRule="auto"/>
        <w:jc w:val="both"/>
        <w:rPr>
          <w:rFonts w:ascii="Arial" w:hAnsi="Arial" w:cs="Arial"/>
        </w:rPr>
      </w:pPr>
      <w:r w:rsidRPr="00F46F32">
        <w:rPr>
          <w:rFonts w:ascii="Arial" w:hAnsi="Arial" w:cs="Arial"/>
        </w:rPr>
        <w:t>By embedding proportionate universalism, equity-focused evaluation, and inclusive digital health, SDG 10 can accelerate progress towards SDG 3, ensuring sustainable health improvements that reach all communities.</w:t>
      </w:r>
    </w:p>
    <w:p w14:paraId="24735EB9" w14:textId="77777777" w:rsidR="009977D5" w:rsidRPr="00F46F32" w:rsidRDefault="009977D5" w:rsidP="006218C0">
      <w:pPr>
        <w:spacing w:line="360" w:lineRule="auto"/>
        <w:jc w:val="both"/>
        <w:rPr>
          <w:rFonts w:ascii="Arial" w:hAnsi="Arial" w:cs="Arial"/>
        </w:rPr>
      </w:pPr>
    </w:p>
    <w:p w14:paraId="67A220AE" w14:textId="77777777" w:rsidR="009977D5" w:rsidRPr="00F46F32" w:rsidRDefault="009977D5" w:rsidP="006218C0">
      <w:pPr>
        <w:spacing w:line="360" w:lineRule="auto"/>
        <w:jc w:val="both"/>
        <w:rPr>
          <w:rFonts w:ascii="Arial" w:hAnsi="Arial" w:cs="Arial"/>
        </w:rPr>
      </w:pPr>
    </w:p>
    <w:p w14:paraId="6D4788A3" w14:textId="77777777" w:rsidR="009977D5" w:rsidRPr="00F46F32" w:rsidRDefault="009977D5" w:rsidP="006218C0">
      <w:pPr>
        <w:spacing w:line="360" w:lineRule="auto"/>
        <w:jc w:val="both"/>
        <w:rPr>
          <w:rFonts w:ascii="Arial" w:hAnsi="Arial" w:cs="Arial"/>
        </w:rPr>
      </w:pPr>
    </w:p>
    <w:p w14:paraId="53C389BE" w14:textId="77777777" w:rsidR="009977D5" w:rsidRPr="00F46F32" w:rsidRDefault="009977D5" w:rsidP="006218C0">
      <w:pPr>
        <w:spacing w:line="360" w:lineRule="auto"/>
        <w:jc w:val="both"/>
        <w:rPr>
          <w:rFonts w:ascii="Arial" w:hAnsi="Arial" w:cs="Arial"/>
        </w:rPr>
      </w:pPr>
    </w:p>
    <w:p w14:paraId="288233A9" w14:textId="77777777" w:rsidR="009977D5" w:rsidRDefault="009977D5" w:rsidP="006218C0">
      <w:pPr>
        <w:spacing w:line="360" w:lineRule="auto"/>
        <w:jc w:val="both"/>
        <w:rPr>
          <w:rFonts w:ascii="Arial" w:hAnsi="Arial" w:cs="Arial"/>
        </w:rPr>
      </w:pPr>
    </w:p>
    <w:p w14:paraId="22C998BF" w14:textId="77777777" w:rsidR="003678EA" w:rsidRDefault="003678EA" w:rsidP="006218C0">
      <w:pPr>
        <w:spacing w:line="360" w:lineRule="auto"/>
        <w:jc w:val="both"/>
        <w:rPr>
          <w:rFonts w:ascii="Arial" w:hAnsi="Arial" w:cs="Arial"/>
        </w:rPr>
      </w:pPr>
    </w:p>
    <w:p w14:paraId="2ACB7BB7" w14:textId="77777777" w:rsidR="003678EA" w:rsidRDefault="003678EA" w:rsidP="006218C0">
      <w:pPr>
        <w:spacing w:line="360" w:lineRule="auto"/>
        <w:jc w:val="both"/>
        <w:rPr>
          <w:rFonts w:ascii="Arial" w:hAnsi="Arial" w:cs="Arial"/>
        </w:rPr>
      </w:pPr>
    </w:p>
    <w:p w14:paraId="62FB5CC3" w14:textId="77777777" w:rsidR="003678EA" w:rsidRPr="00F46F32" w:rsidRDefault="003678EA" w:rsidP="006218C0">
      <w:pPr>
        <w:spacing w:line="360" w:lineRule="auto"/>
        <w:jc w:val="both"/>
        <w:rPr>
          <w:rFonts w:ascii="Arial" w:hAnsi="Arial" w:cs="Arial"/>
        </w:rPr>
      </w:pPr>
    </w:p>
    <w:p w14:paraId="3E03D7BD" w14:textId="77777777" w:rsidR="006218C0" w:rsidRPr="00F46F32" w:rsidRDefault="006218C0" w:rsidP="006218C0">
      <w:pPr>
        <w:pStyle w:val="Heading1"/>
        <w:rPr>
          <w:rFonts w:ascii="Arial" w:hAnsi="Arial" w:cs="Arial"/>
          <w:sz w:val="24"/>
          <w:szCs w:val="24"/>
        </w:rPr>
      </w:pPr>
      <w:bookmarkStart w:id="14" w:name="_Toc213320970"/>
      <w:r w:rsidRPr="00F46F32">
        <w:rPr>
          <w:rFonts w:ascii="Arial" w:hAnsi="Arial" w:cs="Arial"/>
          <w:sz w:val="24"/>
          <w:szCs w:val="24"/>
        </w:rPr>
        <w:lastRenderedPageBreak/>
        <w:t>Conclusion</w:t>
      </w:r>
      <w:bookmarkEnd w:id="14"/>
    </w:p>
    <w:p w14:paraId="34783EE2" w14:textId="0581BCE9" w:rsidR="006218C0" w:rsidRPr="00F46F32" w:rsidRDefault="006218C0" w:rsidP="006218C0">
      <w:pPr>
        <w:spacing w:line="360" w:lineRule="auto"/>
        <w:jc w:val="both"/>
        <w:rPr>
          <w:rFonts w:ascii="Arial" w:hAnsi="Arial" w:cs="Arial"/>
        </w:rPr>
      </w:pPr>
      <w:r w:rsidRPr="00F46F32">
        <w:rPr>
          <w:rFonts w:ascii="Arial" w:hAnsi="Arial" w:cs="Arial"/>
        </w:rPr>
        <w:t xml:space="preserve">This report examined SDG 3 and SDG 10 at global, national, and local levels. Persistent challenges include NCDs, AMR, and inequities. UK strategies such as the NHS Long Term Plan, Core20PLUS5, and </w:t>
      </w:r>
      <w:r w:rsidR="009A3A67" w:rsidRPr="00F46F32">
        <w:rPr>
          <w:rFonts w:ascii="Arial" w:hAnsi="Arial" w:cs="Arial"/>
        </w:rPr>
        <w:t>region</w:t>
      </w:r>
      <w:r w:rsidRPr="00F46F32">
        <w:rPr>
          <w:rFonts w:ascii="Arial" w:hAnsi="Arial" w:cs="Arial"/>
        </w:rPr>
        <w:t xml:space="preserve">al initiatives show progress but face funding and workforce constraints. SDG 3 and SDG 10 are interdependent; without equity, health gains are unsustainable. Sustainable futures require proportionate prevention, inclusive digital innovation, and integration with housing, employment, and education. A central finding is the interdependence between SDG 3 and SDG 10: without reducing inequality, health improvements are uneven and unsustainable. Policies addressing only medical interventions </w:t>
      </w:r>
      <w:r w:rsidR="009A3A67" w:rsidRPr="00F46F32">
        <w:rPr>
          <w:rFonts w:ascii="Arial" w:hAnsi="Arial" w:cs="Arial"/>
        </w:rPr>
        <w:t>are ineffective unless combined with broader actions on social determinants,</w:t>
      </w:r>
      <w:r w:rsidRPr="00F46F32">
        <w:rPr>
          <w:rFonts w:ascii="Arial" w:hAnsi="Arial" w:cs="Arial"/>
        </w:rPr>
        <w:t xml:space="preserve"> such as housing, education, and employment. Looking forward, proportionate prevention strategies must be combined with equity-driven evaluation to ensure resources are directed to areas of highest need. Integrated action </w:t>
      </w:r>
      <w:r w:rsidR="009A3A67" w:rsidRPr="00F46F32">
        <w:rPr>
          <w:rFonts w:ascii="Arial" w:hAnsi="Arial" w:cs="Arial"/>
        </w:rPr>
        <w:t>among the health, education, and employment sectors will be essential for sustainable improvements in population well-</w:t>
      </w:r>
      <w:r w:rsidRPr="00F46F32">
        <w:rPr>
          <w:rFonts w:ascii="Arial" w:hAnsi="Arial" w:cs="Arial"/>
        </w:rPr>
        <w:t>being.</w:t>
      </w:r>
    </w:p>
    <w:p w14:paraId="04113A0C" w14:textId="77777777" w:rsidR="006218C0" w:rsidRPr="00F46F32" w:rsidRDefault="006218C0" w:rsidP="006218C0">
      <w:pPr>
        <w:spacing w:line="360" w:lineRule="auto"/>
        <w:rPr>
          <w:rFonts w:ascii="Arial" w:hAnsi="Arial" w:cs="Arial"/>
        </w:rPr>
      </w:pPr>
      <w:r w:rsidRPr="00F46F32">
        <w:rPr>
          <w:rFonts w:ascii="Arial" w:hAnsi="Arial" w:cs="Arial"/>
        </w:rPr>
        <w:br w:type="page"/>
      </w:r>
    </w:p>
    <w:p w14:paraId="23EC9EF3" w14:textId="532AA1D3" w:rsidR="006218C0" w:rsidRDefault="006218C0" w:rsidP="006218C0">
      <w:pPr>
        <w:pStyle w:val="Heading1"/>
      </w:pPr>
      <w:bookmarkStart w:id="15" w:name="_Toc213320971"/>
      <w:r w:rsidRPr="00EB7FCA">
        <w:lastRenderedPageBreak/>
        <w:t>Ref</w:t>
      </w:r>
      <w:r w:rsidR="009977D5">
        <w:t>e</w:t>
      </w:r>
      <w:r w:rsidRPr="00EB7FCA">
        <w:t>rences</w:t>
      </w:r>
      <w:bookmarkEnd w:id="15"/>
    </w:p>
    <w:p w14:paraId="79E22AC8" w14:textId="52406EB3" w:rsidR="00217F63" w:rsidRPr="00217F63" w:rsidRDefault="00217F63" w:rsidP="00217F63">
      <w:pPr>
        <w:spacing w:line="360" w:lineRule="auto"/>
        <w:rPr>
          <w:rFonts w:ascii="Arial" w:hAnsi="Arial"/>
        </w:rPr>
      </w:pPr>
      <w:r w:rsidRPr="00217F63">
        <w:rPr>
          <w:rFonts w:ascii="Arial" w:hAnsi="Arial"/>
        </w:rPr>
        <w:t xml:space="preserve">Arnold, S. et al. (2025) </w:t>
      </w:r>
      <w:r w:rsidRPr="00217F63">
        <w:rPr>
          <w:rFonts w:ascii="Arial" w:hAnsi="Arial"/>
          <w:i/>
          <w:iCs/>
        </w:rPr>
        <w:t>Truly fit for the future? The 10 Year Health Plan explained</w:t>
      </w:r>
      <w:r w:rsidRPr="00217F63">
        <w:rPr>
          <w:rFonts w:ascii="Arial" w:hAnsi="Arial"/>
        </w:rPr>
        <w:t>. The King</w:t>
      </w:r>
      <w:r w:rsidR="009977D5">
        <w:rPr>
          <w:rFonts w:ascii="Arial" w:hAnsi="Arial"/>
        </w:rPr>
        <w:t>'</w:t>
      </w:r>
      <w:r w:rsidRPr="00217F63">
        <w:rPr>
          <w:rFonts w:ascii="Arial" w:hAnsi="Arial"/>
        </w:rPr>
        <w:t xml:space="preserve">s Fund. Available at: </w:t>
      </w:r>
      <w:hyperlink r:id="rId11" w:tgtFrame="_new" w:history="1">
        <w:r w:rsidRPr="00217F63">
          <w:rPr>
            <w:rStyle w:val="Hyperlink"/>
            <w:rFonts w:ascii="Arial" w:hAnsi="Arial"/>
          </w:rPr>
          <w:t>https://www.kingsfund.org.uk/insight-and-analysis/long-reads/ten-year-health-plan-explained</w:t>
        </w:r>
      </w:hyperlink>
      <w:r w:rsidRPr="00217F63">
        <w:rPr>
          <w:rFonts w:ascii="Arial" w:hAnsi="Arial"/>
        </w:rPr>
        <w:t xml:space="preserve"> (Accessed: 12 October 2025).</w:t>
      </w:r>
    </w:p>
    <w:p w14:paraId="74903529" w14:textId="739126F7" w:rsidR="00217F63" w:rsidRPr="00217F63" w:rsidRDefault="00217F63" w:rsidP="00217F63">
      <w:pPr>
        <w:spacing w:line="360" w:lineRule="auto"/>
        <w:rPr>
          <w:rFonts w:ascii="Arial" w:hAnsi="Arial"/>
        </w:rPr>
      </w:pPr>
      <w:r w:rsidRPr="00217F63">
        <w:rPr>
          <w:rFonts w:ascii="Arial" w:hAnsi="Arial"/>
        </w:rPr>
        <w:t xml:space="preserve">Au-Yeung, T., Chowdhury, T.A., Murray, A., Islam, N., </w:t>
      </w:r>
      <w:proofErr w:type="spellStart"/>
      <w:r w:rsidRPr="00217F63">
        <w:rPr>
          <w:rFonts w:ascii="Arial" w:hAnsi="Arial"/>
        </w:rPr>
        <w:t>Khunti</w:t>
      </w:r>
      <w:proofErr w:type="spellEnd"/>
      <w:r w:rsidRPr="00217F63">
        <w:rPr>
          <w:rFonts w:ascii="Arial" w:hAnsi="Arial"/>
        </w:rPr>
        <w:t xml:space="preserve">, K., Chowdhury, H.A., Ali, S. and Hinton, W. (2024) </w:t>
      </w:r>
      <w:r w:rsidR="009977D5">
        <w:rPr>
          <w:rFonts w:ascii="Arial" w:hAnsi="Arial"/>
        </w:rPr>
        <w:t>'</w:t>
      </w:r>
      <w:r w:rsidRPr="00217F63">
        <w:rPr>
          <w:rFonts w:ascii="Arial" w:hAnsi="Arial"/>
        </w:rPr>
        <w:t>Ethnic and socioeconomic inequalities in type 2 diabetes and pre-diabetes among 108,514 NHS Health Check attendees in Birmingham, UK</w:t>
      </w:r>
      <w:r w:rsidR="009977D5">
        <w:rPr>
          <w:rFonts w:ascii="Arial" w:hAnsi="Arial"/>
        </w:rPr>
        <w:t>'</w:t>
      </w:r>
      <w:r w:rsidRPr="00217F63">
        <w:rPr>
          <w:rFonts w:ascii="Arial" w:hAnsi="Arial"/>
        </w:rPr>
        <w:t xml:space="preserve">, </w:t>
      </w:r>
      <w:r w:rsidRPr="00217F63">
        <w:rPr>
          <w:rFonts w:ascii="Arial" w:hAnsi="Arial"/>
          <w:i/>
          <w:iCs/>
        </w:rPr>
        <w:t>BMJ Open Diabetes Research &amp; Care</w:t>
      </w:r>
      <w:r w:rsidRPr="00217F63">
        <w:rPr>
          <w:rFonts w:ascii="Arial" w:hAnsi="Arial"/>
        </w:rPr>
        <w:t xml:space="preserve">, 12(2), e004638. Available at: </w:t>
      </w:r>
      <w:hyperlink r:id="rId12" w:history="1">
        <w:r w:rsidR="009A3A67" w:rsidRPr="00DD1514">
          <w:rPr>
            <w:rStyle w:val="Hyperlink"/>
            <w:rFonts w:ascii="Arial" w:hAnsi="Arial"/>
          </w:rPr>
          <w:t>https://doi.org/10.1136/bmjdrc-2023-004638</w:t>
        </w:r>
      </w:hyperlink>
      <w:r w:rsidR="009A3A67">
        <w:rPr>
          <w:rFonts w:ascii="Arial" w:hAnsi="Arial"/>
        </w:rPr>
        <w:t xml:space="preserve"> </w:t>
      </w:r>
    </w:p>
    <w:p w14:paraId="5B54657F" w14:textId="77777777" w:rsidR="00217F63" w:rsidRPr="00217F63" w:rsidRDefault="00217F63" w:rsidP="00217F63">
      <w:pPr>
        <w:spacing w:line="360" w:lineRule="auto"/>
        <w:rPr>
          <w:rFonts w:ascii="Arial" w:hAnsi="Arial"/>
        </w:rPr>
      </w:pPr>
      <w:r w:rsidRPr="00217F63">
        <w:rPr>
          <w:rFonts w:ascii="Arial" w:hAnsi="Arial"/>
        </w:rPr>
        <w:t xml:space="preserve">Bambra, C., Lynch, J. and Smith, K.E. (2021) </w:t>
      </w:r>
      <w:r w:rsidRPr="00217F63">
        <w:rPr>
          <w:rFonts w:ascii="Arial" w:hAnsi="Arial"/>
          <w:i/>
          <w:iCs/>
        </w:rPr>
        <w:t>The unequal pandemic: COVID-19 and health inequalities</w:t>
      </w:r>
      <w:r w:rsidRPr="00217F63">
        <w:rPr>
          <w:rFonts w:ascii="Arial" w:hAnsi="Arial"/>
        </w:rPr>
        <w:t>. Bristol: Policy Press.</w:t>
      </w:r>
    </w:p>
    <w:p w14:paraId="4FC69FDD" w14:textId="77777777" w:rsidR="00217F63" w:rsidRPr="00217F63" w:rsidRDefault="00217F63" w:rsidP="00217F63">
      <w:pPr>
        <w:spacing w:line="360" w:lineRule="auto"/>
        <w:rPr>
          <w:rFonts w:ascii="Arial" w:hAnsi="Arial"/>
        </w:rPr>
      </w:pPr>
      <w:r w:rsidRPr="00217F63">
        <w:rPr>
          <w:rFonts w:ascii="Arial" w:hAnsi="Arial"/>
        </w:rPr>
        <w:t xml:space="preserve">Conner, M. and Norman, P. (2020) </w:t>
      </w:r>
      <w:r w:rsidRPr="00217F63">
        <w:rPr>
          <w:rFonts w:ascii="Arial" w:hAnsi="Arial"/>
          <w:i/>
          <w:iCs/>
        </w:rPr>
        <w:t>Predicting and changing health behaviour: Research and practice with social cognition models</w:t>
      </w:r>
      <w:r w:rsidRPr="00217F63">
        <w:rPr>
          <w:rFonts w:ascii="Arial" w:hAnsi="Arial"/>
        </w:rPr>
        <w:t xml:space="preserve">. 4th </w:t>
      </w:r>
      <w:proofErr w:type="spellStart"/>
      <w:r w:rsidRPr="00217F63">
        <w:rPr>
          <w:rFonts w:ascii="Arial" w:hAnsi="Arial"/>
        </w:rPr>
        <w:t>edn</w:t>
      </w:r>
      <w:proofErr w:type="spellEnd"/>
      <w:r w:rsidRPr="00217F63">
        <w:rPr>
          <w:rFonts w:ascii="Arial" w:hAnsi="Arial"/>
        </w:rPr>
        <w:t>. Maidenhead: Open University Press.</w:t>
      </w:r>
    </w:p>
    <w:p w14:paraId="11EFBC40" w14:textId="664D5D78" w:rsidR="00217F63" w:rsidRPr="00217F63" w:rsidRDefault="00217F63" w:rsidP="00217F63">
      <w:pPr>
        <w:spacing w:line="360" w:lineRule="auto"/>
        <w:rPr>
          <w:rFonts w:ascii="Arial" w:hAnsi="Arial"/>
        </w:rPr>
      </w:pPr>
      <w:r w:rsidRPr="00217F63">
        <w:rPr>
          <w:rFonts w:ascii="Arial" w:hAnsi="Arial"/>
        </w:rPr>
        <w:t xml:space="preserve">Khan, F., Datta, S.D., Quddus, A., Vertefeuille, J. and Ehrhardt, D. (2021) </w:t>
      </w:r>
      <w:r w:rsidR="009977D5">
        <w:rPr>
          <w:rFonts w:ascii="Arial" w:hAnsi="Arial"/>
        </w:rPr>
        <w:t>'</w:t>
      </w:r>
      <w:r w:rsidRPr="00217F63">
        <w:rPr>
          <w:rFonts w:ascii="Arial" w:hAnsi="Arial"/>
        </w:rPr>
        <w:t>Progress toward polio eradication—worldwide, January 2019–June 2021</w:t>
      </w:r>
      <w:r w:rsidR="009977D5">
        <w:rPr>
          <w:rFonts w:ascii="Arial" w:hAnsi="Arial"/>
        </w:rPr>
        <w:t>'</w:t>
      </w:r>
      <w:r w:rsidRPr="00217F63">
        <w:rPr>
          <w:rFonts w:ascii="Arial" w:hAnsi="Arial"/>
        </w:rPr>
        <w:t xml:space="preserve">, </w:t>
      </w:r>
      <w:r w:rsidRPr="00217F63">
        <w:rPr>
          <w:rFonts w:ascii="Arial" w:hAnsi="Arial"/>
          <w:i/>
          <w:iCs/>
        </w:rPr>
        <w:t>MMWR. Morbidity and Mortality Weekly Report</w:t>
      </w:r>
      <w:r w:rsidRPr="00217F63">
        <w:rPr>
          <w:rFonts w:ascii="Arial" w:hAnsi="Arial"/>
        </w:rPr>
        <w:t xml:space="preserve">, 70(31), pp. 1027–1031. Available at: </w:t>
      </w:r>
      <w:hyperlink r:id="rId13" w:history="1">
        <w:r w:rsidR="009A3A67" w:rsidRPr="00DD1514">
          <w:rPr>
            <w:rStyle w:val="Hyperlink"/>
            <w:rFonts w:ascii="Arial" w:hAnsi="Arial"/>
          </w:rPr>
          <w:t>https://doi.org/10.15585/mmwr.mm7031a1</w:t>
        </w:r>
      </w:hyperlink>
      <w:r w:rsidR="009A3A67">
        <w:rPr>
          <w:rFonts w:ascii="Arial" w:hAnsi="Arial"/>
        </w:rPr>
        <w:t xml:space="preserve"> </w:t>
      </w:r>
    </w:p>
    <w:p w14:paraId="3515AA5C" w14:textId="77777777" w:rsidR="00217F63" w:rsidRPr="00217F63" w:rsidRDefault="00217F63" w:rsidP="00217F63">
      <w:pPr>
        <w:spacing w:line="360" w:lineRule="auto"/>
        <w:rPr>
          <w:rFonts w:ascii="Arial" w:hAnsi="Arial"/>
        </w:rPr>
      </w:pPr>
      <w:r w:rsidRPr="00217F63">
        <w:rPr>
          <w:rFonts w:ascii="Arial" w:hAnsi="Arial"/>
        </w:rPr>
        <w:t xml:space="preserve">Life Sciences Hub Wales (2024) </w:t>
      </w:r>
      <w:r w:rsidRPr="00217F63">
        <w:rPr>
          <w:rFonts w:ascii="Arial" w:hAnsi="Arial"/>
          <w:i/>
          <w:iCs/>
        </w:rPr>
        <w:t>Projects</w:t>
      </w:r>
      <w:r w:rsidRPr="00217F63">
        <w:rPr>
          <w:rFonts w:ascii="Arial" w:hAnsi="Arial"/>
        </w:rPr>
        <w:t xml:space="preserve">. Available at: </w:t>
      </w:r>
      <w:hyperlink r:id="rId14" w:tgtFrame="_new" w:history="1">
        <w:r w:rsidRPr="00217F63">
          <w:rPr>
            <w:rStyle w:val="Hyperlink"/>
            <w:rFonts w:ascii="Arial" w:hAnsi="Arial"/>
          </w:rPr>
          <w:t>https://lshubwales.com/projects</w:t>
        </w:r>
      </w:hyperlink>
      <w:r w:rsidRPr="00217F63">
        <w:rPr>
          <w:rFonts w:ascii="Arial" w:hAnsi="Arial"/>
        </w:rPr>
        <w:t xml:space="preserve"> (Accessed: 13 October 2025).</w:t>
      </w:r>
    </w:p>
    <w:p w14:paraId="1B354D5D" w14:textId="77777777" w:rsidR="00217F63" w:rsidRPr="00217F63" w:rsidRDefault="00217F63" w:rsidP="00217F63">
      <w:pPr>
        <w:spacing w:line="360" w:lineRule="auto"/>
        <w:rPr>
          <w:rFonts w:ascii="Arial" w:hAnsi="Arial"/>
        </w:rPr>
      </w:pPr>
      <w:r w:rsidRPr="00217F63">
        <w:rPr>
          <w:rFonts w:ascii="Arial" w:hAnsi="Arial"/>
        </w:rPr>
        <w:t xml:space="preserve">Lupton, D. (2022) </w:t>
      </w:r>
      <w:r w:rsidRPr="00217F63">
        <w:rPr>
          <w:rFonts w:ascii="Arial" w:hAnsi="Arial"/>
          <w:i/>
          <w:iCs/>
        </w:rPr>
        <w:t>Digital health: Critical and cross-disciplinary perspectives</w:t>
      </w:r>
      <w:r w:rsidRPr="00217F63">
        <w:rPr>
          <w:rFonts w:ascii="Arial" w:hAnsi="Arial"/>
        </w:rPr>
        <w:t>. London: Routledge.</w:t>
      </w:r>
    </w:p>
    <w:p w14:paraId="66E59644" w14:textId="77777777" w:rsidR="00217F63" w:rsidRPr="00217F63" w:rsidRDefault="00217F63" w:rsidP="00217F63">
      <w:pPr>
        <w:spacing w:line="360" w:lineRule="auto"/>
        <w:rPr>
          <w:rFonts w:ascii="Arial" w:hAnsi="Arial"/>
        </w:rPr>
      </w:pPr>
      <w:r w:rsidRPr="00217F63">
        <w:rPr>
          <w:rFonts w:ascii="Arial" w:hAnsi="Arial"/>
        </w:rPr>
        <w:t xml:space="preserve">Marmot, M. (2020) </w:t>
      </w:r>
      <w:r w:rsidRPr="00217F63">
        <w:rPr>
          <w:rFonts w:ascii="Arial" w:hAnsi="Arial"/>
          <w:i/>
          <w:iCs/>
        </w:rPr>
        <w:t>Health equity in England: The Marmot Review 10 years on</w:t>
      </w:r>
      <w:r w:rsidRPr="00217F63">
        <w:rPr>
          <w:rFonts w:ascii="Arial" w:hAnsi="Arial"/>
        </w:rPr>
        <w:t>. London: Institute of Health Equity.</w:t>
      </w:r>
    </w:p>
    <w:p w14:paraId="10C2925C" w14:textId="6A29D3EF" w:rsidR="00217F63" w:rsidRPr="00217F63" w:rsidRDefault="00217F63" w:rsidP="00217F63">
      <w:pPr>
        <w:spacing w:line="360" w:lineRule="auto"/>
        <w:rPr>
          <w:rFonts w:ascii="Arial" w:hAnsi="Arial"/>
        </w:rPr>
      </w:pPr>
      <w:r w:rsidRPr="00217F63">
        <w:rPr>
          <w:rFonts w:ascii="Arial" w:hAnsi="Arial"/>
        </w:rPr>
        <w:t xml:space="preserve">Mbaeyi, C., </w:t>
      </w:r>
      <w:proofErr w:type="spellStart"/>
      <w:r w:rsidRPr="00217F63">
        <w:rPr>
          <w:rFonts w:ascii="Arial" w:hAnsi="Arial"/>
        </w:rPr>
        <w:t>Ikilezi</w:t>
      </w:r>
      <w:proofErr w:type="spellEnd"/>
      <w:r w:rsidRPr="00217F63">
        <w:rPr>
          <w:rFonts w:ascii="Arial" w:hAnsi="Arial"/>
        </w:rPr>
        <w:t xml:space="preserve">, G., Jorstad, H., Malik, F., Ahmad, F., Vertefeuille, J., Sheikh, N. and Ehrhardt, D. (2023) </w:t>
      </w:r>
      <w:r w:rsidR="009977D5">
        <w:rPr>
          <w:rFonts w:ascii="Arial" w:hAnsi="Arial"/>
        </w:rPr>
        <w:t>'</w:t>
      </w:r>
      <w:r w:rsidRPr="00217F63">
        <w:rPr>
          <w:rFonts w:ascii="Arial" w:hAnsi="Arial"/>
        </w:rPr>
        <w:t>Progress toward poliomyelitis eradication—Pakistan, January 2022–June 2023</w:t>
      </w:r>
      <w:r w:rsidR="009977D5">
        <w:rPr>
          <w:rFonts w:ascii="Arial" w:hAnsi="Arial"/>
        </w:rPr>
        <w:t>'</w:t>
      </w:r>
      <w:r w:rsidRPr="00217F63">
        <w:rPr>
          <w:rFonts w:ascii="Arial" w:hAnsi="Arial"/>
        </w:rPr>
        <w:t xml:space="preserve">, </w:t>
      </w:r>
      <w:r w:rsidRPr="00217F63">
        <w:rPr>
          <w:rFonts w:ascii="Arial" w:hAnsi="Arial"/>
          <w:i/>
          <w:iCs/>
        </w:rPr>
        <w:t>MMWR. Morbidity and Mortality Weekly Report</w:t>
      </w:r>
      <w:r w:rsidRPr="00217F63">
        <w:rPr>
          <w:rFonts w:ascii="Arial" w:hAnsi="Arial"/>
        </w:rPr>
        <w:t xml:space="preserve">, 72(34), pp. 909–915. Available at: </w:t>
      </w:r>
      <w:hyperlink r:id="rId15" w:tgtFrame="_new" w:history="1">
        <w:r w:rsidRPr="00217F63">
          <w:rPr>
            <w:rStyle w:val="Hyperlink"/>
            <w:rFonts w:ascii="Arial" w:hAnsi="Arial"/>
          </w:rPr>
          <w:t>https://www.ncbi.nlm.nih.gov/pmc/articles/PMC10441828/</w:t>
        </w:r>
      </w:hyperlink>
    </w:p>
    <w:p w14:paraId="13759D3B" w14:textId="3FEA8936" w:rsidR="00217F63" w:rsidRPr="00217F63" w:rsidRDefault="00217F63" w:rsidP="00217F63">
      <w:pPr>
        <w:spacing w:line="360" w:lineRule="auto"/>
        <w:rPr>
          <w:rFonts w:ascii="Arial" w:hAnsi="Arial"/>
        </w:rPr>
      </w:pPr>
      <w:r w:rsidRPr="00217F63">
        <w:rPr>
          <w:rFonts w:ascii="Arial" w:hAnsi="Arial"/>
        </w:rPr>
        <w:lastRenderedPageBreak/>
        <w:t>McCracken, C. et al. (2024)</w:t>
      </w:r>
      <w:r w:rsidR="009977D5">
        <w:rPr>
          <w:rFonts w:ascii="Arial" w:hAnsi="Arial"/>
        </w:rPr>
        <w:t xml:space="preserve">' </w:t>
      </w:r>
      <w:r w:rsidRPr="00217F63">
        <w:rPr>
          <w:rFonts w:ascii="Arial" w:hAnsi="Arial"/>
        </w:rPr>
        <w:t>NHS Health Checks and long-term outcomes: evidence from a matched cohort study</w:t>
      </w:r>
      <w:r w:rsidR="009977D5">
        <w:rPr>
          <w:rFonts w:ascii="Arial" w:hAnsi="Arial"/>
        </w:rPr>
        <w:t>'</w:t>
      </w:r>
      <w:r w:rsidRPr="00217F63">
        <w:rPr>
          <w:rFonts w:ascii="Arial" w:hAnsi="Arial"/>
        </w:rPr>
        <w:t xml:space="preserve">, </w:t>
      </w:r>
      <w:r w:rsidRPr="00217F63">
        <w:rPr>
          <w:rFonts w:ascii="Arial" w:hAnsi="Arial"/>
          <w:i/>
          <w:iCs/>
        </w:rPr>
        <w:t>BMC Medicine</w:t>
      </w:r>
      <w:r w:rsidRPr="00217F63">
        <w:rPr>
          <w:rFonts w:ascii="Arial" w:hAnsi="Arial"/>
        </w:rPr>
        <w:t xml:space="preserve">, 22(1), 123. Available at: </w:t>
      </w:r>
      <w:hyperlink r:id="rId16" w:tgtFrame="_new" w:history="1">
        <w:r w:rsidRPr="00217F63">
          <w:rPr>
            <w:rStyle w:val="Hyperlink"/>
            <w:rFonts w:ascii="Arial" w:hAnsi="Arial"/>
          </w:rPr>
          <w:t>https://doi.org/10.1186/s12916-023-03187-w</w:t>
        </w:r>
      </w:hyperlink>
    </w:p>
    <w:p w14:paraId="221D90B1" w14:textId="5B5C4347" w:rsidR="00217F63" w:rsidRPr="00217F63" w:rsidRDefault="00217F63" w:rsidP="00217F63">
      <w:pPr>
        <w:spacing w:line="360" w:lineRule="auto"/>
        <w:rPr>
          <w:rFonts w:ascii="Arial" w:hAnsi="Arial"/>
        </w:rPr>
      </w:pPr>
      <w:r w:rsidRPr="00217F63">
        <w:rPr>
          <w:rFonts w:ascii="Arial" w:hAnsi="Arial"/>
        </w:rPr>
        <w:t xml:space="preserve">Nathanson, N. and Kew, O.M. (2021) </w:t>
      </w:r>
      <w:r w:rsidR="009977D5">
        <w:rPr>
          <w:rFonts w:ascii="Arial" w:hAnsi="Arial"/>
        </w:rPr>
        <w:t>'</w:t>
      </w:r>
      <w:r w:rsidRPr="00217F63">
        <w:rPr>
          <w:rFonts w:ascii="Arial" w:hAnsi="Arial"/>
        </w:rPr>
        <w:t>From emergence to eradication: the epidemiology of poliomyelitis deconstructed</w:t>
      </w:r>
      <w:r w:rsidR="009977D5">
        <w:rPr>
          <w:rFonts w:ascii="Arial" w:hAnsi="Arial"/>
        </w:rPr>
        <w:t>'</w:t>
      </w:r>
      <w:r w:rsidRPr="00217F63">
        <w:rPr>
          <w:rFonts w:ascii="Arial" w:hAnsi="Arial"/>
        </w:rPr>
        <w:t xml:space="preserve">, </w:t>
      </w:r>
      <w:r w:rsidRPr="00217F63">
        <w:rPr>
          <w:rFonts w:ascii="Arial" w:hAnsi="Arial"/>
          <w:i/>
          <w:iCs/>
        </w:rPr>
        <w:t xml:space="preserve">Journal of </w:t>
      </w:r>
      <w:proofErr w:type="spellStart"/>
      <w:r w:rsidRPr="00217F63">
        <w:rPr>
          <w:rFonts w:ascii="Arial" w:hAnsi="Arial"/>
          <w:i/>
          <w:iCs/>
        </w:rPr>
        <w:t>NeuroVirology</w:t>
      </w:r>
      <w:proofErr w:type="spellEnd"/>
      <w:r w:rsidRPr="00217F63">
        <w:rPr>
          <w:rFonts w:ascii="Arial" w:hAnsi="Arial"/>
        </w:rPr>
        <w:t xml:space="preserve">, 27, pp. 591–595. Available at: </w:t>
      </w:r>
      <w:hyperlink r:id="rId17" w:history="1">
        <w:r w:rsidR="009A3A67" w:rsidRPr="00DD1514">
          <w:rPr>
            <w:rStyle w:val="Hyperlink"/>
            <w:rFonts w:ascii="Arial" w:hAnsi="Arial"/>
          </w:rPr>
          <w:t>https://doi.org/10.1007/s13365-021-00973-y</w:t>
        </w:r>
      </w:hyperlink>
      <w:r w:rsidR="009A3A67">
        <w:rPr>
          <w:rFonts w:ascii="Arial" w:hAnsi="Arial"/>
        </w:rPr>
        <w:t xml:space="preserve"> </w:t>
      </w:r>
    </w:p>
    <w:p w14:paraId="634488E0" w14:textId="77777777" w:rsidR="00217F63" w:rsidRPr="00217F63" w:rsidRDefault="00217F63" w:rsidP="00217F63">
      <w:pPr>
        <w:spacing w:line="360" w:lineRule="auto"/>
        <w:rPr>
          <w:rFonts w:ascii="Arial" w:hAnsi="Arial"/>
        </w:rPr>
      </w:pPr>
      <w:r w:rsidRPr="00217F63">
        <w:rPr>
          <w:rFonts w:ascii="Arial" w:hAnsi="Arial"/>
        </w:rPr>
        <w:t xml:space="preserve">NHS England (2019) </w:t>
      </w:r>
      <w:r w:rsidRPr="00217F63">
        <w:rPr>
          <w:rFonts w:ascii="Arial" w:hAnsi="Arial"/>
          <w:i/>
          <w:iCs/>
        </w:rPr>
        <w:t>The NHS Long Term Plan</w:t>
      </w:r>
      <w:r w:rsidRPr="00217F63">
        <w:rPr>
          <w:rFonts w:ascii="Arial" w:hAnsi="Arial"/>
        </w:rPr>
        <w:t xml:space="preserve">. London: NHS England. Available at: </w:t>
      </w:r>
      <w:hyperlink r:id="rId18" w:tgtFrame="_new" w:history="1">
        <w:r w:rsidRPr="00217F63">
          <w:rPr>
            <w:rStyle w:val="Hyperlink"/>
            <w:rFonts w:ascii="Arial" w:hAnsi="Arial"/>
          </w:rPr>
          <w:t>https://www.longtermplan.nhs.uk/</w:t>
        </w:r>
      </w:hyperlink>
      <w:r w:rsidRPr="00217F63">
        <w:rPr>
          <w:rFonts w:ascii="Arial" w:hAnsi="Arial"/>
        </w:rPr>
        <w:t xml:space="preserve"> (Accessed: 24 October 2025).</w:t>
      </w:r>
    </w:p>
    <w:p w14:paraId="5743EA84" w14:textId="77777777" w:rsidR="00217F63" w:rsidRPr="00217F63" w:rsidRDefault="00217F63" w:rsidP="00217F63">
      <w:pPr>
        <w:spacing w:line="360" w:lineRule="auto"/>
        <w:rPr>
          <w:rFonts w:ascii="Arial" w:hAnsi="Arial"/>
        </w:rPr>
      </w:pPr>
      <w:r w:rsidRPr="00217F63">
        <w:rPr>
          <w:rFonts w:ascii="Arial" w:hAnsi="Arial"/>
        </w:rPr>
        <w:t xml:space="preserve">NHS England (2021) </w:t>
      </w:r>
      <w:r w:rsidRPr="00217F63">
        <w:rPr>
          <w:rFonts w:ascii="Arial" w:hAnsi="Arial"/>
          <w:i/>
          <w:iCs/>
        </w:rPr>
        <w:t>Core20PLUS5 – An approach to reducing health inequalities</w:t>
      </w:r>
      <w:r w:rsidRPr="00217F63">
        <w:rPr>
          <w:rFonts w:ascii="Arial" w:hAnsi="Arial"/>
        </w:rPr>
        <w:t xml:space="preserve">. NHS England. Available at: </w:t>
      </w:r>
      <w:hyperlink r:id="rId19" w:tgtFrame="_new" w:history="1">
        <w:r w:rsidRPr="00217F63">
          <w:rPr>
            <w:rStyle w:val="Hyperlink"/>
            <w:rFonts w:ascii="Arial" w:hAnsi="Arial"/>
          </w:rPr>
          <w:t>https://www.england.nhs.uk/about/equality/equality-hub/national-healthcare-inequalities-improvement-programme/core20plus5/</w:t>
        </w:r>
      </w:hyperlink>
      <w:r w:rsidRPr="00217F63">
        <w:rPr>
          <w:rFonts w:ascii="Arial" w:hAnsi="Arial"/>
        </w:rPr>
        <w:t xml:space="preserve"> (Accessed: 8 October 2025).</w:t>
      </w:r>
    </w:p>
    <w:p w14:paraId="6388AE6E" w14:textId="77777777" w:rsidR="00217F63" w:rsidRPr="00217F63" w:rsidRDefault="00217F63" w:rsidP="00217F63">
      <w:pPr>
        <w:spacing w:line="360" w:lineRule="auto"/>
        <w:rPr>
          <w:rFonts w:ascii="Arial" w:hAnsi="Arial"/>
        </w:rPr>
      </w:pPr>
      <w:r w:rsidRPr="00217F63">
        <w:rPr>
          <w:rFonts w:ascii="Arial" w:hAnsi="Arial"/>
        </w:rPr>
        <w:t xml:space="preserve">NICE (2024) </w:t>
      </w:r>
      <w:r w:rsidRPr="00217F63">
        <w:rPr>
          <w:rFonts w:ascii="Arial" w:hAnsi="Arial"/>
          <w:i/>
          <w:iCs/>
        </w:rPr>
        <w:t>Use of AI in evidence generation: NICE position statement</w:t>
      </w:r>
      <w:r w:rsidRPr="00217F63">
        <w:rPr>
          <w:rFonts w:ascii="Arial" w:hAnsi="Arial"/>
        </w:rPr>
        <w:t xml:space="preserve">. NICE. Available at: </w:t>
      </w:r>
      <w:hyperlink r:id="rId20" w:tgtFrame="_new" w:history="1">
        <w:r w:rsidRPr="00217F63">
          <w:rPr>
            <w:rStyle w:val="Hyperlink"/>
            <w:rFonts w:ascii="Arial" w:hAnsi="Arial"/>
          </w:rPr>
          <w:t>https://www.nice.org.uk/position-statements/use-of-ai-in-evidence-generation-nice-position-statement</w:t>
        </w:r>
      </w:hyperlink>
      <w:r w:rsidRPr="00217F63">
        <w:rPr>
          <w:rFonts w:ascii="Arial" w:hAnsi="Arial"/>
        </w:rPr>
        <w:t xml:space="preserve"> (Accessed: 10 October 2025).</w:t>
      </w:r>
    </w:p>
    <w:p w14:paraId="0D98A20F" w14:textId="77777777" w:rsidR="00217F63" w:rsidRPr="00217F63" w:rsidRDefault="00217F63" w:rsidP="00217F63">
      <w:pPr>
        <w:spacing w:line="360" w:lineRule="auto"/>
        <w:rPr>
          <w:rFonts w:ascii="Arial" w:hAnsi="Arial"/>
        </w:rPr>
      </w:pPr>
      <w:r w:rsidRPr="00217F63">
        <w:rPr>
          <w:rFonts w:ascii="Arial" w:hAnsi="Arial"/>
        </w:rPr>
        <w:t xml:space="preserve">Office for Health Improvement and Disparities (OHID) (2023) </w:t>
      </w:r>
      <w:r w:rsidRPr="00217F63">
        <w:rPr>
          <w:rFonts w:ascii="Arial" w:hAnsi="Arial"/>
          <w:i/>
          <w:iCs/>
        </w:rPr>
        <w:t>Evaluation in health and wellbeing planning</w:t>
      </w:r>
      <w:r w:rsidRPr="00217F63">
        <w:rPr>
          <w:rFonts w:ascii="Arial" w:hAnsi="Arial"/>
        </w:rPr>
        <w:t xml:space="preserve">. GOV.UK. Available at: </w:t>
      </w:r>
      <w:hyperlink r:id="rId21" w:tgtFrame="_new" w:history="1">
        <w:r w:rsidRPr="00217F63">
          <w:rPr>
            <w:rStyle w:val="Hyperlink"/>
            <w:rFonts w:ascii="Arial" w:hAnsi="Arial"/>
          </w:rPr>
          <w:t>https://www.gov.uk/guidance/evaluation-in-health-and-wellbeing-planning</w:t>
        </w:r>
      </w:hyperlink>
      <w:r w:rsidRPr="00217F63">
        <w:rPr>
          <w:rFonts w:ascii="Arial" w:hAnsi="Arial"/>
        </w:rPr>
        <w:t xml:space="preserve"> (Accessed: 5 October 2025).</w:t>
      </w:r>
    </w:p>
    <w:p w14:paraId="338DC2BC" w14:textId="77777777" w:rsidR="00217F63" w:rsidRPr="00217F63" w:rsidRDefault="00217F63" w:rsidP="00217F63">
      <w:pPr>
        <w:spacing w:line="360" w:lineRule="auto"/>
        <w:rPr>
          <w:rFonts w:ascii="Arial" w:hAnsi="Arial"/>
        </w:rPr>
      </w:pPr>
      <w:r w:rsidRPr="00217F63">
        <w:rPr>
          <w:rFonts w:ascii="Arial" w:hAnsi="Arial"/>
        </w:rPr>
        <w:t xml:space="preserve">Office for National Statistics (ONS) (2023) </w:t>
      </w:r>
      <w:r w:rsidRPr="00217F63">
        <w:rPr>
          <w:rFonts w:ascii="Arial" w:hAnsi="Arial"/>
          <w:i/>
          <w:iCs/>
        </w:rPr>
        <w:t>Adult smoking habits in the UK: 2022</w:t>
      </w:r>
      <w:r w:rsidRPr="00217F63">
        <w:rPr>
          <w:rFonts w:ascii="Arial" w:hAnsi="Arial"/>
        </w:rPr>
        <w:t xml:space="preserve">. ONS. Available at: </w:t>
      </w:r>
      <w:hyperlink r:id="rId22" w:tgtFrame="_new" w:history="1">
        <w:r w:rsidRPr="00217F63">
          <w:rPr>
            <w:rStyle w:val="Hyperlink"/>
            <w:rFonts w:ascii="Arial" w:hAnsi="Arial"/>
          </w:rPr>
          <w:t>https://www.ons.gov.uk/peoplepopulationandcommunity/healthandsocialcare/healthandlifeexpectancies/bulletins/adultsmokinghabitsingreatbritain/2022</w:t>
        </w:r>
      </w:hyperlink>
      <w:r w:rsidRPr="00217F63">
        <w:rPr>
          <w:rFonts w:ascii="Arial" w:hAnsi="Arial"/>
        </w:rPr>
        <w:t xml:space="preserve"> (Accessed: 15 October 2025).</w:t>
      </w:r>
    </w:p>
    <w:p w14:paraId="6074835B" w14:textId="77777777" w:rsidR="00217F63" w:rsidRPr="00217F63" w:rsidRDefault="00217F63" w:rsidP="00217F63">
      <w:pPr>
        <w:spacing w:line="360" w:lineRule="auto"/>
        <w:rPr>
          <w:rFonts w:ascii="Arial" w:hAnsi="Arial"/>
        </w:rPr>
      </w:pPr>
      <w:r w:rsidRPr="00217F63">
        <w:rPr>
          <w:rFonts w:ascii="Arial" w:hAnsi="Arial"/>
        </w:rPr>
        <w:t xml:space="preserve">Race Equality Foundation (2024) </w:t>
      </w:r>
      <w:r w:rsidRPr="00217F63">
        <w:rPr>
          <w:rFonts w:ascii="Arial" w:hAnsi="Arial"/>
          <w:i/>
          <w:iCs/>
        </w:rPr>
        <w:t>Social prescribing: equity and outcomes</w:t>
      </w:r>
      <w:r w:rsidRPr="00217F63">
        <w:rPr>
          <w:rFonts w:ascii="Arial" w:hAnsi="Arial"/>
        </w:rPr>
        <w:t xml:space="preserve">. London: Race Equality Foundation. Available at: </w:t>
      </w:r>
      <w:hyperlink r:id="rId23" w:tgtFrame="_new" w:history="1">
        <w:r w:rsidRPr="00217F63">
          <w:rPr>
            <w:rStyle w:val="Hyperlink"/>
            <w:rFonts w:ascii="Arial" w:hAnsi="Arial"/>
          </w:rPr>
          <w:t>https://raceequalityfoundation.org.uk/wp-content/uploads/2024/11/Social-Prescribing-Report-REF_v5.pdf</w:t>
        </w:r>
      </w:hyperlink>
      <w:r w:rsidRPr="00217F63">
        <w:rPr>
          <w:rFonts w:ascii="Arial" w:hAnsi="Arial"/>
        </w:rPr>
        <w:t xml:space="preserve"> (Accessed: 15 October 2025).</w:t>
      </w:r>
    </w:p>
    <w:p w14:paraId="70E02AD3" w14:textId="77777777" w:rsidR="00217F63" w:rsidRPr="00217F63" w:rsidRDefault="00217F63" w:rsidP="00217F63">
      <w:pPr>
        <w:spacing w:line="360" w:lineRule="auto"/>
        <w:rPr>
          <w:rFonts w:ascii="Arial" w:hAnsi="Arial"/>
        </w:rPr>
      </w:pPr>
      <w:r w:rsidRPr="00217F63">
        <w:rPr>
          <w:rFonts w:ascii="Arial" w:hAnsi="Arial"/>
        </w:rPr>
        <w:lastRenderedPageBreak/>
        <w:t xml:space="preserve">The Health Foundation (n.d.) </w:t>
      </w:r>
      <w:r w:rsidRPr="00217F63">
        <w:rPr>
          <w:rFonts w:ascii="Arial" w:hAnsi="Arial"/>
          <w:i/>
          <w:iCs/>
        </w:rPr>
        <w:t>Health inequalities and trends</w:t>
      </w:r>
      <w:r w:rsidRPr="00217F63">
        <w:rPr>
          <w:rFonts w:ascii="Arial" w:hAnsi="Arial"/>
        </w:rPr>
        <w:t xml:space="preserve">. Available at: </w:t>
      </w:r>
      <w:hyperlink r:id="rId24" w:tgtFrame="_new" w:history="1">
        <w:r w:rsidRPr="00217F63">
          <w:rPr>
            <w:rStyle w:val="Hyperlink"/>
            <w:rFonts w:ascii="Arial" w:hAnsi="Arial"/>
          </w:rPr>
          <w:t>https://www.health.org.uk/topics/health-inequalities-and-trends</w:t>
        </w:r>
      </w:hyperlink>
      <w:r w:rsidRPr="00217F63">
        <w:rPr>
          <w:rFonts w:ascii="Arial" w:hAnsi="Arial"/>
        </w:rPr>
        <w:t xml:space="preserve"> (Accessed: 24 October 2025).</w:t>
      </w:r>
    </w:p>
    <w:p w14:paraId="62D7C8A7" w14:textId="5697191B" w:rsidR="00217F63" w:rsidRPr="00217F63" w:rsidRDefault="00217F63" w:rsidP="00217F63">
      <w:pPr>
        <w:spacing w:line="360" w:lineRule="auto"/>
        <w:rPr>
          <w:rFonts w:ascii="Arial" w:hAnsi="Arial"/>
        </w:rPr>
      </w:pPr>
      <w:r w:rsidRPr="00217F63">
        <w:rPr>
          <w:rFonts w:ascii="Arial" w:hAnsi="Arial"/>
        </w:rPr>
        <w:t>The King</w:t>
      </w:r>
      <w:r w:rsidR="009977D5">
        <w:rPr>
          <w:rFonts w:ascii="Arial" w:hAnsi="Arial"/>
        </w:rPr>
        <w:t>'</w:t>
      </w:r>
      <w:r w:rsidRPr="00217F63">
        <w:rPr>
          <w:rFonts w:ascii="Arial" w:hAnsi="Arial"/>
        </w:rPr>
        <w:t xml:space="preserve">s Fund (2022) </w:t>
      </w:r>
      <w:r w:rsidRPr="00217F63">
        <w:rPr>
          <w:rFonts w:ascii="Arial" w:hAnsi="Arial"/>
          <w:i/>
          <w:iCs/>
        </w:rPr>
        <w:t>The health of people from ethnic minority groups in England</w:t>
      </w:r>
      <w:r w:rsidRPr="00217F63">
        <w:rPr>
          <w:rFonts w:ascii="Arial" w:hAnsi="Arial"/>
        </w:rPr>
        <w:t>. London: The King</w:t>
      </w:r>
      <w:r w:rsidR="009977D5">
        <w:rPr>
          <w:rFonts w:ascii="Arial" w:hAnsi="Arial"/>
        </w:rPr>
        <w:t>'</w:t>
      </w:r>
      <w:r w:rsidRPr="00217F63">
        <w:rPr>
          <w:rFonts w:ascii="Arial" w:hAnsi="Arial"/>
        </w:rPr>
        <w:t>s Fund.</w:t>
      </w:r>
    </w:p>
    <w:p w14:paraId="0B398D02" w14:textId="2EB62038" w:rsidR="00217F63" w:rsidRPr="00217F63" w:rsidRDefault="00217F63" w:rsidP="00217F63">
      <w:pPr>
        <w:spacing w:line="360" w:lineRule="auto"/>
        <w:rPr>
          <w:rFonts w:ascii="Arial" w:hAnsi="Arial"/>
        </w:rPr>
      </w:pPr>
      <w:r w:rsidRPr="00217F63">
        <w:rPr>
          <w:rFonts w:ascii="Arial" w:hAnsi="Arial"/>
        </w:rPr>
        <w:t>The King</w:t>
      </w:r>
      <w:r w:rsidR="009977D5">
        <w:rPr>
          <w:rFonts w:ascii="Arial" w:hAnsi="Arial"/>
        </w:rPr>
        <w:t>'</w:t>
      </w:r>
      <w:r w:rsidRPr="00217F63">
        <w:rPr>
          <w:rFonts w:ascii="Arial" w:hAnsi="Arial"/>
        </w:rPr>
        <w:t xml:space="preserve">s Fund (2023) </w:t>
      </w:r>
      <w:r w:rsidRPr="00217F63">
        <w:rPr>
          <w:rFonts w:ascii="Arial" w:hAnsi="Arial"/>
          <w:i/>
          <w:iCs/>
        </w:rPr>
        <w:t>Tackling health inequalities: seven priorities for the NHS</w:t>
      </w:r>
      <w:r w:rsidRPr="00217F63">
        <w:rPr>
          <w:rFonts w:ascii="Arial" w:hAnsi="Arial"/>
        </w:rPr>
        <w:t>. London: The King</w:t>
      </w:r>
      <w:r w:rsidR="009977D5">
        <w:rPr>
          <w:rFonts w:ascii="Arial" w:hAnsi="Arial"/>
        </w:rPr>
        <w:t>'</w:t>
      </w:r>
      <w:r w:rsidRPr="00217F63">
        <w:rPr>
          <w:rFonts w:ascii="Arial" w:hAnsi="Arial"/>
        </w:rPr>
        <w:t>s Fund.</w:t>
      </w:r>
    </w:p>
    <w:p w14:paraId="39E32D24" w14:textId="77777777" w:rsidR="00217F63" w:rsidRPr="00217F63" w:rsidRDefault="00217F63" w:rsidP="00217F63">
      <w:pPr>
        <w:spacing w:line="360" w:lineRule="auto"/>
        <w:rPr>
          <w:rFonts w:ascii="Arial" w:hAnsi="Arial"/>
        </w:rPr>
      </w:pPr>
      <w:r w:rsidRPr="00217F63">
        <w:rPr>
          <w:rFonts w:ascii="Arial" w:hAnsi="Arial"/>
        </w:rPr>
        <w:t xml:space="preserve">UK Health Security Agency (UKHSA) (2024) </w:t>
      </w:r>
      <w:r w:rsidRPr="00217F63">
        <w:rPr>
          <w:rFonts w:ascii="Arial" w:hAnsi="Arial"/>
          <w:i/>
          <w:iCs/>
        </w:rPr>
        <w:t xml:space="preserve">How did </w:t>
      </w:r>
      <w:proofErr w:type="gramStart"/>
      <w:r w:rsidRPr="00217F63">
        <w:rPr>
          <w:rFonts w:ascii="Arial" w:hAnsi="Arial"/>
          <w:i/>
          <w:iCs/>
        </w:rPr>
        <w:t>singing</w:t>
      </w:r>
      <w:proofErr w:type="gramEnd"/>
      <w:r w:rsidRPr="00217F63">
        <w:rPr>
          <w:rFonts w:ascii="Arial" w:hAnsi="Arial"/>
          <w:i/>
          <w:iCs/>
        </w:rPr>
        <w:t xml:space="preserve"> and dancing pills raise awareness of antibiotic resistance?</w:t>
      </w:r>
      <w:r w:rsidRPr="00217F63">
        <w:rPr>
          <w:rFonts w:ascii="Arial" w:hAnsi="Arial"/>
        </w:rPr>
        <w:t xml:space="preserve"> UKHSA Blog. Available at: </w:t>
      </w:r>
      <w:hyperlink r:id="rId25" w:tgtFrame="_new" w:history="1">
        <w:r w:rsidRPr="00217F63">
          <w:rPr>
            <w:rStyle w:val="Hyperlink"/>
            <w:rFonts w:ascii="Arial" w:hAnsi="Arial"/>
          </w:rPr>
          <w:t>https://ukhsa.blog.gov.uk/2024/04/30/how-did-singing-and-dancing-pills-raise-awareness-of-antibiotic-resistance</w:t>
        </w:r>
      </w:hyperlink>
      <w:r w:rsidRPr="00217F63">
        <w:rPr>
          <w:rFonts w:ascii="Arial" w:hAnsi="Arial"/>
        </w:rPr>
        <w:t xml:space="preserve"> (Accessed: 6 October 2025).</w:t>
      </w:r>
    </w:p>
    <w:p w14:paraId="5B478662" w14:textId="77777777" w:rsidR="00217F63" w:rsidRPr="00217F63" w:rsidRDefault="00217F63" w:rsidP="00217F63">
      <w:pPr>
        <w:spacing w:line="360" w:lineRule="auto"/>
        <w:rPr>
          <w:rFonts w:ascii="Arial" w:hAnsi="Arial"/>
        </w:rPr>
      </w:pPr>
      <w:r w:rsidRPr="00217F63">
        <w:rPr>
          <w:rFonts w:ascii="Arial" w:hAnsi="Arial"/>
        </w:rPr>
        <w:t xml:space="preserve">United Nations (UN) (2023) </w:t>
      </w:r>
      <w:r w:rsidRPr="00217F63">
        <w:rPr>
          <w:rFonts w:ascii="Arial" w:hAnsi="Arial"/>
          <w:i/>
          <w:iCs/>
        </w:rPr>
        <w:t>The Sustainable Development Goals Report 2023</w:t>
      </w:r>
      <w:r w:rsidRPr="00217F63">
        <w:rPr>
          <w:rFonts w:ascii="Arial" w:hAnsi="Arial"/>
        </w:rPr>
        <w:t xml:space="preserve">. New York: United Nations. Available at: </w:t>
      </w:r>
      <w:hyperlink r:id="rId26" w:tgtFrame="_new" w:history="1">
        <w:r w:rsidRPr="00217F63">
          <w:rPr>
            <w:rStyle w:val="Hyperlink"/>
            <w:rFonts w:ascii="Arial" w:hAnsi="Arial"/>
          </w:rPr>
          <w:t>https://unstats.un.org/sdgs/report/2023</w:t>
        </w:r>
      </w:hyperlink>
      <w:r w:rsidRPr="00217F63">
        <w:rPr>
          <w:rFonts w:ascii="Arial" w:hAnsi="Arial"/>
        </w:rPr>
        <w:t xml:space="preserve"> (Accessed: 11 October 2025).</w:t>
      </w:r>
    </w:p>
    <w:p w14:paraId="61FB424E" w14:textId="77777777" w:rsidR="00217F63" w:rsidRPr="00217F63" w:rsidRDefault="00217F63" w:rsidP="00217F63">
      <w:pPr>
        <w:spacing w:line="360" w:lineRule="auto"/>
        <w:rPr>
          <w:rFonts w:ascii="Arial" w:hAnsi="Arial"/>
        </w:rPr>
      </w:pPr>
      <w:r w:rsidRPr="00217F63">
        <w:rPr>
          <w:rFonts w:ascii="Arial" w:hAnsi="Arial"/>
        </w:rPr>
        <w:t xml:space="preserve">University of Manchester (2023) </w:t>
      </w:r>
      <w:r w:rsidRPr="00217F63">
        <w:rPr>
          <w:rFonts w:ascii="Arial" w:hAnsi="Arial"/>
          <w:i/>
          <w:iCs/>
        </w:rPr>
        <w:t>Social prescribing link workers have positive impact on general practice</w:t>
      </w:r>
      <w:r w:rsidRPr="00217F63">
        <w:rPr>
          <w:rFonts w:ascii="Arial" w:hAnsi="Arial"/>
        </w:rPr>
        <w:t xml:space="preserve">. University of Manchester. Available at: </w:t>
      </w:r>
      <w:hyperlink r:id="rId27" w:tgtFrame="_new" w:history="1">
        <w:r w:rsidRPr="00217F63">
          <w:rPr>
            <w:rStyle w:val="Hyperlink"/>
            <w:rFonts w:ascii="Arial" w:hAnsi="Arial"/>
          </w:rPr>
          <w:t>https://www.manchester.ac.uk/about/news/social-prescribing-link-workers-have-positive-impact-on-general-practice/</w:t>
        </w:r>
      </w:hyperlink>
      <w:r w:rsidRPr="00217F63">
        <w:rPr>
          <w:rFonts w:ascii="Arial" w:hAnsi="Arial"/>
        </w:rPr>
        <w:t xml:space="preserve"> (Accessed: 23 October 2025).</w:t>
      </w:r>
    </w:p>
    <w:p w14:paraId="7F2B88F8" w14:textId="77777777" w:rsidR="00217F63" w:rsidRPr="00217F63" w:rsidRDefault="00217F63" w:rsidP="00217F63">
      <w:pPr>
        <w:spacing w:line="360" w:lineRule="auto"/>
        <w:rPr>
          <w:rFonts w:ascii="Arial" w:hAnsi="Arial"/>
        </w:rPr>
      </w:pPr>
      <w:r w:rsidRPr="00217F63">
        <w:rPr>
          <w:rFonts w:ascii="Arial" w:hAnsi="Arial"/>
        </w:rPr>
        <w:t xml:space="preserve">World Health Organization (WHO) (2021a) </w:t>
      </w:r>
      <w:r w:rsidRPr="00217F63">
        <w:rPr>
          <w:rFonts w:ascii="Arial" w:hAnsi="Arial"/>
          <w:i/>
          <w:iCs/>
        </w:rPr>
        <w:t>World health statistics 2021: monitoring health for the SDGs</w:t>
      </w:r>
      <w:r w:rsidRPr="00217F63">
        <w:rPr>
          <w:rFonts w:ascii="Arial" w:hAnsi="Arial"/>
        </w:rPr>
        <w:t xml:space="preserve">. Geneva: World Health Organization. Available at: </w:t>
      </w:r>
      <w:hyperlink r:id="rId28" w:tgtFrame="_new" w:history="1">
        <w:r w:rsidRPr="00217F63">
          <w:rPr>
            <w:rStyle w:val="Hyperlink"/>
            <w:rFonts w:ascii="Arial" w:hAnsi="Arial"/>
          </w:rPr>
          <w:t>https://www.who.int/publications/i/item/9789240027053</w:t>
        </w:r>
      </w:hyperlink>
      <w:r w:rsidRPr="00217F63">
        <w:rPr>
          <w:rFonts w:ascii="Arial" w:hAnsi="Arial"/>
        </w:rPr>
        <w:t xml:space="preserve"> (Accessed: 24 October 2025).</w:t>
      </w:r>
    </w:p>
    <w:p w14:paraId="44327BBE" w14:textId="77777777" w:rsidR="00217F63" w:rsidRPr="00217F63" w:rsidRDefault="00217F63" w:rsidP="00217F63">
      <w:pPr>
        <w:spacing w:line="360" w:lineRule="auto"/>
        <w:rPr>
          <w:rFonts w:ascii="Arial" w:hAnsi="Arial"/>
        </w:rPr>
      </w:pPr>
      <w:r w:rsidRPr="00217F63">
        <w:rPr>
          <w:rFonts w:ascii="Arial" w:hAnsi="Arial"/>
        </w:rPr>
        <w:t xml:space="preserve">World Health Organization (WHO) (2021b) </w:t>
      </w:r>
      <w:r w:rsidRPr="00217F63">
        <w:rPr>
          <w:rFonts w:ascii="Arial" w:hAnsi="Arial"/>
          <w:i/>
          <w:iCs/>
        </w:rPr>
        <w:t>Health inequities and their causes</w:t>
      </w:r>
      <w:r w:rsidRPr="00217F63">
        <w:rPr>
          <w:rFonts w:ascii="Arial" w:hAnsi="Arial"/>
        </w:rPr>
        <w:t xml:space="preserve">. Geneva: World Health Organization. Available at: </w:t>
      </w:r>
      <w:hyperlink r:id="rId29" w:tgtFrame="_new" w:history="1">
        <w:r w:rsidRPr="00217F63">
          <w:rPr>
            <w:rStyle w:val="Hyperlink"/>
            <w:rFonts w:ascii="Arial" w:hAnsi="Arial"/>
          </w:rPr>
          <w:t>https://www.who.int/news-room/facts-in-pictures/detail/health-inequities-and-their-causes</w:t>
        </w:r>
      </w:hyperlink>
      <w:r w:rsidRPr="00217F63">
        <w:rPr>
          <w:rFonts w:ascii="Arial" w:hAnsi="Arial"/>
        </w:rPr>
        <w:t xml:space="preserve"> (Accessed: 24 October 2025).</w:t>
      </w:r>
    </w:p>
    <w:p w14:paraId="5FC2065B" w14:textId="41139998" w:rsidR="00217F63" w:rsidRPr="00217F63" w:rsidRDefault="00217F63" w:rsidP="00217F63">
      <w:pPr>
        <w:spacing w:line="360" w:lineRule="auto"/>
        <w:rPr>
          <w:rFonts w:ascii="Arial" w:hAnsi="Arial"/>
        </w:rPr>
      </w:pPr>
      <w:r w:rsidRPr="00217F63">
        <w:rPr>
          <w:rFonts w:ascii="Arial" w:hAnsi="Arial"/>
        </w:rPr>
        <w:t xml:space="preserve">World Health Organization (WHO) (2022) </w:t>
      </w:r>
      <w:proofErr w:type="gramStart"/>
      <w:r w:rsidRPr="00217F63">
        <w:rPr>
          <w:rFonts w:ascii="Arial" w:hAnsi="Arial"/>
          <w:i/>
          <w:iCs/>
        </w:rPr>
        <w:t>Non</w:t>
      </w:r>
      <w:r w:rsidR="009A3A67">
        <w:rPr>
          <w:rFonts w:ascii="Arial" w:hAnsi="Arial"/>
          <w:i/>
          <w:iCs/>
        </w:rPr>
        <w:t>-</w:t>
      </w:r>
      <w:r w:rsidRPr="00217F63">
        <w:rPr>
          <w:rFonts w:ascii="Arial" w:hAnsi="Arial"/>
          <w:i/>
          <w:iCs/>
        </w:rPr>
        <w:t>communicable</w:t>
      </w:r>
      <w:proofErr w:type="gramEnd"/>
      <w:r w:rsidRPr="00217F63">
        <w:rPr>
          <w:rFonts w:ascii="Arial" w:hAnsi="Arial"/>
          <w:i/>
          <w:iCs/>
        </w:rPr>
        <w:t xml:space="preserve"> diseases: progress monitor 2022</w:t>
      </w:r>
      <w:r w:rsidRPr="00217F63">
        <w:rPr>
          <w:rFonts w:ascii="Arial" w:hAnsi="Arial"/>
        </w:rPr>
        <w:t xml:space="preserve">. Geneva: World Health Organization. Available at: </w:t>
      </w:r>
      <w:hyperlink r:id="rId30" w:tgtFrame="_new" w:history="1">
        <w:r w:rsidRPr="00217F63">
          <w:rPr>
            <w:rStyle w:val="Hyperlink"/>
            <w:rFonts w:ascii="Arial" w:hAnsi="Arial"/>
          </w:rPr>
          <w:t>https://iris.who.int/handle/10665/353048</w:t>
        </w:r>
      </w:hyperlink>
      <w:r w:rsidRPr="00217F63">
        <w:rPr>
          <w:rFonts w:ascii="Arial" w:hAnsi="Arial"/>
        </w:rPr>
        <w:t xml:space="preserve"> (Accessed: 24 October 2025).</w:t>
      </w:r>
    </w:p>
    <w:p w14:paraId="479A99C8" w14:textId="77777777" w:rsidR="006218C0" w:rsidRPr="00F9284C" w:rsidRDefault="006218C0" w:rsidP="00217F63">
      <w:pPr>
        <w:spacing w:line="360" w:lineRule="auto"/>
        <w:rPr>
          <w:rFonts w:ascii="Arial" w:hAnsi="Arial"/>
        </w:rPr>
      </w:pPr>
    </w:p>
    <w:sectPr w:rsidR="006218C0" w:rsidRPr="00F9284C" w:rsidSect="00FE174E">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EB0F8" w14:textId="77777777" w:rsidR="0057005A" w:rsidRDefault="0057005A" w:rsidP="00E17206">
      <w:pPr>
        <w:spacing w:after="0" w:line="240" w:lineRule="auto"/>
      </w:pPr>
      <w:r>
        <w:separator/>
      </w:r>
    </w:p>
  </w:endnote>
  <w:endnote w:type="continuationSeparator" w:id="0">
    <w:p w14:paraId="1C777DD8" w14:textId="77777777" w:rsidR="0057005A" w:rsidRDefault="0057005A" w:rsidP="00E17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7179747"/>
      <w:docPartObj>
        <w:docPartGallery w:val="Page Numbers (Bottom of Page)"/>
        <w:docPartUnique/>
      </w:docPartObj>
    </w:sdtPr>
    <w:sdtEndPr>
      <w:rPr>
        <w:noProof/>
      </w:rPr>
    </w:sdtEndPr>
    <w:sdtContent>
      <w:p w14:paraId="1ABAC255" w14:textId="5985C2D0" w:rsidR="00E17206" w:rsidRDefault="00E17206" w:rsidP="00E172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9122AE" w14:textId="77777777" w:rsidR="00E17206" w:rsidRDefault="00E17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4EE14" w14:textId="77777777" w:rsidR="0057005A" w:rsidRDefault="0057005A" w:rsidP="00E17206">
      <w:pPr>
        <w:spacing w:after="0" w:line="240" w:lineRule="auto"/>
      </w:pPr>
      <w:r>
        <w:separator/>
      </w:r>
    </w:p>
  </w:footnote>
  <w:footnote w:type="continuationSeparator" w:id="0">
    <w:p w14:paraId="4896191F" w14:textId="77777777" w:rsidR="0057005A" w:rsidRDefault="0057005A" w:rsidP="00E17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264"/>
    <w:multiLevelType w:val="multilevel"/>
    <w:tmpl w:val="7DB0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81130"/>
    <w:multiLevelType w:val="multilevel"/>
    <w:tmpl w:val="FFA85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875D02"/>
    <w:multiLevelType w:val="hybridMultilevel"/>
    <w:tmpl w:val="BD14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C772AA"/>
    <w:multiLevelType w:val="multilevel"/>
    <w:tmpl w:val="80269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7A70ED"/>
    <w:multiLevelType w:val="hybridMultilevel"/>
    <w:tmpl w:val="B70E3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63875"/>
    <w:multiLevelType w:val="multilevel"/>
    <w:tmpl w:val="5E008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E97AA6"/>
    <w:multiLevelType w:val="multilevel"/>
    <w:tmpl w:val="2244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2300427">
    <w:abstractNumId w:val="5"/>
  </w:num>
  <w:num w:numId="2" w16cid:durableId="898981260">
    <w:abstractNumId w:val="0"/>
  </w:num>
  <w:num w:numId="3" w16cid:durableId="862281282">
    <w:abstractNumId w:val="1"/>
  </w:num>
  <w:num w:numId="4" w16cid:durableId="1833332925">
    <w:abstractNumId w:val="3"/>
  </w:num>
  <w:num w:numId="5" w16cid:durableId="1753039562">
    <w:abstractNumId w:val="6"/>
  </w:num>
  <w:num w:numId="6" w16cid:durableId="1884705401">
    <w:abstractNumId w:val="2"/>
  </w:num>
  <w:num w:numId="7" w16cid:durableId="13316404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OwtDQyMjO1NDewNLBQ0lEKTi0uzszPAykwrAUAExtnVCwAAAA="/>
  </w:docVars>
  <w:rsids>
    <w:rsidRoot w:val="003537E4"/>
    <w:rsid w:val="000B4402"/>
    <w:rsid w:val="000C6B88"/>
    <w:rsid w:val="00217F63"/>
    <w:rsid w:val="00295128"/>
    <w:rsid w:val="003537E4"/>
    <w:rsid w:val="003678EA"/>
    <w:rsid w:val="003A1EFE"/>
    <w:rsid w:val="004476FC"/>
    <w:rsid w:val="00455D86"/>
    <w:rsid w:val="00474E44"/>
    <w:rsid w:val="00511BE1"/>
    <w:rsid w:val="00550B5E"/>
    <w:rsid w:val="0055718F"/>
    <w:rsid w:val="0057005A"/>
    <w:rsid w:val="006218C0"/>
    <w:rsid w:val="006321BB"/>
    <w:rsid w:val="0064333F"/>
    <w:rsid w:val="006B4467"/>
    <w:rsid w:val="006C1E02"/>
    <w:rsid w:val="006C7E1D"/>
    <w:rsid w:val="00752544"/>
    <w:rsid w:val="00765FCC"/>
    <w:rsid w:val="00770849"/>
    <w:rsid w:val="007A2492"/>
    <w:rsid w:val="00802895"/>
    <w:rsid w:val="008E3026"/>
    <w:rsid w:val="008F2EE2"/>
    <w:rsid w:val="009413D6"/>
    <w:rsid w:val="00985455"/>
    <w:rsid w:val="009977D5"/>
    <w:rsid w:val="009A3A67"/>
    <w:rsid w:val="009B6E90"/>
    <w:rsid w:val="009C7802"/>
    <w:rsid w:val="00A45843"/>
    <w:rsid w:val="00A60C14"/>
    <w:rsid w:val="00A93EBB"/>
    <w:rsid w:val="00B461DD"/>
    <w:rsid w:val="00B87C0E"/>
    <w:rsid w:val="00C971DE"/>
    <w:rsid w:val="00CA354F"/>
    <w:rsid w:val="00CA744D"/>
    <w:rsid w:val="00CD2E97"/>
    <w:rsid w:val="00D84030"/>
    <w:rsid w:val="00D9152D"/>
    <w:rsid w:val="00E06CE6"/>
    <w:rsid w:val="00E17206"/>
    <w:rsid w:val="00E27407"/>
    <w:rsid w:val="00E31E3F"/>
    <w:rsid w:val="00E4486E"/>
    <w:rsid w:val="00E7578A"/>
    <w:rsid w:val="00F46F32"/>
    <w:rsid w:val="00F544BB"/>
    <w:rsid w:val="00F9284C"/>
    <w:rsid w:val="00FE174E"/>
    <w:rsid w:val="00FF3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7B534"/>
  <w15:chartTrackingRefBased/>
  <w15:docId w15:val="{F90A4AE5-9EAB-4C60-A6E8-79AD8569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1DE"/>
  </w:style>
  <w:style w:type="paragraph" w:styleId="Heading1">
    <w:name w:val="heading 1"/>
    <w:basedOn w:val="Normal"/>
    <w:next w:val="Normal"/>
    <w:link w:val="Heading1Char"/>
    <w:uiPriority w:val="9"/>
    <w:qFormat/>
    <w:rsid w:val="00353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3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7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7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7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3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7E4"/>
    <w:rPr>
      <w:rFonts w:eastAsiaTheme="majorEastAsia" w:cstheme="majorBidi"/>
      <w:color w:val="272727" w:themeColor="text1" w:themeTint="D8"/>
    </w:rPr>
  </w:style>
  <w:style w:type="paragraph" w:styleId="Title">
    <w:name w:val="Title"/>
    <w:basedOn w:val="Normal"/>
    <w:next w:val="Normal"/>
    <w:link w:val="TitleChar"/>
    <w:uiPriority w:val="10"/>
    <w:qFormat/>
    <w:rsid w:val="00353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7E4"/>
    <w:pPr>
      <w:spacing w:before="160"/>
      <w:jc w:val="center"/>
    </w:pPr>
    <w:rPr>
      <w:i/>
      <w:iCs/>
      <w:color w:val="404040" w:themeColor="text1" w:themeTint="BF"/>
    </w:rPr>
  </w:style>
  <w:style w:type="character" w:customStyle="1" w:styleId="QuoteChar">
    <w:name w:val="Quote Char"/>
    <w:basedOn w:val="DefaultParagraphFont"/>
    <w:link w:val="Quote"/>
    <w:uiPriority w:val="29"/>
    <w:rsid w:val="003537E4"/>
    <w:rPr>
      <w:i/>
      <w:iCs/>
      <w:color w:val="404040" w:themeColor="text1" w:themeTint="BF"/>
    </w:rPr>
  </w:style>
  <w:style w:type="paragraph" w:styleId="ListParagraph">
    <w:name w:val="List Paragraph"/>
    <w:basedOn w:val="Normal"/>
    <w:uiPriority w:val="34"/>
    <w:qFormat/>
    <w:rsid w:val="003537E4"/>
    <w:pPr>
      <w:ind w:left="720"/>
      <w:contextualSpacing/>
    </w:pPr>
  </w:style>
  <w:style w:type="character" w:styleId="IntenseEmphasis">
    <w:name w:val="Intense Emphasis"/>
    <w:basedOn w:val="DefaultParagraphFont"/>
    <w:uiPriority w:val="21"/>
    <w:qFormat/>
    <w:rsid w:val="003537E4"/>
    <w:rPr>
      <w:i/>
      <w:iCs/>
      <w:color w:val="0F4761" w:themeColor="accent1" w:themeShade="BF"/>
    </w:rPr>
  </w:style>
  <w:style w:type="paragraph" w:styleId="IntenseQuote">
    <w:name w:val="Intense Quote"/>
    <w:basedOn w:val="Normal"/>
    <w:next w:val="Normal"/>
    <w:link w:val="IntenseQuoteChar"/>
    <w:uiPriority w:val="30"/>
    <w:qFormat/>
    <w:rsid w:val="00353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7E4"/>
    <w:rPr>
      <w:i/>
      <w:iCs/>
      <w:color w:val="0F4761" w:themeColor="accent1" w:themeShade="BF"/>
    </w:rPr>
  </w:style>
  <w:style w:type="character" w:styleId="IntenseReference">
    <w:name w:val="Intense Reference"/>
    <w:basedOn w:val="DefaultParagraphFont"/>
    <w:uiPriority w:val="32"/>
    <w:qFormat/>
    <w:rsid w:val="003537E4"/>
    <w:rPr>
      <w:b/>
      <w:bCs/>
      <w:smallCaps/>
      <w:color w:val="0F4761" w:themeColor="accent1" w:themeShade="BF"/>
      <w:spacing w:val="5"/>
    </w:rPr>
  </w:style>
  <w:style w:type="character" w:styleId="Hyperlink">
    <w:name w:val="Hyperlink"/>
    <w:basedOn w:val="DefaultParagraphFont"/>
    <w:uiPriority w:val="99"/>
    <w:unhideWhenUsed/>
    <w:rsid w:val="000C6B88"/>
    <w:rPr>
      <w:color w:val="467886" w:themeColor="hyperlink"/>
      <w:u w:val="single"/>
    </w:rPr>
  </w:style>
  <w:style w:type="paragraph" w:styleId="NormalWeb">
    <w:name w:val="Normal (Web)"/>
    <w:basedOn w:val="Normal"/>
    <w:uiPriority w:val="99"/>
    <w:semiHidden/>
    <w:unhideWhenUsed/>
    <w:rsid w:val="003A1EFE"/>
    <w:rPr>
      <w:rFonts w:ascii="Times New Roman" w:hAnsi="Times New Roman" w:cs="Times New Roman"/>
    </w:rPr>
  </w:style>
  <w:style w:type="character" w:styleId="UnresolvedMention">
    <w:name w:val="Unresolved Mention"/>
    <w:basedOn w:val="DefaultParagraphFont"/>
    <w:uiPriority w:val="99"/>
    <w:semiHidden/>
    <w:unhideWhenUsed/>
    <w:rsid w:val="003A1EFE"/>
    <w:rPr>
      <w:color w:val="605E5C"/>
      <w:shd w:val="clear" w:color="auto" w:fill="E1DFDD"/>
    </w:rPr>
  </w:style>
  <w:style w:type="character" w:styleId="FollowedHyperlink">
    <w:name w:val="FollowedHyperlink"/>
    <w:basedOn w:val="DefaultParagraphFont"/>
    <w:uiPriority w:val="99"/>
    <w:semiHidden/>
    <w:unhideWhenUsed/>
    <w:rsid w:val="003A1EFE"/>
    <w:rPr>
      <w:color w:val="96607D" w:themeColor="followedHyperlink"/>
      <w:u w:val="single"/>
    </w:rPr>
  </w:style>
  <w:style w:type="paragraph" w:styleId="Header">
    <w:name w:val="header"/>
    <w:basedOn w:val="Normal"/>
    <w:link w:val="HeaderChar"/>
    <w:uiPriority w:val="99"/>
    <w:unhideWhenUsed/>
    <w:rsid w:val="00E17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206"/>
  </w:style>
  <w:style w:type="paragraph" w:styleId="Footer">
    <w:name w:val="footer"/>
    <w:basedOn w:val="Normal"/>
    <w:link w:val="FooterChar"/>
    <w:uiPriority w:val="99"/>
    <w:unhideWhenUsed/>
    <w:rsid w:val="00E17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206"/>
  </w:style>
  <w:style w:type="paragraph" w:styleId="TOCHeading">
    <w:name w:val="TOC Heading"/>
    <w:basedOn w:val="Heading1"/>
    <w:next w:val="Normal"/>
    <w:uiPriority w:val="39"/>
    <w:unhideWhenUsed/>
    <w:qFormat/>
    <w:rsid w:val="00A93EB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E174E"/>
    <w:pPr>
      <w:tabs>
        <w:tab w:val="right" w:leader="dot" w:pos="9016"/>
      </w:tabs>
      <w:spacing w:after="100" w:line="360" w:lineRule="auto"/>
    </w:pPr>
  </w:style>
  <w:style w:type="paragraph" w:styleId="TOC2">
    <w:name w:val="toc 2"/>
    <w:basedOn w:val="Normal"/>
    <w:next w:val="Normal"/>
    <w:autoRedefine/>
    <w:uiPriority w:val="39"/>
    <w:unhideWhenUsed/>
    <w:rsid w:val="00FE174E"/>
    <w:pPr>
      <w:spacing w:after="100"/>
      <w:ind w:left="240"/>
    </w:pPr>
  </w:style>
  <w:style w:type="paragraph" w:styleId="NoSpacing">
    <w:name w:val="No Spacing"/>
    <w:link w:val="NoSpacingChar"/>
    <w:uiPriority w:val="1"/>
    <w:qFormat/>
    <w:rsid w:val="00FE174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E174E"/>
    <w:rPr>
      <w:rFonts w:eastAsiaTheme="minorEastAsia"/>
      <w:kern w:val="0"/>
      <w:sz w:val="22"/>
      <w:szCs w:val="22"/>
      <w:lang w:val="en-US"/>
      <w14:ligatures w14:val="none"/>
    </w:rPr>
  </w:style>
  <w:style w:type="paragraph" w:styleId="Caption">
    <w:name w:val="caption"/>
    <w:basedOn w:val="Normal"/>
    <w:next w:val="Normal"/>
    <w:uiPriority w:val="35"/>
    <w:semiHidden/>
    <w:unhideWhenUsed/>
    <w:qFormat/>
    <w:rsid w:val="0075254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585/mmwr.mm7031a1" TargetMode="External"/><Relationship Id="rId18" Type="http://schemas.openxmlformats.org/officeDocument/2006/relationships/hyperlink" Target="https://www.longtermplan.nhs.uk/?utm_source=chatgpt.com" TargetMode="External"/><Relationship Id="rId26" Type="http://schemas.openxmlformats.org/officeDocument/2006/relationships/hyperlink" Target="https://unstats.un.org/sdgs/report/2023" TargetMode="External"/><Relationship Id="rId3" Type="http://schemas.openxmlformats.org/officeDocument/2006/relationships/numbering" Target="numbering.xml"/><Relationship Id="rId21" Type="http://schemas.openxmlformats.org/officeDocument/2006/relationships/hyperlink" Target="https://www.gov.uk/guidance/evaluation-in-health-and-wellbeing-planning" TargetMode="External"/><Relationship Id="rId7" Type="http://schemas.openxmlformats.org/officeDocument/2006/relationships/footnotes" Target="footnotes.xml"/><Relationship Id="rId12" Type="http://schemas.openxmlformats.org/officeDocument/2006/relationships/hyperlink" Target="https://doi.org/10.1136/bmjdrc-2023-004638" TargetMode="External"/><Relationship Id="rId17" Type="http://schemas.openxmlformats.org/officeDocument/2006/relationships/hyperlink" Target="https://doi.org/10.1007/s13365-021-00973-y" TargetMode="External"/><Relationship Id="rId25" Type="http://schemas.openxmlformats.org/officeDocument/2006/relationships/hyperlink" Target="https://ukhsa.blog.gov.uk/2024/04/30/how-did-singing-and-dancing-pills-raise-awareness-of-antibiotic-resistanc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86/s12916-023-03187-w" TargetMode="External"/><Relationship Id="rId20" Type="http://schemas.openxmlformats.org/officeDocument/2006/relationships/hyperlink" Target="https://www.nice.org.uk/position-statements/use-of-ai-in-evidence-generation-nice-position-statement" TargetMode="External"/><Relationship Id="rId29" Type="http://schemas.openxmlformats.org/officeDocument/2006/relationships/hyperlink" Target="https://www.who.int/news-room/facts-in-pictures/detail/health-inequities-and-their-causes?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ingsfund.org.uk/insight-and-analysis/long-reads/ten-year-health-plan-explained" TargetMode="External"/><Relationship Id="rId24" Type="http://schemas.openxmlformats.org/officeDocument/2006/relationships/hyperlink" Target="https://www.health.org.uk/topics/health-inequalities-and-trends?utm_source=chatgpt.co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ncbi.nlm.nih.gov/pmc/articles/PMC10441828/" TargetMode="External"/><Relationship Id="rId23" Type="http://schemas.openxmlformats.org/officeDocument/2006/relationships/hyperlink" Target="https://raceequalityfoundation.org.uk/wp-content/uploads/2024/11/Social-Prescribing-Report-REF_v5.pdf?utm_source=chatgpt.com" TargetMode="External"/><Relationship Id="rId28" Type="http://schemas.openxmlformats.org/officeDocument/2006/relationships/hyperlink" Target="https://www.who.int/publications/i/item/9789240027053?utm_source=chatgpt.com" TargetMode="External"/><Relationship Id="rId10" Type="http://schemas.openxmlformats.org/officeDocument/2006/relationships/image" Target="media/image2.png"/><Relationship Id="rId19" Type="http://schemas.openxmlformats.org/officeDocument/2006/relationships/hyperlink" Target="https://www.england.nhs.uk/about/equality/equality-hub/national-healthcare-inequalities-improvement-programme/core20plus5/"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shubwales.com/projects" TargetMode="External"/><Relationship Id="rId22" Type="http://schemas.openxmlformats.org/officeDocument/2006/relationships/hyperlink" Target="https://www.ons.gov.uk/peoplepopulationandcommunity/healthandsocialcare/healthandlifeexpectancies/bulletins/adultsmokinghabitsingreatbritain/2022" TargetMode="External"/><Relationship Id="rId27" Type="http://schemas.openxmlformats.org/officeDocument/2006/relationships/hyperlink" Target="https://www.manchester.ac.uk/about/news/social-prescribing-link-workers-have-positive-impact-on-general-practice/?utm_source=chatgpt.com" TargetMode="External"/><Relationship Id="rId30" Type="http://schemas.openxmlformats.org/officeDocument/2006/relationships/hyperlink" Target="https://iris.who.int/handle/10665/353048?utm_source=chatgpt.com"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BMHP6030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E82A98-75A6-4001-A792-32DD52A93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3396</Words>
  <Characters>22210</Characters>
  <Application>Microsoft Office Word</Application>
  <DocSecurity>0</DocSecurity>
  <Lines>482</Lines>
  <Paragraphs>226</Paragraphs>
  <ScaleCrop>false</ScaleCrop>
  <HeadingPairs>
    <vt:vector size="2" baseType="variant">
      <vt:variant>
        <vt:lpstr>Title</vt:lpstr>
      </vt:variant>
      <vt:variant>
        <vt:i4>1</vt:i4>
      </vt:variant>
    </vt:vector>
  </HeadingPairs>
  <TitlesOfParts>
    <vt:vector size="1" baseType="lpstr">
      <vt:lpstr/>
    </vt:vector>
  </TitlesOfParts>
  <Company>Student no.</Company>
  <LinksUpToDate>false</LinksUpToDate>
  <CharactersWithSpaces>25380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ealth, Wellbeing and Sustainable Development</dc:subject>
  <dc:creator>Student Name:</dc:creator>
  <cp:keywords/>
  <dc:description/>
  <cp:lastModifiedBy>Nazia Haroon (2208947)</cp:lastModifiedBy>
  <cp:revision>4</cp:revision>
  <dcterms:created xsi:type="dcterms:W3CDTF">2025-11-06T11:21:00Z</dcterms:created>
  <dcterms:modified xsi:type="dcterms:W3CDTF">2025-11-06T11:29:00Z</dcterms:modified>
</cp:coreProperties>
</file>