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83BB6" w14:textId="65671DC5" w:rsidR="007E57FA" w:rsidRPr="00770D7B" w:rsidRDefault="007E57FA" w:rsidP="00770D7B">
      <w:pPr>
        <w:tabs>
          <w:tab w:val="center" w:pos="2025"/>
          <w:tab w:val="center" w:pos="6974"/>
          <w:tab w:val="center" w:pos="8603"/>
        </w:tabs>
        <w:spacing w:after="282" w:line="360" w:lineRule="auto"/>
        <w:ind w:hanging="10"/>
        <w:jc w:val="center"/>
        <w:rPr>
          <w:rFonts w:ascii="Arial" w:eastAsia="Arial" w:hAnsi="Arial" w:cs="Arial"/>
          <w:color w:val="000000" w:themeColor="text1"/>
          <w:sz w:val="24"/>
          <w:szCs w:val="24"/>
        </w:rPr>
      </w:pPr>
    </w:p>
    <w:p w14:paraId="221BA074" w14:textId="2AABB8EB" w:rsidR="00770D7B" w:rsidRDefault="00770D7B" w:rsidP="00770D7B">
      <w:pPr>
        <w:tabs>
          <w:tab w:val="center" w:pos="3884"/>
        </w:tabs>
        <w:spacing w:after="286" w:line="360" w:lineRule="auto"/>
        <w:ind w:hanging="10"/>
        <w:jc w:val="center"/>
        <w:rPr>
          <w:rFonts w:ascii="Arial" w:eastAsia="Arial" w:hAnsi="Arial" w:cs="Arial"/>
          <w:color w:val="000000" w:themeColor="text1"/>
          <w:sz w:val="24"/>
          <w:szCs w:val="24"/>
        </w:rPr>
      </w:pPr>
    </w:p>
    <w:p w14:paraId="18E1DC40" w14:textId="2BCB44AA" w:rsidR="00F718CD" w:rsidRDefault="00F718CD" w:rsidP="00770D7B">
      <w:pPr>
        <w:tabs>
          <w:tab w:val="center" w:pos="3884"/>
        </w:tabs>
        <w:spacing w:after="286" w:line="360" w:lineRule="auto"/>
        <w:ind w:hanging="10"/>
        <w:jc w:val="center"/>
        <w:rPr>
          <w:rFonts w:ascii="Arial" w:eastAsia="Arial" w:hAnsi="Arial" w:cs="Arial"/>
          <w:color w:val="000000" w:themeColor="text1"/>
          <w:sz w:val="24"/>
          <w:szCs w:val="24"/>
        </w:rPr>
      </w:pPr>
    </w:p>
    <w:p w14:paraId="3015F730" w14:textId="55B8C693" w:rsidR="00F718CD" w:rsidRDefault="00F718CD" w:rsidP="00770D7B">
      <w:pPr>
        <w:tabs>
          <w:tab w:val="center" w:pos="3884"/>
        </w:tabs>
        <w:spacing w:after="286" w:line="360" w:lineRule="auto"/>
        <w:ind w:hanging="10"/>
        <w:jc w:val="center"/>
        <w:rPr>
          <w:rFonts w:ascii="Arial" w:eastAsia="Arial" w:hAnsi="Arial" w:cs="Arial"/>
          <w:color w:val="000000" w:themeColor="text1"/>
          <w:sz w:val="24"/>
          <w:szCs w:val="24"/>
        </w:rPr>
      </w:pPr>
    </w:p>
    <w:p w14:paraId="2CA6E2F3" w14:textId="195D4D2F" w:rsidR="00F718CD" w:rsidRDefault="00F718CD" w:rsidP="00770D7B">
      <w:pPr>
        <w:tabs>
          <w:tab w:val="center" w:pos="3884"/>
        </w:tabs>
        <w:spacing w:after="286" w:line="360" w:lineRule="auto"/>
        <w:ind w:hanging="10"/>
        <w:jc w:val="center"/>
        <w:rPr>
          <w:rFonts w:ascii="Arial" w:eastAsia="Arial" w:hAnsi="Arial" w:cs="Arial"/>
          <w:color w:val="000000" w:themeColor="text1"/>
          <w:sz w:val="24"/>
          <w:szCs w:val="24"/>
        </w:rPr>
      </w:pPr>
    </w:p>
    <w:p w14:paraId="2B66D3CD" w14:textId="77777777" w:rsidR="00F718CD" w:rsidRDefault="00F718CD" w:rsidP="00770D7B">
      <w:pPr>
        <w:tabs>
          <w:tab w:val="center" w:pos="3884"/>
        </w:tabs>
        <w:spacing w:after="286" w:line="360" w:lineRule="auto"/>
        <w:ind w:hanging="10"/>
        <w:jc w:val="center"/>
        <w:rPr>
          <w:rFonts w:ascii="Arial" w:eastAsia="Arial" w:hAnsi="Arial" w:cs="Arial"/>
          <w:color w:val="000000" w:themeColor="text1"/>
          <w:sz w:val="24"/>
          <w:szCs w:val="24"/>
        </w:rPr>
      </w:pPr>
    </w:p>
    <w:p w14:paraId="7D5EEDC2" w14:textId="5BB78665" w:rsidR="00770D7B" w:rsidRPr="00770D7B" w:rsidRDefault="1887A7A7" w:rsidP="00F718CD">
      <w:pPr>
        <w:tabs>
          <w:tab w:val="center" w:pos="3884"/>
        </w:tabs>
        <w:spacing w:after="286" w:line="360" w:lineRule="auto"/>
        <w:ind w:hanging="10"/>
        <w:jc w:val="center"/>
        <w:rPr>
          <w:rFonts w:ascii="Arial" w:eastAsia="Arial" w:hAnsi="Arial" w:cs="Arial"/>
          <w:color w:val="000000" w:themeColor="text1"/>
          <w:sz w:val="24"/>
          <w:szCs w:val="24"/>
        </w:rPr>
      </w:pPr>
      <w:r w:rsidRPr="00770D7B">
        <w:rPr>
          <w:rFonts w:ascii="Arial" w:eastAsia="Arial" w:hAnsi="Arial" w:cs="Arial"/>
          <w:color w:val="000000" w:themeColor="text1"/>
          <w:sz w:val="24"/>
          <w:szCs w:val="24"/>
        </w:rPr>
        <w:t>Programmes: BA International Hotel Management</w:t>
      </w:r>
    </w:p>
    <w:p w14:paraId="10C496B7" w14:textId="7F182104" w:rsidR="00770D7B" w:rsidRPr="00770D7B" w:rsidRDefault="1887A7A7" w:rsidP="00F718CD">
      <w:pPr>
        <w:tabs>
          <w:tab w:val="center" w:pos="3541"/>
          <w:tab w:val="center" w:pos="7204"/>
          <w:tab w:val="center" w:pos="8664"/>
        </w:tabs>
        <w:spacing w:after="158" w:line="360" w:lineRule="auto"/>
        <w:ind w:hanging="10"/>
        <w:jc w:val="center"/>
        <w:rPr>
          <w:rFonts w:ascii="Arial" w:eastAsia="Arial" w:hAnsi="Arial" w:cs="Arial"/>
          <w:color w:val="000000" w:themeColor="text1"/>
          <w:sz w:val="24"/>
          <w:szCs w:val="24"/>
        </w:rPr>
      </w:pPr>
      <w:r w:rsidRPr="00770D7B">
        <w:rPr>
          <w:rFonts w:ascii="Arial" w:eastAsia="Arial" w:hAnsi="Arial" w:cs="Arial"/>
          <w:color w:val="000000" w:themeColor="text1"/>
          <w:sz w:val="24"/>
          <w:szCs w:val="24"/>
        </w:rPr>
        <w:t>Module: Food &amp; Beverage Operations</w:t>
      </w:r>
    </w:p>
    <w:p w14:paraId="261D1EAB" w14:textId="1EFA3035" w:rsidR="00770D7B" w:rsidRPr="00F718CD" w:rsidRDefault="1887A7A7" w:rsidP="00F718CD">
      <w:pPr>
        <w:spacing w:line="360" w:lineRule="auto"/>
        <w:jc w:val="center"/>
        <w:rPr>
          <w:rFonts w:ascii="Arial" w:eastAsia="Arial" w:hAnsi="Arial" w:cs="Arial"/>
          <w:color w:val="000000" w:themeColor="text1"/>
          <w:sz w:val="24"/>
          <w:szCs w:val="24"/>
        </w:rPr>
      </w:pPr>
      <w:r w:rsidRPr="00770D7B">
        <w:rPr>
          <w:rFonts w:ascii="Arial" w:eastAsia="Arial" w:hAnsi="Arial" w:cs="Arial"/>
          <w:color w:val="000000" w:themeColor="text1"/>
          <w:sz w:val="24"/>
          <w:szCs w:val="24"/>
        </w:rPr>
        <w:t>Module code: BMIH4002</w:t>
      </w:r>
    </w:p>
    <w:p w14:paraId="7786C730" w14:textId="7F72E338" w:rsidR="00770D7B" w:rsidRPr="007C623D" w:rsidRDefault="1887A7A7" w:rsidP="007C623D">
      <w:pPr>
        <w:tabs>
          <w:tab w:val="center" w:pos="2025"/>
          <w:tab w:val="center" w:pos="6974"/>
          <w:tab w:val="center" w:pos="8603"/>
        </w:tabs>
        <w:spacing w:after="282" w:line="360" w:lineRule="auto"/>
        <w:ind w:left="-10"/>
        <w:jc w:val="center"/>
        <w:rPr>
          <w:rFonts w:ascii="Arial" w:eastAsia="Arial" w:hAnsi="Arial" w:cs="Arial"/>
          <w:color w:val="000000" w:themeColor="text1"/>
          <w:sz w:val="24"/>
          <w:szCs w:val="24"/>
        </w:rPr>
      </w:pPr>
      <w:r w:rsidRPr="007C623D">
        <w:rPr>
          <w:rFonts w:ascii="Arial" w:eastAsia="Arial" w:hAnsi="Arial" w:cs="Arial"/>
          <w:color w:val="000000" w:themeColor="text1"/>
          <w:sz w:val="24"/>
          <w:szCs w:val="24"/>
        </w:rPr>
        <w:t>Student Name:</w:t>
      </w:r>
      <w:r w:rsidR="007C623D" w:rsidRPr="007C623D">
        <w:rPr>
          <w:rFonts w:ascii="Arial" w:eastAsia="Arial" w:hAnsi="Arial" w:cs="Arial"/>
          <w:color w:val="000000" w:themeColor="text1"/>
          <w:sz w:val="24"/>
          <w:szCs w:val="24"/>
        </w:rPr>
        <w:t xml:space="preserve"> Luminita  </w:t>
      </w:r>
      <w:proofErr w:type="spellStart"/>
      <w:r w:rsidR="007C623D" w:rsidRPr="007C623D">
        <w:rPr>
          <w:rFonts w:ascii="Arial" w:eastAsia="Arial" w:hAnsi="Arial" w:cs="Arial"/>
          <w:color w:val="000000" w:themeColor="text1"/>
          <w:sz w:val="24"/>
          <w:szCs w:val="24"/>
        </w:rPr>
        <w:t>Malanciuc</w:t>
      </w:r>
      <w:proofErr w:type="spellEnd"/>
      <w:r w:rsidR="007C623D" w:rsidRPr="007C623D">
        <w:rPr>
          <w:rFonts w:ascii="Arial" w:eastAsia="Arial" w:hAnsi="Arial" w:cs="Arial"/>
          <w:color w:val="000000" w:themeColor="text1"/>
          <w:sz w:val="24"/>
          <w:szCs w:val="24"/>
        </w:rPr>
        <w:t xml:space="preserve"> </w:t>
      </w:r>
    </w:p>
    <w:p w14:paraId="7AE1D11C" w14:textId="35ADDFC0" w:rsidR="007E57FA" w:rsidRDefault="1887A7A7" w:rsidP="00F718CD">
      <w:pPr>
        <w:tabs>
          <w:tab w:val="center" w:pos="2025"/>
          <w:tab w:val="center" w:pos="6974"/>
          <w:tab w:val="center" w:pos="8603"/>
        </w:tabs>
        <w:spacing w:after="282" w:line="360" w:lineRule="auto"/>
        <w:ind w:left="-10"/>
        <w:jc w:val="center"/>
        <w:rPr>
          <w:rFonts w:ascii="Arial" w:eastAsia="Arial" w:hAnsi="Arial" w:cs="Arial"/>
          <w:color w:val="000000" w:themeColor="text1"/>
          <w:sz w:val="24"/>
          <w:szCs w:val="24"/>
        </w:rPr>
      </w:pPr>
      <w:r w:rsidRPr="007C623D">
        <w:rPr>
          <w:rFonts w:ascii="Arial" w:eastAsia="Arial" w:hAnsi="Arial" w:cs="Arial"/>
          <w:color w:val="000000" w:themeColor="text1"/>
          <w:sz w:val="24"/>
          <w:szCs w:val="24"/>
        </w:rPr>
        <w:t>Student Number:</w:t>
      </w:r>
      <w:r w:rsidR="007C623D" w:rsidRPr="007C623D">
        <w:rPr>
          <w:rFonts w:ascii="Arial" w:eastAsia="Arial" w:hAnsi="Arial" w:cs="Arial"/>
          <w:color w:val="000000" w:themeColor="text1"/>
          <w:sz w:val="24"/>
          <w:szCs w:val="24"/>
        </w:rPr>
        <w:t>221134</w:t>
      </w:r>
      <w:r w:rsidR="007C623D">
        <w:rPr>
          <w:rFonts w:ascii="Arial" w:eastAsia="Arial" w:hAnsi="Arial" w:cs="Arial"/>
          <w:color w:val="000000" w:themeColor="text1"/>
          <w:sz w:val="24"/>
          <w:szCs w:val="24"/>
        </w:rPr>
        <w:t>0</w:t>
      </w:r>
    </w:p>
    <w:p w14:paraId="090BEB92" w14:textId="6CB217A5" w:rsidR="00F718CD" w:rsidRDefault="007C623D" w:rsidP="007C623D">
      <w:pPr>
        <w:tabs>
          <w:tab w:val="left" w:pos="2712"/>
          <w:tab w:val="left" w:pos="3372"/>
        </w:tabs>
        <w:spacing w:after="282"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ab/>
        <w:t xml:space="preserve">Lecture name :Tristan Hawkins </w:t>
      </w:r>
      <w:r>
        <w:rPr>
          <w:rFonts w:ascii="Arial" w:eastAsia="Arial" w:hAnsi="Arial" w:cs="Arial"/>
          <w:color w:val="000000" w:themeColor="text1"/>
          <w:sz w:val="24"/>
          <w:szCs w:val="24"/>
        </w:rPr>
        <w:tab/>
      </w:r>
    </w:p>
    <w:p w14:paraId="7068F0AA" w14:textId="72278513" w:rsidR="007C623D" w:rsidRDefault="007C623D" w:rsidP="007C623D">
      <w:pPr>
        <w:tabs>
          <w:tab w:val="center" w:pos="2025"/>
          <w:tab w:val="left" w:pos="2772"/>
          <w:tab w:val="center" w:pos="6974"/>
          <w:tab w:val="center" w:pos="8603"/>
        </w:tabs>
        <w:spacing w:after="282" w:line="360" w:lineRule="auto"/>
        <w:ind w:left="-10"/>
        <w:rPr>
          <w:rFonts w:ascii="Arial" w:eastAsia="Arial" w:hAnsi="Arial" w:cs="Arial"/>
          <w:color w:val="000000" w:themeColor="text1"/>
          <w:sz w:val="24"/>
          <w:szCs w:val="24"/>
        </w:rPr>
      </w:pPr>
      <w:r>
        <w:rPr>
          <w:rFonts w:ascii="Arial" w:eastAsia="Arial" w:hAnsi="Arial" w:cs="Arial"/>
          <w:color w:val="000000" w:themeColor="text1"/>
          <w:sz w:val="24"/>
          <w:szCs w:val="24"/>
        </w:rPr>
        <w:tab/>
      </w:r>
      <w:r>
        <w:rPr>
          <w:rFonts w:ascii="Arial" w:eastAsia="Arial" w:hAnsi="Arial" w:cs="Arial"/>
          <w:color w:val="000000" w:themeColor="text1"/>
          <w:sz w:val="24"/>
          <w:szCs w:val="24"/>
        </w:rPr>
        <w:tab/>
        <w:t xml:space="preserve">Word count : 750 </w:t>
      </w:r>
    </w:p>
    <w:p w14:paraId="793D598B" w14:textId="77777777" w:rsidR="007C623D" w:rsidRPr="00770D7B" w:rsidRDefault="007C623D" w:rsidP="00F718CD">
      <w:pPr>
        <w:tabs>
          <w:tab w:val="center" w:pos="2025"/>
          <w:tab w:val="center" w:pos="6974"/>
          <w:tab w:val="center" w:pos="8603"/>
        </w:tabs>
        <w:spacing w:after="282" w:line="360" w:lineRule="auto"/>
        <w:ind w:left="-10"/>
        <w:jc w:val="center"/>
        <w:rPr>
          <w:rFonts w:ascii="Arial" w:eastAsia="Arial" w:hAnsi="Arial" w:cs="Arial"/>
          <w:color w:val="000000" w:themeColor="text1"/>
          <w:sz w:val="24"/>
          <w:szCs w:val="24"/>
        </w:rPr>
      </w:pPr>
    </w:p>
    <w:p w14:paraId="1262FAD0" w14:textId="57E2B45C" w:rsidR="007E57FA" w:rsidRPr="00F718CD" w:rsidRDefault="007E57FA" w:rsidP="00770D7B">
      <w:pPr>
        <w:spacing w:line="360" w:lineRule="auto"/>
        <w:jc w:val="both"/>
        <w:rPr>
          <w:rFonts w:ascii="Arial" w:hAnsi="Arial" w:cs="Arial"/>
          <w:color w:val="000000" w:themeColor="text1"/>
          <w:sz w:val="24"/>
          <w:szCs w:val="24"/>
        </w:rPr>
      </w:pPr>
    </w:p>
    <w:p w14:paraId="16070DED" w14:textId="77777777" w:rsidR="00F718CD" w:rsidRDefault="00F718CD">
      <w:pPr>
        <w:rPr>
          <w:rFonts w:ascii="Arial" w:eastAsia="Times New Roman" w:hAnsi="Arial" w:cs="Arial"/>
          <w:b/>
          <w:bCs/>
          <w:color w:val="000000" w:themeColor="text1"/>
          <w:sz w:val="28"/>
          <w:szCs w:val="28"/>
        </w:rPr>
      </w:pPr>
      <w:r>
        <w:rPr>
          <w:rFonts w:ascii="Arial" w:eastAsia="Times New Roman" w:hAnsi="Arial" w:cs="Arial"/>
          <w:b/>
          <w:bCs/>
          <w:color w:val="000000" w:themeColor="text1"/>
          <w:sz w:val="28"/>
          <w:szCs w:val="28"/>
        </w:rPr>
        <w:br w:type="page"/>
      </w:r>
    </w:p>
    <w:p w14:paraId="5B8A3F09" w14:textId="2F2E15CC" w:rsidR="007E57FA" w:rsidRPr="00770D7B" w:rsidRDefault="1887A7A7" w:rsidP="00770D7B">
      <w:pPr>
        <w:pStyle w:val="Heading1"/>
        <w:rPr>
          <w:rFonts w:ascii="Arial" w:eastAsia="Times New Roman" w:hAnsi="Arial" w:cs="Arial"/>
          <w:b/>
          <w:bCs/>
          <w:color w:val="000000" w:themeColor="text1"/>
          <w:sz w:val="28"/>
          <w:szCs w:val="28"/>
        </w:rPr>
      </w:pPr>
      <w:r w:rsidRPr="00770D7B">
        <w:rPr>
          <w:rFonts w:ascii="Arial" w:eastAsia="Times New Roman" w:hAnsi="Arial" w:cs="Arial"/>
          <w:b/>
          <w:bCs/>
          <w:color w:val="000000" w:themeColor="text1"/>
          <w:sz w:val="28"/>
          <w:szCs w:val="28"/>
        </w:rPr>
        <w:lastRenderedPageBreak/>
        <w:t xml:space="preserve">Does the required skill set of a Food &amp; Beverage employee change, based on the type of business and the type of service that the food and beverage operation </w:t>
      </w:r>
      <w:r w:rsidR="00770D7B" w:rsidRPr="00770D7B">
        <w:rPr>
          <w:rFonts w:ascii="Arial" w:eastAsia="Times New Roman" w:hAnsi="Arial" w:cs="Arial"/>
          <w:b/>
          <w:bCs/>
          <w:color w:val="000000" w:themeColor="text1"/>
          <w:sz w:val="28"/>
          <w:szCs w:val="28"/>
        </w:rPr>
        <w:t>utilise</w:t>
      </w:r>
      <w:r w:rsidRPr="00770D7B">
        <w:rPr>
          <w:rFonts w:ascii="Arial" w:eastAsia="Times New Roman" w:hAnsi="Arial" w:cs="Arial"/>
          <w:b/>
          <w:bCs/>
          <w:color w:val="000000" w:themeColor="text1"/>
          <w:sz w:val="28"/>
          <w:szCs w:val="28"/>
        </w:rPr>
        <w:t xml:space="preserve">?   </w:t>
      </w:r>
    </w:p>
    <w:p w14:paraId="22D0308A" w14:textId="1D251FC6" w:rsidR="007E57FA" w:rsidRPr="00770D7B" w:rsidRDefault="1887A7A7" w:rsidP="00770D7B">
      <w:pPr>
        <w:spacing w:line="360" w:lineRule="auto"/>
        <w:jc w:val="both"/>
        <w:rPr>
          <w:rFonts w:ascii="Arial" w:eastAsia="Times New Roman" w:hAnsi="Arial" w:cs="Arial"/>
          <w:color w:val="000000" w:themeColor="text1"/>
          <w:sz w:val="24"/>
          <w:szCs w:val="24"/>
        </w:rPr>
      </w:pPr>
      <w:r w:rsidRPr="00770D7B">
        <w:rPr>
          <w:rFonts w:ascii="Arial" w:eastAsia="Times New Roman" w:hAnsi="Arial" w:cs="Arial"/>
          <w:color w:val="000000" w:themeColor="text1"/>
          <w:sz w:val="24"/>
          <w:szCs w:val="24"/>
        </w:rPr>
        <w:t>Food and beverage operations include the control and coordination of all tasks involved with the preparation, storage, and serving of food and drinks inside a facility (Cousins, 2020). Each food service facility, including restaurants, resorts, and catering businesses, depends on the efficiency of its food and beverage operations (</w:t>
      </w:r>
      <w:r w:rsidRPr="00770D7B">
        <w:rPr>
          <w:rFonts w:ascii="Arial" w:eastAsia="Arial" w:hAnsi="Arial" w:cs="Arial"/>
          <w:color w:val="000000" w:themeColor="text1"/>
          <w:sz w:val="24"/>
          <w:szCs w:val="24"/>
        </w:rPr>
        <w:t xml:space="preserve">Davis, B </w:t>
      </w:r>
      <w:r w:rsidRPr="00770D7B">
        <w:rPr>
          <w:rFonts w:ascii="Arial" w:eastAsia="Arial" w:hAnsi="Arial" w:cs="Arial"/>
          <w:i/>
          <w:iCs/>
          <w:color w:val="000000" w:themeColor="text1"/>
          <w:sz w:val="24"/>
          <w:szCs w:val="24"/>
        </w:rPr>
        <w:t>et al</w:t>
      </w:r>
      <w:r w:rsidRPr="00770D7B">
        <w:rPr>
          <w:rFonts w:ascii="Arial" w:eastAsia="Arial" w:hAnsi="Arial" w:cs="Arial"/>
          <w:color w:val="000000" w:themeColor="text1"/>
          <w:sz w:val="24"/>
          <w:szCs w:val="24"/>
        </w:rPr>
        <w:t>., 2018)</w:t>
      </w:r>
      <w:r w:rsidRPr="00770D7B">
        <w:rPr>
          <w:rFonts w:ascii="Arial" w:eastAsia="Times New Roman" w:hAnsi="Arial" w:cs="Arial"/>
          <w:color w:val="000000" w:themeColor="text1"/>
          <w:sz w:val="24"/>
          <w:szCs w:val="24"/>
        </w:rPr>
        <w:t>. This task summarises what was covered in class as well as prior knowledge, such as time spent working in the food and beverage industry. Additionally, this task will evaluate a range of food and beverage enterprises in terms of the sorts and styles of service provided, as well as how the hard and soft skill sets needed by the workforce vary depending on the degree of service provided. It will also cover personal reflections.</w:t>
      </w:r>
    </w:p>
    <w:p w14:paraId="477705D1" w14:textId="400F07E6" w:rsidR="007E57FA" w:rsidRPr="00770D7B" w:rsidRDefault="1887A7A7" w:rsidP="00770D7B">
      <w:pPr>
        <w:spacing w:line="360" w:lineRule="auto"/>
        <w:jc w:val="both"/>
        <w:rPr>
          <w:rFonts w:ascii="Arial" w:eastAsia="Times New Roman" w:hAnsi="Arial" w:cs="Arial"/>
          <w:color w:val="000000" w:themeColor="text1"/>
          <w:sz w:val="24"/>
          <w:szCs w:val="24"/>
        </w:rPr>
      </w:pPr>
      <w:r w:rsidRPr="00770D7B">
        <w:rPr>
          <w:rFonts w:ascii="Arial" w:eastAsia="Times New Roman" w:hAnsi="Arial" w:cs="Arial"/>
          <w:color w:val="000000" w:themeColor="text1"/>
          <w:sz w:val="24"/>
          <w:szCs w:val="24"/>
        </w:rPr>
        <w:t>This task covered the common cooking terms that hotel and restaurants staff encounter while following the recipes including the cooking terms (</w:t>
      </w:r>
      <w:proofErr w:type="spellStart"/>
      <w:r w:rsidRPr="00770D7B">
        <w:rPr>
          <w:rFonts w:ascii="Arial" w:eastAsia="Arial" w:hAnsi="Arial" w:cs="Arial"/>
          <w:color w:val="000000" w:themeColor="text1"/>
          <w:sz w:val="24"/>
          <w:szCs w:val="24"/>
        </w:rPr>
        <w:t>Boussard</w:t>
      </w:r>
      <w:proofErr w:type="spellEnd"/>
      <w:r w:rsidRPr="00770D7B">
        <w:rPr>
          <w:rFonts w:ascii="Arial" w:eastAsia="Arial" w:hAnsi="Arial" w:cs="Arial"/>
          <w:color w:val="000000" w:themeColor="text1"/>
          <w:sz w:val="24"/>
          <w:szCs w:val="24"/>
        </w:rPr>
        <w:t>, 2021)</w:t>
      </w:r>
      <w:r w:rsidRPr="00770D7B">
        <w:rPr>
          <w:rFonts w:ascii="Arial" w:eastAsia="Times New Roman" w:hAnsi="Arial" w:cs="Arial"/>
          <w:color w:val="000000" w:themeColor="text1"/>
          <w:sz w:val="24"/>
          <w:szCs w:val="24"/>
        </w:rPr>
        <w:t>. Because they promote precision and uniformity in the preparation and presentation of dishes, cooking terms are crucial in a hotel setting. This can result in foods that turn out better according to Brown et al. (2013). The important aspect learned include washing hands. It is important to note that washings hands should be done before making meals, eating them, and attending to cuts or wounds. Additionally, it should be performed after using the washroom, blowing the nose, sneezing, or coughing, touching dirty dishes or linen, preparing food, and after treating cuts or wounds (Walker, 2017).</w:t>
      </w:r>
    </w:p>
    <w:p w14:paraId="2A2E45C7" w14:textId="632AC96F" w:rsidR="007E57FA" w:rsidRPr="00770D7B" w:rsidRDefault="1887A7A7" w:rsidP="00770D7B">
      <w:pPr>
        <w:spacing w:line="360" w:lineRule="auto"/>
        <w:jc w:val="both"/>
        <w:rPr>
          <w:rFonts w:ascii="Arial" w:eastAsia="Times New Roman" w:hAnsi="Arial" w:cs="Arial"/>
          <w:color w:val="000000" w:themeColor="text1"/>
          <w:sz w:val="24"/>
          <w:szCs w:val="24"/>
        </w:rPr>
      </w:pPr>
      <w:r w:rsidRPr="00770D7B">
        <w:rPr>
          <w:rFonts w:ascii="Arial" w:eastAsia="Times New Roman" w:hAnsi="Arial" w:cs="Arial"/>
          <w:color w:val="000000" w:themeColor="text1"/>
          <w:sz w:val="24"/>
          <w:szCs w:val="24"/>
        </w:rPr>
        <w:t>Additionally, it was also observed that personal hygiene practices of food-handlers are key to maintaining a healthy workplace. A hair constraint should be worn by employees, and uniforms and aprons should be clean when a shift begins (</w:t>
      </w:r>
      <w:proofErr w:type="spellStart"/>
      <w:r w:rsidRPr="00770D7B">
        <w:rPr>
          <w:rFonts w:ascii="Arial" w:eastAsia="Times New Roman" w:hAnsi="Arial" w:cs="Arial"/>
          <w:color w:val="000000" w:themeColor="text1"/>
          <w:sz w:val="24"/>
          <w:szCs w:val="24"/>
        </w:rPr>
        <w:t>Foskett</w:t>
      </w:r>
      <w:proofErr w:type="spellEnd"/>
      <w:r w:rsidRPr="00770D7B">
        <w:rPr>
          <w:rFonts w:ascii="Arial" w:eastAsia="Times New Roman" w:hAnsi="Arial" w:cs="Arial"/>
          <w:color w:val="000000" w:themeColor="text1"/>
          <w:sz w:val="24"/>
          <w:szCs w:val="24"/>
        </w:rPr>
        <w:t xml:space="preserve"> et al., 2021).  Hotel employees should not wear jewellery when handling or preparing food, smoke in the vicinity of the meal, or cough or sneeze directly over it (</w:t>
      </w:r>
      <w:proofErr w:type="spellStart"/>
      <w:r w:rsidRPr="00770D7B">
        <w:rPr>
          <w:rFonts w:ascii="Arial" w:eastAsia="Times New Roman" w:hAnsi="Arial" w:cs="Arial"/>
          <w:color w:val="000000" w:themeColor="text1"/>
          <w:sz w:val="24"/>
          <w:szCs w:val="24"/>
        </w:rPr>
        <w:t>Zutshi</w:t>
      </w:r>
      <w:proofErr w:type="spellEnd"/>
      <w:r w:rsidRPr="00770D7B">
        <w:rPr>
          <w:rFonts w:ascii="Arial" w:eastAsia="Times New Roman" w:hAnsi="Arial" w:cs="Arial"/>
          <w:color w:val="000000" w:themeColor="text1"/>
          <w:sz w:val="24"/>
          <w:szCs w:val="24"/>
        </w:rPr>
        <w:t>, 2019). If there is a hand wound, they should change the wound strip and disposable gloves frequently. Those who handle food should be healthy, free of ailments like the flu or gastro, while ill, they should stop working and notify their manager (Wood, 2013).</w:t>
      </w:r>
    </w:p>
    <w:p w14:paraId="6FF5E1C8" w14:textId="07FF31B8" w:rsidR="007E57FA" w:rsidRPr="00770D7B" w:rsidRDefault="1887A7A7" w:rsidP="00770D7B">
      <w:pPr>
        <w:spacing w:line="360" w:lineRule="auto"/>
        <w:jc w:val="both"/>
        <w:rPr>
          <w:rFonts w:ascii="Arial" w:eastAsia="Times New Roman" w:hAnsi="Arial" w:cs="Arial"/>
          <w:color w:val="000000" w:themeColor="text1"/>
          <w:sz w:val="24"/>
          <w:szCs w:val="24"/>
        </w:rPr>
      </w:pPr>
      <w:r w:rsidRPr="00770D7B">
        <w:rPr>
          <w:rFonts w:ascii="Arial" w:eastAsia="Times New Roman" w:hAnsi="Arial" w:cs="Arial"/>
          <w:color w:val="000000" w:themeColor="text1"/>
          <w:sz w:val="24"/>
          <w:szCs w:val="24"/>
        </w:rPr>
        <w:lastRenderedPageBreak/>
        <w:t>The module also covered various concepts used in the hotel and hospitality sector. In food and beverage operations, I gained knowledge of the food service industry, recruitment, consumer needs, marketing and roles and responsibilities. I gained knowledge of the licensing act, the types of service, the steps of service, the staff responsibilities, including the responsible service of alcohol, the unique dining experiences, and crisis management while studying restaurant management. I intend to put what I have learned from working in the food and beverage industry in a variety of ways in the future. First, I want to apply the information I have learnt regarding menu planning and design to make menus for any restaurant I work for or run that are more enticing and successful. Second, I want to use what I have learned about cost control and inventory management to manage a food service operation's finance well. Finally, I want to make sure that every customer has a great and enjoyable experience by utilising my understanding of hospitality and customer service. This entails being aware of the wants and desires of the consumer as well as using efficient communication to guarantee their pleasure.</w:t>
      </w:r>
    </w:p>
    <w:p w14:paraId="08B260FD" w14:textId="73449F8E" w:rsidR="007E57FA" w:rsidRPr="00770D7B" w:rsidRDefault="1887A7A7" w:rsidP="00770D7B">
      <w:pPr>
        <w:spacing w:line="360" w:lineRule="auto"/>
        <w:jc w:val="both"/>
        <w:rPr>
          <w:rFonts w:ascii="Arial" w:eastAsia="Times New Roman" w:hAnsi="Arial" w:cs="Arial"/>
          <w:color w:val="000000" w:themeColor="text1"/>
          <w:sz w:val="24"/>
          <w:szCs w:val="24"/>
        </w:rPr>
      </w:pPr>
      <w:r w:rsidRPr="00770D7B">
        <w:rPr>
          <w:rFonts w:ascii="Arial" w:eastAsia="Times New Roman" w:hAnsi="Arial" w:cs="Arial"/>
          <w:color w:val="000000" w:themeColor="text1"/>
          <w:sz w:val="24"/>
          <w:szCs w:val="24"/>
        </w:rPr>
        <w:t>I have had a pleasant and challenging experience working in the food and beverage industry. Customer service, time management, and teamwork are all skills that I have greatly improved. A broad array of foods and beverages from many cultures have also been available for me to enjoy and learn about. Though occasionally physically taxing and unpleasant, it may also enjoyable. Overall, my experience in the food and beverage sector has provided me with excellent knowledge and abilities that I may use in my future profession.</w:t>
      </w:r>
    </w:p>
    <w:p w14:paraId="0605D286" w14:textId="1E31394A" w:rsidR="007E57FA" w:rsidRPr="00770D7B" w:rsidRDefault="1887A7A7" w:rsidP="00770D7B">
      <w:pPr>
        <w:spacing w:line="360" w:lineRule="auto"/>
        <w:jc w:val="both"/>
        <w:rPr>
          <w:rFonts w:ascii="Arial" w:eastAsia="Times New Roman" w:hAnsi="Arial" w:cs="Arial"/>
          <w:color w:val="000000" w:themeColor="text1"/>
          <w:sz w:val="24"/>
          <w:szCs w:val="24"/>
        </w:rPr>
      </w:pPr>
      <w:r w:rsidRPr="00770D7B">
        <w:rPr>
          <w:rFonts w:ascii="Arial" w:eastAsia="Times New Roman" w:hAnsi="Arial" w:cs="Arial"/>
          <w:color w:val="000000" w:themeColor="text1"/>
          <w:sz w:val="24"/>
          <w:szCs w:val="24"/>
        </w:rPr>
        <w:t xml:space="preserve">In conclusion, the food &amp; beverage operations module has given useful information and abilities for managing and operating a profitable food and beverage business. Important subjects like menu planning, culinary terminologies, inventory control, hand washing for food handlers, personal hygiene routines for food handlers, and customer service have all been covered. Food and beverage operations work is tough but rewarding because it calls for strong attention to detail, superior customer service abilities, and familiarity with industry norms and trends. It provides a chance to discover new food and beverage items </w:t>
      </w:r>
      <w:r w:rsidRPr="00770D7B">
        <w:rPr>
          <w:rFonts w:ascii="Arial" w:eastAsia="Times New Roman" w:hAnsi="Arial" w:cs="Arial"/>
          <w:color w:val="000000" w:themeColor="text1"/>
          <w:sz w:val="24"/>
          <w:szCs w:val="24"/>
        </w:rPr>
        <w:lastRenderedPageBreak/>
        <w:t>and the best ways to cook them. The field is dynamic and constantly changing, necessitating continuous learning and adaptability.</w:t>
      </w:r>
    </w:p>
    <w:p w14:paraId="27E8E691" w14:textId="16EB0CC6" w:rsidR="007E57FA" w:rsidRPr="00770D7B" w:rsidRDefault="00000000" w:rsidP="00770D7B">
      <w:pPr>
        <w:spacing w:line="360" w:lineRule="auto"/>
        <w:jc w:val="both"/>
        <w:rPr>
          <w:rFonts w:ascii="Arial" w:hAnsi="Arial" w:cs="Arial"/>
          <w:color w:val="000000" w:themeColor="text1"/>
          <w:sz w:val="24"/>
          <w:szCs w:val="24"/>
        </w:rPr>
      </w:pPr>
      <w:r w:rsidRPr="00770D7B">
        <w:rPr>
          <w:rFonts w:ascii="Arial" w:hAnsi="Arial" w:cs="Arial"/>
          <w:color w:val="000000" w:themeColor="text1"/>
          <w:sz w:val="24"/>
          <w:szCs w:val="24"/>
        </w:rPr>
        <w:br w:type="page"/>
      </w:r>
    </w:p>
    <w:p w14:paraId="407C9DCE" w14:textId="74090D92" w:rsidR="007E57FA" w:rsidRPr="00770D7B" w:rsidRDefault="1887A7A7" w:rsidP="00770D7B">
      <w:pPr>
        <w:pStyle w:val="Heading1"/>
        <w:rPr>
          <w:rFonts w:ascii="Arial" w:hAnsi="Arial" w:cs="Arial"/>
          <w:b/>
          <w:bCs/>
          <w:color w:val="000000" w:themeColor="text1"/>
          <w:sz w:val="28"/>
          <w:szCs w:val="28"/>
        </w:rPr>
      </w:pPr>
      <w:r w:rsidRPr="00770D7B">
        <w:rPr>
          <w:rFonts w:ascii="Arial" w:eastAsia="Times New Roman" w:hAnsi="Arial" w:cs="Arial"/>
          <w:b/>
          <w:bCs/>
          <w:color w:val="000000" w:themeColor="text1"/>
          <w:sz w:val="28"/>
          <w:szCs w:val="28"/>
        </w:rPr>
        <w:lastRenderedPageBreak/>
        <w:t>References</w:t>
      </w:r>
    </w:p>
    <w:p w14:paraId="27D17535" w14:textId="77777777" w:rsidR="00770D7B" w:rsidRPr="00770D7B" w:rsidRDefault="00770D7B" w:rsidP="00770D7B">
      <w:pPr>
        <w:spacing w:line="360" w:lineRule="auto"/>
        <w:ind w:hanging="720"/>
        <w:jc w:val="both"/>
        <w:rPr>
          <w:rFonts w:ascii="Arial" w:eastAsia="Arial" w:hAnsi="Arial" w:cs="Arial"/>
          <w:color w:val="000000" w:themeColor="text1"/>
          <w:sz w:val="24"/>
          <w:szCs w:val="24"/>
          <w:lang w:val="en-US"/>
        </w:rPr>
      </w:pPr>
      <w:proofErr w:type="spellStart"/>
      <w:r w:rsidRPr="00770D7B">
        <w:rPr>
          <w:rFonts w:ascii="Arial" w:eastAsia="Arial" w:hAnsi="Arial" w:cs="Arial"/>
          <w:color w:val="000000" w:themeColor="text1"/>
          <w:sz w:val="24"/>
          <w:szCs w:val="24"/>
        </w:rPr>
        <w:t>Boussard</w:t>
      </w:r>
      <w:proofErr w:type="spellEnd"/>
      <w:r w:rsidRPr="00770D7B">
        <w:rPr>
          <w:rFonts w:ascii="Arial" w:eastAsia="Arial" w:hAnsi="Arial" w:cs="Arial"/>
          <w:color w:val="000000" w:themeColor="text1"/>
          <w:sz w:val="24"/>
          <w:szCs w:val="24"/>
        </w:rPr>
        <w:t xml:space="preserve">, S (2021) Food and Beverage Management in the Luxury Hotel Industry. New York: Business Expert Press </w:t>
      </w:r>
    </w:p>
    <w:p w14:paraId="298A455A" w14:textId="77777777" w:rsidR="00770D7B" w:rsidRPr="00770D7B" w:rsidRDefault="00770D7B" w:rsidP="00770D7B">
      <w:pPr>
        <w:spacing w:line="360" w:lineRule="auto"/>
        <w:ind w:hanging="720"/>
        <w:jc w:val="both"/>
        <w:rPr>
          <w:rFonts w:ascii="Arial" w:eastAsia="Times New Roman" w:hAnsi="Arial" w:cs="Arial"/>
          <w:color w:val="000000" w:themeColor="text1"/>
          <w:sz w:val="24"/>
          <w:szCs w:val="24"/>
          <w:lang w:val="en-US"/>
        </w:rPr>
      </w:pPr>
      <w:r w:rsidRPr="00770D7B">
        <w:rPr>
          <w:rFonts w:ascii="Arial" w:eastAsia="Times New Roman" w:hAnsi="Arial" w:cs="Arial"/>
          <w:color w:val="000000" w:themeColor="text1"/>
          <w:sz w:val="24"/>
          <w:szCs w:val="24"/>
        </w:rPr>
        <w:t xml:space="preserve">Brown, D. R., </w:t>
      </w:r>
      <w:proofErr w:type="spellStart"/>
      <w:r w:rsidRPr="00770D7B">
        <w:rPr>
          <w:rFonts w:ascii="Arial" w:eastAsia="Times New Roman" w:hAnsi="Arial" w:cs="Arial"/>
          <w:color w:val="000000" w:themeColor="text1"/>
          <w:sz w:val="24"/>
          <w:szCs w:val="24"/>
        </w:rPr>
        <w:t>TotalBoox</w:t>
      </w:r>
      <w:proofErr w:type="spellEnd"/>
      <w:r w:rsidRPr="00770D7B">
        <w:rPr>
          <w:rFonts w:ascii="Arial" w:eastAsia="Times New Roman" w:hAnsi="Arial" w:cs="Arial"/>
          <w:color w:val="000000" w:themeColor="text1"/>
          <w:sz w:val="24"/>
          <w:szCs w:val="24"/>
        </w:rPr>
        <w:t xml:space="preserve"> and TBX (2013) </w:t>
      </w:r>
      <w:r w:rsidRPr="00770D7B">
        <w:rPr>
          <w:rFonts w:ascii="Arial" w:eastAsia="Times New Roman" w:hAnsi="Arial" w:cs="Arial"/>
          <w:i/>
          <w:iCs/>
          <w:color w:val="000000" w:themeColor="text1"/>
          <w:sz w:val="24"/>
          <w:szCs w:val="24"/>
        </w:rPr>
        <w:t>The Restaurant Manager’s Handbook : How to Set Up, Operate, and Manage a Financially Successful Food Service Operation</w:t>
      </w:r>
      <w:r w:rsidRPr="00770D7B">
        <w:rPr>
          <w:rFonts w:ascii="Arial" w:eastAsia="Times New Roman" w:hAnsi="Arial" w:cs="Arial"/>
          <w:color w:val="000000" w:themeColor="text1"/>
          <w:sz w:val="24"/>
          <w:szCs w:val="24"/>
        </w:rPr>
        <w:t>. 4th Edition. Atlantic Publishing Group</w:t>
      </w:r>
    </w:p>
    <w:p w14:paraId="38935208" w14:textId="77777777" w:rsidR="00770D7B" w:rsidRPr="00770D7B" w:rsidRDefault="00770D7B" w:rsidP="00770D7B">
      <w:pPr>
        <w:spacing w:line="360" w:lineRule="auto"/>
        <w:ind w:hanging="720"/>
        <w:jc w:val="both"/>
        <w:rPr>
          <w:rFonts w:ascii="Arial" w:eastAsia="Arial" w:hAnsi="Arial" w:cs="Arial"/>
          <w:color w:val="000000" w:themeColor="text1"/>
          <w:sz w:val="24"/>
          <w:szCs w:val="24"/>
          <w:lang w:val="en-US"/>
        </w:rPr>
      </w:pPr>
      <w:r w:rsidRPr="00770D7B">
        <w:rPr>
          <w:rFonts w:ascii="Arial" w:eastAsia="Arial" w:hAnsi="Arial" w:cs="Arial"/>
          <w:color w:val="000000" w:themeColor="text1"/>
          <w:sz w:val="24"/>
          <w:szCs w:val="24"/>
        </w:rPr>
        <w:t xml:space="preserve">Cousins, J. (2020) </w:t>
      </w:r>
      <w:r w:rsidRPr="00770D7B">
        <w:rPr>
          <w:rFonts w:ascii="Arial" w:eastAsia="Arial" w:hAnsi="Arial" w:cs="Arial"/>
          <w:i/>
          <w:iCs/>
          <w:color w:val="000000" w:themeColor="text1"/>
          <w:sz w:val="24"/>
          <w:szCs w:val="24"/>
        </w:rPr>
        <w:t>Food and beverage service</w:t>
      </w:r>
      <w:r w:rsidRPr="00770D7B">
        <w:rPr>
          <w:rFonts w:ascii="Arial" w:eastAsia="Arial" w:hAnsi="Arial" w:cs="Arial"/>
          <w:color w:val="000000" w:themeColor="text1"/>
          <w:sz w:val="24"/>
          <w:szCs w:val="24"/>
        </w:rPr>
        <w:t>. 9</w:t>
      </w:r>
      <w:r w:rsidRPr="00770D7B">
        <w:rPr>
          <w:rFonts w:ascii="Arial" w:eastAsia="Arial" w:hAnsi="Arial" w:cs="Arial"/>
          <w:color w:val="000000" w:themeColor="text1"/>
          <w:sz w:val="24"/>
          <w:szCs w:val="24"/>
          <w:vertAlign w:val="superscript"/>
        </w:rPr>
        <w:t>th</w:t>
      </w:r>
      <w:r w:rsidRPr="00770D7B">
        <w:rPr>
          <w:rFonts w:ascii="Arial" w:eastAsia="Arial" w:hAnsi="Arial" w:cs="Arial"/>
          <w:color w:val="000000" w:themeColor="text1"/>
          <w:sz w:val="24"/>
          <w:szCs w:val="24"/>
        </w:rPr>
        <w:t xml:space="preserve"> ed. London: Hodder Education Group</w:t>
      </w:r>
    </w:p>
    <w:p w14:paraId="06BEC990" w14:textId="77777777" w:rsidR="00770D7B" w:rsidRPr="00770D7B" w:rsidRDefault="00770D7B" w:rsidP="00770D7B">
      <w:pPr>
        <w:spacing w:line="360" w:lineRule="auto"/>
        <w:ind w:hanging="720"/>
        <w:jc w:val="both"/>
        <w:rPr>
          <w:rFonts w:ascii="Arial" w:eastAsia="Arial" w:hAnsi="Arial" w:cs="Arial"/>
          <w:color w:val="000000" w:themeColor="text1"/>
          <w:sz w:val="24"/>
          <w:szCs w:val="24"/>
          <w:lang w:val="en-US"/>
        </w:rPr>
      </w:pPr>
      <w:r w:rsidRPr="00770D7B">
        <w:rPr>
          <w:rFonts w:ascii="Arial" w:eastAsia="Arial" w:hAnsi="Arial" w:cs="Arial"/>
          <w:color w:val="000000" w:themeColor="text1"/>
          <w:sz w:val="24"/>
          <w:szCs w:val="24"/>
        </w:rPr>
        <w:t xml:space="preserve">Davis, B </w:t>
      </w:r>
      <w:r w:rsidRPr="00770D7B">
        <w:rPr>
          <w:rFonts w:ascii="Arial" w:eastAsia="Arial" w:hAnsi="Arial" w:cs="Arial"/>
          <w:i/>
          <w:iCs/>
          <w:color w:val="000000" w:themeColor="text1"/>
          <w:sz w:val="24"/>
          <w:szCs w:val="24"/>
        </w:rPr>
        <w:t>et al</w:t>
      </w:r>
      <w:r w:rsidRPr="00770D7B">
        <w:rPr>
          <w:rFonts w:ascii="Arial" w:eastAsia="Arial" w:hAnsi="Arial" w:cs="Arial"/>
          <w:color w:val="000000" w:themeColor="text1"/>
          <w:sz w:val="24"/>
          <w:szCs w:val="24"/>
        </w:rPr>
        <w:t xml:space="preserve">. (2018) Food and Beverage Management. 6 </w:t>
      </w:r>
      <w:proofErr w:type="spellStart"/>
      <w:r w:rsidRPr="00770D7B">
        <w:rPr>
          <w:rFonts w:ascii="Arial" w:eastAsia="Arial" w:hAnsi="Arial" w:cs="Arial"/>
          <w:color w:val="000000" w:themeColor="text1"/>
          <w:sz w:val="24"/>
          <w:szCs w:val="24"/>
        </w:rPr>
        <w:t>edn</w:t>
      </w:r>
      <w:proofErr w:type="spellEnd"/>
      <w:r w:rsidRPr="00770D7B">
        <w:rPr>
          <w:rFonts w:ascii="Arial" w:eastAsia="Arial" w:hAnsi="Arial" w:cs="Arial"/>
          <w:color w:val="000000" w:themeColor="text1"/>
          <w:sz w:val="24"/>
          <w:szCs w:val="24"/>
        </w:rPr>
        <w:t xml:space="preserve"> London: Routledge.</w:t>
      </w:r>
    </w:p>
    <w:p w14:paraId="604745D1" w14:textId="77777777" w:rsidR="00770D7B" w:rsidRPr="00770D7B" w:rsidRDefault="00770D7B" w:rsidP="00770D7B">
      <w:pPr>
        <w:spacing w:line="360" w:lineRule="auto"/>
        <w:ind w:hanging="720"/>
        <w:jc w:val="both"/>
        <w:rPr>
          <w:rFonts w:ascii="Arial" w:eastAsia="Arial" w:hAnsi="Arial" w:cs="Arial"/>
          <w:color w:val="000000" w:themeColor="text1"/>
          <w:sz w:val="24"/>
          <w:szCs w:val="24"/>
          <w:lang w:val="en-US"/>
        </w:rPr>
      </w:pPr>
      <w:proofErr w:type="spellStart"/>
      <w:r w:rsidRPr="00770D7B">
        <w:rPr>
          <w:rFonts w:ascii="Arial" w:eastAsia="Arial" w:hAnsi="Arial" w:cs="Arial"/>
          <w:color w:val="000000" w:themeColor="text1"/>
          <w:sz w:val="24"/>
          <w:szCs w:val="24"/>
        </w:rPr>
        <w:t>Foskett</w:t>
      </w:r>
      <w:proofErr w:type="spellEnd"/>
      <w:r w:rsidRPr="00770D7B">
        <w:rPr>
          <w:rFonts w:ascii="Arial" w:eastAsia="Arial" w:hAnsi="Arial" w:cs="Arial"/>
          <w:color w:val="000000" w:themeColor="text1"/>
          <w:sz w:val="24"/>
          <w:szCs w:val="24"/>
        </w:rPr>
        <w:t>, D. et al. (2021) The Theory of Hospitality and Catering. 14th Edition. London: Hodder Education Group.</w:t>
      </w:r>
    </w:p>
    <w:p w14:paraId="294E5F15" w14:textId="77777777" w:rsidR="00770D7B" w:rsidRPr="00770D7B" w:rsidRDefault="00770D7B" w:rsidP="00770D7B">
      <w:pPr>
        <w:spacing w:after="208" w:line="360" w:lineRule="auto"/>
        <w:ind w:left="-5" w:right="448" w:hanging="720"/>
        <w:jc w:val="both"/>
        <w:rPr>
          <w:rFonts w:ascii="Arial" w:eastAsia="Arial" w:hAnsi="Arial" w:cs="Arial"/>
          <w:color w:val="000000" w:themeColor="text1"/>
          <w:sz w:val="24"/>
          <w:szCs w:val="24"/>
          <w:lang w:val="en-US"/>
        </w:rPr>
      </w:pPr>
      <w:r w:rsidRPr="00770D7B">
        <w:rPr>
          <w:rFonts w:ascii="Arial" w:eastAsia="Arial" w:hAnsi="Arial" w:cs="Arial"/>
          <w:color w:val="000000" w:themeColor="text1"/>
          <w:sz w:val="24"/>
          <w:szCs w:val="24"/>
        </w:rPr>
        <w:t xml:space="preserve">Walker, J (2017) </w:t>
      </w:r>
      <w:r w:rsidRPr="00770D7B">
        <w:rPr>
          <w:rFonts w:ascii="Arial" w:eastAsia="Arial" w:hAnsi="Arial" w:cs="Arial"/>
          <w:i/>
          <w:iCs/>
          <w:color w:val="000000" w:themeColor="text1"/>
          <w:sz w:val="24"/>
          <w:szCs w:val="24"/>
        </w:rPr>
        <w:t>Introduction to Hospitality</w:t>
      </w:r>
      <w:r w:rsidRPr="00770D7B">
        <w:rPr>
          <w:rFonts w:ascii="Arial" w:eastAsia="Arial" w:hAnsi="Arial" w:cs="Arial"/>
          <w:color w:val="000000" w:themeColor="text1"/>
          <w:sz w:val="24"/>
          <w:szCs w:val="24"/>
        </w:rPr>
        <w:t>. Harlow: Pearson Education Limited.</w:t>
      </w:r>
    </w:p>
    <w:p w14:paraId="3EA281A5" w14:textId="77777777" w:rsidR="00770D7B" w:rsidRPr="00770D7B" w:rsidRDefault="00770D7B" w:rsidP="00770D7B">
      <w:pPr>
        <w:spacing w:line="360" w:lineRule="auto"/>
        <w:ind w:hanging="720"/>
        <w:jc w:val="both"/>
        <w:rPr>
          <w:rFonts w:ascii="Arial" w:eastAsia="Arial" w:hAnsi="Arial" w:cs="Arial"/>
          <w:color w:val="000000" w:themeColor="text1"/>
          <w:sz w:val="24"/>
          <w:szCs w:val="24"/>
          <w:lang w:val="en-US"/>
        </w:rPr>
      </w:pPr>
      <w:r w:rsidRPr="00770D7B">
        <w:rPr>
          <w:rFonts w:ascii="Arial" w:eastAsia="Arial" w:hAnsi="Arial" w:cs="Arial"/>
          <w:color w:val="000000" w:themeColor="text1"/>
          <w:sz w:val="24"/>
          <w:szCs w:val="24"/>
        </w:rPr>
        <w:t xml:space="preserve">Wood, R. (2013) </w:t>
      </w:r>
      <w:r w:rsidRPr="00770D7B">
        <w:rPr>
          <w:rFonts w:ascii="Arial" w:eastAsia="Arial" w:hAnsi="Arial" w:cs="Arial"/>
          <w:i/>
          <w:iCs/>
          <w:color w:val="000000" w:themeColor="text1"/>
          <w:sz w:val="24"/>
          <w:szCs w:val="24"/>
        </w:rPr>
        <w:t>Key Concepts in Hospitality Management</w:t>
      </w:r>
      <w:r w:rsidRPr="00770D7B">
        <w:rPr>
          <w:rFonts w:ascii="Arial" w:eastAsia="Arial" w:hAnsi="Arial" w:cs="Arial"/>
          <w:color w:val="000000" w:themeColor="text1"/>
          <w:sz w:val="24"/>
          <w:szCs w:val="24"/>
        </w:rPr>
        <w:t>. London: Sage</w:t>
      </w:r>
    </w:p>
    <w:p w14:paraId="7B5468AF" w14:textId="77777777" w:rsidR="00770D7B" w:rsidRPr="00770D7B" w:rsidRDefault="00770D7B" w:rsidP="00770D7B">
      <w:pPr>
        <w:spacing w:line="360" w:lineRule="auto"/>
        <w:ind w:hanging="720"/>
        <w:jc w:val="both"/>
        <w:rPr>
          <w:rFonts w:ascii="Arial" w:eastAsia="Arial" w:hAnsi="Arial" w:cs="Arial"/>
          <w:color w:val="000000" w:themeColor="text1"/>
          <w:sz w:val="24"/>
          <w:szCs w:val="24"/>
          <w:lang w:val="en-US"/>
        </w:rPr>
      </w:pPr>
      <w:proofErr w:type="spellStart"/>
      <w:r w:rsidRPr="00770D7B">
        <w:rPr>
          <w:rFonts w:ascii="Arial" w:eastAsia="Arial" w:hAnsi="Arial" w:cs="Arial"/>
          <w:color w:val="000000" w:themeColor="text1"/>
          <w:sz w:val="24"/>
          <w:szCs w:val="24"/>
        </w:rPr>
        <w:t>Zutshi</w:t>
      </w:r>
      <w:proofErr w:type="spellEnd"/>
      <w:r w:rsidRPr="00770D7B">
        <w:rPr>
          <w:rFonts w:ascii="Arial" w:eastAsia="Arial" w:hAnsi="Arial" w:cs="Arial"/>
          <w:color w:val="000000" w:themeColor="text1"/>
          <w:sz w:val="24"/>
          <w:szCs w:val="24"/>
        </w:rPr>
        <w:t xml:space="preserve">, A. (2019) ‘How to develop well-informed and assured teams to embed food safety compliance in the UK catering and hospitality industry’, Perspectives in Public Health, 139(6), pp. 294–295.  </w:t>
      </w:r>
    </w:p>
    <w:p w14:paraId="101020C7" w14:textId="30D2EE90" w:rsidR="007E57FA" w:rsidRPr="00770D7B" w:rsidRDefault="007E57FA" w:rsidP="00770D7B">
      <w:pPr>
        <w:spacing w:line="360" w:lineRule="auto"/>
        <w:jc w:val="both"/>
        <w:rPr>
          <w:rFonts w:ascii="Arial" w:eastAsia="Times New Roman" w:hAnsi="Arial" w:cs="Arial"/>
          <w:color w:val="000000" w:themeColor="text1"/>
          <w:sz w:val="24"/>
          <w:szCs w:val="24"/>
        </w:rPr>
      </w:pPr>
    </w:p>
    <w:p w14:paraId="344BBF81" w14:textId="093D5008" w:rsidR="007E57FA" w:rsidRPr="00770D7B" w:rsidRDefault="007E57FA" w:rsidP="00770D7B">
      <w:pPr>
        <w:spacing w:line="360" w:lineRule="auto"/>
        <w:jc w:val="both"/>
        <w:rPr>
          <w:rFonts w:ascii="Arial" w:eastAsia="Times New Roman" w:hAnsi="Arial" w:cs="Arial"/>
          <w:color w:val="000000" w:themeColor="text1"/>
          <w:sz w:val="24"/>
          <w:szCs w:val="24"/>
        </w:rPr>
      </w:pPr>
    </w:p>
    <w:p w14:paraId="619848C0" w14:textId="000BA550" w:rsidR="007E57FA" w:rsidRPr="00770D7B" w:rsidRDefault="007E57FA" w:rsidP="00770D7B">
      <w:pPr>
        <w:spacing w:line="360" w:lineRule="auto"/>
        <w:jc w:val="both"/>
        <w:rPr>
          <w:rFonts w:ascii="Arial" w:eastAsia="Times New Roman" w:hAnsi="Arial" w:cs="Arial"/>
          <w:color w:val="000000" w:themeColor="text1"/>
          <w:sz w:val="24"/>
          <w:szCs w:val="24"/>
        </w:rPr>
      </w:pPr>
    </w:p>
    <w:p w14:paraId="55F765BC" w14:textId="683596AB" w:rsidR="007E57FA" w:rsidRPr="00770D7B" w:rsidRDefault="007E57FA" w:rsidP="00770D7B">
      <w:pPr>
        <w:spacing w:line="360" w:lineRule="auto"/>
        <w:jc w:val="both"/>
        <w:rPr>
          <w:rFonts w:ascii="Arial" w:eastAsia="Times New Roman" w:hAnsi="Arial" w:cs="Arial"/>
          <w:color w:val="000000" w:themeColor="text1"/>
          <w:sz w:val="24"/>
          <w:szCs w:val="24"/>
        </w:rPr>
      </w:pPr>
    </w:p>
    <w:p w14:paraId="02003247" w14:textId="1673932B" w:rsidR="007E57FA" w:rsidRPr="00770D7B" w:rsidRDefault="007E57FA" w:rsidP="00770D7B">
      <w:pPr>
        <w:spacing w:line="360" w:lineRule="auto"/>
        <w:jc w:val="both"/>
        <w:rPr>
          <w:rFonts w:ascii="Arial" w:eastAsia="Times New Roman" w:hAnsi="Arial" w:cs="Arial"/>
          <w:color w:val="000000" w:themeColor="text1"/>
          <w:sz w:val="24"/>
          <w:szCs w:val="24"/>
        </w:rPr>
      </w:pPr>
    </w:p>
    <w:p w14:paraId="5547C5DE" w14:textId="55A46E90" w:rsidR="007E57FA" w:rsidRPr="00770D7B" w:rsidRDefault="007E57FA" w:rsidP="00770D7B">
      <w:pPr>
        <w:spacing w:line="360" w:lineRule="auto"/>
        <w:jc w:val="both"/>
        <w:rPr>
          <w:rFonts w:ascii="Arial" w:eastAsia="Times New Roman" w:hAnsi="Arial" w:cs="Arial"/>
          <w:color w:val="000000" w:themeColor="text1"/>
          <w:sz w:val="24"/>
          <w:szCs w:val="24"/>
        </w:rPr>
      </w:pPr>
    </w:p>
    <w:p w14:paraId="2C078E63" w14:textId="2027EBCD" w:rsidR="007E57FA" w:rsidRPr="00770D7B" w:rsidRDefault="007E57FA" w:rsidP="00770D7B">
      <w:pPr>
        <w:spacing w:line="360" w:lineRule="auto"/>
        <w:jc w:val="both"/>
        <w:rPr>
          <w:rFonts w:ascii="Arial" w:eastAsia="Times New Roman" w:hAnsi="Arial" w:cs="Arial"/>
          <w:color w:val="000000" w:themeColor="text1"/>
          <w:sz w:val="24"/>
          <w:szCs w:val="24"/>
        </w:rPr>
      </w:pPr>
    </w:p>
    <w:sectPr w:rsidR="007E57FA" w:rsidRPr="00770D7B" w:rsidSect="00770D7B">
      <w:foot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43F8F" w14:textId="77777777" w:rsidR="004A0C50" w:rsidRDefault="004A0C50" w:rsidP="00770D7B">
      <w:pPr>
        <w:spacing w:after="0" w:line="240" w:lineRule="auto"/>
      </w:pPr>
      <w:r>
        <w:separator/>
      </w:r>
    </w:p>
  </w:endnote>
  <w:endnote w:type="continuationSeparator" w:id="0">
    <w:p w14:paraId="003F5B51" w14:textId="77777777" w:rsidR="004A0C50" w:rsidRDefault="004A0C50" w:rsidP="00770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0079070"/>
      <w:docPartObj>
        <w:docPartGallery w:val="Page Numbers (Bottom of Page)"/>
        <w:docPartUnique/>
      </w:docPartObj>
    </w:sdtPr>
    <w:sdtEndPr>
      <w:rPr>
        <w:color w:val="7F7F7F" w:themeColor="background1" w:themeShade="7F"/>
        <w:spacing w:val="60"/>
      </w:rPr>
    </w:sdtEndPr>
    <w:sdtContent>
      <w:p w14:paraId="4CC7C8A9" w14:textId="1FF2D548" w:rsidR="00770D7B" w:rsidRDefault="00770D7B">
        <w:pPr>
          <w:pStyle w:val="Footer"/>
          <w:pBdr>
            <w:top w:val="single" w:sz="4" w:space="1" w:color="D9D9D9" w:themeColor="background1" w:themeShade="D9"/>
          </w:pBdr>
          <w:rPr>
            <w:b/>
            <w:bCs/>
          </w:rPr>
        </w:pPr>
        <w:r w:rsidRPr="00F718CD">
          <w:rPr>
            <w:rFonts w:ascii="Arial" w:hAnsi="Arial" w:cs="Arial"/>
            <w:sz w:val="24"/>
            <w:szCs w:val="24"/>
          </w:rPr>
          <w:fldChar w:fldCharType="begin"/>
        </w:r>
        <w:r w:rsidRPr="00F718CD">
          <w:rPr>
            <w:rFonts w:ascii="Arial" w:hAnsi="Arial" w:cs="Arial"/>
            <w:sz w:val="24"/>
            <w:szCs w:val="24"/>
          </w:rPr>
          <w:instrText xml:space="preserve"> PAGE   \* MERGEFORMAT </w:instrText>
        </w:r>
        <w:r w:rsidRPr="00F718CD">
          <w:rPr>
            <w:rFonts w:ascii="Arial" w:hAnsi="Arial" w:cs="Arial"/>
            <w:sz w:val="24"/>
            <w:szCs w:val="24"/>
          </w:rPr>
          <w:fldChar w:fldCharType="separate"/>
        </w:r>
        <w:r w:rsidRPr="00F718CD">
          <w:rPr>
            <w:rFonts w:ascii="Arial" w:hAnsi="Arial" w:cs="Arial"/>
            <w:b/>
            <w:bCs/>
            <w:noProof/>
            <w:sz w:val="24"/>
            <w:szCs w:val="24"/>
          </w:rPr>
          <w:t>2</w:t>
        </w:r>
        <w:r w:rsidRPr="00F718CD">
          <w:rPr>
            <w:rFonts w:ascii="Arial" w:hAnsi="Arial" w:cs="Arial"/>
            <w:b/>
            <w:bCs/>
            <w:noProof/>
            <w:sz w:val="24"/>
            <w:szCs w:val="24"/>
          </w:rPr>
          <w:fldChar w:fldCharType="end"/>
        </w:r>
        <w:r w:rsidRPr="00F718CD">
          <w:rPr>
            <w:rFonts w:ascii="Arial" w:hAnsi="Arial" w:cs="Arial"/>
            <w:b/>
            <w:bCs/>
            <w:sz w:val="24"/>
            <w:szCs w:val="24"/>
          </w:rPr>
          <w:t xml:space="preserve"> | </w:t>
        </w:r>
        <w:r w:rsidRPr="00F718CD">
          <w:rPr>
            <w:rFonts w:ascii="Arial" w:hAnsi="Arial" w:cs="Arial"/>
            <w:color w:val="7F7F7F" w:themeColor="background1" w:themeShade="7F"/>
            <w:spacing w:val="60"/>
            <w:sz w:val="24"/>
            <w:szCs w:val="24"/>
          </w:rPr>
          <w:t>Page</w:t>
        </w:r>
      </w:p>
    </w:sdtContent>
  </w:sdt>
  <w:p w14:paraId="47CA0EE4" w14:textId="77777777" w:rsidR="00770D7B" w:rsidRDefault="00770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681C0" w14:textId="77777777" w:rsidR="004A0C50" w:rsidRDefault="004A0C50" w:rsidP="00770D7B">
      <w:pPr>
        <w:spacing w:after="0" w:line="240" w:lineRule="auto"/>
      </w:pPr>
      <w:r>
        <w:separator/>
      </w:r>
    </w:p>
  </w:footnote>
  <w:footnote w:type="continuationSeparator" w:id="0">
    <w:p w14:paraId="57139212" w14:textId="77777777" w:rsidR="004A0C50" w:rsidRDefault="004A0C50" w:rsidP="00770D7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JRqOQRi" int2:invalidationBookmarkName="" int2:hashCode="FPGoVS9FMyqyjo" int2:id="hHAfN5VA">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030B01"/>
    <w:rsid w:val="00162D7B"/>
    <w:rsid w:val="00480924"/>
    <w:rsid w:val="004A0C50"/>
    <w:rsid w:val="00770D7B"/>
    <w:rsid w:val="007C623D"/>
    <w:rsid w:val="007E57FA"/>
    <w:rsid w:val="00F718CD"/>
    <w:rsid w:val="1887A7A7"/>
    <w:rsid w:val="47030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0B01"/>
  <w15:chartTrackingRefBased/>
  <w15:docId w15:val="{A420C319-8CE5-4909-9132-90E05DD51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887A7A7"/>
    <w:rPr>
      <w:lang w:val="en-GB"/>
    </w:rPr>
  </w:style>
  <w:style w:type="paragraph" w:styleId="Heading1">
    <w:name w:val="heading 1"/>
    <w:basedOn w:val="Normal"/>
    <w:next w:val="Normal"/>
    <w:link w:val="Heading1Char"/>
    <w:uiPriority w:val="9"/>
    <w:qFormat/>
    <w:rsid w:val="1887A7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887A7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887A7A7"/>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887A7A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887A7A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887A7A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887A7A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887A7A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887A7A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887A7A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887A7A7"/>
    <w:rPr>
      <w:rFonts w:eastAsiaTheme="minorEastAsia"/>
      <w:color w:val="5A5A5A"/>
    </w:rPr>
  </w:style>
  <w:style w:type="paragraph" w:styleId="Quote">
    <w:name w:val="Quote"/>
    <w:basedOn w:val="Normal"/>
    <w:next w:val="Normal"/>
    <w:link w:val="QuoteChar"/>
    <w:uiPriority w:val="29"/>
    <w:qFormat/>
    <w:rsid w:val="1887A7A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887A7A7"/>
    <w:pPr>
      <w:spacing w:before="360" w:after="360"/>
      <w:ind w:left="864" w:right="864"/>
      <w:jc w:val="center"/>
    </w:pPr>
    <w:rPr>
      <w:i/>
      <w:iCs/>
      <w:color w:val="4472C4" w:themeColor="accent1"/>
    </w:rPr>
  </w:style>
  <w:style w:type="paragraph" w:styleId="ListParagraph">
    <w:name w:val="List Paragraph"/>
    <w:basedOn w:val="Normal"/>
    <w:uiPriority w:val="34"/>
    <w:qFormat/>
    <w:rsid w:val="1887A7A7"/>
    <w:pPr>
      <w:ind w:left="720"/>
      <w:contextualSpacing/>
    </w:pPr>
  </w:style>
  <w:style w:type="character" w:customStyle="1" w:styleId="Heading1Char">
    <w:name w:val="Heading 1 Char"/>
    <w:basedOn w:val="DefaultParagraphFont"/>
    <w:link w:val="Heading1"/>
    <w:uiPriority w:val="9"/>
    <w:rsid w:val="1887A7A7"/>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1887A7A7"/>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1887A7A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887A7A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887A7A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887A7A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887A7A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887A7A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887A7A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887A7A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887A7A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1887A7A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887A7A7"/>
    <w:rPr>
      <w:i/>
      <w:iCs/>
      <w:noProof w:val="0"/>
      <w:color w:val="4472C4" w:themeColor="accent1"/>
      <w:lang w:val="en-GB"/>
    </w:rPr>
  </w:style>
  <w:style w:type="paragraph" w:styleId="TOC1">
    <w:name w:val="toc 1"/>
    <w:basedOn w:val="Normal"/>
    <w:next w:val="Normal"/>
    <w:uiPriority w:val="39"/>
    <w:unhideWhenUsed/>
    <w:rsid w:val="1887A7A7"/>
    <w:pPr>
      <w:spacing w:after="100"/>
    </w:pPr>
  </w:style>
  <w:style w:type="paragraph" w:styleId="TOC2">
    <w:name w:val="toc 2"/>
    <w:basedOn w:val="Normal"/>
    <w:next w:val="Normal"/>
    <w:uiPriority w:val="39"/>
    <w:unhideWhenUsed/>
    <w:rsid w:val="1887A7A7"/>
    <w:pPr>
      <w:spacing w:after="100"/>
      <w:ind w:left="220"/>
    </w:pPr>
  </w:style>
  <w:style w:type="paragraph" w:styleId="TOC3">
    <w:name w:val="toc 3"/>
    <w:basedOn w:val="Normal"/>
    <w:next w:val="Normal"/>
    <w:uiPriority w:val="39"/>
    <w:unhideWhenUsed/>
    <w:rsid w:val="1887A7A7"/>
    <w:pPr>
      <w:spacing w:after="100"/>
      <w:ind w:left="440"/>
    </w:pPr>
  </w:style>
  <w:style w:type="paragraph" w:styleId="TOC4">
    <w:name w:val="toc 4"/>
    <w:basedOn w:val="Normal"/>
    <w:next w:val="Normal"/>
    <w:uiPriority w:val="39"/>
    <w:unhideWhenUsed/>
    <w:rsid w:val="1887A7A7"/>
    <w:pPr>
      <w:spacing w:after="100"/>
      <w:ind w:left="660"/>
    </w:pPr>
  </w:style>
  <w:style w:type="paragraph" w:styleId="TOC5">
    <w:name w:val="toc 5"/>
    <w:basedOn w:val="Normal"/>
    <w:next w:val="Normal"/>
    <w:uiPriority w:val="39"/>
    <w:unhideWhenUsed/>
    <w:rsid w:val="1887A7A7"/>
    <w:pPr>
      <w:spacing w:after="100"/>
      <w:ind w:left="880"/>
    </w:pPr>
  </w:style>
  <w:style w:type="paragraph" w:styleId="TOC6">
    <w:name w:val="toc 6"/>
    <w:basedOn w:val="Normal"/>
    <w:next w:val="Normal"/>
    <w:uiPriority w:val="39"/>
    <w:unhideWhenUsed/>
    <w:rsid w:val="1887A7A7"/>
    <w:pPr>
      <w:spacing w:after="100"/>
      <w:ind w:left="1100"/>
    </w:pPr>
  </w:style>
  <w:style w:type="paragraph" w:styleId="TOC7">
    <w:name w:val="toc 7"/>
    <w:basedOn w:val="Normal"/>
    <w:next w:val="Normal"/>
    <w:uiPriority w:val="39"/>
    <w:unhideWhenUsed/>
    <w:rsid w:val="1887A7A7"/>
    <w:pPr>
      <w:spacing w:after="100"/>
      <w:ind w:left="1320"/>
    </w:pPr>
  </w:style>
  <w:style w:type="paragraph" w:styleId="TOC8">
    <w:name w:val="toc 8"/>
    <w:basedOn w:val="Normal"/>
    <w:next w:val="Normal"/>
    <w:uiPriority w:val="39"/>
    <w:unhideWhenUsed/>
    <w:rsid w:val="1887A7A7"/>
    <w:pPr>
      <w:spacing w:after="100"/>
      <w:ind w:left="1540"/>
    </w:pPr>
  </w:style>
  <w:style w:type="paragraph" w:styleId="TOC9">
    <w:name w:val="toc 9"/>
    <w:basedOn w:val="Normal"/>
    <w:next w:val="Normal"/>
    <w:uiPriority w:val="39"/>
    <w:unhideWhenUsed/>
    <w:rsid w:val="1887A7A7"/>
    <w:pPr>
      <w:spacing w:after="100"/>
      <w:ind w:left="1760"/>
    </w:pPr>
  </w:style>
  <w:style w:type="paragraph" w:styleId="EndnoteText">
    <w:name w:val="endnote text"/>
    <w:basedOn w:val="Normal"/>
    <w:link w:val="EndnoteTextChar"/>
    <w:uiPriority w:val="99"/>
    <w:semiHidden/>
    <w:unhideWhenUsed/>
    <w:rsid w:val="1887A7A7"/>
    <w:pPr>
      <w:spacing w:after="0"/>
    </w:pPr>
    <w:rPr>
      <w:sz w:val="20"/>
      <w:szCs w:val="20"/>
    </w:rPr>
  </w:style>
  <w:style w:type="character" w:customStyle="1" w:styleId="EndnoteTextChar">
    <w:name w:val="Endnote Text Char"/>
    <w:basedOn w:val="DefaultParagraphFont"/>
    <w:link w:val="EndnoteText"/>
    <w:uiPriority w:val="99"/>
    <w:semiHidden/>
    <w:rsid w:val="1887A7A7"/>
    <w:rPr>
      <w:noProof w:val="0"/>
      <w:sz w:val="20"/>
      <w:szCs w:val="20"/>
      <w:lang w:val="en-GB"/>
    </w:rPr>
  </w:style>
  <w:style w:type="paragraph" w:styleId="Footer">
    <w:name w:val="footer"/>
    <w:basedOn w:val="Normal"/>
    <w:link w:val="FooterChar"/>
    <w:uiPriority w:val="99"/>
    <w:unhideWhenUsed/>
    <w:rsid w:val="1887A7A7"/>
    <w:pPr>
      <w:tabs>
        <w:tab w:val="center" w:pos="4680"/>
        <w:tab w:val="right" w:pos="9360"/>
      </w:tabs>
      <w:spacing w:after="0"/>
    </w:pPr>
  </w:style>
  <w:style w:type="character" w:customStyle="1" w:styleId="FooterChar">
    <w:name w:val="Footer Char"/>
    <w:basedOn w:val="DefaultParagraphFont"/>
    <w:link w:val="Footer"/>
    <w:uiPriority w:val="99"/>
    <w:rsid w:val="1887A7A7"/>
    <w:rPr>
      <w:noProof w:val="0"/>
      <w:lang w:val="en-GB"/>
    </w:rPr>
  </w:style>
  <w:style w:type="paragraph" w:styleId="FootnoteText">
    <w:name w:val="footnote text"/>
    <w:basedOn w:val="Normal"/>
    <w:link w:val="FootnoteTextChar"/>
    <w:uiPriority w:val="99"/>
    <w:semiHidden/>
    <w:unhideWhenUsed/>
    <w:rsid w:val="1887A7A7"/>
    <w:pPr>
      <w:spacing w:after="0"/>
    </w:pPr>
    <w:rPr>
      <w:sz w:val="20"/>
      <w:szCs w:val="20"/>
    </w:rPr>
  </w:style>
  <w:style w:type="character" w:customStyle="1" w:styleId="FootnoteTextChar">
    <w:name w:val="Footnote Text Char"/>
    <w:basedOn w:val="DefaultParagraphFont"/>
    <w:link w:val="FootnoteText"/>
    <w:uiPriority w:val="99"/>
    <w:semiHidden/>
    <w:rsid w:val="1887A7A7"/>
    <w:rPr>
      <w:noProof w:val="0"/>
      <w:sz w:val="20"/>
      <w:szCs w:val="20"/>
      <w:lang w:val="en-GB"/>
    </w:rPr>
  </w:style>
  <w:style w:type="paragraph" w:styleId="Header">
    <w:name w:val="header"/>
    <w:basedOn w:val="Normal"/>
    <w:link w:val="HeaderChar"/>
    <w:uiPriority w:val="99"/>
    <w:unhideWhenUsed/>
    <w:rsid w:val="1887A7A7"/>
    <w:pPr>
      <w:tabs>
        <w:tab w:val="center" w:pos="4680"/>
        <w:tab w:val="right" w:pos="9360"/>
      </w:tabs>
      <w:spacing w:after="0"/>
    </w:pPr>
  </w:style>
  <w:style w:type="character" w:customStyle="1" w:styleId="HeaderChar">
    <w:name w:val="Header Char"/>
    <w:basedOn w:val="DefaultParagraphFont"/>
    <w:link w:val="Header"/>
    <w:uiPriority w:val="99"/>
    <w:rsid w:val="1887A7A7"/>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902</Words>
  <Characters>5146</Characters>
  <Application>Microsoft Office Word</Application>
  <DocSecurity>0</DocSecurity>
  <Lines>42</Lines>
  <Paragraphs>12</Paragraphs>
  <ScaleCrop>false</ScaleCrop>
  <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Adina Vasilica</cp:lastModifiedBy>
  <cp:revision>2</cp:revision>
  <dcterms:created xsi:type="dcterms:W3CDTF">2023-02-03T21:14:00Z</dcterms:created>
  <dcterms:modified xsi:type="dcterms:W3CDTF">2023-02-03T21:14:00Z</dcterms:modified>
</cp:coreProperties>
</file>