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32DD5" w14:textId="77777777" w:rsidR="00044BE4" w:rsidRPr="009B460E" w:rsidRDefault="00044BE4" w:rsidP="003359E7">
      <w:pPr>
        <w:spacing w:after="0" w:line="360" w:lineRule="auto"/>
        <w:contextualSpacing/>
        <w:jc w:val="center"/>
        <w:rPr>
          <w:rFonts w:cs="Arial"/>
          <w:b/>
          <w:bCs/>
          <w:color w:val="000000" w:themeColor="text1"/>
          <w:szCs w:val="22"/>
        </w:rPr>
      </w:pPr>
    </w:p>
    <w:p w14:paraId="6E205A25" w14:textId="77777777" w:rsidR="00044BE4" w:rsidRPr="009B460E" w:rsidRDefault="00044BE4" w:rsidP="003359E7">
      <w:pPr>
        <w:spacing w:after="0" w:line="360" w:lineRule="auto"/>
        <w:contextualSpacing/>
        <w:jc w:val="center"/>
        <w:rPr>
          <w:rFonts w:cs="Arial"/>
          <w:b/>
          <w:bCs/>
          <w:color w:val="000000" w:themeColor="text1"/>
          <w:szCs w:val="22"/>
        </w:rPr>
      </w:pPr>
    </w:p>
    <w:p w14:paraId="31797365" w14:textId="77777777" w:rsidR="00044BE4" w:rsidRPr="009B460E" w:rsidRDefault="00044BE4" w:rsidP="003359E7">
      <w:pPr>
        <w:spacing w:after="0" w:line="360" w:lineRule="auto"/>
        <w:contextualSpacing/>
        <w:jc w:val="center"/>
        <w:rPr>
          <w:rFonts w:cs="Arial"/>
          <w:b/>
          <w:bCs/>
          <w:color w:val="000000" w:themeColor="text1"/>
          <w:szCs w:val="22"/>
        </w:rPr>
      </w:pPr>
    </w:p>
    <w:p w14:paraId="6B82E3BD" w14:textId="77777777" w:rsidR="00044BE4" w:rsidRPr="009B460E" w:rsidRDefault="00044BE4" w:rsidP="003359E7">
      <w:pPr>
        <w:spacing w:after="0" w:line="360" w:lineRule="auto"/>
        <w:contextualSpacing/>
        <w:jc w:val="center"/>
        <w:rPr>
          <w:rFonts w:cs="Arial"/>
          <w:b/>
          <w:bCs/>
          <w:color w:val="000000" w:themeColor="text1"/>
          <w:szCs w:val="22"/>
        </w:rPr>
      </w:pPr>
    </w:p>
    <w:p w14:paraId="0222A759" w14:textId="77777777" w:rsidR="00044BE4" w:rsidRPr="009B460E" w:rsidRDefault="00044BE4" w:rsidP="003359E7">
      <w:pPr>
        <w:spacing w:after="0" w:line="360" w:lineRule="auto"/>
        <w:contextualSpacing/>
        <w:jc w:val="center"/>
        <w:rPr>
          <w:rFonts w:cs="Arial"/>
          <w:b/>
          <w:bCs/>
          <w:color w:val="000000" w:themeColor="text1"/>
          <w:szCs w:val="22"/>
        </w:rPr>
      </w:pPr>
    </w:p>
    <w:p w14:paraId="29947C1D" w14:textId="77777777" w:rsidR="00044BE4" w:rsidRPr="009B460E" w:rsidRDefault="00044BE4" w:rsidP="003359E7">
      <w:pPr>
        <w:spacing w:after="0" w:line="360" w:lineRule="auto"/>
        <w:contextualSpacing/>
        <w:jc w:val="center"/>
        <w:rPr>
          <w:rFonts w:cs="Arial"/>
          <w:b/>
          <w:bCs/>
          <w:color w:val="000000" w:themeColor="text1"/>
          <w:szCs w:val="22"/>
        </w:rPr>
      </w:pPr>
    </w:p>
    <w:p w14:paraId="424713DB" w14:textId="77777777" w:rsidR="00044BE4" w:rsidRPr="009B460E" w:rsidRDefault="00044BE4" w:rsidP="003359E7">
      <w:pPr>
        <w:spacing w:after="0" w:line="360" w:lineRule="auto"/>
        <w:contextualSpacing/>
        <w:jc w:val="center"/>
        <w:rPr>
          <w:rFonts w:cs="Arial"/>
          <w:b/>
          <w:bCs/>
          <w:color w:val="000000" w:themeColor="text1"/>
          <w:szCs w:val="22"/>
        </w:rPr>
      </w:pPr>
    </w:p>
    <w:p w14:paraId="2E732174" w14:textId="07E962B2" w:rsidR="00166054" w:rsidRDefault="005D74AE" w:rsidP="00166054">
      <w:pPr>
        <w:pStyle w:val="Title"/>
        <w:spacing w:line="360" w:lineRule="auto"/>
        <w:jc w:val="center"/>
        <w:rPr>
          <w:rFonts w:ascii="Arial" w:hAnsi="Arial" w:cs="Arial"/>
          <w:sz w:val="36"/>
          <w:szCs w:val="22"/>
        </w:rPr>
      </w:pPr>
      <w:r w:rsidRPr="00F86F39">
        <w:rPr>
          <w:rFonts w:ascii="Arial" w:hAnsi="Arial" w:cs="Arial"/>
          <w:b/>
          <w:bCs/>
          <w:sz w:val="36"/>
          <w:szCs w:val="22"/>
        </w:rPr>
        <w:t>Student name:</w:t>
      </w:r>
      <w:r>
        <w:rPr>
          <w:rFonts w:ascii="Arial" w:hAnsi="Arial" w:cs="Arial"/>
          <w:sz w:val="36"/>
          <w:szCs w:val="22"/>
        </w:rPr>
        <w:t xml:space="preserve"> Melody Maseko</w:t>
      </w:r>
    </w:p>
    <w:p w14:paraId="01726F77" w14:textId="77777777" w:rsidR="00166054" w:rsidRPr="00166054" w:rsidRDefault="00166054" w:rsidP="00166054"/>
    <w:p w14:paraId="2572BFE5" w14:textId="4D5B69F9" w:rsidR="00F86F39" w:rsidRDefault="00166054" w:rsidP="00166054">
      <w:pPr>
        <w:rPr>
          <w:sz w:val="36"/>
          <w:szCs w:val="36"/>
        </w:rPr>
      </w:pPr>
      <w:r>
        <w:rPr>
          <w:sz w:val="36"/>
          <w:szCs w:val="36"/>
        </w:rPr>
        <w:t xml:space="preserve">                      </w:t>
      </w:r>
      <w:r w:rsidRPr="00166054">
        <w:rPr>
          <w:b/>
          <w:bCs/>
          <w:sz w:val="36"/>
          <w:szCs w:val="36"/>
        </w:rPr>
        <w:t>Student number:</w:t>
      </w:r>
      <w:r>
        <w:rPr>
          <w:sz w:val="36"/>
          <w:szCs w:val="36"/>
        </w:rPr>
        <w:t xml:space="preserve"> 2244812</w:t>
      </w:r>
    </w:p>
    <w:p w14:paraId="7F3F639F" w14:textId="77777777" w:rsidR="00166054" w:rsidRPr="00166054" w:rsidRDefault="00166054" w:rsidP="00166054">
      <w:pPr>
        <w:rPr>
          <w:sz w:val="36"/>
          <w:szCs w:val="36"/>
        </w:rPr>
      </w:pPr>
    </w:p>
    <w:p w14:paraId="2264005D" w14:textId="6F623406" w:rsidR="00F86F39" w:rsidRDefault="00F86F39" w:rsidP="00F86F39">
      <w:pPr>
        <w:jc w:val="center"/>
        <w:rPr>
          <w:sz w:val="36"/>
          <w:szCs w:val="36"/>
        </w:rPr>
      </w:pPr>
      <w:r w:rsidRPr="00F86F39">
        <w:rPr>
          <w:b/>
          <w:bCs/>
          <w:sz w:val="36"/>
          <w:szCs w:val="36"/>
        </w:rPr>
        <w:t>Module:</w:t>
      </w:r>
      <w:r>
        <w:rPr>
          <w:sz w:val="36"/>
          <w:szCs w:val="36"/>
        </w:rPr>
        <w:t xml:space="preserve"> Health, Wellbeing and Sustainable Development</w:t>
      </w:r>
    </w:p>
    <w:p w14:paraId="76A692FF" w14:textId="77777777" w:rsidR="00F86F39" w:rsidRDefault="00F86F39" w:rsidP="00F86F39">
      <w:pPr>
        <w:jc w:val="center"/>
        <w:rPr>
          <w:b/>
          <w:bCs/>
          <w:sz w:val="36"/>
          <w:szCs w:val="36"/>
        </w:rPr>
      </w:pPr>
    </w:p>
    <w:p w14:paraId="33ECB583" w14:textId="62D73F5C" w:rsidR="00F86F39" w:rsidRDefault="00F86F39" w:rsidP="00F86F39">
      <w:pPr>
        <w:jc w:val="center"/>
        <w:rPr>
          <w:sz w:val="36"/>
          <w:szCs w:val="36"/>
        </w:rPr>
      </w:pPr>
      <w:r w:rsidRPr="00F86F39">
        <w:rPr>
          <w:b/>
          <w:bCs/>
          <w:sz w:val="36"/>
          <w:szCs w:val="36"/>
        </w:rPr>
        <w:t>Module Code</w:t>
      </w:r>
      <w:r>
        <w:rPr>
          <w:sz w:val="36"/>
          <w:szCs w:val="36"/>
        </w:rPr>
        <w:t>: BMHP6030</w:t>
      </w:r>
    </w:p>
    <w:p w14:paraId="19F18DBD" w14:textId="77777777" w:rsidR="00F86F39" w:rsidRDefault="00F86F39" w:rsidP="00F86F39">
      <w:pPr>
        <w:jc w:val="center"/>
        <w:rPr>
          <w:b/>
          <w:bCs/>
          <w:sz w:val="36"/>
          <w:szCs w:val="36"/>
        </w:rPr>
      </w:pPr>
    </w:p>
    <w:p w14:paraId="46BDA18D" w14:textId="1DCB43B7" w:rsidR="00F86F39" w:rsidRPr="005D74AE" w:rsidRDefault="00F86F39" w:rsidP="00F86F39">
      <w:pPr>
        <w:jc w:val="center"/>
        <w:rPr>
          <w:sz w:val="36"/>
          <w:szCs w:val="36"/>
        </w:rPr>
      </w:pPr>
      <w:r w:rsidRPr="00F86F39">
        <w:rPr>
          <w:b/>
          <w:bCs/>
          <w:sz w:val="36"/>
          <w:szCs w:val="36"/>
        </w:rPr>
        <w:t>Lecturer:</w:t>
      </w:r>
      <w:r>
        <w:rPr>
          <w:sz w:val="36"/>
          <w:szCs w:val="36"/>
        </w:rPr>
        <w:t xml:space="preserve"> Samuel Assan </w:t>
      </w:r>
    </w:p>
    <w:p w14:paraId="517C7DB8" w14:textId="77777777" w:rsidR="00315902" w:rsidRDefault="00315902" w:rsidP="00315902">
      <w:pPr>
        <w:spacing w:after="0" w:line="360" w:lineRule="auto"/>
        <w:contextualSpacing/>
        <w:rPr>
          <w:rFonts w:cs="Arial"/>
          <w:b/>
          <w:bCs/>
          <w:color w:val="000000" w:themeColor="text1"/>
          <w:szCs w:val="22"/>
        </w:rPr>
      </w:pPr>
    </w:p>
    <w:p w14:paraId="1F1EE9A9" w14:textId="77777777" w:rsidR="00315902" w:rsidRDefault="00315902" w:rsidP="00315902">
      <w:pPr>
        <w:spacing w:after="0" w:line="360" w:lineRule="auto"/>
        <w:contextualSpacing/>
        <w:rPr>
          <w:rFonts w:cs="Arial"/>
          <w:b/>
          <w:bCs/>
          <w:color w:val="000000" w:themeColor="text1"/>
          <w:szCs w:val="22"/>
        </w:rPr>
      </w:pPr>
    </w:p>
    <w:p w14:paraId="3A006413" w14:textId="77777777" w:rsidR="00315902" w:rsidRDefault="00315902" w:rsidP="00315902">
      <w:pPr>
        <w:spacing w:after="0" w:line="360" w:lineRule="auto"/>
        <w:contextualSpacing/>
        <w:rPr>
          <w:rFonts w:cs="Arial"/>
          <w:b/>
          <w:bCs/>
          <w:color w:val="000000" w:themeColor="text1"/>
          <w:szCs w:val="22"/>
        </w:rPr>
      </w:pPr>
    </w:p>
    <w:p w14:paraId="33408625" w14:textId="77777777" w:rsidR="00315902" w:rsidRDefault="00315902" w:rsidP="00315902">
      <w:pPr>
        <w:spacing w:after="0" w:line="360" w:lineRule="auto"/>
        <w:contextualSpacing/>
        <w:rPr>
          <w:rFonts w:cs="Arial"/>
          <w:b/>
          <w:bCs/>
          <w:color w:val="000000" w:themeColor="text1"/>
          <w:szCs w:val="22"/>
        </w:rPr>
      </w:pPr>
    </w:p>
    <w:p w14:paraId="0747383A" w14:textId="77777777" w:rsidR="00315902" w:rsidRDefault="00315902" w:rsidP="00315902">
      <w:pPr>
        <w:spacing w:after="0" w:line="360" w:lineRule="auto"/>
        <w:contextualSpacing/>
        <w:rPr>
          <w:rFonts w:cs="Arial"/>
          <w:b/>
          <w:bCs/>
          <w:color w:val="000000" w:themeColor="text1"/>
          <w:szCs w:val="22"/>
        </w:rPr>
      </w:pPr>
    </w:p>
    <w:p w14:paraId="330A8CA2" w14:textId="77777777" w:rsidR="00315902" w:rsidRDefault="00315902" w:rsidP="00315902">
      <w:pPr>
        <w:spacing w:after="0" w:line="360" w:lineRule="auto"/>
        <w:contextualSpacing/>
        <w:rPr>
          <w:rFonts w:cs="Arial"/>
          <w:b/>
          <w:bCs/>
          <w:color w:val="000000" w:themeColor="text1"/>
          <w:szCs w:val="22"/>
        </w:rPr>
      </w:pPr>
    </w:p>
    <w:p w14:paraId="4BA31CFD" w14:textId="77777777" w:rsidR="00315902" w:rsidRDefault="00315902" w:rsidP="00315902">
      <w:pPr>
        <w:spacing w:after="0" w:line="360" w:lineRule="auto"/>
        <w:contextualSpacing/>
        <w:rPr>
          <w:rFonts w:cs="Arial"/>
          <w:b/>
          <w:bCs/>
          <w:color w:val="000000" w:themeColor="text1"/>
          <w:szCs w:val="22"/>
        </w:rPr>
      </w:pPr>
    </w:p>
    <w:p w14:paraId="395D5E02" w14:textId="77777777" w:rsidR="00315902" w:rsidRDefault="00315902" w:rsidP="00315902">
      <w:pPr>
        <w:spacing w:after="0" w:line="360" w:lineRule="auto"/>
        <w:contextualSpacing/>
        <w:rPr>
          <w:rFonts w:cs="Arial"/>
          <w:b/>
          <w:bCs/>
          <w:color w:val="000000" w:themeColor="text1"/>
          <w:szCs w:val="22"/>
        </w:rPr>
      </w:pPr>
    </w:p>
    <w:p w14:paraId="7B64FDD0" w14:textId="77777777" w:rsidR="00315902" w:rsidRDefault="00315902" w:rsidP="00315902">
      <w:pPr>
        <w:spacing w:after="0" w:line="360" w:lineRule="auto"/>
        <w:contextualSpacing/>
        <w:rPr>
          <w:rFonts w:cs="Arial"/>
          <w:b/>
          <w:bCs/>
          <w:color w:val="000000" w:themeColor="text1"/>
          <w:szCs w:val="22"/>
        </w:rPr>
      </w:pPr>
    </w:p>
    <w:p w14:paraId="3BA300D9" w14:textId="77777777" w:rsidR="00315902" w:rsidRDefault="00315902" w:rsidP="00315902">
      <w:pPr>
        <w:spacing w:after="0" w:line="360" w:lineRule="auto"/>
        <w:contextualSpacing/>
        <w:rPr>
          <w:rFonts w:cs="Arial"/>
          <w:b/>
          <w:bCs/>
          <w:color w:val="000000" w:themeColor="text1"/>
          <w:szCs w:val="22"/>
        </w:rPr>
      </w:pPr>
    </w:p>
    <w:p w14:paraId="60E13A89" w14:textId="77777777" w:rsidR="00315902" w:rsidRDefault="00315902" w:rsidP="00315902">
      <w:pPr>
        <w:spacing w:after="0" w:line="360" w:lineRule="auto"/>
        <w:contextualSpacing/>
        <w:rPr>
          <w:rFonts w:cs="Arial"/>
          <w:b/>
          <w:bCs/>
          <w:color w:val="000000" w:themeColor="text1"/>
          <w:szCs w:val="22"/>
        </w:rPr>
      </w:pPr>
    </w:p>
    <w:p w14:paraId="093BFA62" w14:textId="77777777" w:rsidR="00315902" w:rsidRDefault="00315902" w:rsidP="00315902">
      <w:pPr>
        <w:spacing w:after="0" w:line="360" w:lineRule="auto"/>
        <w:contextualSpacing/>
        <w:rPr>
          <w:rFonts w:cs="Arial"/>
          <w:b/>
          <w:bCs/>
          <w:color w:val="000000" w:themeColor="text1"/>
          <w:szCs w:val="22"/>
        </w:rPr>
      </w:pPr>
    </w:p>
    <w:p w14:paraId="117DDC07" w14:textId="77777777" w:rsidR="00315902" w:rsidRDefault="00315902" w:rsidP="00315902">
      <w:pPr>
        <w:spacing w:after="0" w:line="360" w:lineRule="auto"/>
        <w:contextualSpacing/>
        <w:rPr>
          <w:rFonts w:cs="Arial"/>
          <w:b/>
          <w:bCs/>
          <w:color w:val="000000" w:themeColor="text1"/>
          <w:szCs w:val="22"/>
        </w:rPr>
      </w:pPr>
    </w:p>
    <w:p w14:paraId="46E6752D" w14:textId="77777777" w:rsidR="00315902" w:rsidRDefault="00315902" w:rsidP="00315902">
      <w:pPr>
        <w:spacing w:after="0" w:line="360" w:lineRule="auto"/>
        <w:contextualSpacing/>
        <w:rPr>
          <w:rFonts w:cs="Arial"/>
          <w:b/>
          <w:bCs/>
          <w:color w:val="000000" w:themeColor="text1"/>
          <w:szCs w:val="22"/>
        </w:rPr>
      </w:pPr>
    </w:p>
    <w:p w14:paraId="0D842E6A" w14:textId="77777777" w:rsidR="00016800" w:rsidRDefault="00016800" w:rsidP="00315902">
      <w:pPr>
        <w:spacing w:after="0" w:line="360" w:lineRule="auto"/>
        <w:contextualSpacing/>
        <w:rPr>
          <w:rFonts w:cs="Arial"/>
          <w:b/>
          <w:bCs/>
          <w:color w:val="000000" w:themeColor="text1"/>
          <w:szCs w:val="22"/>
        </w:rPr>
      </w:pPr>
    </w:p>
    <w:p w14:paraId="4CB01A63" w14:textId="2D82C9CB" w:rsidR="00362876" w:rsidRPr="00315902" w:rsidRDefault="00362876" w:rsidP="00315902">
      <w:pPr>
        <w:spacing w:after="0" w:line="360" w:lineRule="auto"/>
        <w:contextualSpacing/>
        <w:rPr>
          <w:rFonts w:cs="Arial"/>
          <w:b/>
          <w:bCs/>
          <w:color w:val="000000" w:themeColor="text1"/>
          <w:sz w:val="24"/>
        </w:rPr>
      </w:pPr>
      <w:r w:rsidRPr="00315902">
        <w:rPr>
          <w:rFonts w:cs="Arial"/>
          <w:b/>
          <w:bCs/>
          <w:sz w:val="24"/>
        </w:rPr>
        <w:t>Introduction</w:t>
      </w:r>
    </w:p>
    <w:p w14:paraId="68C838EF" w14:textId="77777777" w:rsidR="002D4A27" w:rsidRDefault="002D4A27" w:rsidP="002D4A27">
      <w:pPr>
        <w:spacing w:after="0" w:line="360" w:lineRule="auto"/>
        <w:contextualSpacing/>
        <w:jc w:val="both"/>
        <w:rPr>
          <w:rFonts w:cs="Arial"/>
          <w:color w:val="000000" w:themeColor="text1"/>
          <w:sz w:val="24"/>
        </w:rPr>
      </w:pPr>
    </w:p>
    <w:p w14:paraId="5D4B0AE0" w14:textId="1FDFD3AC" w:rsidR="002D4A27" w:rsidRPr="00016800" w:rsidRDefault="002D4A27" w:rsidP="00016800">
      <w:pPr>
        <w:rPr>
          <w:sz w:val="24"/>
        </w:rPr>
      </w:pPr>
      <w:r w:rsidRPr="00016800">
        <w:rPr>
          <w:sz w:val="24"/>
        </w:rPr>
        <w:t>The United Nations introduced the Sustainable Development Goals (SDGs) in 2015 through the 2030 Agenda for Sustainable Development to improve social, economic, and environmental conditions around the world (United Nations, 2015). SDG 2 (Zero Hunger) and SDG 3 (Good Health and Well-being) are closely linked because good nutrition is essential for good health, and good health helps people maintain proper nutrition and wellbeing.</w:t>
      </w:r>
    </w:p>
    <w:p w14:paraId="22ED1456" w14:textId="585EE771" w:rsidR="002D4A27" w:rsidRPr="00016800" w:rsidRDefault="002D4A27" w:rsidP="00016800">
      <w:pPr>
        <w:rPr>
          <w:sz w:val="24"/>
        </w:rPr>
      </w:pPr>
      <w:r w:rsidRPr="00016800">
        <w:rPr>
          <w:sz w:val="24"/>
        </w:rPr>
        <w:t>Although progress has been made, many countries are still struggling to achieve these goals. Challenges such as poverty, health inequalities, climate change, economic instability, and the effects of the COVID-19 pandemic have slowed progress (World Health Organization, 2024; United Nations, 2024).</w:t>
      </w:r>
    </w:p>
    <w:p w14:paraId="3C472A80" w14:textId="77777777" w:rsidR="00016800" w:rsidRDefault="002D4A27" w:rsidP="00016800">
      <w:r w:rsidRPr="00016800">
        <w:rPr>
          <w:sz w:val="24"/>
        </w:rPr>
        <w:t>This report will explore the connection between SDG 2 and SDG 3 by examining global, national, and local policies and initiatives. It uses evidence from academic literature and policy documents to evaluate how effective these approaches have been in improving health, reducing hunger, and supporting sustainable development</w:t>
      </w:r>
      <w:r w:rsidRPr="002D4A27">
        <w:t>.</w:t>
      </w:r>
    </w:p>
    <w:p w14:paraId="01575BD1" w14:textId="032F32CF" w:rsidR="00016800" w:rsidRPr="00016800" w:rsidRDefault="004C649F" w:rsidP="00016800">
      <w:pPr>
        <w:rPr>
          <w:b/>
          <w:bCs/>
          <w:sz w:val="24"/>
        </w:rPr>
      </w:pPr>
      <w:r w:rsidRPr="00016800">
        <w:rPr>
          <w:b/>
          <w:bCs/>
          <w:sz w:val="24"/>
        </w:rPr>
        <w:t>Section 1: SDG 3 – Good Health and Wellbeing</w:t>
      </w:r>
    </w:p>
    <w:p w14:paraId="26462871" w14:textId="4353CFCA" w:rsidR="00852660" w:rsidRPr="00016800" w:rsidRDefault="00852660" w:rsidP="00852660">
      <w:pPr>
        <w:pStyle w:val="Heading2"/>
        <w:rPr>
          <w:i w:val="0"/>
          <w:iCs w:val="0"/>
          <w:szCs w:val="24"/>
        </w:rPr>
      </w:pPr>
      <w:r w:rsidRPr="00016800">
        <w:rPr>
          <w:i w:val="0"/>
          <w:iCs w:val="0"/>
          <w:szCs w:val="24"/>
        </w:rPr>
        <w:t>1.1 Overview of SDG 3</w:t>
      </w:r>
    </w:p>
    <w:p w14:paraId="73D422A2" w14:textId="77777777" w:rsidR="00016800" w:rsidRDefault="00016800" w:rsidP="00852660">
      <w:pPr>
        <w:pStyle w:val="Heading2"/>
        <w:rPr>
          <w:b w:val="0"/>
          <w:bCs w:val="0"/>
          <w:i w:val="0"/>
          <w:iCs w:val="0"/>
          <w:sz w:val="22"/>
        </w:rPr>
      </w:pPr>
    </w:p>
    <w:p w14:paraId="6C8A4101" w14:textId="0F6A15D4" w:rsidR="00852660" w:rsidRPr="00016800" w:rsidRDefault="00852660" w:rsidP="00016800">
      <w:pPr>
        <w:rPr>
          <w:sz w:val="24"/>
        </w:rPr>
      </w:pPr>
      <w:r w:rsidRPr="00016800">
        <w:rPr>
          <w:sz w:val="24"/>
        </w:rPr>
        <w:t>Sustainable Development Goal 3 (SDG 3) aims to ensure healthy lives and promote well-being for people of all ages. Good health is a basic human right and is essential for achieving sustainable development (United Nations, 2015). SDG 3 focuses on improving health by reducing maternal and child deaths, preventing and treating communicable and non-communicable diseases, improving mental health, and ensuring access to quality healthcare through Universal Health Coverage (WHO, 2024).</w:t>
      </w:r>
    </w:p>
    <w:p w14:paraId="0EECA7EC" w14:textId="77777777" w:rsidR="00852660" w:rsidRPr="00852660" w:rsidRDefault="00852660" w:rsidP="00016800">
      <w:r w:rsidRPr="00016800">
        <w:rPr>
          <w:sz w:val="24"/>
        </w:rPr>
        <w:t>Although significant improvements have been made in global health over recent years, progress towards achieving SDG 3 remains uneven. Many countries continue to face challenges such as health inequalities, shortages of healthcare workers, ageing populations, and the long-term impact of the COVID-19 pandemic (United Nations, 2024). Achieving SDG 3 requires coordinated action at global, national, and local levels, supported by policies that address the wider social, economic, and environmental factors that influence health</w:t>
      </w:r>
      <w:r w:rsidRPr="00852660">
        <w:t>.</w:t>
      </w:r>
    </w:p>
    <w:p w14:paraId="27F2B338" w14:textId="77777777" w:rsidR="00852660" w:rsidRPr="00852660" w:rsidRDefault="00852660" w:rsidP="00852660">
      <w:pPr>
        <w:pStyle w:val="Heading2"/>
        <w:rPr>
          <w:b w:val="0"/>
          <w:bCs w:val="0"/>
          <w:i w:val="0"/>
          <w:iCs w:val="0"/>
          <w:sz w:val="22"/>
        </w:rPr>
      </w:pPr>
    </w:p>
    <w:p w14:paraId="24D244CF" w14:textId="77777777" w:rsidR="00852660" w:rsidRPr="00852660" w:rsidRDefault="00852660" w:rsidP="00852660">
      <w:pPr>
        <w:pStyle w:val="Heading2"/>
        <w:rPr>
          <w:i w:val="0"/>
          <w:iCs w:val="0"/>
          <w:sz w:val="22"/>
        </w:rPr>
      </w:pPr>
    </w:p>
    <w:p w14:paraId="5DB18052" w14:textId="6ED36ACB" w:rsidR="00852660" w:rsidRPr="00016800" w:rsidRDefault="00852660" w:rsidP="00852660">
      <w:pPr>
        <w:pStyle w:val="Heading2"/>
        <w:rPr>
          <w:i w:val="0"/>
          <w:iCs w:val="0"/>
          <w:szCs w:val="24"/>
        </w:rPr>
      </w:pPr>
      <w:r w:rsidRPr="00016800">
        <w:rPr>
          <w:i w:val="0"/>
          <w:iCs w:val="0"/>
          <w:szCs w:val="24"/>
        </w:rPr>
        <w:t>1.2 Critical Evaluation of Global Policies and Initiatives</w:t>
      </w:r>
    </w:p>
    <w:p w14:paraId="4DFC6649" w14:textId="77777777" w:rsidR="00852660" w:rsidRDefault="00852660" w:rsidP="00852660">
      <w:pPr>
        <w:pStyle w:val="Heading2"/>
        <w:rPr>
          <w:b w:val="0"/>
          <w:bCs w:val="0"/>
          <w:i w:val="0"/>
          <w:iCs w:val="0"/>
          <w:sz w:val="22"/>
        </w:rPr>
      </w:pPr>
    </w:p>
    <w:p w14:paraId="7D94BC80" w14:textId="17A91E4E" w:rsidR="00852660" w:rsidRPr="00016800" w:rsidRDefault="00852660" w:rsidP="00016800">
      <w:pPr>
        <w:rPr>
          <w:sz w:val="24"/>
        </w:rPr>
      </w:pPr>
      <w:r w:rsidRPr="00016800">
        <w:rPr>
          <w:sz w:val="24"/>
        </w:rPr>
        <w:t xml:space="preserve">Several global policies and initiatives have been introduced to support the achievement of SDG 3. One important example is the WHO Global Action Plan for Healthy Lives and Well-being for All, which encourages collaboration between international </w:t>
      </w:r>
      <w:proofErr w:type="spellStart"/>
      <w:r w:rsidRPr="00016800">
        <w:rPr>
          <w:sz w:val="24"/>
        </w:rPr>
        <w:t>organisations</w:t>
      </w:r>
      <w:proofErr w:type="spellEnd"/>
      <w:r w:rsidRPr="00016800">
        <w:rPr>
          <w:sz w:val="24"/>
        </w:rPr>
        <w:t xml:space="preserve"> to strengthen health systems, improve disease prevention, promote health, and achieve Universal Health Coverage (WHO, 2023). This initiative has contributed to higher </w:t>
      </w:r>
      <w:proofErr w:type="spellStart"/>
      <w:r w:rsidRPr="00016800">
        <w:rPr>
          <w:sz w:val="24"/>
        </w:rPr>
        <w:t>immunisation</w:t>
      </w:r>
      <w:proofErr w:type="spellEnd"/>
      <w:r w:rsidRPr="00016800">
        <w:rPr>
          <w:sz w:val="24"/>
        </w:rPr>
        <w:t xml:space="preserve"> rates and reductions in maternal and child mortality in many low- and middle-income countries (WHO, 2024). However, its impact is still limited in some regions due to weak healthcare systems, shortages of funding and healthcare workers, and ongoing political instability (United Nations, 2024).</w:t>
      </w:r>
    </w:p>
    <w:p w14:paraId="4E107E39" w14:textId="77777777" w:rsidR="00852660" w:rsidRPr="00016800" w:rsidRDefault="00852660" w:rsidP="00016800">
      <w:pPr>
        <w:rPr>
          <w:sz w:val="24"/>
        </w:rPr>
      </w:pPr>
    </w:p>
    <w:p w14:paraId="69C73722" w14:textId="261E3FA4" w:rsidR="00852660" w:rsidRPr="00016800" w:rsidRDefault="00852660" w:rsidP="00016800">
      <w:pPr>
        <w:rPr>
          <w:sz w:val="24"/>
        </w:rPr>
      </w:pPr>
      <w:r w:rsidRPr="00016800">
        <w:rPr>
          <w:sz w:val="24"/>
        </w:rPr>
        <w:t xml:space="preserve">Another key initiative is the Global Fund to Fight AIDS, Tuberculosis and Malaria, which provides financial support to prevent, diagnose, and treat these diseases. The </w:t>
      </w:r>
      <w:proofErr w:type="spellStart"/>
      <w:r w:rsidRPr="00016800">
        <w:rPr>
          <w:sz w:val="24"/>
        </w:rPr>
        <w:t>programme</w:t>
      </w:r>
      <w:proofErr w:type="spellEnd"/>
      <w:r w:rsidRPr="00016800">
        <w:rPr>
          <w:sz w:val="24"/>
        </w:rPr>
        <w:t xml:space="preserve"> has helped reduce infection rates and improve access to life-saving treatments in many countries (Global Fund, 2024). Its work also reflects Bandura’s Social Learning Theory, as public health campaigns encourage people to adopt healthier behaviors by providing education and positive role models (Bandura, 1986).</w:t>
      </w:r>
    </w:p>
    <w:p w14:paraId="1A9AF8CF" w14:textId="77777777" w:rsidR="00852660" w:rsidRPr="00016800" w:rsidRDefault="00852660" w:rsidP="00016800">
      <w:pPr>
        <w:rPr>
          <w:sz w:val="24"/>
        </w:rPr>
      </w:pPr>
    </w:p>
    <w:p w14:paraId="4647CE6D" w14:textId="77777777" w:rsidR="00852660" w:rsidRPr="00016800" w:rsidRDefault="00852660" w:rsidP="00016800">
      <w:pPr>
        <w:rPr>
          <w:sz w:val="24"/>
        </w:rPr>
      </w:pPr>
      <w:r w:rsidRPr="00016800">
        <w:rPr>
          <w:sz w:val="24"/>
        </w:rPr>
        <w:t xml:space="preserve">In addition, the Every Woman Every Child initiative focuses on improving the health of women, children, and adolescents by increasing access to reproductive, maternal, and child healthcare services. While these global </w:t>
      </w:r>
      <w:proofErr w:type="spellStart"/>
      <w:r w:rsidRPr="00016800">
        <w:rPr>
          <w:sz w:val="24"/>
        </w:rPr>
        <w:t>programmes</w:t>
      </w:r>
      <w:proofErr w:type="spellEnd"/>
      <w:r w:rsidRPr="00016800">
        <w:rPr>
          <w:sz w:val="24"/>
        </w:rPr>
        <w:t xml:space="preserve"> have achieved positive outcomes, their success is often affected by wider issues such as poverty, inequality, limited healthcare access, and lack of resources. These challenges highlight the need for stronger international cooperation and continued investment to achieve SDG 3.</w:t>
      </w:r>
    </w:p>
    <w:p w14:paraId="69127E45" w14:textId="77777777" w:rsidR="00852660" w:rsidRDefault="00852660" w:rsidP="00852660">
      <w:pPr>
        <w:rPr>
          <w:rFonts w:cs="Arial"/>
          <w:b/>
          <w:bCs/>
          <w:sz w:val="24"/>
        </w:rPr>
      </w:pPr>
    </w:p>
    <w:p w14:paraId="47357C5F" w14:textId="43DF5025" w:rsidR="00852660" w:rsidRPr="00016800" w:rsidRDefault="00852660" w:rsidP="00852660">
      <w:pPr>
        <w:rPr>
          <w:rFonts w:cs="Arial"/>
          <w:b/>
          <w:bCs/>
          <w:sz w:val="24"/>
        </w:rPr>
      </w:pPr>
      <w:r w:rsidRPr="00016800">
        <w:rPr>
          <w:rFonts w:cs="Arial"/>
          <w:b/>
          <w:bCs/>
          <w:sz w:val="24"/>
        </w:rPr>
        <w:t>1.3 Critical Evaluation of National and Local Policies and Initiatives</w:t>
      </w:r>
    </w:p>
    <w:p w14:paraId="69F135AE" w14:textId="77777777" w:rsidR="00852660" w:rsidRPr="00016800" w:rsidRDefault="00852660" w:rsidP="00016800">
      <w:pPr>
        <w:rPr>
          <w:sz w:val="24"/>
        </w:rPr>
      </w:pPr>
      <w:r w:rsidRPr="00016800">
        <w:rPr>
          <w:sz w:val="24"/>
        </w:rPr>
        <w:t xml:space="preserve">In the UK, the NHS Long Term Plan (2019) is a key national strategy that supports the achievement of SDG 3. The plan focuses on preventing illness, improving integrated care, using digital technology, and reducing health inequalities by providing earlier intervention and better access to healthcare services (NHS England, 2019). This approach supports SDG 3 because it aims to prevent illness before it develops rather than only treating people when they become unwell. For example, screening </w:t>
      </w:r>
      <w:proofErr w:type="spellStart"/>
      <w:r w:rsidRPr="00016800">
        <w:rPr>
          <w:sz w:val="24"/>
        </w:rPr>
        <w:t>programmes</w:t>
      </w:r>
      <w:proofErr w:type="spellEnd"/>
      <w:r w:rsidRPr="00016800">
        <w:rPr>
          <w:sz w:val="24"/>
        </w:rPr>
        <w:t xml:space="preserve"> and health promotion campaigns can help reduce the number of people living with long-term conditions. However, the success of the plan has been limited by staff shortages, increasing demand for services, long waiting lists, and the ongoing impact of the COVID-19 pandemic (The King’s Fund, 2024). Although digital healthcare has improved access for many people, some older adults and low-income groups continue to experience digital exclusion, which may increase health inequalities.</w:t>
      </w:r>
    </w:p>
    <w:p w14:paraId="65A54700" w14:textId="77777777" w:rsidR="00852660" w:rsidRPr="00016800" w:rsidRDefault="00852660" w:rsidP="00016800">
      <w:pPr>
        <w:rPr>
          <w:sz w:val="24"/>
        </w:rPr>
      </w:pPr>
      <w:r w:rsidRPr="00016800">
        <w:rPr>
          <w:sz w:val="24"/>
        </w:rPr>
        <w:t xml:space="preserve">Mental health policies also contribute to achieving SDG 3. The NHS Long Term Plan has increased investment in mental health services by expanding access to psychological therapies and early intervention </w:t>
      </w:r>
      <w:proofErr w:type="spellStart"/>
      <w:r w:rsidRPr="00016800">
        <w:rPr>
          <w:sz w:val="24"/>
        </w:rPr>
        <w:t>programmes</w:t>
      </w:r>
      <w:proofErr w:type="spellEnd"/>
      <w:r w:rsidRPr="00016800">
        <w:rPr>
          <w:sz w:val="24"/>
        </w:rPr>
        <w:t xml:space="preserve">. These initiatives </w:t>
      </w:r>
      <w:proofErr w:type="spellStart"/>
      <w:r w:rsidRPr="00016800">
        <w:rPr>
          <w:sz w:val="24"/>
        </w:rPr>
        <w:t>recognise</w:t>
      </w:r>
      <w:proofErr w:type="spellEnd"/>
      <w:r w:rsidRPr="00016800">
        <w:rPr>
          <w:sz w:val="24"/>
        </w:rPr>
        <w:t xml:space="preserve"> the close relationship between mental and physical health. The Health Belief Model helps explain how anti-stigma campaigns encourage people to seek support by increasing awareness of the benefits of treatment and reducing fear or misunderstanding about mental illness. Despite improvements in awareness, many people still experience delays in receiving care because of staff shortages and long waiting times (NHS Confederation, 2024). As a result, the full benefits of these policies have not yet been achieved.</w:t>
      </w:r>
    </w:p>
    <w:p w14:paraId="10A1AF55" w14:textId="77777777" w:rsidR="00852660" w:rsidRPr="00852660" w:rsidRDefault="00852660" w:rsidP="00016800">
      <w:r w:rsidRPr="00016800">
        <w:rPr>
          <w:sz w:val="24"/>
        </w:rPr>
        <w:t xml:space="preserve">At a local level, the Kirklees Community Champions </w:t>
      </w:r>
      <w:proofErr w:type="spellStart"/>
      <w:r w:rsidRPr="00016800">
        <w:rPr>
          <w:sz w:val="24"/>
        </w:rPr>
        <w:t>Programme</w:t>
      </w:r>
      <w:proofErr w:type="spellEnd"/>
      <w:r w:rsidRPr="00016800">
        <w:rPr>
          <w:sz w:val="24"/>
        </w:rPr>
        <w:t xml:space="preserve"> demonstrates how community-based initiatives can improve health outcomes. The </w:t>
      </w:r>
      <w:proofErr w:type="spellStart"/>
      <w:r w:rsidRPr="00016800">
        <w:rPr>
          <w:sz w:val="24"/>
        </w:rPr>
        <w:t>programme</w:t>
      </w:r>
      <w:proofErr w:type="spellEnd"/>
      <w:r w:rsidRPr="00016800">
        <w:rPr>
          <w:sz w:val="24"/>
        </w:rPr>
        <w:t xml:space="preserve"> trains local volunteers to share health information and encourage healthy </w:t>
      </w:r>
      <w:proofErr w:type="spellStart"/>
      <w:r w:rsidRPr="00016800">
        <w:rPr>
          <w:sz w:val="24"/>
        </w:rPr>
        <w:t>behaviours</w:t>
      </w:r>
      <w:proofErr w:type="spellEnd"/>
      <w:r w:rsidRPr="00016800">
        <w:rPr>
          <w:sz w:val="24"/>
        </w:rPr>
        <w:t xml:space="preserve"> within their communities. Its success reflects Social Cognitive Theory, which suggests that people are more likely to adopt healthy </w:t>
      </w:r>
      <w:proofErr w:type="spellStart"/>
      <w:r w:rsidRPr="00016800">
        <w:rPr>
          <w:sz w:val="24"/>
        </w:rPr>
        <w:t>behaviours</w:t>
      </w:r>
      <w:proofErr w:type="spellEnd"/>
      <w:r w:rsidRPr="00016800">
        <w:rPr>
          <w:sz w:val="24"/>
        </w:rPr>
        <w:t xml:space="preserve"> when influenced by trusted role models and positive social networks (</w:t>
      </w:r>
      <w:proofErr w:type="spellStart"/>
      <w:r w:rsidRPr="00016800">
        <w:rPr>
          <w:sz w:val="24"/>
        </w:rPr>
        <w:t>Szetey</w:t>
      </w:r>
      <w:proofErr w:type="spellEnd"/>
      <w:r w:rsidRPr="00016800">
        <w:rPr>
          <w:sz w:val="24"/>
        </w:rPr>
        <w:t xml:space="preserve"> et al., 2021). Although the </w:t>
      </w:r>
      <w:proofErr w:type="spellStart"/>
      <w:r w:rsidRPr="00016800">
        <w:rPr>
          <w:sz w:val="24"/>
        </w:rPr>
        <w:t>programme</w:t>
      </w:r>
      <w:proofErr w:type="spellEnd"/>
      <w:r w:rsidRPr="00016800">
        <w:rPr>
          <w:sz w:val="24"/>
        </w:rPr>
        <w:t xml:space="preserve"> has helped improve community engagement and health awareness, its long-term success depends on continued funding and volunteer support</w:t>
      </w:r>
      <w:r w:rsidRPr="00852660">
        <w:t>.</w:t>
      </w:r>
    </w:p>
    <w:p w14:paraId="73E9D3F6" w14:textId="77777777" w:rsidR="00016800" w:rsidRDefault="00016800" w:rsidP="00852660">
      <w:pPr>
        <w:rPr>
          <w:b/>
          <w:bCs/>
          <w:sz w:val="24"/>
        </w:rPr>
      </w:pPr>
    </w:p>
    <w:p w14:paraId="25D00BAC" w14:textId="1F073E32" w:rsidR="00852660" w:rsidRPr="00016800" w:rsidRDefault="00852660" w:rsidP="00852660">
      <w:pPr>
        <w:rPr>
          <w:b/>
          <w:bCs/>
          <w:sz w:val="24"/>
        </w:rPr>
      </w:pPr>
      <w:r w:rsidRPr="00016800">
        <w:rPr>
          <w:b/>
          <w:bCs/>
          <w:sz w:val="24"/>
        </w:rPr>
        <w:t>1.4 Recommendations</w:t>
      </w:r>
    </w:p>
    <w:p w14:paraId="395C9D60" w14:textId="6C756F5D" w:rsidR="00852660" w:rsidRPr="00016800" w:rsidRDefault="00852660" w:rsidP="00016800">
      <w:pPr>
        <w:rPr>
          <w:sz w:val="24"/>
        </w:rPr>
      </w:pPr>
      <w:r w:rsidRPr="00016800">
        <w:rPr>
          <w:sz w:val="24"/>
        </w:rPr>
        <w:t xml:space="preserve">To make further progress towards achieving SDG 3, several improvements are needed. First, greater investment should be made in community-based prevention </w:t>
      </w:r>
      <w:proofErr w:type="spellStart"/>
      <w:r w:rsidRPr="00016800">
        <w:rPr>
          <w:sz w:val="24"/>
        </w:rPr>
        <w:t>programmes</w:t>
      </w:r>
      <w:proofErr w:type="spellEnd"/>
      <w:r w:rsidRPr="00016800">
        <w:rPr>
          <w:sz w:val="24"/>
        </w:rPr>
        <w:t>, particularly in disadvantaged areas where health inequalities are highest. Community-led initiatives can improve health education and encourage healthier lifestyles through trusted local networks.</w:t>
      </w:r>
    </w:p>
    <w:p w14:paraId="310E4830" w14:textId="77777777" w:rsidR="00852660" w:rsidRPr="00016800" w:rsidRDefault="00852660" w:rsidP="00016800">
      <w:pPr>
        <w:rPr>
          <w:sz w:val="24"/>
        </w:rPr>
      </w:pPr>
      <w:r w:rsidRPr="00016800">
        <w:rPr>
          <w:sz w:val="24"/>
        </w:rPr>
        <w:t>Second, more funding should be provided to recruit, train, and retain healthcare professionals across both physical and mental health services. Addressing workforce shortages will improve access to care and reduce waiting times.</w:t>
      </w:r>
    </w:p>
    <w:p w14:paraId="582BFAD0" w14:textId="0BF42AE3" w:rsidR="00852660" w:rsidRPr="00016800" w:rsidRDefault="00852660" w:rsidP="00016800">
      <w:pPr>
        <w:rPr>
          <w:sz w:val="24"/>
        </w:rPr>
      </w:pPr>
      <w:r w:rsidRPr="00016800">
        <w:rPr>
          <w:sz w:val="24"/>
        </w:rPr>
        <w:t xml:space="preserve">Finally, stronger collaboration between the NHS, local authorities, and community </w:t>
      </w:r>
      <w:proofErr w:type="spellStart"/>
      <w:r w:rsidRPr="00016800">
        <w:rPr>
          <w:sz w:val="24"/>
        </w:rPr>
        <w:t>organisations</w:t>
      </w:r>
      <w:proofErr w:type="spellEnd"/>
      <w:r w:rsidRPr="00016800">
        <w:rPr>
          <w:sz w:val="24"/>
        </w:rPr>
        <w:t xml:space="preserve"> is needed to address the wider social factors that affect health, such as poverty, housing, education, and employment. Working together across different sectors will help create fairer access to healthcare and improve health outcomes for everyone.</w:t>
      </w:r>
    </w:p>
    <w:p w14:paraId="782C6ED7" w14:textId="77777777" w:rsidR="00315902" w:rsidRDefault="00315902" w:rsidP="00315902">
      <w:pPr>
        <w:spacing w:line="360" w:lineRule="auto"/>
        <w:rPr>
          <w:rFonts w:cs="Arial"/>
          <w:sz w:val="24"/>
        </w:rPr>
      </w:pPr>
    </w:p>
    <w:p w14:paraId="6DC94605" w14:textId="3575F919" w:rsidR="003F6E72" w:rsidRPr="00016800" w:rsidRDefault="003F6E72" w:rsidP="005A3926">
      <w:pPr>
        <w:spacing w:line="360" w:lineRule="auto"/>
        <w:rPr>
          <w:rFonts w:eastAsiaTheme="majorEastAsia" w:cs="Arial"/>
          <w:b/>
          <w:bCs/>
          <w:color w:val="000000" w:themeColor="text1"/>
          <w:sz w:val="28"/>
          <w:szCs w:val="28"/>
        </w:rPr>
      </w:pPr>
      <w:r w:rsidRPr="00016800">
        <w:rPr>
          <w:rFonts w:cs="Arial"/>
          <w:b/>
          <w:bCs/>
          <w:sz w:val="28"/>
          <w:szCs w:val="28"/>
        </w:rPr>
        <w:t>Section 2: SDG 2 – Zero Hunger</w:t>
      </w:r>
    </w:p>
    <w:p w14:paraId="010427D9" w14:textId="77777777" w:rsidR="005A3926" w:rsidRPr="00016800" w:rsidRDefault="005A3926" w:rsidP="005A3926">
      <w:pPr>
        <w:rPr>
          <w:b/>
          <w:bCs/>
          <w:sz w:val="24"/>
        </w:rPr>
      </w:pPr>
      <w:r w:rsidRPr="00016800">
        <w:rPr>
          <w:b/>
          <w:bCs/>
          <w:sz w:val="24"/>
        </w:rPr>
        <w:t>2.1 Overview of SDG 2</w:t>
      </w:r>
    </w:p>
    <w:p w14:paraId="17795E97" w14:textId="77777777" w:rsidR="005A3926" w:rsidRPr="00016800" w:rsidRDefault="005A3926" w:rsidP="00016800">
      <w:r w:rsidRPr="00016800">
        <w:t>Sustainable Development Goal 2 (SDG 2) aims to end hunger, improve food security, promote better nutrition, and support sustainable agriculture by 2030 (United Nations, 2015). Although the world produces enough food to feed everyone, many people still struggle to access affordable, safe, and nutritious food. Ongoing challenges such as climate change, conflict, rising food prices, and economic instability continue to increase food insecurity and slow progress towards achieving this goal (FAO, 2024a).</w:t>
      </w:r>
    </w:p>
    <w:p w14:paraId="262E8786" w14:textId="77777777" w:rsidR="005A3926" w:rsidRPr="00016800" w:rsidRDefault="005A3926" w:rsidP="00016800">
      <w:r w:rsidRPr="00016800">
        <w:t>SDG 2 is closely linked to health because good nutrition is essential for physical and mental well-being. Poor nutrition can lead to malnutrition, obesity, diabetes, cardiovascular disease, weakened immunity, and poor mental health. For this reason, SDG 2 works closely alongside SDG 3 (Good Health and Well-being), as improving access to healthy food can lead to better health outcomes.</w:t>
      </w:r>
    </w:p>
    <w:p w14:paraId="5ECCC5A5" w14:textId="6211D54A" w:rsidR="005A3926" w:rsidRPr="00016800" w:rsidRDefault="005A3926" w:rsidP="00016800">
      <w:r w:rsidRPr="00016800">
        <w:t>Achieving SDG 2 requires action at global, national, and local levels. This includes improving food production, increasing access to nutritious food, reducing food inequalities, and addressing the social and economic factors that influence people’s food choices and overall nutritional health.</w:t>
      </w:r>
    </w:p>
    <w:p w14:paraId="75C3EED7" w14:textId="77777777" w:rsidR="005A3926" w:rsidRPr="005A3926" w:rsidRDefault="005A3926" w:rsidP="005A3926">
      <w:pPr>
        <w:pStyle w:val="Heading2"/>
        <w:rPr>
          <w:i w:val="0"/>
          <w:iCs w:val="0"/>
          <w:szCs w:val="24"/>
        </w:rPr>
      </w:pPr>
      <w:r w:rsidRPr="005A3926">
        <w:rPr>
          <w:i w:val="0"/>
          <w:iCs w:val="0"/>
          <w:szCs w:val="24"/>
        </w:rPr>
        <w:t>2.2 Critical Evaluation of Global Policies and Initiatives</w:t>
      </w:r>
    </w:p>
    <w:p w14:paraId="5F30E674" w14:textId="77777777" w:rsidR="005A3926" w:rsidRPr="005A3926" w:rsidRDefault="005A3926" w:rsidP="005A3926"/>
    <w:p w14:paraId="78AEAAB5" w14:textId="77777777" w:rsidR="005A3926" w:rsidRPr="00016800" w:rsidRDefault="005A3926" w:rsidP="00016800">
      <w:pPr>
        <w:rPr>
          <w:sz w:val="24"/>
        </w:rPr>
      </w:pPr>
      <w:r w:rsidRPr="00016800">
        <w:rPr>
          <w:sz w:val="24"/>
        </w:rPr>
        <w:t xml:space="preserve">Several international </w:t>
      </w:r>
      <w:proofErr w:type="spellStart"/>
      <w:r w:rsidRPr="00016800">
        <w:rPr>
          <w:sz w:val="24"/>
        </w:rPr>
        <w:t>organisations</w:t>
      </w:r>
      <w:proofErr w:type="spellEnd"/>
      <w:r w:rsidRPr="00016800">
        <w:rPr>
          <w:sz w:val="24"/>
        </w:rPr>
        <w:t xml:space="preserve"> have introduced </w:t>
      </w:r>
      <w:proofErr w:type="spellStart"/>
      <w:r w:rsidRPr="00016800">
        <w:rPr>
          <w:sz w:val="24"/>
        </w:rPr>
        <w:t>programmes</w:t>
      </w:r>
      <w:proofErr w:type="spellEnd"/>
      <w:r w:rsidRPr="00016800">
        <w:rPr>
          <w:sz w:val="24"/>
        </w:rPr>
        <w:t xml:space="preserve"> to help achieve SDG 2 by reducing hunger and improving food security. One of the most important is the World Food </w:t>
      </w:r>
      <w:proofErr w:type="spellStart"/>
      <w:r w:rsidRPr="00016800">
        <w:rPr>
          <w:sz w:val="24"/>
        </w:rPr>
        <w:t>Programme</w:t>
      </w:r>
      <w:proofErr w:type="spellEnd"/>
      <w:r w:rsidRPr="00016800">
        <w:rPr>
          <w:sz w:val="24"/>
        </w:rPr>
        <w:t xml:space="preserve"> (WFP), which provides emergency food assistance during conflicts, natural disasters, and humanitarian crises (WFP, 2024). These interventions have saved millions of lives by providing immediate support to vulnerable populations. However, while the WFP is effective at responding to emergencies, it does not address the underlying causes of hunger, such as poverty, political instability, climate change, and inequality (Clapp et al., 2022).</w:t>
      </w:r>
    </w:p>
    <w:p w14:paraId="17F1879B" w14:textId="77777777" w:rsidR="00016800" w:rsidRPr="00016800" w:rsidRDefault="00016800" w:rsidP="00016800">
      <w:pPr>
        <w:rPr>
          <w:i/>
          <w:iCs/>
        </w:rPr>
      </w:pPr>
    </w:p>
    <w:p w14:paraId="5FD7E4A7" w14:textId="5B31936C" w:rsidR="005A3926" w:rsidRPr="00016800" w:rsidRDefault="005A3926" w:rsidP="00016800">
      <w:pPr>
        <w:rPr>
          <w:sz w:val="24"/>
        </w:rPr>
      </w:pPr>
      <w:r w:rsidRPr="00016800">
        <w:rPr>
          <w:sz w:val="24"/>
        </w:rPr>
        <w:t xml:space="preserve">Another major </w:t>
      </w:r>
      <w:proofErr w:type="spellStart"/>
      <w:r w:rsidRPr="00016800">
        <w:rPr>
          <w:sz w:val="24"/>
        </w:rPr>
        <w:t>organisation</w:t>
      </w:r>
      <w:proofErr w:type="spellEnd"/>
      <w:r w:rsidRPr="00016800">
        <w:rPr>
          <w:sz w:val="24"/>
        </w:rPr>
        <w:t xml:space="preserve"> is the Food and Agriculture Organization (FAO), which promotes sustainable agriculture, climate-smart farming, and support for small-scale farmers to improve long-term food security. Many of its </w:t>
      </w:r>
      <w:proofErr w:type="spellStart"/>
      <w:r w:rsidRPr="00016800">
        <w:rPr>
          <w:sz w:val="24"/>
        </w:rPr>
        <w:t>programmes</w:t>
      </w:r>
      <w:proofErr w:type="spellEnd"/>
      <w:r w:rsidRPr="00016800">
        <w:rPr>
          <w:sz w:val="24"/>
        </w:rPr>
        <w:t xml:space="preserve"> encourage communities to share knowledge and adopt sustainable farming practices, reflecting the principles of Social Cognitive Theory, where people learn through observation and collaboration (Bandura, 1986). Despite these efforts, progress has been limited in some countries because of poor infrastructure, weak governance, limited access to technology, and the increasing effects of climate change.</w:t>
      </w:r>
    </w:p>
    <w:p w14:paraId="21AE7476" w14:textId="77777777" w:rsidR="00016800" w:rsidRPr="00016800" w:rsidRDefault="00016800" w:rsidP="00016800">
      <w:pPr>
        <w:rPr>
          <w:i/>
          <w:iCs/>
          <w:sz w:val="24"/>
        </w:rPr>
      </w:pPr>
    </w:p>
    <w:p w14:paraId="786BC118" w14:textId="27EBF1F8" w:rsidR="005A3926" w:rsidRPr="00016800" w:rsidRDefault="005A3926" w:rsidP="00016800">
      <w:r w:rsidRPr="00016800">
        <w:rPr>
          <w:sz w:val="24"/>
        </w:rPr>
        <w:t xml:space="preserve">The UN Decade of Action on Nutrition has also helped raise awareness about healthy diets and the prevention of malnutrition. However, the continued presence of both undernutrition and obesity shows that increasing knowledge alone is not enough. Many people understand the importance of healthy eating but cannot afford or access nutritious food because of poverty, rising food prices, or limited availability. This reflects the limitations of the Health Belief Model (Rosenstock, 1974), which suggests that awareness alone does not always lead to </w:t>
      </w:r>
      <w:proofErr w:type="spellStart"/>
      <w:r w:rsidRPr="00016800">
        <w:rPr>
          <w:sz w:val="24"/>
        </w:rPr>
        <w:t>behaviour</w:t>
      </w:r>
      <w:proofErr w:type="spellEnd"/>
      <w:r w:rsidRPr="00016800">
        <w:rPr>
          <w:sz w:val="24"/>
        </w:rPr>
        <w:t xml:space="preserve"> change when significant social and economic barriers exist. Therefore, achieving SDG 2 requires a combination of education, policy change, and practical support to improve access to healthy and affordable food</w:t>
      </w:r>
      <w:r w:rsidRPr="00016800">
        <w:t>.</w:t>
      </w:r>
    </w:p>
    <w:p w14:paraId="58DB9B2C" w14:textId="77777777" w:rsidR="005A3926" w:rsidRPr="00016800" w:rsidRDefault="005A3926" w:rsidP="00016800"/>
    <w:p w14:paraId="7BDCBEB9" w14:textId="77777777" w:rsidR="005A3926" w:rsidRPr="005A3926" w:rsidRDefault="005A3926" w:rsidP="005A3926">
      <w:pPr>
        <w:pStyle w:val="Heading2"/>
        <w:rPr>
          <w:i w:val="0"/>
          <w:iCs w:val="0"/>
          <w:szCs w:val="24"/>
        </w:rPr>
      </w:pPr>
    </w:p>
    <w:p w14:paraId="5E8DB3F2" w14:textId="77777777" w:rsidR="005A3926" w:rsidRPr="005A3926" w:rsidRDefault="005A3926" w:rsidP="005A3926">
      <w:pPr>
        <w:pStyle w:val="Heading2"/>
        <w:rPr>
          <w:i w:val="0"/>
          <w:iCs w:val="0"/>
          <w:szCs w:val="24"/>
        </w:rPr>
      </w:pPr>
      <w:r w:rsidRPr="005A3926">
        <w:rPr>
          <w:i w:val="0"/>
          <w:iCs w:val="0"/>
          <w:szCs w:val="24"/>
        </w:rPr>
        <w:t>2.3 Critical Evaluation of National and Local Policies and Initiatives</w:t>
      </w:r>
    </w:p>
    <w:p w14:paraId="7D3D24C0" w14:textId="77777777" w:rsidR="005A3926" w:rsidRPr="00016800" w:rsidRDefault="005A3926" w:rsidP="00016800">
      <w:r w:rsidRPr="00016800">
        <w:t xml:space="preserve">In the United Kingdom, several national and local initiatives have been introduced to support SDG 2 by improving nutrition and reducing food inequalities. One important example is the Childhood Obesity Strategy, which aims to reduce childhood obesity through sugar reduction </w:t>
      </w:r>
      <w:proofErr w:type="spellStart"/>
      <w:r w:rsidRPr="00016800">
        <w:t>programmes</w:t>
      </w:r>
      <w:proofErr w:type="spellEnd"/>
      <w:r w:rsidRPr="00016800">
        <w:t xml:space="preserve">, restrictions on advertising unhealthy foods to children, and public health campaigns that encourage healthy eating and physical activity (Public Health England, 2020). These initiatives are based on the Health Belief Model, which aims to increase awareness of the health risks associated with obesity and encourage healthier lifestyle choices (Green et al., 2020). However, the strategy has limitations because it does not fully address wider factors such as low income, rising food costs, and limited access to healthy food, all of which can make </w:t>
      </w:r>
      <w:proofErr w:type="spellStart"/>
      <w:r w:rsidRPr="00016800">
        <w:t>behaviour</w:t>
      </w:r>
      <w:proofErr w:type="spellEnd"/>
      <w:r w:rsidRPr="00016800">
        <w:t xml:space="preserve"> change difficult.</w:t>
      </w:r>
    </w:p>
    <w:p w14:paraId="1A88C3CE" w14:textId="77777777" w:rsidR="005A3926" w:rsidRPr="00016800" w:rsidRDefault="005A3926" w:rsidP="00016800">
      <w:pPr>
        <w:rPr>
          <w:i/>
          <w:iCs/>
        </w:rPr>
      </w:pPr>
    </w:p>
    <w:p w14:paraId="2DB7D1C9" w14:textId="37718F07" w:rsidR="005A3926" w:rsidRPr="00016800" w:rsidRDefault="005A3926" w:rsidP="00016800">
      <w:r w:rsidRPr="00016800">
        <w:t xml:space="preserve">Another national initiative is Change4Life, which promotes healthy eating and regular physical activity through education, family support, and social marketing campaigns. The </w:t>
      </w:r>
      <w:proofErr w:type="spellStart"/>
      <w:r w:rsidRPr="00016800">
        <w:t>programme</w:t>
      </w:r>
      <w:proofErr w:type="spellEnd"/>
      <w:r w:rsidRPr="00016800">
        <w:t xml:space="preserve"> is supported by Social Cognitive Theory, as it encourages learning through positive role models, family involvement, and increased confidence to make healthier choices (Bandura, 1986). Although the campaign has improved public awareness, evidence suggests that long-term changes in eating habits have been limited (Department of Health and Social Care, 2021).</w:t>
      </w:r>
    </w:p>
    <w:p w14:paraId="7FF7E58E" w14:textId="77777777" w:rsidR="005A3926" w:rsidRPr="00016800" w:rsidRDefault="005A3926" w:rsidP="00016800">
      <w:r w:rsidRPr="00016800">
        <w:t xml:space="preserve">The Healthy Start Scheme also supports SDG 2 by providing financial assistance to eligible low-income families to help them buy healthy foods such as fruit, vegetables, milk, and infant formula. While the scheme has improved access to nutritious food for many families, participation remains lower than expected because some eligible households are unaware of the </w:t>
      </w:r>
      <w:proofErr w:type="spellStart"/>
      <w:r w:rsidRPr="00016800">
        <w:t>programme</w:t>
      </w:r>
      <w:proofErr w:type="spellEnd"/>
      <w:r w:rsidRPr="00016800">
        <w:t xml:space="preserve"> or face barriers to applying (McFadden et al., 2022). These examples show that improving nutrition requires policies that not only educate people but also reduce food poverty and inequalities.</w:t>
      </w:r>
    </w:p>
    <w:p w14:paraId="3EAB744F" w14:textId="77777777" w:rsidR="005A3926" w:rsidRDefault="005A3926" w:rsidP="005A3926">
      <w:pPr>
        <w:pStyle w:val="Heading2"/>
        <w:rPr>
          <w:b w:val="0"/>
          <w:bCs w:val="0"/>
          <w:i w:val="0"/>
          <w:iCs w:val="0"/>
          <w:sz w:val="22"/>
        </w:rPr>
      </w:pPr>
    </w:p>
    <w:p w14:paraId="642E7B1C" w14:textId="0BCC7B86" w:rsidR="005A3926" w:rsidRPr="005A3926" w:rsidRDefault="005A3926" w:rsidP="005A3926">
      <w:pPr>
        <w:pStyle w:val="Heading2"/>
        <w:rPr>
          <w:i w:val="0"/>
          <w:iCs w:val="0"/>
          <w:szCs w:val="24"/>
        </w:rPr>
      </w:pPr>
      <w:r w:rsidRPr="005A3926">
        <w:rPr>
          <w:i w:val="0"/>
          <w:iCs w:val="0"/>
          <w:szCs w:val="24"/>
        </w:rPr>
        <w:t>2.4 Recommendations</w:t>
      </w:r>
    </w:p>
    <w:p w14:paraId="4AD1772C" w14:textId="77777777" w:rsidR="005A3926" w:rsidRDefault="005A3926" w:rsidP="00016800"/>
    <w:p w14:paraId="6635CB32" w14:textId="27B44BEC" w:rsidR="005A3926" w:rsidRPr="00016800" w:rsidRDefault="005A3926" w:rsidP="00016800">
      <w:pPr>
        <w:rPr>
          <w:sz w:val="24"/>
        </w:rPr>
      </w:pPr>
      <w:r w:rsidRPr="00016800">
        <w:rPr>
          <w:sz w:val="24"/>
        </w:rPr>
        <w:t xml:space="preserve">To make further progress towards SDG 2, greater action is needed to address the underlying causes of food insecurity. Firstly, governments should expand financial support and healthy food subsidy </w:t>
      </w:r>
      <w:proofErr w:type="spellStart"/>
      <w:r w:rsidRPr="00016800">
        <w:rPr>
          <w:sz w:val="24"/>
        </w:rPr>
        <w:t>programmes</w:t>
      </w:r>
      <w:proofErr w:type="spellEnd"/>
      <w:r w:rsidRPr="00016800">
        <w:rPr>
          <w:sz w:val="24"/>
        </w:rPr>
        <w:t xml:space="preserve"> to help low-income families afford nutritious food. Secondly, stronger regulations should be introduced to reduce the marketing of unhealthy foods, particularly those aimed at children, to encourage healthier eating habits from an early age.</w:t>
      </w:r>
    </w:p>
    <w:p w14:paraId="31518F92" w14:textId="38C117D4" w:rsidR="00315902" w:rsidRPr="00016800" w:rsidRDefault="005A3926" w:rsidP="00016800">
      <w:pPr>
        <w:rPr>
          <w:sz w:val="24"/>
        </w:rPr>
      </w:pPr>
      <w:r w:rsidRPr="00016800">
        <w:rPr>
          <w:sz w:val="24"/>
        </w:rPr>
        <w:t xml:space="preserve">Finally, nutrition policies should be better integrated with health, education, and social care services. Working together across these sectors would help tackle food insecurity, reduce health inequalities, and improve overall health and well-being. Addressing both individual </w:t>
      </w:r>
      <w:proofErr w:type="spellStart"/>
      <w:r w:rsidRPr="00016800">
        <w:rPr>
          <w:sz w:val="24"/>
        </w:rPr>
        <w:t>behaviours</w:t>
      </w:r>
      <w:proofErr w:type="spellEnd"/>
      <w:r w:rsidRPr="00016800">
        <w:rPr>
          <w:sz w:val="24"/>
        </w:rPr>
        <w:t xml:space="preserve"> and the wider social and economic factors that influence food choices will be essential for achieving SDG 2 by 2030.</w:t>
      </w:r>
    </w:p>
    <w:p w14:paraId="7BDB63F5" w14:textId="77777777" w:rsidR="00315902" w:rsidRPr="00016800" w:rsidRDefault="00315902" w:rsidP="00016800">
      <w:pPr>
        <w:rPr>
          <w:sz w:val="24"/>
        </w:rPr>
      </w:pPr>
    </w:p>
    <w:p w14:paraId="252731BA" w14:textId="3AA7BA4F" w:rsidR="00016800" w:rsidRPr="00016800" w:rsidRDefault="003F6E72" w:rsidP="00016800">
      <w:pPr>
        <w:pStyle w:val="Heading1"/>
        <w:rPr>
          <w:szCs w:val="24"/>
        </w:rPr>
      </w:pPr>
      <w:r w:rsidRPr="00315902">
        <w:rPr>
          <w:szCs w:val="24"/>
        </w:rPr>
        <w:t>Conclusion</w:t>
      </w:r>
    </w:p>
    <w:p w14:paraId="6BAB7C24" w14:textId="77777777" w:rsidR="00016800" w:rsidRPr="00016800" w:rsidRDefault="00016800" w:rsidP="00016800">
      <w:pPr>
        <w:rPr>
          <w:sz w:val="24"/>
        </w:rPr>
      </w:pPr>
      <w:r w:rsidRPr="00016800">
        <w:rPr>
          <w:sz w:val="24"/>
        </w:rPr>
        <w:t xml:space="preserve">This report evaluated the effectiveness of global, national, and local policies and initiatives that support SDG 3 (Good Health and Well-being) and SDG 2 (Zero Hunger). It found that international initiatives, including the WHO Global Action Plan, the Global Fund, the World Food </w:t>
      </w:r>
      <w:proofErr w:type="spellStart"/>
      <w:r w:rsidRPr="00016800">
        <w:rPr>
          <w:sz w:val="24"/>
        </w:rPr>
        <w:t>Programme</w:t>
      </w:r>
      <w:proofErr w:type="spellEnd"/>
      <w:r w:rsidRPr="00016800">
        <w:rPr>
          <w:sz w:val="24"/>
        </w:rPr>
        <w:t>, and the Food and Agriculture Organization (FAO), have made important contributions to improving health, reducing disease, and strengthening food security. In the UK, policies such as the NHS Long Term Plan, the Childhood Obesity Strategy, Change4Life, and the Healthy Start Scheme have also helped promote healthier lifestyles and improve access to healthcare and nutritious food.</w:t>
      </w:r>
    </w:p>
    <w:p w14:paraId="2CC66D89" w14:textId="77777777" w:rsidR="00016800" w:rsidRPr="00016800" w:rsidRDefault="00016800" w:rsidP="00016800">
      <w:pPr>
        <w:rPr>
          <w:sz w:val="24"/>
        </w:rPr>
      </w:pPr>
      <w:r w:rsidRPr="00016800">
        <w:t xml:space="preserve">Despite these positive developments, significant challenges remain. Health and food inequalities, workforce shortages, limited funding, and differences in access to services </w:t>
      </w:r>
      <w:r w:rsidRPr="00016800">
        <w:rPr>
          <w:sz w:val="24"/>
        </w:rPr>
        <w:t xml:space="preserve">continue to slow progress towards achieving both SDGs. The report also showed that while the Health Belief Model and Social Cognitive Theory can successfully increase awareness and encourage healthier </w:t>
      </w:r>
      <w:proofErr w:type="spellStart"/>
      <w:r w:rsidRPr="00016800">
        <w:rPr>
          <w:sz w:val="24"/>
        </w:rPr>
        <w:t>behaviours</w:t>
      </w:r>
      <w:proofErr w:type="spellEnd"/>
      <w:r w:rsidRPr="00016800">
        <w:rPr>
          <w:sz w:val="24"/>
        </w:rPr>
        <w:t>, they are less effective when people face barriers such as poverty, food insecurity, and limited access to healthcare.</w:t>
      </w:r>
    </w:p>
    <w:p w14:paraId="1F5EA3D5" w14:textId="4FA335CD" w:rsidR="00362876" w:rsidRPr="00016800" w:rsidRDefault="00016800" w:rsidP="00016800">
      <w:r w:rsidRPr="00016800">
        <w:rPr>
          <w:sz w:val="24"/>
        </w:rPr>
        <w:t xml:space="preserve">Overall, achieving SDG 2 and SDG 3 will require stronger collaboration between governments, healthcare services, community </w:t>
      </w:r>
      <w:proofErr w:type="spellStart"/>
      <w:r w:rsidRPr="00016800">
        <w:rPr>
          <w:sz w:val="24"/>
        </w:rPr>
        <w:t>organisations</w:t>
      </w:r>
      <w:proofErr w:type="spellEnd"/>
      <w:r w:rsidRPr="00016800">
        <w:rPr>
          <w:sz w:val="24"/>
        </w:rPr>
        <w:t xml:space="preserve">, and international agencies. Alongside encouraging individual </w:t>
      </w:r>
      <w:proofErr w:type="spellStart"/>
      <w:r w:rsidRPr="00016800">
        <w:rPr>
          <w:sz w:val="24"/>
        </w:rPr>
        <w:t>behaviour</w:t>
      </w:r>
      <w:proofErr w:type="spellEnd"/>
      <w:r w:rsidRPr="00016800">
        <w:rPr>
          <w:sz w:val="24"/>
        </w:rPr>
        <w:t xml:space="preserve"> change, policies must also address the wider social and economic factors that influence health and nutrition to ensure long-term, sustainable improvements.</w:t>
      </w:r>
      <w:r w:rsidR="00362876" w:rsidRPr="00315902">
        <w:rPr>
          <w:rFonts w:cs="Arial"/>
          <w:color w:val="000000" w:themeColor="text1"/>
        </w:rPr>
        <w:br w:type="page"/>
      </w:r>
    </w:p>
    <w:p w14:paraId="7145530F" w14:textId="6FCC030B" w:rsidR="00533F32" w:rsidRPr="00315902" w:rsidRDefault="00533F32" w:rsidP="003359E7">
      <w:pPr>
        <w:pStyle w:val="Heading1"/>
        <w:rPr>
          <w:szCs w:val="24"/>
        </w:rPr>
      </w:pPr>
      <w:r w:rsidRPr="00315902">
        <w:rPr>
          <w:szCs w:val="24"/>
        </w:rPr>
        <w:t>References</w:t>
      </w:r>
    </w:p>
    <w:p w14:paraId="6B1A8122"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Bandura, A. (1986). </w:t>
      </w:r>
      <w:r w:rsidRPr="00016800">
        <w:rPr>
          <w:rFonts w:cs="Arial"/>
          <w:i/>
          <w:iCs/>
          <w:color w:val="000000" w:themeColor="text1"/>
          <w:sz w:val="24"/>
        </w:rPr>
        <w:t>Social Foundations of Thought and Action: A Social Cognitive Theory</w:t>
      </w:r>
      <w:r w:rsidRPr="00016800">
        <w:rPr>
          <w:rFonts w:cs="Arial"/>
          <w:color w:val="000000" w:themeColor="text1"/>
          <w:sz w:val="24"/>
        </w:rPr>
        <w:t>. Englewood Cliffs, NJ: Prentice-Hall.</w:t>
      </w:r>
    </w:p>
    <w:p w14:paraId="72D8F1E1"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Clapp, J., Moseley, W.G., Burlingame, B. and Termine, P. (2022). Viewpoint: The case for a six-dimensional food security framework’, </w:t>
      </w:r>
      <w:r w:rsidRPr="00016800">
        <w:rPr>
          <w:rFonts w:cs="Arial"/>
          <w:i/>
          <w:iCs/>
          <w:color w:val="000000" w:themeColor="text1"/>
          <w:sz w:val="24"/>
        </w:rPr>
        <w:t>Food Policy</w:t>
      </w:r>
      <w:r w:rsidRPr="00016800">
        <w:rPr>
          <w:rFonts w:cs="Arial"/>
          <w:color w:val="000000" w:themeColor="text1"/>
          <w:sz w:val="24"/>
        </w:rPr>
        <w:t>, 106, 102164. https://doi.org/10.1016/j.foodpol.2021.102164</w:t>
      </w:r>
    </w:p>
    <w:p w14:paraId="07C440C0"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Department of Health and Social Care (2021). </w:t>
      </w:r>
      <w:r w:rsidRPr="00016800">
        <w:rPr>
          <w:rFonts w:cs="Arial"/>
          <w:i/>
          <w:iCs/>
          <w:color w:val="000000" w:themeColor="text1"/>
          <w:sz w:val="24"/>
        </w:rPr>
        <w:t>Tackling Obesity: Empowering Adults and Children to Live Healthier Lives</w:t>
      </w:r>
      <w:r w:rsidRPr="00016800">
        <w:rPr>
          <w:rFonts w:cs="Arial"/>
          <w:color w:val="000000" w:themeColor="text1"/>
          <w:sz w:val="24"/>
        </w:rPr>
        <w:t xml:space="preserve">. Available at: </w:t>
      </w:r>
      <w:hyperlink r:id="rId8" w:tgtFrame="_new" w:history="1">
        <w:r w:rsidRPr="00016800">
          <w:rPr>
            <w:rStyle w:val="Hyperlink"/>
            <w:rFonts w:cs="Arial"/>
            <w:color w:val="000000" w:themeColor="text1"/>
            <w:sz w:val="24"/>
          </w:rPr>
          <w:t>https://www.gov.uk/government/publications/tackling-obesity-government-strategy</w:t>
        </w:r>
      </w:hyperlink>
      <w:r w:rsidRPr="00016800">
        <w:rPr>
          <w:rFonts w:cs="Arial"/>
          <w:color w:val="000000" w:themeColor="text1"/>
          <w:sz w:val="24"/>
        </w:rPr>
        <w:t xml:space="preserve"> (Accessed: 19 June 2026).</w:t>
      </w:r>
    </w:p>
    <w:p w14:paraId="0EF4AA8B"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FAO (2024). </w:t>
      </w:r>
      <w:r w:rsidRPr="00016800">
        <w:rPr>
          <w:rFonts w:cs="Arial"/>
          <w:i/>
          <w:iCs/>
          <w:color w:val="000000" w:themeColor="text1"/>
          <w:sz w:val="24"/>
        </w:rPr>
        <w:t>The State of Food and Agriculture 2024</w:t>
      </w:r>
      <w:r w:rsidRPr="00016800">
        <w:rPr>
          <w:rFonts w:cs="Arial"/>
          <w:color w:val="000000" w:themeColor="text1"/>
          <w:sz w:val="24"/>
        </w:rPr>
        <w:t xml:space="preserve">. Available at: </w:t>
      </w:r>
      <w:hyperlink r:id="rId9" w:tgtFrame="_new" w:history="1">
        <w:r w:rsidRPr="00016800">
          <w:rPr>
            <w:rStyle w:val="Hyperlink"/>
            <w:rFonts w:cs="Arial"/>
            <w:color w:val="000000" w:themeColor="text1"/>
            <w:sz w:val="24"/>
          </w:rPr>
          <w:t>https://www.fao.org/publications/sofa</w:t>
        </w:r>
      </w:hyperlink>
      <w:r w:rsidRPr="00016800">
        <w:rPr>
          <w:rFonts w:cs="Arial"/>
          <w:color w:val="000000" w:themeColor="text1"/>
          <w:sz w:val="24"/>
        </w:rPr>
        <w:t xml:space="preserve"> (Accessed: 19 June 2026).</w:t>
      </w:r>
    </w:p>
    <w:p w14:paraId="5B3F5117"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FAO (2024). </w:t>
      </w:r>
      <w:r w:rsidRPr="00016800">
        <w:rPr>
          <w:rFonts w:cs="Arial"/>
          <w:i/>
          <w:iCs/>
          <w:color w:val="000000" w:themeColor="text1"/>
          <w:sz w:val="24"/>
        </w:rPr>
        <w:t>The State of Food Security and Nutrition in the World 2024</w:t>
      </w:r>
      <w:r w:rsidRPr="00016800">
        <w:rPr>
          <w:rFonts w:cs="Arial"/>
          <w:color w:val="000000" w:themeColor="text1"/>
          <w:sz w:val="24"/>
        </w:rPr>
        <w:t xml:space="preserve">. Available at: </w:t>
      </w:r>
      <w:hyperlink r:id="rId10" w:tgtFrame="_new" w:history="1">
        <w:r w:rsidRPr="00016800">
          <w:rPr>
            <w:rStyle w:val="Hyperlink"/>
            <w:rFonts w:cs="Arial"/>
            <w:color w:val="000000" w:themeColor="text1"/>
            <w:sz w:val="24"/>
          </w:rPr>
          <w:t>https://www.fao.org/publications/sofi</w:t>
        </w:r>
      </w:hyperlink>
      <w:r w:rsidRPr="00016800">
        <w:rPr>
          <w:rFonts w:cs="Arial"/>
          <w:color w:val="000000" w:themeColor="text1"/>
          <w:sz w:val="24"/>
        </w:rPr>
        <w:t xml:space="preserve"> (Accessed: 19 June 2026).</w:t>
      </w:r>
    </w:p>
    <w:p w14:paraId="2716BAD8"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Global Fund (2024). </w:t>
      </w:r>
      <w:r w:rsidRPr="00016800">
        <w:rPr>
          <w:rFonts w:cs="Arial"/>
          <w:i/>
          <w:iCs/>
          <w:color w:val="000000" w:themeColor="text1"/>
          <w:sz w:val="24"/>
        </w:rPr>
        <w:t>Results Report 2024</w:t>
      </w:r>
      <w:r w:rsidRPr="00016800">
        <w:rPr>
          <w:rFonts w:cs="Arial"/>
          <w:color w:val="000000" w:themeColor="text1"/>
          <w:sz w:val="24"/>
        </w:rPr>
        <w:t xml:space="preserve">. Available at: </w:t>
      </w:r>
      <w:hyperlink r:id="rId11" w:tgtFrame="_new" w:history="1">
        <w:r w:rsidRPr="00016800">
          <w:rPr>
            <w:rStyle w:val="Hyperlink"/>
            <w:rFonts w:cs="Arial"/>
            <w:color w:val="000000" w:themeColor="text1"/>
            <w:sz w:val="24"/>
          </w:rPr>
          <w:t>https://www.theglobalfund.org/en/results/</w:t>
        </w:r>
      </w:hyperlink>
      <w:r w:rsidRPr="00016800">
        <w:rPr>
          <w:rFonts w:cs="Arial"/>
          <w:color w:val="000000" w:themeColor="text1"/>
          <w:sz w:val="24"/>
        </w:rPr>
        <w:t xml:space="preserve"> (Accessed: 19 June 2026).</w:t>
      </w:r>
    </w:p>
    <w:p w14:paraId="2E0AC1FE"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Green, E.C., Murphy, E.M. and Gryboski, K., 2020. The health belief model. </w:t>
      </w:r>
      <w:r w:rsidRPr="00016800">
        <w:rPr>
          <w:rFonts w:cs="Arial"/>
          <w:i/>
          <w:iCs/>
          <w:color w:val="000000" w:themeColor="text1"/>
          <w:sz w:val="24"/>
        </w:rPr>
        <w:t>The Wiley encyclopedia of health psychology</w:t>
      </w:r>
      <w:r w:rsidRPr="00016800">
        <w:rPr>
          <w:rFonts w:cs="Arial"/>
          <w:color w:val="000000" w:themeColor="text1"/>
          <w:sz w:val="24"/>
        </w:rPr>
        <w:t xml:space="preserve">, pp.211-214. </w:t>
      </w:r>
      <w:hyperlink r:id="rId12" w:history="1">
        <w:r w:rsidRPr="00016800">
          <w:rPr>
            <w:rStyle w:val="Hyperlink"/>
            <w:rFonts w:cs="Arial"/>
            <w:color w:val="000000" w:themeColor="text1"/>
            <w:sz w:val="24"/>
          </w:rPr>
          <w:t>https://doi.org/10.1002/9781119057840.ch68</w:t>
        </w:r>
      </w:hyperlink>
    </w:p>
    <w:p w14:paraId="6DC0F8B9"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Marmot, M., Allen, J., Boyce, T., Goldblatt, P. and Morrison, J. (2020). </w:t>
      </w:r>
      <w:r w:rsidRPr="00016800">
        <w:rPr>
          <w:rFonts w:cs="Arial"/>
          <w:i/>
          <w:iCs/>
          <w:color w:val="000000" w:themeColor="text1"/>
          <w:sz w:val="24"/>
        </w:rPr>
        <w:t>Health Equity in England: The Marmot Review 10 Years On</w:t>
      </w:r>
      <w:r w:rsidRPr="00016800">
        <w:rPr>
          <w:rFonts w:cs="Arial"/>
          <w:color w:val="000000" w:themeColor="text1"/>
          <w:sz w:val="24"/>
        </w:rPr>
        <w:t xml:space="preserve">. London: Institute of Health Equity. Available at: </w:t>
      </w:r>
      <w:hyperlink r:id="rId13" w:tgtFrame="_new" w:history="1">
        <w:r w:rsidRPr="00016800">
          <w:rPr>
            <w:rStyle w:val="Hyperlink"/>
            <w:rFonts w:cs="Arial"/>
            <w:color w:val="000000" w:themeColor="text1"/>
            <w:sz w:val="24"/>
          </w:rPr>
          <w:t>https://www.health.org.uk/publications/reports/the-marmot-review-10-years-on</w:t>
        </w:r>
      </w:hyperlink>
      <w:r w:rsidRPr="00016800">
        <w:rPr>
          <w:rFonts w:cs="Arial"/>
          <w:color w:val="000000" w:themeColor="text1"/>
          <w:sz w:val="24"/>
        </w:rPr>
        <w:t xml:space="preserve"> (Accessed: 19 June 2026).</w:t>
      </w:r>
    </w:p>
    <w:p w14:paraId="1F12CE0A"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McFadden, A., Green, J.M., Williams, V., McLeish, J., McCormick, F., Fox-Rushby, J. and Renfrew, M.J. (2022). Can food subsidy programmes improve nutrition among disadvantaged families? </w:t>
      </w:r>
      <w:r w:rsidRPr="00016800">
        <w:rPr>
          <w:rFonts w:cs="Arial"/>
          <w:i/>
          <w:iCs/>
          <w:color w:val="000000" w:themeColor="text1"/>
          <w:sz w:val="24"/>
        </w:rPr>
        <w:t>BMC Public Health</w:t>
      </w:r>
      <w:r w:rsidRPr="00016800">
        <w:rPr>
          <w:rFonts w:cs="Arial"/>
          <w:color w:val="000000" w:themeColor="text1"/>
          <w:sz w:val="24"/>
        </w:rPr>
        <w:t xml:space="preserve">, 22, 1387. </w:t>
      </w:r>
      <w:hyperlink r:id="rId14" w:history="1">
        <w:r w:rsidRPr="00016800">
          <w:rPr>
            <w:rStyle w:val="Hyperlink"/>
            <w:rFonts w:cs="Arial"/>
            <w:color w:val="000000" w:themeColor="text1"/>
            <w:sz w:val="24"/>
          </w:rPr>
          <w:t>https://doi.org/10.1186/s12889-022-13787-7</w:t>
        </w:r>
      </w:hyperlink>
    </w:p>
    <w:p w14:paraId="2F7720CA"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NHS Confederation (2024). </w:t>
      </w:r>
      <w:r w:rsidRPr="00016800">
        <w:rPr>
          <w:rFonts w:cs="Arial"/>
          <w:i/>
          <w:iCs/>
          <w:color w:val="000000" w:themeColor="text1"/>
          <w:sz w:val="24"/>
        </w:rPr>
        <w:t>Mental Health Services and Workforce Challenges</w:t>
      </w:r>
      <w:r w:rsidRPr="00016800">
        <w:rPr>
          <w:rFonts w:cs="Arial"/>
          <w:color w:val="000000" w:themeColor="text1"/>
          <w:sz w:val="24"/>
        </w:rPr>
        <w:t xml:space="preserve">. Available at: </w:t>
      </w:r>
      <w:hyperlink r:id="rId15" w:tgtFrame="_new" w:history="1">
        <w:r w:rsidRPr="00016800">
          <w:rPr>
            <w:rStyle w:val="Hyperlink"/>
            <w:rFonts w:cs="Arial"/>
            <w:color w:val="000000" w:themeColor="text1"/>
            <w:sz w:val="24"/>
          </w:rPr>
          <w:t>https://www.nhsconfed.org</w:t>
        </w:r>
      </w:hyperlink>
      <w:r w:rsidRPr="00016800">
        <w:rPr>
          <w:rFonts w:cs="Arial"/>
          <w:color w:val="000000" w:themeColor="text1"/>
          <w:sz w:val="24"/>
        </w:rPr>
        <w:t xml:space="preserve"> (Accessed: 19 June 2026).</w:t>
      </w:r>
    </w:p>
    <w:p w14:paraId="08319FFB"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NHS England (2019). </w:t>
      </w:r>
      <w:r w:rsidRPr="00016800">
        <w:rPr>
          <w:rFonts w:cs="Arial"/>
          <w:i/>
          <w:iCs/>
          <w:color w:val="000000" w:themeColor="text1"/>
          <w:sz w:val="24"/>
        </w:rPr>
        <w:t>The NHS Long Term Plan</w:t>
      </w:r>
      <w:r w:rsidRPr="00016800">
        <w:rPr>
          <w:rFonts w:cs="Arial"/>
          <w:color w:val="000000" w:themeColor="text1"/>
          <w:sz w:val="24"/>
        </w:rPr>
        <w:t xml:space="preserve">. Available at: </w:t>
      </w:r>
      <w:hyperlink r:id="rId16" w:tgtFrame="_new" w:history="1">
        <w:r w:rsidRPr="00016800">
          <w:rPr>
            <w:rStyle w:val="Hyperlink"/>
            <w:rFonts w:cs="Arial"/>
            <w:color w:val="000000" w:themeColor="text1"/>
            <w:sz w:val="24"/>
          </w:rPr>
          <w:t>https://www.longtermplan.nhs.uk</w:t>
        </w:r>
      </w:hyperlink>
      <w:r w:rsidRPr="00016800">
        <w:rPr>
          <w:rFonts w:cs="Arial"/>
          <w:color w:val="000000" w:themeColor="text1"/>
          <w:sz w:val="24"/>
        </w:rPr>
        <w:t xml:space="preserve"> (Accessed: 19 June 2026).</w:t>
      </w:r>
    </w:p>
    <w:p w14:paraId="72D3154E"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Public Health England (2020). </w:t>
      </w:r>
      <w:r w:rsidRPr="00016800">
        <w:rPr>
          <w:rFonts w:cs="Arial"/>
          <w:i/>
          <w:iCs/>
          <w:color w:val="000000" w:themeColor="text1"/>
          <w:sz w:val="24"/>
        </w:rPr>
        <w:t>Childhood Obesity: Applying All Our Health</w:t>
      </w:r>
      <w:r w:rsidRPr="00016800">
        <w:rPr>
          <w:rFonts w:cs="Arial"/>
          <w:color w:val="000000" w:themeColor="text1"/>
          <w:sz w:val="24"/>
        </w:rPr>
        <w:t xml:space="preserve">. Available at: </w:t>
      </w:r>
      <w:hyperlink r:id="rId17" w:tgtFrame="_new" w:history="1">
        <w:r w:rsidRPr="00016800">
          <w:rPr>
            <w:rStyle w:val="Hyperlink"/>
            <w:rFonts w:cs="Arial"/>
            <w:color w:val="000000" w:themeColor="text1"/>
            <w:sz w:val="24"/>
          </w:rPr>
          <w:t>https://www.gov.uk/government/publications/childhood-obesity-applying-all-our-health</w:t>
        </w:r>
      </w:hyperlink>
      <w:r w:rsidRPr="00016800">
        <w:rPr>
          <w:rFonts w:cs="Arial"/>
          <w:color w:val="000000" w:themeColor="text1"/>
          <w:sz w:val="24"/>
        </w:rPr>
        <w:t xml:space="preserve"> (Accessed: 19 June 2026).</w:t>
      </w:r>
    </w:p>
    <w:p w14:paraId="26E54939"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Rosenstock, I.M. (1974). Historical origins of the Health Belief Model. </w:t>
      </w:r>
      <w:r w:rsidRPr="00016800">
        <w:rPr>
          <w:rFonts w:cs="Arial"/>
          <w:i/>
          <w:iCs/>
          <w:color w:val="000000" w:themeColor="text1"/>
          <w:sz w:val="24"/>
        </w:rPr>
        <w:t>Health Education Monographs</w:t>
      </w:r>
      <w:r w:rsidRPr="00016800">
        <w:rPr>
          <w:rFonts w:cs="Arial"/>
          <w:color w:val="000000" w:themeColor="text1"/>
          <w:sz w:val="24"/>
        </w:rPr>
        <w:t xml:space="preserve">, 2(4), pp. 328–335. DOI: </w:t>
      </w:r>
      <w:hyperlink r:id="rId18" w:tgtFrame="_new" w:history="1">
        <w:r w:rsidRPr="00016800">
          <w:rPr>
            <w:rStyle w:val="Hyperlink"/>
            <w:rFonts w:cs="Arial"/>
            <w:color w:val="000000" w:themeColor="text1"/>
            <w:sz w:val="24"/>
          </w:rPr>
          <w:t>https://doi.org/10.1177/109019817400200403</w:t>
        </w:r>
      </w:hyperlink>
    </w:p>
    <w:p w14:paraId="4536DB29"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Rosenstock, I.M. (1974). Historical origins of the Health Belief Model. </w:t>
      </w:r>
      <w:r w:rsidRPr="00016800">
        <w:rPr>
          <w:rFonts w:cs="Arial"/>
          <w:i/>
          <w:iCs/>
          <w:color w:val="000000" w:themeColor="text1"/>
          <w:sz w:val="24"/>
        </w:rPr>
        <w:t>Health Education Monographs</w:t>
      </w:r>
      <w:r w:rsidRPr="00016800">
        <w:rPr>
          <w:rFonts w:cs="Arial"/>
          <w:color w:val="000000" w:themeColor="text1"/>
          <w:sz w:val="24"/>
        </w:rPr>
        <w:t xml:space="preserve">, 2(4), pp. 328–335. DOI: </w:t>
      </w:r>
      <w:hyperlink r:id="rId19" w:tgtFrame="_new" w:history="1">
        <w:r w:rsidRPr="00016800">
          <w:rPr>
            <w:rStyle w:val="Hyperlink"/>
            <w:rFonts w:cs="Arial"/>
            <w:color w:val="000000" w:themeColor="text1"/>
            <w:sz w:val="24"/>
          </w:rPr>
          <w:t>https://doi.org/10.1177/109019817400200403</w:t>
        </w:r>
      </w:hyperlink>
    </w:p>
    <w:p w14:paraId="64828A5C" w14:textId="77777777" w:rsidR="009B460E" w:rsidRPr="00016800" w:rsidRDefault="009B460E" w:rsidP="003359E7">
      <w:pPr>
        <w:spacing w:after="0" w:line="360" w:lineRule="auto"/>
        <w:ind w:left="720" w:hanging="720"/>
        <w:contextualSpacing/>
        <w:jc w:val="both"/>
        <w:rPr>
          <w:rFonts w:cs="Arial"/>
          <w:color w:val="000000" w:themeColor="text1"/>
          <w:sz w:val="24"/>
        </w:rPr>
      </w:pPr>
      <w:proofErr w:type="spellStart"/>
      <w:r w:rsidRPr="00016800">
        <w:rPr>
          <w:rFonts w:cs="Arial"/>
          <w:color w:val="000000" w:themeColor="text1"/>
          <w:sz w:val="24"/>
        </w:rPr>
        <w:t>Szetey</w:t>
      </w:r>
      <w:proofErr w:type="spellEnd"/>
      <w:r w:rsidRPr="00016800">
        <w:rPr>
          <w:rFonts w:cs="Arial"/>
          <w:color w:val="000000" w:themeColor="text1"/>
          <w:sz w:val="24"/>
        </w:rPr>
        <w:t>, K., Moallemi, E.A., Ashton, E., Butcher, M., Sprunt, B. and Bryan, B.A., 2021. Participatory planning for local sustainability guided by the Sustainable Development Goals. </w:t>
      </w:r>
      <w:r w:rsidRPr="00016800">
        <w:rPr>
          <w:rFonts w:cs="Arial"/>
          <w:i/>
          <w:iCs/>
          <w:color w:val="000000" w:themeColor="text1"/>
          <w:sz w:val="24"/>
        </w:rPr>
        <w:t>Ecology &amp; Society</w:t>
      </w:r>
      <w:r w:rsidRPr="00016800">
        <w:rPr>
          <w:rFonts w:cs="Arial"/>
          <w:color w:val="000000" w:themeColor="text1"/>
          <w:sz w:val="24"/>
        </w:rPr>
        <w:t>, </w:t>
      </w:r>
      <w:r w:rsidRPr="00016800">
        <w:rPr>
          <w:rFonts w:cs="Arial"/>
          <w:i/>
          <w:iCs/>
          <w:color w:val="000000" w:themeColor="text1"/>
          <w:sz w:val="24"/>
        </w:rPr>
        <w:t>26</w:t>
      </w:r>
      <w:r w:rsidRPr="00016800">
        <w:rPr>
          <w:rFonts w:cs="Arial"/>
          <w:color w:val="000000" w:themeColor="text1"/>
          <w:sz w:val="24"/>
        </w:rPr>
        <w:t xml:space="preserve">(3), p.348. </w:t>
      </w:r>
      <w:hyperlink r:id="rId20" w:history="1">
        <w:r w:rsidRPr="00016800">
          <w:rPr>
            <w:rStyle w:val="Hyperlink"/>
            <w:rFonts w:cs="Arial"/>
            <w:color w:val="000000" w:themeColor="text1"/>
            <w:sz w:val="24"/>
          </w:rPr>
          <w:t>https://www.researchgate.net/profile/Beth-Sprunt-3/publication/354112107_Participatory_planning_for_local_sustainability_guided_by_the_Sustainable_Development_Goals/links/61893e4207be5f31b758f9c9/Participatory-planning-for-local-sustainability-guided-by-the-Sustainable-Development-Goals.pdf</w:t>
        </w:r>
      </w:hyperlink>
    </w:p>
    <w:p w14:paraId="7F02DCC9"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The King's Fund (2024). </w:t>
      </w:r>
      <w:r w:rsidRPr="00016800">
        <w:rPr>
          <w:rFonts w:cs="Arial"/>
          <w:i/>
          <w:iCs/>
          <w:color w:val="000000" w:themeColor="text1"/>
          <w:sz w:val="24"/>
        </w:rPr>
        <w:t>NHS Performance and Waiting Times</w:t>
      </w:r>
      <w:r w:rsidRPr="00016800">
        <w:rPr>
          <w:rFonts w:cs="Arial"/>
          <w:color w:val="000000" w:themeColor="text1"/>
          <w:sz w:val="24"/>
        </w:rPr>
        <w:t xml:space="preserve">. Available at: </w:t>
      </w:r>
      <w:hyperlink r:id="rId21" w:tgtFrame="_new" w:history="1">
        <w:r w:rsidRPr="00016800">
          <w:rPr>
            <w:rStyle w:val="Hyperlink"/>
            <w:rFonts w:cs="Arial"/>
            <w:color w:val="000000" w:themeColor="text1"/>
            <w:sz w:val="24"/>
          </w:rPr>
          <w:t>https://www.kingsfund.org.uk</w:t>
        </w:r>
      </w:hyperlink>
      <w:r w:rsidRPr="00016800">
        <w:rPr>
          <w:rFonts w:cs="Arial"/>
          <w:color w:val="000000" w:themeColor="text1"/>
          <w:sz w:val="24"/>
        </w:rPr>
        <w:t xml:space="preserve"> (Accessed: 19 June 2026).</w:t>
      </w:r>
    </w:p>
    <w:p w14:paraId="2BDD0468"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United Nations (2015). </w:t>
      </w:r>
      <w:r w:rsidRPr="00016800">
        <w:rPr>
          <w:rFonts w:cs="Arial"/>
          <w:i/>
          <w:iCs/>
          <w:color w:val="000000" w:themeColor="text1"/>
          <w:sz w:val="24"/>
        </w:rPr>
        <w:t>Transforming Our World: The 2030 Agenda for Sustainable Development</w:t>
      </w:r>
      <w:r w:rsidRPr="00016800">
        <w:rPr>
          <w:rFonts w:cs="Arial"/>
          <w:color w:val="000000" w:themeColor="text1"/>
          <w:sz w:val="24"/>
        </w:rPr>
        <w:t xml:space="preserve">. New York: United Nations. Available at: </w:t>
      </w:r>
      <w:hyperlink r:id="rId22" w:tgtFrame="_new" w:history="1">
        <w:r w:rsidRPr="00016800">
          <w:rPr>
            <w:rStyle w:val="Hyperlink"/>
            <w:rFonts w:cs="Arial"/>
            <w:color w:val="000000" w:themeColor="text1"/>
            <w:sz w:val="24"/>
          </w:rPr>
          <w:t>https://sdgs.un.org/2030agenda</w:t>
        </w:r>
      </w:hyperlink>
      <w:r w:rsidRPr="00016800">
        <w:rPr>
          <w:rFonts w:cs="Arial"/>
          <w:color w:val="000000" w:themeColor="text1"/>
          <w:sz w:val="24"/>
        </w:rPr>
        <w:t xml:space="preserve"> (Accessed: 19 June 2026).</w:t>
      </w:r>
    </w:p>
    <w:p w14:paraId="58FEC725"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United Nations (2015). </w:t>
      </w:r>
      <w:r w:rsidRPr="00016800">
        <w:rPr>
          <w:rFonts w:cs="Arial"/>
          <w:i/>
          <w:iCs/>
          <w:color w:val="000000" w:themeColor="text1"/>
          <w:sz w:val="24"/>
        </w:rPr>
        <w:t>Transforming Our World: The 2030 Agenda for Sustainable Development</w:t>
      </w:r>
      <w:r w:rsidRPr="00016800">
        <w:rPr>
          <w:rFonts w:cs="Arial"/>
          <w:color w:val="000000" w:themeColor="text1"/>
          <w:sz w:val="24"/>
        </w:rPr>
        <w:t xml:space="preserve">. Available at: </w:t>
      </w:r>
      <w:hyperlink r:id="rId23" w:tgtFrame="_new" w:history="1">
        <w:r w:rsidRPr="00016800">
          <w:rPr>
            <w:rStyle w:val="Hyperlink"/>
            <w:rFonts w:cs="Arial"/>
            <w:color w:val="000000" w:themeColor="text1"/>
            <w:sz w:val="24"/>
          </w:rPr>
          <w:t>https://sdgs.un.org/2030agenda</w:t>
        </w:r>
      </w:hyperlink>
      <w:r w:rsidRPr="00016800">
        <w:rPr>
          <w:rFonts w:cs="Arial"/>
          <w:color w:val="000000" w:themeColor="text1"/>
          <w:sz w:val="24"/>
        </w:rPr>
        <w:t xml:space="preserve"> (Accessed: 19 June 2026).</w:t>
      </w:r>
    </w:p>
    <w:p w14:paraId="412ACD94"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United Nations (2015).</w:t>
      </w:r>
      <w:r w:rsidRPr="00016800">
        <w:rPr>
          <w:rFonts w:cs="Arial"/>
          <w:i/>
          <w:iCs/>
          <w:color w:val="000000" w:themeColor="text1"/>
          <w:sz w:val="24"/>
        </w:rPr>
        <w:t>Transforming Our World: The 2030 Agenda for Sustainable Development</w:t>
      </w:r>
      <w:r w:rsidRPr="00016800">
        <w:rPr>
          <w:rFonts w:cs="Arial"/>
          <w:color w:val="000000" w:themeColor="text1"/>
          <w:sz w:val="24"/>
        </w:rPr>
        <w:t xml:space="preserve">. Available at: </w:t>
      </w:r>
      <w:hyperlink r:id="rId24" w:tgtFrame="_new" w:history="1">
        <w:r w:rsidRPr="00016800">
          <w:rPr>
            <w:rStyle w:val="Hyperlink"/>
            <w:rFonts w:cs="Arial"/>
            <w:color w:val="000000" w:themeColor="text1"/>
            <w:sz w:val="24"/>
          </w:rPr>
          <w:t>https://sdgs.un.org/2030agenda</w:t>
        </w:r>
      </w:hyperlink>
      <w:r w:rsidRPr="00016800">
        <w:rPr>
          <w:rFonts w:cs="Arial"/>
          <w:color w:val="000000" w:themeColor="text1"/>
          <w:sz w:val="24"/>
        </w:rPr>
        <w:t xml:space="preserve"> (Accessed: 19 June 2026).</w:t>
      </w:r>
    </w:p>
    <w:p w14:paraId="221D7944"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United Nations (2024). </w:t>
      </w:r>
      <w:r w:rsidRPr="00016800">
        <w:rPr>
          <w:rFonts w:cs="Arial"/>
          <w:i/>
          <w:iCs/>
          <w:color w:val="000000" w:themeColor="text1"/>
          <w:sz w:val="24"/>
        </w:rPr>
        <w:t>The Sustainable Development Goals Report 2024</w:t>
      </w:r>
      <w:r w:rsidRPr="00016800">
        <w:rPr>
          <w:rFonts w:cs="Arial"/>
          <w:color w:val="000000" w:themeColor="text1"/>
          <w:sz w:val="24"/>
        </w:rPr>
        <w:t xml:space="preserve">. New York: United Nations. Available at: </w:t>
      </w:r>
      <w:hyperlink r:id="rId25" w:tgtFrame="_new" w:history="1">
        <w:r w:rsidRPr="00016800">
          <w:rPr>
            <w:rStyle w:val="Hyperlink"/>
            <w:rFonts w:cs="Arial"/>
            <w:color w:val="000000" w:themeColor="text1"/>
            <w:sz w:val="24"/>
          </w:rPr>
          <w:t>https://unstats.un.org/sdgs/report/2024/</w:t>
        </w:r>
      </w:hyperlink>
      <w:r w:rsidRPr="00016800">
        <w:rPr>
          <w:rFonts w:cs="Arial"/>
          <w:color w:val="000000" w:themeColor="text1"/>
          <w:sz w:val="24"/>
        </w:rPr>
        <w:t xml:space="preserve"> (Accessed: 19 June 2026).</w:t>
      </w:r>
    </w:p>
    <w:p w14:paraId="5FC1D8A7"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United Nations (2024). </w:t>
      </w:r>
      <w:r w:rsidRPr="00016800">
        <w:rPr>
          <w:rFonts w:cs="Arial"/>
          <w:i/>
          <w:iCs/>
          <w:color w:val="000000" w:themeColor="text1"/>
          <w:sz w:val="24"/>
        </w:rPr>
        <w:t>The Sustainable Development Goals Report 2024</w:t>
      </w:r>
      <w:r w:rsidRPr="00016800">
        <w:rPr>
          <w:rFonts w:cs="Arial"/>
          <w:color w:val="000000" w:themeColor="text1"/>
          <w:sz w:val="24"/>
        </w:rPr>
        <w:t xml:space="preserve">. Available at: </w:t>
      </w:r>
      <w:hyperlink r:id="rId26" w:tgtFrame="_new" w:history="1">
        <w:r w:rsidRPr="00016800">
          <w:rPr>
            <w:rStyle w:val="Hyperlink"/>
            <w:rFonts w:cs="Arial"/>
            <w:color w:val="000000" w:themeColor="text1"/>
            <w:sz w:val="24"/>
          </w:rPr>
          <w:t>https://unstats.un.org/sdgs/report/2024/</w:t>
        </w:r>
      </w:hyperlink>
      <w:r w:rsidRPr="00016800">
        <w:rPr>
          <w:rFonts w:cs="Arial"/>
          <w:color w:val="000000" w:themeColor="text1"/>
          <w:sz w:val="24"/>
        </w:rPr>
        <w:t xml:space="preserve"> (Accessed: 19 June 2026).</w:t>
      </w:r>
    </w:p>
    <w:p w14:paraId="2AA16C4A"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World Food Programme (2024). </w:t>
      </w:r>
      <w:r w:rsidRPr="00016800">
        <w:rPr>
          <w:rFonts w:cs="Arial"/>
          <w:i/>
          <w:iCs/>
          <w:color w:val="000000" w:themeColor="text1"/>
          <w:sz w:val="24"/>
        </w:rPr>
        <w:t>Annual Performance Report 2024</w:t>
      </w:r>
      <w:r w:rsidRPr="00016800">
        <w:rPr>
          <w:rFonts w:cs="Arial"/>
          <w:color w:val="000000" w:themeColor="text1"/>
          <w:sz w:val="24"/>
        </w:rPr>
        <w:t xml:space="preserve">. Available at: </w:t>
      </w:r>
      <w:hyperlink r:id="rId27" w:tgtFrame="_new" w:history="1">
        <w:r w:rsidRPr="00016800">
          <w:rPr>
            <w:rStyle w:val="Hyperlink"/>
            <w:rFonts w:cs="Arial"/>
            <w:color w:val="000000" w:themeColor="text1"/>
            <w:sz w:val="24"/>
          </w:rPr>
          <w:t>https://www.wfp.org/publications</w:t>
        </w:r>
      </w:hyperlink>
      <w:r w:rsidRPr="00016800">
        <w:rPr>
          <w:rFonts w:cs="Arial"/>
          <w:color w:val="000000" w:themeColor="text1"/>
          <w:sz w:val="24"/>
        </w:rPr>
        <w:t xml:space="preserve"> (Accessed: 19 June 2026).</w:t>
      </w:r>
    </w:p>
    <w:p w14:paraId="0DC422C2"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World Health Organisation (2023). </w:t>
      </w:r>
      <w:r w:rsidRPr="00016800">
        <w:rPr>
          <w:rFonts w:cs="Arial"/>
          <w:i/>
          <w:iCs/>
          <w:color w:val="000000" w:themeColor="text1"/>
          <w:sz w:val="24"/>
        </w:rPr>
        <w:t>Global Action Plan for Healthy Lives and Well-being for All</w:t>
      </w:r>
      <w:r w:rsidRPr="00016800">
        <w:rPr>
          <w:rFonts w:cs="Arial"/>
          <w:color w:val="000000" w:themeColor="text1"/>
          <w:sz w:val="24"/>
        </w:rPr>
        <w:t xml:space="preserve">. Available at: </w:t>
      </w:r>
      <w:hyperlink r:id="rId28" w:tgtFrame="_new" w:history="1">
        <w:r w:rsidRPr="00016800">
          <w:rPr>
            <w:rStyle w:val="Hyperlink"/>
            <w:rFonts w:cs="Arial"/>
            <w:color w:val="000000" w:themeColor="text1"/>
            <w:sz w:val="24"/>
          </w:rPr>
          <w:t>https://www.who.int/initiatives/sdg3-global-action-plan</w:t>
        </w:r>
      </w:hyperlink>
      <w:r w:rsidRPr="00016800">
        <w:rPr>
          <w:rFonts w:cs="Arial"/>
          <w:color w:val="000000" w:themeColor="text1"/>
          <w:sz w:val="24"/>
        </w:rPr>
        <w:t xml:space="preserve"> (Accessed: 19 June 2026).</w:t>
      </w:r>
    </w:p>
    <w:p w14:paraId="38763814" w14:textId="77777777" w:rsidR="009B460E" w:rsidRPr="00016800" w:rsidRDefault="009B460E" w:rsidP="003359E7">
      <w:pPr>
        <w:spacing w:after="0" w:line="360" w:lineRule="auto"/>
        <w:ind w:left="720" w:hanging="720"/>
        <w:contextualSpacing/>
        <w:jc w:val="both"/>
        <w:rPr>
          <w:rFonts w:cs="Arial"/>
          <w:color w:val="000000" w:themeColor="text1"/>
          <w:sz w:val="24"/>
        </w:rPr>
      </w:pPr>
      <w:r w:rsidRPr="00016800">
        <w:rPr>
          <w:rFonts w:cs="Arial"/>
          <w:color w:val="000000" w:themeColor="text1"/>
          <w:sz w:val="24"/>
        </w:rPr>
        <w:t xml:space="preserve">World Health Organisation (2024). </w:t>
      </w:r>
      <w:r w:rsidRPr="00016800">
        <w:rPr>
          <w:rFonts w:cs="Arial"/>
          <w:i/>
          <w:iCs/>
          <w:color w:val="000000" w:themeColor="text1"/>
          <w:sz w:val="24"/>
        </w:rPr>
        <w:t>World Health Statistics 2024: Monitoring Health for the SDGs</w:t>
      </w:r>
      <w:r w:rsidRPr="00016800">
        <w:rPr>
          <w:rFonts w:cs="Arial"/>
          <w:color w:val="000000" w:themeColor="text1"/>
          <w:sz w:val="24"/>
        </w:rPr>
        <w:t xml:space="preserve">. Geneva: WHO. Available at: </w:t>
      </w:r>
      <w:hyperlink r:id="rId29" w:tgtFrame="_new" w:history="1">
        <w:r w:rsidRPr="00016800">
          <w:rPr>
            <w:rStyle w:val="Hyperlink"/>
            <w:rFonts w:cs="Arial"/>
            <w:color w:val="000000" w:themeColor="text1"/>
            <w:sz w:val="24"/>
          </w:rPr>
          <w:t>https://www.who.int/data/gho/publications/world-health-statistics</w:t>
        </w:r>
      </w:hyperlink>
      <w:r w:rsidRPr="00016800">
        <w:rPr>
          <w:rFonts w:cs="Arial"/>
          <w:color w:val="000000" w:themeColor="text1"/>
          <w:sz w:val="24"/>
        </w:rPr>
        <w:t xml:space="preserve"> (Accessed: 19 June 2026).</w:t>
      </w:r>
    </w:p>
    <w:p w14:paraId="72638768" w14:textId="1CBB604D" w:rsidR="004C649F" w:rsidRPr="009B460E" w:rsidRDefault="009B460E" w:rsidP="003359E7">
      <w:pPr>
        <w:spacing w:after="0" w:line="360" w:lineRule="auto"/>
        <w:ind w:left="720" w:hanging="720"/>
        <w:contextualSpacing/>
        <w:jc w:val="both"/>
        <w:rPr>
          <w:rFonts w:cs="Arial"/>
          <w:color w:val="000000" w:themeColor="text1"/>
          <w:szCs w:val="22"/>
        </w:rPr>
      </w:pPr>
      <w:r w:rsidRPr="00016800">
        <w:rPr>
          <w:rFonts w:cs="Arial"/>
          <w:color w:val="000000" w:themeColor="text1"/>
          <w:sz w:val="24"/>
        </w:rPr>
        <w:t>Xu, H., Cao, Y., Yu, D., Cao, M., He, Y., Gill, M. and Pereira, H.M., 2021. Ensuring effective implementation of the post-2020 global biodiversity targets. </w:t>
      </w:r>
      <w:r w:rsidRPr="00016800">
        <w:rPr>
          <w:rFonts w:cs="Arial"/>
          <w:i/>
          <w:iCs/>
          <w:color w:val="000000" w:themeColor="text1"/>
          <w:sz w:val="24"/>
        </w:rPr>
        <w:t>Nature Ecology &amp; Evolution</w:t>
      </w:r>
      <w:r w:rsidRPr="00016800">
        <w:rPr>
          <w:rFonts w:cs="Arial"/>
          <w:color w:val="000000" w:themeColor="text1"/>
          <w:sz w:val="24"/>
        </w:rPr>
        <w:t>, </w:t>
      </w:r>
      <w:r w:rsidRPr="00016800">
        <w:rPr>
          <w:rFonts w:cs="Arial"/>
          <w:i/>
          <w:iCs/>
          <w:color w:val="000000" w:themeColor="text1"/>
          <w:sz w:val="24"/>
        </w:rPr>
        <w:t>5</w:t>
      </w:r>
      <w:r w:rsidRPr="00016800">
        <w:rPr>
          <w:rFonts w:cs="Arial"/>
          <w:color w:val="000000" w:themeColor="text1"/>
          <w:sz w:val="24"/>
        </w:rPr>
        <w:t xml:space="preserve">(4), pp.411-418. </w:t>
      </w:r>
      <w:hyperlink r:id="rId30" w:history="1">
        <w:r w:rsidRPr="00016800">
          <w:rPr>
            <w:rStyle w:val="Hyperlink"/>
            <w:rFonts w:cs="Arial"/>
            <w:color w:val="000000" w:themeColor="text1"/>
            <w:sz w:val="24"/>
          </w:rPr>
          <w:t>https://www.researchgate.net/profile/Dandan-Yu-2/publication/348767162_Ensuring_Effective_Implementation_of_the_post-2020_global_biodiversity_targets_Nature_Ecology_and_Evolution/links/61e907848d338833e37fa968/Ensuring-Effective-Implementation-of-the-post-2020-global-biodiversity-targets-Nature-Ecology-and-Evolution.pdf?_sg%5B0%5D=started_experiment_milestone&amp;_sg%5B1%5D=started_experiment_milestone&amp;origin=journalDetail</w:t>
        </w:r>
      </w:hyperlink>
      <w:r w:rsidR="00911235">
        <w:rPr>
          <w:rStyle w:val="Hyperlink"/>
          <w:rFonts w:cs="Arial"/>
          <w:color w:val="000000" w:themeColor="text1"/>
          <w:szCs w:val="22"/>
        </w:rPr>
        <w:t xml:space="preserve"> </w:t>
      </w:r>
    </w:p>
    <w:sectPr w:rsidR="004C649F" w:rsidRPr="009B46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73F0A" w14:textId="77777777" w:rsidR="000F64F8" w:rsidRDefault="000F64F8" w:rsidP="00533F32">
      <w:pPr>
        <w:spacing w:after="0" w:line="240" w:lineRule="auto"/>
      </w:pPr>
      <w:r>
        <w:separator/>
      </w:r>
    </w:p>
  </w:endnote>
  <w:endnote w:type="continuationSeparator" w:id="0">
    <w:p w14:paraId="10420D3A" w14:textId="77777777" w:rsidR="000F64F8" w:rsidRDefault="000F64F8" w:rsidP="00533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AC9E2" w14:textId="77777777" w:rsidR="000F64F8" w:rsidRDefault="000F64F8" w:rsidP="00533F32">
      <w:pPr>
        <w:spacing w:after="0" w:line="240" w:lineRule="auto"/>
      </w:pPr>
      <w:r>
        <w:separator/>
      </w:r>
    </w:p>
  </w:footnote>
  <w:footnote w:type="continuationSeparator" w:id="0">
    <w:p w14:paraId="19AC0753" w14:textId="77777777" w:rsidR="000F64F8" w:rsidRDefault="000F64F8" w:rsidP="00533F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77B53"/>
    <w:multiLevelType w:val="hybridMultilevel"/>
    <w:tmpl w:val="CE644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8429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9"/>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876"/>
    <w:rsid w:val="00016800"/>
    <w:rsid w:val="000248E8"/>
    <w:rsid w:val="00044BE4"/>
    <w:rsid w:val="00092B32"/>
    <w:rsid w:val="000D425D"/>
    <w:rsid w:val="000F64F8"/>
    <w:rsid w:val="00166054"/>
    <w:rsid w:val="001708E4"/>
    <w:rsid w:val="001C6C21"/>
    <w:rsid w:val="00260C3C"/>
    <w:rsid w:val="002655E6"/>
    <w:rsid w:val="002705CA"/>
    <w:rsid w:val="002706EF"/>
    <w:rsid w:val="002B398C"/>
    <w:rsid w:val="002D4A27"/>
    <w:rsid w:val="0030026D"/>
    <w:rsid w:val="00315902"/>
    <w:rsid w:val="003359E7"/>
    <w:rsid w:val="003503CD"/>
    <w:rsid w:val="00362876"/>
    <w:rsid w:val="003A36BD"/>
    <w:rsid w:val="003F44D9"/>
    <w:rsid w:val="003F6E72"/>
    <w:rsid w:val="0044064F"/>
    <w:rsid w:val="0049366D"/>
    <w:rsid w:val="004A2ACA"/>
    <w:rsid w:val="004A6ADE"/>
    <w:rsid w:val="004C649F"/>
    <w:rsid w:val="004D0C91"/>
    <w:rsid w:val="004F3923"/>
    <w:rsid w:val="00505CBB"/>
    <w:rsid w:val="00527B6D"/>
    <w:rsid w:val="00533F32"/>
    <w:rsid w:val="005755A9"/>
    <w:rsid w:val="005A3926"/>
    <w:rsid w:val="005B676E"/>
    <w:rsid w:val="005D74AE"/>
    <w:rsid w:val="006440F4"/>
    <w:rsid w:val="006530FC"/>
    <w:rsid w:val="00674CAB"/>
    <w:rsid w:val="00691F32"/>
    <w:rsid w:val="006E44AB"/>
    <w:rsid w:val="00776C63"/>
    <w:rsid w:val="007B0D7C"/>
    <w:rsid w:val="007B5E8A"/>
    <w:rsid w:val="007D5ED3"/>
    <w:rsid w:val="0084298C"/>
    <w:rsid w:val="00852660"/>
    <w:rsid w:val="008569E9"/>
    <w:rsid w:val="008C1673"/>
    <w:rsid w:val="00911235"/>
    <w:rsid w:val="00961203"/>
    <w:rsid w:val="00982207"/>
    <w:rsid w:val="009851B9"/>
    <w:rsid w:val="009A6D17"/>
    <w:rsid w:val="009B084B"/>
    <w:rsid w:val="009B460E"/>
    <w:rsid w:val="009C1450"/>
    <w:rsid w:val="00A126E9"/>
    <w:rsid w:val="00A341B5"/>
    <w:rsid w:val="00A351C7"/>
    <w:rsid w:val="00AE6BA3"/>
    <w:rsid w:val="00B20E4B"/>
    <w:rsid w:val="00BB0301"/>
    <w:rsid w:val="00C202A9"/>
    <w:rsid w:val="00C84659"/>
    <w:rsid w:val="00D34108"/>
    <w:rsid w:val="00D95424"/>
    <w:rsid w:val="00DA6BDD"/>
    <w:rsid w:val="00E97EEB"/>
    <w:rsid w:val="00EF45AE"/>
    <w:rsid w:val="00F47A67"/>
    <w:rsid w:val="00F6101D"/>
    <w:rsid w:val="00F67029"/>
    <w:rsid w:val="00F86F39"/>
    <w:rsid w:val="00FB385C"/>
    <w:rsid w:val="00FC12B2"/>
    <w:rsid w:val="00FC7B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2B473"/>
  <w15:chartTrackingRefBased/>
  <w15:docId w15:val="{0289EF14-70BD-4AB8-9FAE-F805B014D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4D9"/>
    <w:rPr>
      <w:rFonts w:ascii="Arial" w:hAnsi="Arial"/>
      <w:sz w:val="22"/>
    </w:rPr>
  </w:style>
  <w:style w:type="paragraph" w:styleId="Heading1">
    <w:name w:val="heading 1"/>
    <w:basedOn w:val="Normal"/>
    <w:next w:val="Normal"/>
    <w:link w:val="Heading1Char"/>
    <w:uiPriority w:val="9"/>
    <w:qFormat/>
    <w:rsid w:val="009B460E"/>
    <w:pPr>
      <w:keepNext/>
      <w:keepLines/>
      <w:spacing w:after="0" w:line="360" w:lineRule="auto"/>
      <w:contextualSpacing/>
      <w:outlineLvl w:val="0"/>
    </w:pPr>
    <w:rPr>
      <w:rFonts w:eastAsiaTheme="majorEastAsia" w:cs="Arial"/>
      <w:b/>
      <w:bCs/>
      <w:color w:val="000000" w:themeColor="text1"/>
      <w:sz w:val="24"/>
      <w:szCs w:val="22"/>
    </w:rPr>
  </w:style>
  <w:style w:type="paragraph" w:styleId="Heading2">
    <w:name w:val="heading 2"/>
    <w:basedOn w:val="Normal"/>
    <w:next w:val="Normal"/>
    <w:link w:val="Heading2Char"/>
    <w:uiPriority w:val="9"/>
    <w:unhideWhenUsed/>
    <w:qFormat/>
    <w:rsid w:val="009B460E"/>
    <w:pPr>
      <w:keepNext/>
      <w:keepLines/>
      <w:spacing w:after="0" w:line="360" w:lineRule="auto"/>
      <w:contextualSpacing/>
      <w:outlineLvl w:val="1"/>
    </w:pPr>
    <w:rPr>
      <w:rFonts w:eastAsiaTheme="majorEastAsia" w:cs="Arial"/>
      <w:b/>
      <w:bCs/>
      <w:i/>
      <w:iCs/>
      <w:color w:val="000000" w:themeColor="text1"/>
      <w:sz w:val="24"/>
      <w:szCs w:val="22"/>
    </w:rPr>
  </w:style>
  <w:style w:type="paragraph" w:styleId="Heading3">
    <w:name w:val="heading 3"/>
    <w:basedOn w:val="Normal"/>
    <w:next w:val="Normal"/>
    <w:link w:val="Heading3Char"/>
    <w:uiPriority w:val="9"/>
    <w:semiHidden/>
    <w:unhideWhenUsed/>
    <w:qFormat/>
    <w:rsid w:val="003628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28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28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2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60E"/>
    <w:rPr>
      <w:rFonts w:ascii="Arial" w:eastAsiaTheme="majorEastAsia" w:hAnsi="Arial" w:cs="Arial"/>
      <w:b/>
      <w:bCs/>
      <w:color w:val="000000" w:themeColor="text1"/>
      <w:szCs w:val="22"/>
    </w:rPr>
  </w:style>
  <w:style w:type="character" w:customStyle="1" w:styleId="Heading2Char">
    <w:name w:val="Heading 2 Char"/>
    <w:basedOn w:val="DefaultParagraphFont"/>
    <w:link w:val="Heading2"/>
    <w:uiPriority w:val="9"/>
    <w:rsid w:val="009B460E"/>
    <w:rPr>
      <w:rFonts w:ascii="Arial" w:eastAsiaTheme="majorEastAsia" w:hAnsi="Arial" w:cs="Arial"/>
      <w:b/>
      <w:bCs/>
      <w:i/>
      <w:iCs/>
      <w:color w:val="000000" w:themeColor="text1"/>
      <w:szCs w:val="22"/>
    </w:rPr>
  </w:style>
  <w:style w:type="character" w:customStyle="1" w:styleId="Heading3Char">
    <w:name w:val="Heading 3 Char"/>
    <w:basedOn w:val="DefaultParagraphFont"/>
    <w:link w:val="Heading3"/>
    <w:uiPriority w:val="9"/>
    <w:semiHidden/>
    <w:rsid w:val="003628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28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28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2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876"/>
    <w:rPr>
      <w:rFonts w:eastAsiaTheme="majorEastAsia" w:cstheme="majorBidi"/>
      <w:color w:val="272727" w:themeColor="text1" w:themeTint="D8"/>
    </w:rPr>
  </w:style>
  <w:style w:type="paragraph" w:styleId="Title">
    <w:name w:val="Title"/>
    <w:basedOn w:val="Normal"/>
    <w:next w:val="Normal"/>
    <w:link w:val="TitleChar"/>
    <w:uiPriority w:val="10"/>
    <w:qFormat/>
    <w:rsid w:val="00362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876"/>
    <w:pPr>
      <w:spacing w:before="160"/>
      <w:jc w:val="center"/>
    </w:pPr>
    <w:rPr>
      <w:i/>
      <w:iCs/>
      <w:color w:val="404040" w:themeColor="text1" w:themeTint="BF"/>
    </w:rPr>
  </w:style>
  <w:style w:type="character" w:customStyle="1" w:styleId="QuoteChar">
    <w:name w:val="Quote Char"/>
    <w:basedOn w:val="DefaultParagraphFont"/>
    <w:link w:val="Quote"/>
    <w:uiPriority w:val="29"/>
    <w:rsid w:val="00362876"/>
    <w:rPr>
      <w:i/>
      <w:iCs/>
      <w:color w:val="404040" w:themeColor="text1" w:themeTint="BF"/>
    </w:rPr>
  </w:style>
  <w:style w:type="paragraph" w:styleId="ListParagraph">
    <w:name w:val="List Paragraph"/>
    <w:basedOn w:val="Normal"/>
    <w:uiPriority w:val="34"/>
    <w:qFormat/>
    <w:rsid w:val="00362876"/>
    <w:pPr>
      <w:ind w:left="720"/>
      <w:contextualSpacing/>
    </w:pPr>
  </w:style>
  <w:style w:type="character" w:styleId="IntenseEmphasis">
    <w:name w:val="Intense Emphasis"/>
    <w:basedOn w:val="DefaultParagraphFont"/>
    <w:uiPriority w:val="21"/>
    <w:qFormat/>
    <w:rsid w:val="00362876"/>
    <w:rPr>
      <w:i/>
      <w:iCs/>
      <w:color w:val="2F5496" w:themeColor="accent1" w:themeShade="BF"/>
    </w:rPr>
  </w:style>
  <w:style w:type="paragraph" w:styleId="IntenseQuote">
    <w:name w:val="Intense Quote"/>
    <w:basedOn w:val="Normal"/>
    <w:next w:val="Normal"/>
    <w:link w:val="IntenseQuoteChar"/>
    <w:uiPriority w:val="30"/>
    <w:qFormat/>
    <w:rsid w:val="003628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2876"/>
    <w:rPr>
      <w:i/>
      <w:iCs/>
      <w:color w:val="2F5496" w:themeColor="accent1" w:themeShade="BF"/>
    </w:rPr>
  </w:style>
  <w:style w:type="character" w:styleId="IntenseReference">
    <w:name w:val="Intense Reference"/>
    <w:basedOn w:val="DefaultParagraphFont"/>
    <w:uiPriority w:val="32"/>
    <w:qFormat/>
    <w:rsid w:val="00362876"/>
    <w:rPr>
      <w:b/>
      <w:bCs/>
      <w:smallCaps/>
      <w:color w:val="2F5496" w:themeColor="accent1" w:themeShade="BF"/>
      <w:spacing w:val="5"/>
    </w:rPr>
  </w:style>
  <w:style w:type="character" w:styleId="Hyperlink">
    <w:name w:val="Hyperlink"/>
    <w:basedOn w:val="DefaultParagraphFont"/>
    <w:uiPriority w:val="99"/>
    <w:unhideWhenUsed/>
    <w:rsid w:val="00362876"/>
    <w:rPr>
      <w:color w:val="0563C1" w:themeColor="hyperlink"/>
      <w:u w:val="single"/>
    </w:rPr>
  </w:style>
  <w:style w:type="character" w:styleId="UnresolvedMention">
    <w:name w:val="Unresolved Mention"/>
    <w:basedOn w:val="DefaultParagraphFont"/>
    <w:uiPriority w:val="99"/>
    <w:semiHidden/>
    <w:unhideWhenUsed/>
    <w:rsid w:val="00362876"/>
    <w:rPr>
      <w:color w:val="605E5C"/>
      <w:shd w:val="clear" w:color="auto" w:fill="E1DFDD"/>
    </w:rPr>
  </w:style>
  <w:style w:type="paragraph" w:styleId="Header">
    <w:name w:val="header"/>
    <w:basedOn w:val="Normal"/>
    <w:link w:val="HeaderChar"/>
    <w:uiPriority w:val="99"/>
    <w:unhideWhenUsed/>
    <w:rsid w:val="00533F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F32"/>
  </w:style>
  <w:style w:type="paragraph" w:styleId="Footer">
    <w:name w:val="footer"/>
    <w:basedOn w:val="Normal"/>
    <w:link w:val="FooterChar"/>
    <w:uiPriority w:val="99"/>
    <w:unhideWhenUsed/>
    <w:rsid w:val="00533F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F32"/>
  </w:style>
  <w:style w:type="paragraph" w:styleId="NoSpacing">
    <w:name w:val="No Spacing"/>
    <w:uiPriority w:val="1"/>
    <w:qFormat/>
    <w:rsid w:val="002D4A27"/>
    <w:pPr>
      <w:spacing w:after="0" w:line="240" w:lineRule="auto"/>
    </w:pPr>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ackling-obesity-government-strategy" TargetMode="External"/><Relationship Id="rId13" Type="http://schemas.openxmlformats.org/officeDocument/2006/relationships/hyperlink" Target="https://www.health.org.uk/publications/reports/the-marmot-review-10-years-on" TargetMode="External"/><Relationship Id="rId18" Type="http://schemas.openxmlformats.org/officeDocument/2006/relationships/hyperlink" Target="https://doi.org/10.1177/109019817400200403" TargetMode="External"/><Relationship Id="rId26" Type="http://schemas.openxmlformats.org/officeDocument/2006/relationships/hyperlink" Target="https://unstats.un.org/sdgs/report/2024/" TargetMode="External"/><Relationship Id="rId3" Type="http://schemas.openxmlformats.org/officeDocument/2006/relationships/styles" Target="styles.xml"/><Relationship Id="rId21" Type="http://schemas.openxmlformats.org/officeDocument/2006/relationships/hyperlink" Target="https://www.kingsfund.org.uk" TargetMode="External"/><Relationship Id="rId7" Type="http://schemas.openxmlformats.org/officeDocument/2006/relationships/endnotes" Target="endnotes.xml"/><Relationship Id="rId12" Type="http://schemas.openxmlformats.org/officeDocument/2006/relationships/hyperlink" Target="https://doi.org/10.1002/9781119057840.ch68" TargetMode="External"/><Relationship Id="rId17" Type="http://schemas.openxmlformats.org/officeDocument/2006/relationships/hyperlink" Target="https://www.gov.uk/government/publications/childhood-obesity-applying-all-our-health" TargetMode="External"/><Relationship Id="rId25" Type="http://schemas.openxmlformats.org/officeDocument/2006/relationships/hyperlink" Target="https://unstats.un.org/sdgs/report/2024/"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www.researchgate.net/profile/Beth-Sprunt-3/publication/354112107_Participatory_planning_for_local_sustainability_guided_by_the_Sustainable_Development_Goals/links/61893e4207be5f31b758f9c9/Participatory-planning-for-local-sustainability-guided-by-the-Sustainable-Development-Goals.pdf" TargetMode="External"/><Relationship Id="rId29" Type="http://schemas.openxmlformats.org/officeDocument/2006/relationships/hyperlink" Target="https://www.who.int/data/gho/publications/world-health-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lobalfund.org/en/results/" TargetMode="External"/><Relationship Id="rId24" Type="http://schemas.openxmlformats.org/officeDocument/2006/relationships/hyperlink" Target="https://sdgs.un.org/2030agend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confed.org" TargetMode="External"/><Relationship Id="rId23" Type="http://schemas.openxmlformats.org/officeDocument/2006/relationships/hyperlink" Target="https://sdgs.un.org/2030agenda" TargetMode="External"/><Relationship Id="rId28" Type="http://schemas.openxmlformats.org/officeDocument/2006/relationships/hyperlink" Target="https://www.who.int/initiatives/sdg3-global-action-plan" TargetMode="External"/><Relationship Id="rId10" Type="http://schemas.openxmlformats.org/officeDocument/2006/relationships/hyperlink" Target="https://www.fao.org/publications/sofi" TargetMode="External"/><Relationship Id="rId19" Type="http://schemas.openxmlformats.org/officeDocument/2006/relationships/hyperlink" Target="https://doi.org/10.1177/10901981740020040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ao.org/publications/sofa" TargetMode="External"/><Relationship Id="rId14" Type="http://schemas.openxmlformats.org/officeDocument/2006/relationships/hyperlink" Target="https://doi.org/10.1186/s12889-022-13787-7" TargetMode="External"/><Relationship Id="rId22" Type="http://schemas.openxmlformats.org/officeDocument/2006/relationships/hyperlink" Target="https://sdgs.un.org/2030agenda" TargetMode="External"/><Relationship Id="rId27" Type="http://schemas.openxmlformats.org/officeDocument/2006/relationships/hyperlink" Target="https://www.wfp.org/publications" TargetMode="External"/><Relationship Id="rId30" Type="http://schemas.openxmlformats.org/officeDocument/2006/relationships/hyperlink" Target="https://www.researchgate.net/profile/Dandan-Yu-2/publication/348767162_Ensuring_Effective_Implementation_of_the_post-2020_global_biodiversity_targets_Nature_Ecology_and_Evolution/links/61e907848d338833e37fa968/Ensuring-Effective-Implementation-of-the-post-2020-global-biodiversity-targets-Nature-Ecology-and-Evolution.pdf?_sg%5B0%5D=started_experiment_milestone&amp;_sg%5B1%5D=started_experiment_milestone&amp;origin=journal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46B09-6A2E-4F9E-B04A-8E267EB11B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3386</Words>
  <Characters>19305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Melody Maseko (2244812)</cp:lastModifiedBy>
  <cp:revision>2</cp:revision>
  <dcterms:created xsi:type="dcterms:W3CDTF">2026-07-19T13:27:00Z</dcterms:created>
  <dcterms:modified xsi:type="dcterms:W3CDTF">2026-07-19T13:27:00Z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1e44b63f-b826-49c7-9e59-7fa36887e161</vt:lpwstr>
  </property>
</Properties>
</file>