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760E2" w14:textId="3D406CCA" w:rsidR="000259DB" w:rsidRPr="0006037C" w:rsidRDefault="000259DB" w:rsidP="00BD22CF">
      <w:pPr>
        <w:rPr>
          <w:b/>
        </w:rPr>
      </w:pPr>
      <w:r w:rsidRPr="0006037C">
        <w:rPr>
          <w:b/>
        </w:rPr>
        <w:t>Catalougue Entry</w:t>
      </w:r>
    </w:p>
    <w:p w14:paraId="504F6030" w14:textId="501A3746" w:rsidR="00BD22CF" w:rsidRPr="0006037C" w:rsidRDefault="000259DB" w:rsidP="00BD22CF">
      <w:pPr>
        <w:rPr>
          <w:b/>
        </w:rPr>
      </w:pPr>
      <w:r w:rsidRPr="0006037C">
        <w:rPr>
          <w:b/>
        </w:rPr>
        <w:drawing>
          <wp:inline distT="0" distB="0" distL="0" distR="0" wp14:anchorId="21078094" wp14:editId="12205FFE">
            <wp:extent cx="2438400" cy="2218496"/>
            <wp:effectExtent l="0" t="0" r="0" b="0"/>
            <wp:docPr id="6" name="Picture Placeholder 5">
              <a:extLst xmlns:a="http://schemas.openxmlformats.org/drawingml/2006/main">
                <a:ext uri="{FF2B5EF4-FFF2-40B4-BE49-F238E27FC236}">
                  <a16:creationId xmlns:a16="http://schemas.microsoft.com/office/drawing/2014/main" id="{68904182-5DC8-025F-043F-6B4DA11A22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Placeholder 5">
                      <a:extLst>
                        <a:ext uri="{FF2B5EF4-FFF2-40B4-BE49-F238E27FC236}">
                          <a16:creationId xmlns:a16="http://schemas.microsoft.com/office/drawing/2014/main" id="{68904182-5DC8-025F-043F-6B4DA11A229E}"/>
                        </a:ext>
                      </a:extLst>
                    </pic:cNvPr>
                    <pic:cNvPicPr>
                      <a:picLocks noChangeAspect="1"/>
                    </pic:cNvPicPr>
                  </pic:nvPicPr>
                  <pic:blipFill>
                    <a:blip r:embed="rId5"/>
                    <a:srcRect t="10534" b="38288"/>
                    <a:stretch>
                      <a:fillRect/>
                    </a:stretch>
                  </pic:blipFill>
                  <pic:spPr>
                    <a:xfrm>
                      <a:off x="0" y="0"/>
                      <a:ext cx="2448272" cy="2227478"/>
                    </a:xfrm>
                    <a:prstGeom prst="rect">
                      <a:avLst/>
                    </a:prstGeom>
                  </pic:spPr>
                </pic:pic>
              </a:graphicData>
            </a:graphic>
          </wp:inline>
        </w:drawing>
      </w:r>
      <w:r w:rsidRPr="0006037C">
        <w:rPr>
          <w:b/>
        </w:rPr>
        <w:t xml:space="preserve">                                                 </w:t>
      </w:r>
      <w:r w:rsidRPr="0006037C">
        <w:rPr>
          <w:b/>
        </w:rPr>
        <w:drawing>
          <wp:inline distT="0" distB="0" distL="0" distR="0" wp14:anchorId="0E345058" wp14:editId="448B3B8E">
            <wp:extent cx="1874520" cy="3329518"/>
            <wp:effectExtent l="0" t="0" r="0" b="4445"/>
            <wp:docPr id="13902326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82559" cy="3343797"/>
                    </a:xfrm>
                    <a:prstGeom prst="rect">
                      <a:avLst/>
                    </a:prstGeom>
                    <a:noFill/>
                  </pic:spPr>
                </pic:pic>
              </a:graphicData>
            </a:graphic>
          </wp:inline>
        </w:drawing>
      </w:r>
    </w:p>
    <w:p w14:paraId="09996F4E" w14:textId="77777777" w:rsidR="000259DB" w:rsidRPr="0006037C" w:rsidRDefault="000259DB" w:rsidP="00BD22CF">
      <w:pPr>
        <w:rPr>
          <w:b/>
        </w:rPr>
      </w:pPr>
    </w:p>
    <w:p w14:paraId="34DA0794" w14:textId="77777777" w:rsidR="000259DB" w:rsidRPr="0006037C" w:rsidRDefault="000259DB" w:rsidP="00BD22CF">
      <w:pPr>
        <w:rPr>
          <w:b/>
        </w:rPr>
      </w:pPr>
    </w:p>
    <w:p w14:paraId="321FE0E2" w14:textId="4105977D" w:rsidR="00BD22CF" w:rsidRPr="0006037C" w:rsidRDefault="000259DB" w:rsidP="00BD22CF">
      <w:pPr>
        <w:rPr>
          <w:b/>
        </w:rPr>
      </w:pPr>
      <w:r w:rsidRPr="0006037C">
        <w:rPr>
          <w:b/>
        </w:rPr>
        <w:t xml:space="preserve">                                                                          </w:t>
      </w:r>
      <w:r w:rsidRPr="0006037C">
        <w:rPr>
          <w:b/>
        </w:rPr>
        <w:drawing>
          <wp:inline distT="0" distB="0" distL="0" distR="0" wp14:anchorId="1DD6A49D" wp14:editId="2D342564">
            <wp:extent cx="1706880" cy="3031759"/>
            <wp:effectExtent l="0" t="0" r="7620" b="0"/>
            <wp:docPr id="1712978376" name="Picture 4" descr="A large pot on a pil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78376" name="Picture 4" descr="A large pot on a pillow&#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23633" cy="3061516"/>
                    </a:xfrm>
                    <a:prstGeom prst="rect">
                      <a:avLst/>
                    </a:prstGeom>
                    <a:noFill/>
                  </pic:spPr>
                </pic:pic>
              </a:graphicData>
            </a:graphic>
          </wp:inline>
        </w:drawing>
      </w:r>
    </w:p>
    <w:p w14:paraId="69B53885" w14:textId="270FEB6F" w:rsidR="00BD22CF" w:rsidRPr="0006037C" w:rsidRDefault="00BD22CF" w:rsidP="00BD22CF">
      <w:pPr>
        <w:rPr>
          <w:b/>
        </w:rPr>
      </w:pPr>
    </w:p>
    <w:p w14:paraId="67DBD2B7" w14:textId="77777777" w:rsidR="00BD22CF" w:rsidRPr="0006037C" w:rsidRDefault="00BD22CF" w:rsidP="00BD22CF">
      <w:pPr>
        <w:rPr>
          <w:b/>
        </w:rPr>
      </w:pPr>
    </w:p>
    <w:p w14:paraId="799A8A9C" w14:textId="77777777" w:rsidR="00BD22CF" w:rsidRPr="0006037C" w:rsidRDefault="00BD22CF" w:rsidP="00BD22CF">
      <w:pPr>
        <w:rPr>
          <w:b/>
        </w:rPr>
      </w:pPr>
    </w:p>
    <w:p w14:paraId="53E5C0BF" w14:textId="5465280A" w:rsidR="00BD22CF" w:rsidRPr="0006037C" w:rsidRDefault="00BD22CF" w:rsidP="00BD22CF">
      <w:pPr>
        <w:rPr>
          <w:b/>
        </w:rPr>
      </w:pPr>
      <w:r w:rsidRPr="0006037C">
        <w:rPr>
          <w:b/>
        </w:rPr>
        <w:t>Name of your object ceramic vessel</w:t>
      </w:r>
    </w:p>
    <w:p w14:paraId="30204ECE" w14:textId="7C138EAD" w:rsidR="00BD22CF" w:rsidRPr="0006037C" w:rsidRDefault="00BD22CF" w:rsidP="00BD22CF">
      <w:pPr>
        <w:rPr>
          <w:b/>
        </w:rPr>
      </w:pPr>
      <w:r w:rsidRPr="0006037C">
        <w:rPr>
          <w:b/>
        </w:rPr>
        <w:t>Cyfarthfa Castle, Merthyr Tydfil CCM 270.004</w:t>
      </w:r>
    </w:p>
    <w:p w14:paraId="627C127F" w14:textId="1837BC01" w:rsidR="00BD22CF" w:rsidRPr="0006037C" w:rsidRDefault="00BD22CF" w:rsidP="00BD22CF">
      <w:r w:rsidRPr="0006037C">
        <w:rPr>
          <w:b/>
          <w:bCs/>
        </w:rPr>
        <w:lastRenderedPageBreak/>
        <w:t>Object type:</w:t>
      </w:r>
      <w:r w:rsidR="000259DB" w:rsidRPr="0006037C">
        <w:rPr>
          <w:b/>
          <w:bCs/>
        </w:rPr>
        <w:t xml:space="preserve"> D-ware</w:t>
      </w:r>
      <w:r w:rsidRPr="0006037C">
        <w:rPr>
          <w:b/>
          <w:bCs/>
        </w:rPr>
        <w:t xml:space="preserve"> pottery</w:t>
      </w:r>
    </w:p>
    <w:p w14:paraId="4CDE6DEC" w14:textId="2C5E21BB" w:rsidR="00BD22CF" w:rsidRPr="0006037C" w:rsidRDefault="00BD22CF" w:rsidP="00BD22CF">
      <w:r w:rsidRPr="0006037C">
        <w:rPr>
          <w:b/>
          <w:bCs/>
        </w:rPr>
        <w:t>Material: red clay (Nile)</w:t>
      </w:r>
    </w:p>
    <w:p w14:paraId="0C2BE422" w14:textId="40F2897F" w:rsidR="00BD22CF" w:rsidRPr="0006037C" w:rsidRDefault="00BD22CF" w:rsidP="00BD22CF">
      <w:r w:rsidRPr="0006037C">
        <w:rPr>
          <w:b/>
          <w:bCs/>
        </w:rPr>
        <w:t>Period: predynastic (Naqada 2)</w:t>
      </w:r>
      <w:r w:rsidR="000259DB" w:rsidRPr="0006037C">
        <w:rPr>
          <w:b/>
          <w:bCs/>
        </w:rPr>
        <w:t xml:space="preserve"> 3500-3200 B.C.E </w:t>
      </w:r>
    </w:p>
    <w:p w14:paraId="0ADBA753" w14:textId="62E583DF" w:rsidR="00BD22CF" w:rsidRPr="0006037C" w:rsidRDefault="00BD22CF" w:rsidP="00BD22CF">
      <w:r w:rsidRPr="0006037C">
        <w:rPr>
          <w:b/>
          <w:bCs/>
        </w:rPr>
        <w:t xml:space="preserve">Provenance: </w:t>
      </w:r>
      <w:r w:rsidR="000259DB" w:rsidRPr="0006037C">
        <w:rPr>
          <w:b/>
          <w:bCs/>
        </w:rPr>
        <w:t>Qena Governorate</w:t>
      </w:r>
    </w:p>
    <w:p w14:paraId="14375CD6" w14:textId="77777777" w:rsidR="00BD22CF" w:rsidRPr="0006037C" w:rsidRDefault="00BD22CF" w:rsidP="00BD22CF">
      <w:pPr>
        <w:rPr>
          <w:b/>
          <w:bCs/>
        </w:rPr>
      </w:pPr>
      <w:r w:rsidRPr="0006037C">
        <w:rPr>
          <w:b/>
          <w:bCs/>
        </w:rPr>
        <w:t>Dimensions: Ceramic vessel (CCM 270.004)</w:t>
      </w:r>
    </w:p>
    <w:p w14:paraId="2AF13A36" w14:textId="0CB5B095" w:rsidR="00BD22CF" w:rsidRPr="0006037C" w:rsidRDefault="00BD22CF" w:rsidP="00BD22CF">
      <w:pPr>
        <w:rPr>
          <w:b/>
          <w:bCs/>
        </w:rPr>
      </w:pPr>
      <w:r w:rsidRPr="0006037C">
        <w:rPr>
          <w:b/>
          <w:bCs/>
        </w:rPr>
        <w:t xml:space="preserve">                             Height </w:t>
      </w:r>
      <w:r w:rsidR="000259DB" w:rsidRPr="0006037C">
        <w:rPr>
          <w:b/>
          <w:bCs/>
        </w:rPr>
        <w:t>~</w:t>
      </w:r>
      <w:r w:rsidRPr="0006037C">
        <w:rPr>
          <w:b/>
          <w:bCs/>
        </w:rPr>
        <w:t>30.cm</w:t>
      </w:r>
    </w:p>
    <w:p w14:paraId="0352F380" w14:textId="688B817D" w:rsidR="00BD22CF" w:rsidRPr="0006037C" w:rsidRDefault="00BD22CF" w:rsidP="00BD22CF">
      <w:pPr>
        <w:rPr>
          <w:b/>
          <w:bCs/>
        </w:rPr>
      </w:pPr>
      <w:r w:rsidRPr="0006037C">
        <w:rPr>
          <w:b/>
          <w:bCs/>
        </w:rPr>
        <w:t xml:space="preserve">                             </w:t>
      </w:r>
      <w:r w:rsidR="00544062" w:rsidRPr="0006037C">
        <w:rPr>
          <w:b/>
          <w:bCs/>
        </w:rPr>
        <w:t xml:space="preserve">circumference </w:t>
      </w:r>
      <w:r w:rsidRPr="0006037C">
        <w:rPr>
          <w:b/>
          <w:bCs/>
        </w:rPr>
        <w:t>of the rim 49.1cm</w:t>
      </w:r>
    </w:p>
    <w:p w14:paraId="20542CB9" w14:textId="080992C2" w:rsidR="00BD22CF" w:rsidRPr="0006037C" w:rsidRDefault="00BD22CF" w:rsidP="00BD22CF">
      <w:pPr>
        <w:rPr>
          <w:b/>
          <w:bCs/>
        </w:rPr>
      </w:pPr>
      <w:r w:rsidRPr="0006037C">
        <w:rPr>
          <w:b/>
          <w:bCs/>
        </w:rPr>
        <w:t xml:space="preserve">                             Thickness of vessel 1.6 cm</w:t>
      </w:r>
    </w:p>
    <w:p w14:paraId="58448A07" w14:textId="02C2D8F3" w:rsidR="00BD22CF" w:rsidRPr="0006037C" w:rsidRDefault="00BD22CF" w:rsidP="00BD22CF">
      <w:pPr>
        <w:rPr>
          <w:b/>
          <w:bCs/>
        </w:rPr>
      </w:pPr>
      <w:r w:rsidRPr="0006037C">
        <w:rPr>
          <w:b/>
          <w:bCs/>
        </w:rPr>
        <w:t xml:space="preserve">                             Radius of lid 15.6 cm</w:t>
      </w:r>
    </w:p>
    <w:p w14:paraId="587010B3" w14:textId="174F18A0" w:rsidR="00BD22CF" w:rsidRPr="0006037C" w:rsidRDefault="00BD22CF" w:rsidP="00BD22CF">
      <w:pPr>
        <w:rPr>
          <w:b/>
          <w:bCs/>
        </w:rPr>
      </w:pPr>
      <w:r w:rsidRPr="0006037C">
        <w:rPr>
          <w:b/>
          <w:bCs/>
        </w:rPr>
        <w:t xml:space="preserve">                             Width of bottom  10.1 cm</w:t>
      </w:r>
    </w:p>
    <w:p w14:paraId="27AECCC2" w14:textId="5E3D7AEB" w:rsidR="00BD22CF" w:rsidRPr="0006037C" w:rsidRDefault="00BD22CF" w:rsidP="00BD22CF"/>
    <w:p w14:paraId="77F1EB64" w14:textId="7E08870E" w:rsidR="00BD22CF" w:rsidRPr="0006037C" w:rsidRDefault="00BD22CF" w:rsidP="00BD22CF">
      <w:r w:rsidRPr="0006037C">
        <w:t>Object analysis by Caleb Rees 2305437</w:t>
      </w:r>
    </w:p>
    <w:p w14:paraId="314945FA" w14:textId="76358831" w:rsidR="000259DB" w:rsidRPr="0006037C" w:rsidRDefault="000259DB" w:rsidP="00BD22CF">
      <w:pPr>
        <w:rPr>
          <w:sz w:val="32"/>
          <w:szCs w:val="32"/>
        </w:rPr>
      </w:pPr>
    </w:p>
    <w:p w14:paraId="36F9A245" w14:textId="162EAE1F" w:rsidR="000259DB" w:rsidRPr="0006037C" w:rsidRDefault="000259DB" w:rsidP="00BD22CF">
      <w:pPr>
        <w:rPr>
          <w:sz w:val="32"/>
          <w:szCs w:val="32"/>
        </w:rPr>
      </w:pPr>
      <w:r w:rsidRPr="0006037C">
        <w:rPr>
          <w:sz w:val="32"/>
          <w:szCs w:val="32"/>
        </w:rPr>
        <w:t>Description</w:t>
      </w:r>
    </w:p>
    <w:p w14:paraId="13ACC49E" w14:textId="5DA18CA7" w:rsidR="00544062" w:rsidRPr="0006037C" w:rsidRDefault="000259DB" w:rsidP="00BD22CF">
      <w:r w:rsidRPr="0006037C">
        <w:t>The Ceramic Vessel (</w:t>
      </w:r>
      <w:r w:rsidR="00544062" w:rsidRPr="0006037C">
        <w:t xml:space="preserve">CCM </w:t>
      </w:r>
      <w:r w:rsidRPr="0006037C">
        <w:t xml:space="preserve">270.004) is a </w:t>
      </w:r>
      <w:r w:rsidR="00544062" w:rsidRPr="0006037C">
        <w:t xml:space="preserve">complete and intact piece example of pottery. It is 30cm in height and widens as the vessel rises from its base before it closes in on itself </w:t>
      </w:r>
      <w:proofErr w:type="gramStart"/>
      <w:r w:rsidR="00544062" w:rsidRPr="0006037C">
        <w:t>in order to</w:t>
      </w:r>
      <w:proofErr w:type="gramEnd"/>
      <w:r w:rsidR="00544062" w:rsidRPr="0006037C">
        <w:t xml:space="preserve"> make a rim that has a circumference of 49.1cm. the lid is surrounded by three lugs, which are three protrusions that have 0.3cm holes going through the middle of them.</w:t>
      </w:r>
    </w:p>
    <w:p w14:paraId="4DA6E562" w14:textId="1837F2E3" w:rsidR="00544062" w:rsidRPr="0006037C" w:rsidRDefault="00544062" w:rsidP="00BD22CF">
      <w:r w:rsidRPr="0006037C">
        <w:t xml:space="preserve">The ceramic vessel (CCM 270.004) is a light brown colour and darkens as it approaches its base however the </w:t>
      </w:r>
      <w:r w:rsidR="0025370D" w:rsidRPr="0006037C">
        <w:t xml:space="preserve">lip </w:t>
      </w:r>
      <w:r w:rsidRPr="0006037C">
        <w:t>of the rim has a darker a</w:t>
      </w:r>
      <w:r w:rsidR="0025370D" w:rsidRPr="0006037C">
        <w:t>nd</w:t>
      </w:r>
      <w:r w:rsidRPr="0006037C">
        <w:t xml:space="preserve"> shinier colouration to the rest of the vessel</w:t>
      </w:r>
      <w:r w:rsidR="0025370D" w:rsidRPr="0006037C">
        <w:t xml:space="preserve"> due to it being handled the most. In the outer part of the vessel there is a series of symbols </w:t>
      </w:r>
      <w:r w:rsidR="006A3BF4" w:rsidRPr="0006037C">
        <w:t>and patterns that wrap around the middle and the top of the vessel. The patterns the top of the object is two parallel lines that wrap around the whole of the vessel and intermittently there are diagonal lines that cross between the two lines. The number of the diagonal lines Varys throughout the pattern</w:t>
      </w:r>
      <w:r w:rsidR="00CE3AB3" w:rsidRPr="0006037C">
        <w:t xml:space="preserve">. The same visual design is repeated and located below the </w:t>
      </w:r>
      <w:proofErr w:type="gramStart"/>
      <w:r w:rsidR="00CE3AB3" w:rsidRPr="0006037C">
        <w:t>aforementioned pattern</w:t>
      </w:r>
      <w:proofErr w:type="gramEnd"/>
      <w:r w:rsidR="00CE3AB3" w:rsidRPr="0006037C">
        <w:t xml:space="preserve"> however it has a small mistake in between one of the grouping of lines which resemble brush mistakes. The final visual design is a collection of black triangles that wrap around the sides of the vessel however the pattern breaks in the middle and leaves room for a depiction of a palm frond. The pattern of triangles also has abnormalities as the line of triangles rises and falls at a </w:t>
      </w:r>
      <w:r w:rsidR="00235343" w:rsidRPr="0006037C">
        <w:t>seemingly random interval</w:t>
      </w:r>
      <w:r w:rsidR="00CE3AB3" w:rsidRPr="0006037C">
        <w:t>.</w:t>
      </w:r>
    </w:p>
    <w:p w14:paraId="7C8E0948" w14:textId="40979D8A" w:rsidR="00CE3AB3" w:rsidRPr="0006037C" w:rsidRDefault="00CE3AB3" w:rsidP="00BD22CF">
      <w:r w:rsidRPr="0006037C">
        <w:t xml:space="preserve">Due to the nature of </w:t>
      </w:r>
      <w:r w:rsidR="0006037C" w:rsidRPr="0006037C">
        <w:t>pottery,</w:t>
      </w:r>
      <w:r w:rsidRPr="0006037C">
        <w:t xml:space="preserve"> there are small cracks and visible smudges and dents in the structure of the pottery itself. There is evidence of the cracking located in the inner structure of the pot itself. While the crack is not a structural weakness it is a notable line that </w:t>
      </w:r>
      <w:r w:rsidR="00235343" w:rsidRPr="0006037C">
        <w:t xml:space="preserve">lasts for ~4.5 inches. The vessel itself is not smooth to touch as age has weathered </w:t>
      </w:r>
      <w:r w:rsidR="0006037C" w:rsidRPr="0006037C">
        <w:t>it,</w:t>
      </w:r>
      <w:r w:rsidR="00235343" w:rsidRPr="0006037C">
        <w:t xml:space="preserve"> but the vessel has small rises and falls in the actual ceramic vessel itself.</w:t>
      </w:r>
    </w:p>
    <w:p w14:paraId="1CFB6151" w14:textId="77777777" w:rsidR="00235343" w:rsidRPr="0006037C" w:rsidRDefault="00235343" w:rsidP="00BD22CF"/>
    <w:p w14:paraId="02E05926" w14:textId="77777777" w:rsidR="00235343" w:rsidRPr="0006037C" w:rsidRDefault="00235343" w:rsidP="00BD22CF"/>
    <w:p w14:paraId="76267342" w14:textId="1137078E" w:rsidR="00235343" w:rsidRPr="0006037C" w:rsidRDefault="00235343" w:rsidP="00BD22CF">
      <w:pPr>
        <w:rPr>
          <w:sz w:val="32"/>
          <w:szCs w:val="32"/>
        </w:rPr>
      </w:pPr>
    </w:p>
    <w:p w14:paraId="1D4F064B" w14:textId="5485F7F3" w:rsidR="00235343" w:rsidRDefault="00235343" w:rsidP="00BD22CF">
      <w:r w:rsidRPr="0006037C">
        <w:t>Egyptian pottery can often be identified by its characteristics and what the objects have in common with other pieces of pottery. Using Flinders Petrie chart</w:t>
      </w:r>
      <w:r w:rsidR="000D46C3" w:rsidRPr="0006037C">
        <w:fldChar w:fldCharType="begin"/>
      </w:r>
      <w:r w:rsidR="000D46C3" w:rsidRPr="0006037C">
        <w:instrText xml:space="preserve"> ADDIN ZOTERO_ITEM CSL_CITATION {"citationID":"2Im4p5uB","properties":{"formattedCitation":"(Egypt, 2023)","plainCitation":"(Egypt, 2023)","noteIndex":0},"citationItems":[{"id":494,"uris":["http://zotero.org/users/local/gg1ZQu5V/items/PZFS2YZL"],"itemData":{"id":494,"type":"webpage","abstract":"A major step forward in understanding and dating ancient Egyptian ceramics.","language":"en-GB","title":"Flinders Petrie’s sequence dating chart | The Past","URL":"https://the-past.com/shorts/the-picture-desk/flinders-petries-sequence-dating-chart/","author":[{"family":"Egypt","given":"Ancient"}],"accessed":{"date-parts":[["2025",10,19]]},"issued":{"date-parts":[["2023",8,6]]}}}],"schema":"https://github.com/citation-style-language/schema/raw/master/csl-citation.json"} </w:instrText>
      </w:r>
      <w:r w:rsidR="000D46C3" w:rsidRPr="0006037C">
        <w:fldChar w:fldCharType="separate"/>
      </w:r>
      <w:r w:rsidR="000D46C3" w:rsidRPr="0006037C">
        <w:rPr>
          <w:rFonts w:ascii="Aptos" w:hAnsi="Aptos"/>
        </w:rPr>
        <w:t>(Egypt, 2023)</w:t>
      </w:r>
      <w:r w:rsidR="000D46C3" w:rsidRPr="0006037C">
        <w:fldChar w:fldCharType="end"/>
      </w:r>
      <w:r w:rsidR="00935F0B">
        <w:t xml:space="preserve"> </w:t>
      </w:r>
      <w:r w:rsidR="00935F0B">
        <w:fldChar w:fldCharType="begin"/>
      </w:r>
      <w:r w:rsidR="00935F0B">
        <w:instrText xml:space="preserve"> ADDIN ZOTERO_ITEM CSL_CITATION {"citationID":"3jgCSOz4","properties":{"formattedCitation":"(Petrie, 2023)","plainCitation":"(Petrie, 2023)","noteIndex":0},"citationItems":[{"id":528,"uris":["http://zotero.org/users/local/gg1ZQu5V/items/7IYHL47K"],"itemData":{"id":528,"type":"book","abstract":"Facsimile edition of the 1974 reissue of Flinders Petrie’s 1921 corpus of prehistoric pottery and slate palettes from pre-dynastic, prehistoric Egypt. The pottery corpus was produced separately to accompany the catalog of Egyptian artifacts in the volume Prehistoric Egypt and comprises hundreds of line drawings illustrating the shapes, forms and types of decoration. It was intended to be a ‘graveside’ aid for use during excavation, with the intent that it be used with record cards to classify and date pottery that could then be returned to the grave. The corpus of palettes updated Petrie’s original classification published Ballas and Naqada, to include many new finds and refine the typology and sequence.","ISBN":"9798888570197","language":"en","note":"Google-Books-ID: k9S4EAAAQBAJ","number-of-pages":"70","publisher":"Oxbow Books","source":"Google Books","title":"Corpus of Prehistoric Pottery and Palettes","author":[{"family":"Petrie","given":"W. M. Flinders"}],"issued":{"date-parts":[["2023",4,20]]}}}],"schema":"https://github.com/citation-style-language/schema/raw/master/csl-citation.json"} </w:instrText>
      </w:r>
      <w:r w:rsidR="00935F0B">
        <w:fldChar w:fldCharType="separate"/>
      </w:r>
      <w:r w:rsidR="00935F0B" w:rsidRPr="00935F0B">
        <w:rPr>
          <w:rFonts w:ascii="Aptos" w:hAnsi="Aptos"/>
        </w:rPr>
        <w:t>(Petrie, 2023)</w:t>
      </w:r>
      <w:r w:rsidR="00935F0B">
        <w:fldChar w:fldCharType="end"/>
      </w:r>
      <w:r w:rsidRPr="0006037C">
        <w:t>it becomes possible to compare potential uses and designs that allows to better determine the typology of the ceramic vessel (CCM 270.004)</w:t>
      </w:r>
      <w:r w:rsidR="000D46C3" w:rsidRPr="0006037C">
        <w:t>.</w:t>
      </w:r>
      <w:r w:rsidR="0006037C">
        <w:t>the object shows the most similarities with the d-ware object class</w:t>
      </w:r>
      <w:r w:rsidR="001872B8">
        <w:t xml:space="preserve"> of Egyptian </w:t>
      </w:r>
      <w:r w:rsidR="005B2AA2">
        <w:t>ceramic</w:t>
      </w:r>
      <w:r w:rsidR="001872B8">
        <w:t xml:space="preserve"> pottery this would date the object within the predynastic period (5000-3000 B.CE)</w:t>
      </w:r>
      <w:r w:rsidR="005B2AA2">
        <w:t>.</w:t>
      </w:r>
      <w:r w:rsidR="005B2AA2">
        <w:fldChar w:fldCharType="begin"/>
      </w:r>
      <w:r w:rsidR="005B2AA2">
        <w:instrText xml:space="preserve"> ADDIN ZOTERO_ITEM CSL_CITATION {"citationID":"PQ8CAxhF","properties":{"formattedCitation":"(Administrator, 2019)","plainCitation":"(Administrator, 2019)","noteIndex":0},"citationItems":[{"id":512,"uris":["http://zotero.org/users/local/gg1ZQu5V/items/SDQBG9LE"],"itemData":{"id":512,"type":"webpage","abstract":"In 1895, Egyptologist William Mathew Flinders Petrie (1853-1942) directed excavations at the ancient cemetery of Naqada, Upper Egypt, on behalf of the Egypt Exploration Fund. Children and foremen from the village of Quft (known as Quftis) excavated 2,200 graves.","genre":"Text","language":"en","title":"Establishing Predynastic Egypt","URL":"https://www.whipplelib.hps.cam.ac.uk/special/exhibitions-and-displays/conflicting-chronologies/establishing-predynastic-egypt","author":[{"family":"Administrator","given":""}],"accessed":{"date-parts":[["2025",10,20]]},"issued":{"date-parts":[["2019",5,10]]}}}],"schema":"https://github.com/citation-style-language/schema/raw/master/csl-citation.json"} </w:instrText>
      </w:r>
      <w:r w:rsidR="005B2AA2">
        <w:fldChar w:fldCharType="separate"/>
      </w:r>
      <w:r w:rsidR="005B2AA2" w:rsidRPr="005B2AA2">
        <w:rPr>
          <w:rFonts w:ascii="Aptos" w:hAnsi="Aptos"/>
        </w:rPr>
        <w:t>(Administrator, 2019)</w:t>
      </w:r>
      <w:r w:rsidR="005B2AA2">
        <w:fldChar w:fldCharType="end"/>
      </w:r>
      <w:r w:rsidR="005B2AA2">
        <w:t>.</w:t>
      </w:r>
      <w:r w:rsidR="0045574C">
        <w:t>within the predynastic period the ceramic vessel is from the Naqada 2 period which is dated from 3500-3200B.C.E .</w:t>
      </w:r>
      <w:r w:rsidR="00CD7993" w:rsidRPr="0006037C">
        <w:t>Further</w:t>
      </w:r>
      <w:r w:rsidR="000D46C3" w:rsidRPr="0006037C">
        <w:t xml:space="preserve"> observation of this object </w:t>
      </w:r>
      <w:r w:rsidR="00CD7993" w:rsidRPr="0006037C">
        <w:t>shows</w:t>
      </w:r>
      <w:r w:rsidR="000D46C3" w:rsidRPr="0006037C">
        <w:t xml:space="preserve"> that due to the rim of the vessel it was not used to store water of any kind of liquid as the object has no funnel built into the object. Instead, the vessel seems to be used for storing dry objects such as grain or other forms of plants.</w:t>
      </w:r>
    </w:p>
    <w:p w14:paraId="609989E9" w14:textId="77777777" w:rsidR="00B30086" w:rsidRDefault="00B30086" w:rsidP="00935F0B"/>
    <w:p w14:paraId="3DE3B113" w14:textId="7A70E24E" w:rsidR="00935F0B" w:rsidRDefault="00B30086" w:rsidP="00935F0B">
      <w:r>
        <w:t>The clay that was used in the creation of the ceramic vessel (CCM 270.004) appears to be red Nile clay which is commonly used throughout Egypt and it is easy to access in the Naqada period.</w:t>
      </w:r>
      <w:r>
        <w:fldChar w:fldCharType="begin"/>
      </w:r>
      <w:r>
        <w:instrText xml:space="preserve"> ADDIN ZOTERO_ITEM CSL_CITATION {"citationID":"AKcNHhIx","properties":{"formattedCitation":"(Administrator, 2019)","plainCitation":"(Administrator, 2019)","noteIndex":0},"citationItems":[{"id":512,"uris":["http://zotero.org/users/local/gg1ZQu5V/items/SDQBG9LE"],"itemData":{"id":512,"type":"webpage","abstract":"In 1895, Egyptologist William Mathew Flinders Petrie (1853-1942) directed excavations at the ancient cemetery of Naqada, Upper Egypt, on behalf of the Egypt Exploration Fund. Children and foremen from the village of Quft (known as Quftis) excavated 2,200 graves.","genre":"Text","language":"en","title":"Establishing Predynastic Egypt","URL":"https://www.whipplelib.hps.cam.ac.uk/special/exhibitions-and-displays/conflicting-chronologies/establishing-predynastic-egypt","author":[{"family":"Administrator","given":""}],"accessed":{"date-parts":[["2025",10,20]]},"issued":{"date-parts":[["2019",5,10]]}}}],"schema":"https://github.com/citation-style-language/schema/raw/master/csl-citation.json"} </w:instrText>
      </w:r>
      <w:r>
        <w:fldChar w:fldCharType="separate"/>
      </w:r>
      <w:r w:rsidRPr="00B30086">
        <w:rPr>
          <w:rFonts w:ascii="Aptos" w:hAnsi="Aptos"/>
        </w:rPr>
        <w:t>(Administrator, 2019)</w:t>
      </w:r>
      <w:r>
        <w:fldChar w:fldCharType="end"/>
      </w:r>
      <w:r>
        <w:t xml:space="preserve"> </w:t>
      </w:r>
      <w:r w:rsidR="00935F0B">
        <w:t xml:space="preserve">As Alice Stevenson said “The Egyptians great cultural investment in the mortuary domain” </w:t>
      </w:r>
      <w:r w:rsidR="00935F0B">
        <w:fldChar w:fldCharType="begin"/>
      </w:r>
      <w:r w:rsidR="00935F0B">
        <w:instrText xml:space="preserve"> ADDIN ZOTERO_ITEM CSL_CITATION {"citationID":"bX9S9liz","properties":{"formattedCitation":"(Stevenson, 2014)","plainCitation":"(Stevenson, 2014)","noteIndex":0},"citationItems":[{"id":134,"uris":["http://zotero.org/users/local/gg1ZQu5V/items/L62J5Z6B"],"itemData":{"id":134,"type":"article-journal","abstract":"This paper explores the collection of artefacts from British excavations in Egypt and their dispersal to institutions across the world between 1880 and 1915. The scope, scale and complexity of these distributions is reviewed with a view to highlighting the complex, symbiotic relationship between British organizations that mounted such excavations on the one hand and museums on the other, and also to providing a basis from which to argue that both field and museum collecting practices were enmeshed within the same processes of ‘artefaction’. These shared processes together created a new form of museum object, here referred to as the ‘excavated artefact’. It is further suggested that the collection of artefacts for museums was one of the primary motivating factors in the establishment of a scientific archaeology in Egypt. Case-studies of the activities of the Egypt Exploration Fund and Flinders Petrie’s work are presented in order to throw these arguments into relief. An online Appendix tabulates the original distribution of objects from eef excavations to other institutions.","container-title":"Journal of the History of Collections","DOI":"10.1093/jhc/fht017","ISSN":"0954-6650","issue":"1","journalAbbreviation":"Journal of the History of Collections","page":"89-102","source":"Silverchair","title":"Artefacts of excavation: the British collection and distribution of Egyptian finds to museums, 1880 – 1915","title-short":"Artefacts of excavation","volume":"26","author":[{"family":"Stevenson","given":"Alice"}],"issued":{"date-parts":[["2014",3,1]]}}}],"schema":"https://github.com/citation-style-language/schema/raw/master/csl-citation.json"} </w:instrText>
      </w:r>
      <w:r w:rsidR="00935F0B">
        <w:fldChar w:fldCharType="separate"/>
      </w:r>
      <w:r w:rsidR="00935F0B" w:rsidRPr="00EE471A">
        <w:rPr>
          <w:rFonts w:ascii="Aptos" w:hAnsi="Aptos"/>
        </w:rPr>
        <w:t>(Stevenson, 2014)</w:t>
      </w:r>
      <w:r w:rsidR="00935F0B">
        <w:fldChar w:fldCharType="end"/>
      </w:r>
      <w:r w:rsidR="00935F0B">
        <w:t xml:space="preserve"> what Stevenson means by this is that the Egyptians put heavy importance onto the afterlife, this is because the Egyptians view the afterlife as the next stage of existence.</w:t>
      </w:r>
      <w:r w:rsidR="00935F0B">
        <w:fldChar w:fldCharType="begin"/>
      </w:r>
      <w:r w:rsidR="00935F0B">
        <w:instrText xml:space="preserve"> ADDIN ZOTERO_ITEM CSL_CITATION {"citationID":"LeKiW87b","properties":{"formattedCitation":"(Snape, 2011)","plainCitation":"(Snape, 2011)","noteIndex":0},"citationItems":[{"id":504,"uris":["http://zotero.org/users/local/gg1ZQu5V/items/F9U492E4"],"itemData":{"id":504,"type":"book","abstract":"This book explores the development of tombs as a cultural phenomenon in ancient Egypt and examines what tombs reveal about ancient Egyptian culture and Egyptians' belief in the afterlife.  Investigates the roles of tombs in the development of funerary practices Draws on a range of data, including architecture, artifacts and texts Discusses tombs within the context of everyday life in Ancient Egypt Stresses the importance of the tomb as an eternal expression of the self","ISBN":"978-1-4051-2089-0","language":"en","note":"Google-Books-ID: 3lcAEAAAQBAJ","number-of-pages":"326","publisher":"John Wiley &amp; Sons","source":"Google Books","title":"Ancient Egyptian Tombs: The Culture of Life and Death","title-short":"Ancient Egyptian Tombs","author":[{"family":"Snape","given":"Steven"}],"issued":{"date-parts":[["2011",2,14]]}}}],"schema":"https://github.com/citation-style-language/schema/raw/master/csl-citation.json"} </w:instrText>
      </w:r>
      <w:r w:rsidR="00935F0B">
        <w:fldChar w:fldCharType="separate"/>
      </w:r>
      <w:r w:rsidR="00935F0B" w:rsidRPr="00290A20">
        <w:rPr>
          <w:rFonts w:ascii="Aptos" w:hAnsi="Aptos"/>
        </w:rPr>
        <w:t>(Snape, 2011)</w:t>
      </w:r>
      <w:r w:rsidR="00935F0B">
        <w:fldChar w:fldCharType="end"/>
      </w:r>
      <w:r w:rsidR="00935F0B">
        <w:t xml:space="preserve"> although most popularized by canopic jars, vessels meant to hold the organs of a mummified individual.</w:t>
      </w:r>
      <w:r w:rsidR="00935F0B">
        <w:fldChar w:fldCharType="begin"/>
      </w:r>
      <w:r w:rsidR="00935F0B">
        <w:instrText xml:space="preserve"> ADDIN ZOTERO_ITEM CSL_CITATION {"citationID":"D1CBs9FC","properties":{"formattedCitation":"(Riggs, 2016)","plainCitation":"(Riggs, 2016)","noteIndex":0},"citationItems":[{"id":150,"uris":["http://zotero.org/users/local/gg1ZQu5V/items/JW2LHUW7"],"itemData":{"id":150,"type":"article-journal","abstract":"This article uses Egyptian burials of the Roman period as an entry point for considering aesthetics in relation to archaeology, ancient art, and human remains. Although some archaeologists and Egyptologists reject or ignore the concept of aesthetics, this article argues that it complements questions of ontology, materiality, and social practice that concern much contemporary archaeological thought. Moreover, engaging with aesthetics in the study of the ancient world requires archaeologists (and others) to reflect critically on the relationship between disciplinary histories and knowledge production, and to recognize the influence that earlier aesthetic models, such as racial science, continue to exert in current aesthetic encounters with ancient Egypt and its dead.","container-title":"The British Journal of Aesthetics","DOI":"10.1093/aesthj/ayw045","ISSN":"0007-0904","issue":"3","journalAbbreviation":"The British Journal of Aesthetics","page":"247-263","source":"Silverchair","title":"Beautiful Burials, Beautiful Skulls: The Aesthetics of the Egyptian Mummy","title-short":"Beautiful Burials, Beautiful Skulls","volume":"56","author":[{"family":"Riggs","given":"Christina"}],"issued":{"date-parts":[["2016",7,1]]}}}],"schema":"https://github.com/citation-style-language/schema/raw/master/csl-citation.json"} </w:instrText>
      </w:r>
      <w:r w:rsidR="00935F0B">
        <w:fldChar w:fldCharType="separate"/>
      </w:r>
      <w:r w:rsidR="00935F0B" w:rsidRPr="00290A20">
        <w:rPr>
          <w:rFonts w:ascii="Aptos" w:hAnsi="Aptos"/>
        </w:rPr>
        <w:t>(Riggs, 2016)</w:t>
      </w:r>
      <w:r w:rsidR="00935F0B">
        <w:fldChar w:fldCharType="end"/>
      </w:r>
      <w:r w:rsidR="00935F0B">
        <w:t xml:space="preserve"> it is highly unlikely that the ceramic vessel (CCM 270.004) is a canopic jar and is instead meant to symbolically hold the items of food or other objects into the afterlife with the person that the object was buried with originally.</w:t>
      </w:r>
      <w:r w:rsidR="00935F0B">
        <w:fldChar w:fldCharType="begin"/>
      </w:r>
      <w:r w:rsidR="00935F0B">
        <w:instrText xml:space="preserve"> ADDIN ZOTERO_ITEM CSL_CITATION {"citationID":"bPDa7Y7o","properties":{"formattedCitation":"(Stevenson, 2014)","plainCitation":"(Stevenson, 2014)","noteIndex":0},"citationItems":[{"id":134,"uris":["http://zotero.org/users/local/gg1ZQu5V/items/L62J5Z6B"],"itemData":{"id":134,"type":"article-journal","abstract":"This paper explores the collection of artefacts from British excavations in Egypt and their dispersal to institutions across the world between 1880 and 1915. The scope, scale and complexity of these distributions is reviewed with a view to highlighting the complex, symbiotic relationship between British organizations that mounted such excavations on the one hand and museums on the other, and also to providing a basis from which to argue that both field and museum collecting practices were enmeshed within the same processes of ‘artefaction’. These shared processes together created a new form of museum object, here referred to as the ‘excavated artefact’. It is further suggested that the collection of artefacts for museums was one of the primary motivating factors in the establishment of a scientific archaeology in Egypt. Case-studies of the activities of the Egypt Exploration Fund and Flinders Petrie’s work are presented in order to throw these arguments into relief. An online Appendix tabulates the original distribution of objects from eef excavations to other institutions.","container-title":"Journal of the History of Collections","DOI":"10.1093/jhc/fht017","ISSN":"0954-6650","issue":"1","journalAbbreviation":"Journal of the History of Collections","page":"89-102","source":"Silverchair","title":"Artefacts of excavation: the British collection and distribution of Egyptian finds to museums, 1880 – 1915","title-short":"Artefacts of excavation","volume":"26","author":[{"family":"Stevenson","given":"Alice"}],"issued":{"date-parts":[["2014",3,1]]}}}],"schema":"https://github.com/citation-style-language/schema/raw/master/csl-citation.json"} </w:instrText>
      </w:r>
      <w:r w:rsidR="00935F0B">
        <w:fldChar w:fldCharType="separate"/>
      </w:r>
      <w:r w:rsidR="00935F0B" w:rsidRPr="00290A20">
        <w:rPr>
          <w:rFonts w:ascii="Aptos" w:hAnsi="Aptos"/>
        </w:rPr>
        <w:t>(Stevenson, 2014)</w:t>
      </w:r>
      <w:r w:rsidR="00935F0B">
        <w:fldChar w:fldCharType="end"/>
      </w:r>
      <w:r w:rsidR="00935F0B">
        <w:t xml:space="preserve"> </w:t>
      </w:r>
    </w:p>
    <w:p w14:paraId="630D007D" w14:textId="77777777" w:rsidR="00935F0B" w:rsidRDefault="00935F0B" w:rsidP="00935F0B"/>
    <w:p w14:paraId="47A5C782" w14:textId="77777777" w:rsidR="00935F0B" w:rsidRPr="0006037C" w:rsidRDefault="00935F0B" w:rsidP="00BD22CF"/>
    <w:p w14:paraId="7F92D138" w14:textId="77777777" w:rsidR="00935F0B" w:rsidRDefault="00935F0B" w:rsidP="00935F0B">
      <w:pPr>
        <w:keepNext/>
      </w:pPr>
      <w:r w:rsidRPr="00935F0B">
        <w:lastRenderedPageBreak/>
        <w:drawing>
          <wp:inline distT="0" distB="0" distL="0" distR="0" wp14:anchorId="4530EE6D" wp14:editId="34A1FD28">
            <wp:extent cx="4342663" cy="5858933"/>
            <wp:effectExtent l="0" t="0" r="1270" b="8890"/>
            <wp:docPr id="1026" name="Picture 2" descr="A large group of pottery&#10;&#10;AI-generated content may be incorrect.">
              <a:extLst xmlns:a="http://schemas.openxmlformats.org/drawingml/2006/main">
                <a:ext uri="{FF2B5EF4-FFF2-40B4-BE49-F238E27FC236}">
                  <a16:creationId xmlns:a16="http://schemas.microsoft.com/office/drawing/2014/main" id="{ED13B7E3-562D-B07E-52C0-0B8C3A1404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large group of pottery&#10;&#10;AI-generated content may be incorrect.">
                      <a:extLst>
                        <a:ext uri="{FF2B5EF4-FFF2-40B4-BE49-F238E27FC236}">
                          <a16:creationId xmlns:a16="http://schemas.microsoft.com/office/drawing/2014/main" id="{ED13B7E3-562D-B07E-52C0-0B8C3A140457}"/>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44886" cy="5861933"/>
                    </a:xfrm>
                    <a:prstGeom prst="rect">
                      <a:avLst/>
                    </a:prstGeom>
                    <a:noFill/>
                  </pic:spPr>
                </pic:pic>
              </a:graphicData>
            </a:graphic>
          </wp:inline>
        </w:drawing>
      </w:r>
    </w:p>
    <w:p w14:paraId="7C3599A8" w14:textId="50F1733E" w:rsidR="000D46C3" w:rsidRPr="0006037C" w:rsidRDefault="00935F0B" w:rsidP="00935F0B">
      <w:pPr>
        <w:pStyle w:val="Caption"/>
      </w:pPr>
      <w:r>
        <w:t xml:space="preserve">figure </w:t>
      </w:r>
      <w:r>
        <w:fldChar w:fldCharType="begin"/>
      </w:r>
      <w:r>
        <w:instrText xml:space="preserve"> SEQ figure \* ARABIC </w:instrText>
      </w:r>
      <w:r>
        <w:fldChar w:fldCharType="separate"/>
      </w:r>
      <w:r>
        <w:rPr>
          <w:noProof/>
        </w:rPr>
        <w:t>1</w:t>
      </w:r>
      <w:r>
        <w:fldChar w:fldCharType="end"/>
      </w:r>
      <w:r w:rsidRPr="002F6E20">
        <w:t>Egypt, Ancient. 2023. ‘Flinders Petrie’s Sequence Dating Chart</w:t>
      </w:r>
    </w:p>
    <w:p w14:paraId="301CEA83" w14:textId="75DE15F8" w:rsidR="00CD7993" w:rsidRDefault="000D46C3" w:rsidP="00BD22CF">
      <w:r w:rsidRPr="0006037C">
        <w:t>The patterns and sh</w:t>
      </w:r>
      <w:r w:rsidR="00CD7993" w:rsidRPr="0006037C">
        <w:t>a</w:t>
      </w:r>
      <w:r w:rsidRPr="0006037C">
        <w:t xml:space="preserve">pes that are located on the ceramic vessel </w:t>
      </w:r>
      <w:r w:rsidR="00CD7993" w:rsidRPr="0006037C">
        <w:t>indicate</w:t>
      </w:r>
      <w:r w:rsidRPr="0006037C">
        <w:t xml:space="preserve"> that they were symbolic of some sort. However it is known that the invention of the hieroglyphic language that is often associated with ancient Egyptian culture does not appear until after this object was created</w:t>
      </w:r>
      <w:r w:rsidR="00CD7993" w:rsidRPr="0006037C">
        <w:fldChar w:fldCharType="begin"/>
      </w:r>
      <w:r w:rsidR="00CD7993" w:rsidRPr="0006037C">
        <w:instrText xml:space="preserve"> ADDIN ZOTERO_ITEM CSL_CITATION {"citationID":"ZORsTf81","properties":{"formattedCitation":"(Lloyd, 2010)","plainCitation":"(Lloyd, 2010)","noteIndex":0},"citationItems":[{"id":521,"uris":["http://zotero.org/users/local/gg1ZQu5V/items/VRAZ4GEM"],"itemData":{"id":521,"type":"article-journal","container-title":"Wiley-Blackwell","language":"en","source":"Zotero","title":"A COMPANION TO ANCIENT EGYPT","author":[{"family":"Lloyd","given":"Alan B"}],"issued":{"date-parts":[["2010"]]}}}],"schema":"https://github.com/citation-style-language/schema/raw/master/csl-citation.json"} </w:instrText>
      </w:r>
      <w:r w:rsidR="00CD7993" w:rsidRPr="0006037C">
        <w:fldChar w:fldCharType="separate"/>
      </w:r>
      <w:r w:rsidR="00CD7993" w:rsidRPr="0006037C">
        <w:rPr>
          <w:rFonts w:ascii="Aptos" w:hAnsi="Aptos"/>
        </w:rPr>
        <w:t>(Lloyd, 2010)</w:t>
      </w:r>
      <w:r w:rsidR="00CD7993" w:rsidRPr="0006037C">
        <w:fldChar w:fldCharType="end"/>
      </w:r>
      <w:r w:rsidR="00CD7993" w:rsidRPr="0006037C">
        <w:t>. This means that although there Is a general idea as to what these symbols mean it is not a known fact. The top patterns of repeating parallel lines and diagonal lines represent the flowing of waters or more accurately the Nile River.</w:t>
      </w:r>
      <w:r w:rsidR="00CD7993" w:rsidRPr="0006037C">
        <w:fldChar w:fldCharType="begin"/>
      </w:r>
      <w:r w:rsidR="00CD7993" w:rsidRPr="0006037C">
        <w:instrText xml:space="preserve"> ADDIN ZOTERO_ITEM CSL_CITATION {"citationID":"unHj1voh","properties":{"formattedCitation":"(Lloyd, 2010)","plainCitation":"(Lloyd, 2010)","noteIndex":0},"citationItems":[{"id":521,"uris":["http://zotero.org/users/local/gg1ZQu5V/items/VRAZ4GEM"],"itemData":{"id":521,"type":"article-journal","container-title":"Wiley-Blackwell","language":"en","source":"Zotero","title":"A COMPANION TO ANCIENT EGYPT","author":[{"family":"Lloyd","given":"Alan B"}],"issued":{"date-parts":[["2010"]]}}}],"schema":"https://github.com/citation-style-language/schema/raw/master/csl-citation.json"} </w:instrText>
      </w:r>
      <w:r w:rsidR="00CD7993" w:rsidRPr="0006037C">
        <w:fldChar w:fldCharType="separate"/>
      </w:r>
      <w:r w:rsidR="00CD7993" w:rsidRPr="0006037C">
        <w:rPr>
          <w:rFonts w:ascii="Aptos" w:hAnsi="Aptos"/>
        </w:rPr>
        <w:t>(Lloyd, 2010)</w:t>
      </w:r>
      <w:r w:rsidR="00CD7993" w:rsidRPr="0006037C">
        <w:fldChar w:fldCharType="end"/>
      </w:r>
      <w:r w:rsidR="00CD7993" w:rsidRPr="0006037C">
        <w:t xml:space="preserve"> The Triangles represent the mountains or terrain of the Egyptian landscape. Although it is a common thought the triangles do not in </w:t>
      </w:r>
      <w:r w:rsidR="0006037C" w:rsidRPr="0006037C">
        <w:t>any way</w:t>
      </w:r>
      <w:r w:rsidR="00CD7993" w:rsidRPr="0006037C">
        <w:t xml:space="preserve"> represent pyramids as this object most likely was created circa 3500-3200 B.C.E. </w:t>
      </w:r>
      <w:r w:rsidR="0006037C" w:rsidRPr="0006037C">
        <w:t>finally</w:t>
      </w:r>
      <w:r w:rsidR="00CD7993" w:rsidRPr="0006037C">
        <w:t xml:space="preserve"> the palm frond that acts as the </w:t>
      </w:r>
      <w:r w:rsidR="0006037C" w:rsidRPr="0006037C">
        <w:t xml:space="preserve">centre </w:t>
      </w:r>
      <w:r w:rsidR="00CD7993" w:rsidRPr="0006037C">
        <w:t xml:space="preserve">piece of the </w:t>
      </w:r>
      <w:r w:rsidR="0006037C" w:rsidRPr="0006037C">
        <w:t>ceramic vessels design</w:t>
      </w:r>
      <w:r w:rsidR="0006037C">
        <w:t>. The palm frond represents life and health and is often a medicinal symbol.(Bozcar 2024)</w:t>
      </w:r>
      <w:r w:rsidR="002825C5">
        <w:t xml:space="preserve"> Although it is unknown weather there is a direction in which this object should be read in the artistic design seems to depict a landscape in the form of the </w:t>
      </w:r>
      <w:r w:rsidR="008D1833">
        <w:t>lin</w:t>
      </w:r>
      <w:r w:rsidR="002825C5">
        <w:t>e</w:t>
      </w:r>
      <w:r w:rsidR="008D1833">
        <w:t xml:space="preserve"> of triangles</w:t>
      </w:r>
      <w:r w:rsidR="002825C5">
        <w:t xml:space="preserve"> </w:t>
      </w:r>
      <w:r w:rsidR="008D1833">
        <w:t xml:space="preserve">that represents mountains and within that landscape palm fronds can be found. It is also possible that the palm fronds </w:t>
      </w:r>
      <w:r w:rsidR="001F4ECC">
        <w:t>represent</w:t>
      </w:r>
      <w:r w:rsidR="008D1833">
        <w:t xml:space="preserve"> </w:t>
      </w:r>
      <w:r w:rsidR="001F4ECC">
        <w:t xml:space="preserve">or denotes </w:t>
      </w:r>
      <w:r w:rsidR="008D1833">
        <w:t xml:space="preserve">what </w:t>
      </w:r>
      <w:r w:rsidR="001F4ECC">
        <w:t>the vessel was made to store.</w:t>
      </w:r>
    </w:p>
    <w:p w14:paraId="1B86A7AF" w14:textId="40984354" w:rsidR="001F4ECC" w:rsidRDefault="001F4ECC" w:rsidP="00BD22CF">
      <w:r>
        <w:lastRenderedPageBreak/>
        <w:t xml:space="preserve">How the object was made is also key to understanding the ceramic vessel. After inspection of the object and research into the </w:t>
      </w:r>
      <w:r w:rsidR="00B30086">
        <w:t>N</w:t>
      </w:r>
      <w:r>
        <w:t xml:space="preserve">aqada and </w:t>
      </w:r>
      <w:r w:rsidR="00B30086">
        <w:t>P</w:t>
      </w:r>
      <w:r>
        <w:t xml:space="preserve">redynastic period it is most </w:t>
      </w:r>
      <w:r w:rsidR="00B30086">
        <w:t>likely</w:t>
      </w:r>
      <w:r>
        <w:t xml:space="preserve"> that the pot was constructed using the coil method. The coil method is done by making coils of clay and stacking them </w:t>
      </w:r>
      <w:r w:rsidR="00B30086">
        <w:t>onto</w:t>
      </w:r>
      <w:r>
        <w:t xml:space="preserve"> of </w:t>
      </w:r>
      <w:r w:rsidR="00B30086">
        <w:t>each other</w:t>
      </w:r>
      <w:r>
        <w:t xml:space="preserve"> into the desired shape. The clay is </w:t>
      </w:r>
      <w:r w:rsidR="00B30086">
        <w:t xml:space="preserve">then </w:t>
      </w:r>
      <w:r>
        <w:t xml:space="preserve">patted down </w:t>
      </w:r>
      <w:r w:rsidR="00B30086">
        <w:t>into the smoother shape and finally, it is fired in a kiln</w:t>
      </w:r>
      <w:r w:rsidR="00B30086">
        <w:fldChar w:fldCharType="begin"/>
      </w:r>
      <w:r w:rsidR="00B30086">
        <w:instrText xml:space="preserve"> ADDIN ZOTERO_ITEM CSL_CITATION {"citationID":"QeNrlsBI","properties":{"formattedCitation":"(Egwu, 2020)","plainCitation":"(Egwu, 2020)","noteIndex":0},"citationItems":[{"id":498,"uris":["http://zotero.org/users/local/gg1ZQu5V/items/JVSDFM8Y"],"itemData":{"id":498,"type":"article-journal","abstract":"This study documents the creative possibilities in the use of clay coils for handbuilding.\n         It addresses the possibility of using clay coils as symbolic or decorative elements\n         or patterns on pottery; a technique that has become rampant among contemporary ceramists.\n         It involves the integration of the coil elements in the building process and at the\n         same time allowing them to stand out as decorative motifs on the outer surface of\n         the pot; as opposed to the conventional technique by which the coil elements are smoothened\n         to achieve highly polished surfaces for which traditional potters are famous.","container-title":"Ceramics Technical","DOI":"10.3316/informit.677801204693293","issue":"33","note":"publisher: Ceramics Art and Perception","page":"102-107","source":"search.informit.org (Atypon)","title":"Clay coiling technique","author":[{"family":"Egwu","given":"Ali Vincent"}],"issued":{"date-parts":[["2020",11,9]]}}}],"schema":"https://github.com/citation-style-language/schema/raw/master/csl-citation.json"} </w:instrText>
      </w:r>
      <w:r w:rsidR="00B30086">
        <w:fldChar w:fldCharType="separate"/>
      </w:r>
      <w:r w:rsidR="00B30086" w:rsidRPr="00B30086">
        <w:rPr>
          <w:rFonts w:ascii="Aptos" w:hAnsi="Aptos"/>
        </w:rPr>
        <w:t>(Egwu, 2020)</w:t>
      </w:r>
      <w:r w:rsidR="00B30086">
        <w:fldChar w:fldCharType="end"/>
      </w:r>
    </w:p>
    <w:p w14:paraId="114B9FD3" w14:textId="1CFCCE80" w:rsidR="00935F0B" w:rsidRDefault="00935F0B" w:rsidP="00BD22CF"/>
    <w:p w14:paraId="44E337B1" w14:textId="77777777" w:rsidR="00290A20" w:rsidRDefault="00290A20" w:rsidP="00BD22CF"/>
    <w:p w14:paraId="309B5A80" w14:textId="77777777" w:rsidR="00290A20" w:rsidRDefault="00290A20" w:rsidP="00BD22CF"/>
    <w:p w14:paraId="428FF9F6" w14:textId="77777777" w:rsidR="00B30086" w:rsidRPr="00B30086" w:rsidRDefault="00290A20" w:rsidP="00B30086">
      <w:pPr>
        <w:pStyle w:val="Bibliography"/>
        <w:rPr>
          <w:rFonts w:ascii="Aptos" w:hAnsi="Aptos"/>
        </w:rPr>
      </w:pPr>
      <w:r>
        <w:fldChar w:fldCharType="begin"/>
      </w:r>
      <w:r>
        <w:instrText xml:space="preserve"> ADDIN ZOTERO_BIBL {"uncited":[],"omitted":[],"custom":[]} CSL_BIBLIOGRAPHY </w:instrText>
      </w:r>
      <w:r>
        <w:fldChar w:fldCharType="separate"/>
      </w:r>
      <w:r w:rsidR="00B30086" w:rsidRPr="00B30086">
        <w:rPr>
          <w:rFonts w:ascii="Aptos" w:hAnsi="Aptos"/>
        </w:rPr>
        <w:t xml:space="preserve">Administrator (2019) </w:t>
      </w:r>
      <w:r w:rsidR="00B30086" w:rsidRPr="00B30086">
        <w:rPr>
          <w:rFonts w:ascii="Aptos" w:hAnsi="Aptos"/>
          <w:i/>
          <w:iCs/>
        </w:rPr>
        <w:t>Establishing Predynastic Egypt</w:t>
      </w:r>
      <w:r w:rsidR="00B30086" w:rsidRPr="00B30086">
        <w:rPr>
          <w:rFonts w:ascii="Aptos" w:hAnsi="Aptos"/>
        </w:rPr>
        <w:t>. Available at: https://www.whipplelib.hps.cam.ac.uk/special/exhibitions-and-displays/conflicting-chronologies/establishing-predynastic-egypt (Accessed: 20 October 2025).</w:t>
      </w:r>
    </w:p>
    <w:p w14:paraId="28752CA8" w14:textId="77777777" w:rsidR="00B30086" w:rsidRPr="00B30086" w:rsidRDefault="00B30086" w:rsidP="00B30086">
      <w:pPr>
        <w:pStyle w:val="Bibliography"/>
        <w:rPr>
          <w:rFonts w:ascii="Aptos" w:hAnsi="Aptos"/>
        </w:rPr>
      </w:pPr>
      <w:r w:rsidRPr="00B30086">
        <w:rPr>
          <w:rFonts w:ascii="Aptos" w:hAnsi="Aptos"/>
        </w:rPr>
        <w:t xml:space="preserve">Egwu, A.V. (2020) ‘Clay coiling technique’, </w:t>
      </w:r>
      <w:r w:rsidRPr="00B30086">
        <w:rPr>
          <w:rFonts w:ascii="Aptos" w:hAnsi="Aptos"/>
          <w:i/>
          <w:iCs/>
        </w:rPr>
        <w:t>Ceramics Technical</w:t>
      </w:r>
      <w:r w:rsidRPr="00B30086">
        <w:rPr>
          <w:rFonts w:ascii="Aptos" w:hAnsi="Aptos"/>
        </w:rPr>
        <w:t>, (33), pp. 102–107. Available at: https://doi.org/10.3316/informit.677801204693293.</w:t>
      </w:r>
    </w:p>
    <w:p w14:paraId="323EFE27" w14:textId="77777777" w:rsidR="00B30086" w:rsidRPr="00B30086" w:rsidRDefault="00B30086" w:rsidP="00B30086">
      <w:pPr>
        <w:pStyle w:val="Bibliography"/>
        <w:rPr>
          <w:rFonts w:ascii="Aptos" w:hAnsi="Aptos"/>
        </w:rPr>
      </w:pPr>
      <w:r w:rsidRPr="00B30086">
        <w:rPr>
          <w:rFonts w:ascii="Aptos" w:hAnsi="Aptos"/>
        </w:rPr>
        <w:t xml:space="preserve">Egypt, A. (2023) </w:t>
      </w:r>
      <w:r w:rsidRPr="00B30086">
        <w:rPr>
          <w:rFonts w:ascii="Aptos" w:hAnsi="Aptos"/>
          <w:i/>
          <w:iCs/>
        </w:rPr>
        <w:t>Flinders Petrie’s sequence dating chart | The Past</w:t>
      </w:r>
      <w:r w:rsidRPr="00B30086">
        <w:rPr>
          <w:rFonts w:ascii="Aptos" w:hAnsi="Aptos"/>
        </w:rPr>
        <w:t>. Available at: https://the-past.com/shorts/the-picture-desk/flinders-petries-sequence-dating-chart/ (Accessed: 19 October 2025).</w:t>
      </w:r>
    </w:p>
    <w:p w14:paraId="35A8DED5" w14:textId="77777777" w:rsidR="00B30086" w:rsidRPr="00B30086" w:rsidRDefault="00B30086" w:rsidP="00B30086">
      <w:pPr>
        <w:pStyle w:val="Bibliography"/>
        <w:rPr>
          <w:rFonts w:ascii="Aptos" w:hAnsi="Aptos"/>
        </w:rPr>
      </w:pPr>
      <w:r w:rsidRPr="00B30086">
        <w:rPr>
          <w:rFonts w:ascii="Aptos" w:hAnsi="Aptos"/>
        </w:rPr>
        <w:t xml:space="preserve">Lloyd, A.B. (2010) ‘A COMPANION TO ANCIENT EGYPT’, </w:t>
      </w:r>
      <w:r w:rsidRPr="00B30086">
        <w:rPr>
          <w:rFonts w:ascii="Aptos" w:hAnsi="Aptos"/>
          <w:i/>
          <w:iCs/>
        </w:rPr>
        <w:t>Wiley-Blackwell</w:t>
      </w:r>
      <w:r w:rsidRPr="00B30086">
        <w:rPr>
          <w:rFonts w:ascii="Aptos" w:hAnsi="Aptos"/>
        </w:rPr>
        <w:t xml:space="preserve"> [Preprint].</w:t>
      </w:r>
    </w:p>
    <w:p w14:paraId="2A7961DB" w14:textId="77777777" w:rsidR="00B30086" w:rsidRPr="00B30086" w:rsidRDefault="00B30086" w:rsidP="00B30086">
      <w:pPr>
        <w:pStyle w:val="Bibliography"/>
        <w:rPr>
          <w:rFonts w:ascii="Aptos" w:hAnsi="Aptos"/>
        </w:rPr>
      </w:pPr>
      <w:r w:rsidRPr="00B30086">
        <w:rPr>
          <w:rFonts w:ascii="Aptos" w:hAnsi="Aptos"/>
        </w:rPr>
        <w:t xml:space="preserve">Petrie, W.M.F. (2023) </w:t>
      </w:r>
      <w:r w:rsidRPr="00B30086">
        <w:rPr>
          <w:rFonts w:ascii="Aptos" w:hAnsi="Aptos"/>
          <w:i/>
          <w:iCs/>
        </w:rPr>
        <w:t>Corpus of Prehistoric Pottery and Palettes</w:t>
      </w:r>
      <w:r w:rsidRPr="00B30086">
        <w:rPr>
          <w:rFonts w:ascii="Aptos" w:hAnsi="Aptos"/>
        </w:rPr>
        <w:t>. Oxbow Books.</w:t>
      </w:r>
    </w:p>
    <w:p w14:paraId="0DABC52F" w14:textId="77777777" w:rsidR="00B30086" w:rsidRPr="00B30086" w:rsidRDefault="00B30086" w:rsidP="00B30086">
      <w:pPr>
        <w:pStyle w:val="Bibliography"/>
        <w:rPr>
          <w:rFonts w:ascii="Aptos" w:hAnsi="Aptos"/>
        </w:rPr>
      </w:pPr>
      <w:r w:rsidRPr="00B30086">
        <w:rPr>
          <w:rFonts w:ascii="Aptos" w:hAnsi="Aptos"/>
        </w:rPr>
        <w:t xml:space="preserve">Riggs, C. (2016) ‘Beautiful Burials, Beautiful Skulls: The Aesthetics of the Egyptian Mummy’, </w:t>
      </w:r>
      <w:r w:rsidRPr="00B30086">
        <w:rPr>
          <w:rFonts w:ascii="Aptos" w:hAnsi="Aptos"/>
          <w:i/>
          <w:iCs/>
        </w:rPr>
        <w:t>The British Journal of Aesthetics</w:t>
      </w:r>
      <w:r w:rsidRPr="00B30086">
        <w:rPr>
          <w:rFonts w:ascii="Aptos" w:hAnsi="Aptos"/>
        </w:rPr>
        <w:t>, 56(3), pp. 247–263. Available at: https://doi.org/10.1093/aesthj/ayw045.</w:t>
      </w:r>
    </w:p>
    <w:p w14:paraId="11B85F83" w14:textId="77777777" w:rsidR="00B30086" w:rsidRPr="00B30086" w:rsidRDefault="00B30086" w:rsidP="00B30086">
      <w:pPr>
        <w:pStyle w:val="Bibliography"/>
        <w:rPr>
          <w:rFonts w:ascii="Aptos" w:hAnsi="Aptos"/>
        </w:rPr>
      </w:pPr>
      <w:r w:rsidRPr="00B30086">
        <w:rPr>
          <w:rFonts w:ascii="Aptos" w:hAnsi="Aptos"/>
        </w:rPr>
        <w:t xml:space="preserve">Snape, S. (2011) </w:t>
      </w:r>
      <w:r w:rsidRPr="00B30086">
        <w:rPr>
          <w:rFonts w:ascii="Aptos" w:hAnsi="Aptos"/>
          <w:i/>
          <w:iCs/>
        </w:rPr>
        <w:t>Ancient Egyptian Tombs: The Culture of Life and Death</w:t>
      </w:r>
      <w:r w:rsidRPr="00B30086">
        <w:rPr>
          <w:rFonts w:ascii="Aptos" w:hAnsi="Aptos"/>
        </w:rPr>
        <w:t>. John Wiley &amp; Sons.</w:t>
      </w:r>
    </w:p>
    <w:p w14:paraId="6934EA59" w14:textId="77777777" w:rsidR="00B30086" w:rsidRPr="00B30086" w:rsidRDefault="00B30086" w:rsidP="00B30086">
      <w:pPr>
        <w:pStyle w:val="Bibliography"/>
        <w:rPr>
          <w:rFonts w:ascii="Aptos" w:hAnsi="Aptos"/>
        </w:rPr>
      </w:pPr>
      <w:r w:rsidRPr="00B30086">
        <w:rPr>
          <w:rFonts w:ascii="Aptos" w:hAnsi="Aptos"/>
        </w:rPr>
        <w:t xml:space="preserve">Stevenson, A. (2014) ‘Artefacts of excavation: the British collection and distribution of Egyptian finds to museums, 1880 – 1915’, </w:t>
      </w:r>
      <w:r w:rsidRPr="00B30086">
        <w:rPr>
          <w:rFonts w:ascii="Aptos" w:hAnsi="Aptos"/>
          <w:i/>
          <w:iCs/>
        </w:rPr>
        <w:t>Journal of the History of Collections</w:t>
      </w:r>
      <w:r w:rsidRPr="00B30086">
        <w:rPr>
          <w:rFonts w:ascii="Aptos" w:hAnsi="Aptos"/>
        </w:rPr>
        <w:t>, 26(1), pp. 89–102. Available at: https://doi.org/10.1093/jhc/fht017.</w:t>
      </w:r>
    </w:p>
    <w:p w14:paraId="6CD653DD" w14:textId="33C22D69" w:rsidR="00290A20" w:rsidRPr="00290A20" w:rsidRDefault="00290A20" w:rsidP="00290A20">
      <w:r>
        <w:fldChar w:fldCharType="end"/>
      </w:r>
      <w:r w:rsidRPr="00290A20">
        <w:t xml:space="preserve">Barbara A Boczar explores the imagery of Egypt’s Naqada periods. </w:t>
      </w:r>
      <w:hyperlink r:id="rId9" w:history="1">
        <w:r w:rsidRPr="00290A20">
          <w:rPr>
            <w:rStyle w:val="Hyperlink"/>
          </w:rPr>
          <w:t>https://the-past.com/feature/beliefs-and-narratives-images-from-predynastic-egypt/</w:t>
        </w:r>
      </w:hyperlink>
    </w:p>
    <w:p w14:paraId="364A64F2" w14:textId="755C3227" w:rsidR="00290A20" w:rsidRPr="0006037C" w:rsidRDefault="00290A20" w:rsidP="00BD22CF"/>
    <w:p w14:paraId="0C88CD38" w14:textId="77777777" w:rsidR="000259DB" w:rsidRPr="0006037C" w:rsidRDefault="000259DB" w:rsidP="00BD22CF">
      <w:pPr>
        <w:rPr>
          <w:sz w:val="32"/>
          <w:szCs w:val="32"/>
        </w:rPr>
      </w:pPr>
    </w:p>
    <w:p w14:paraId="24093AD7" w14:textId="77777777" w:rsidR="00BD22CF" w:rsidRPr="0006037C" w:rsidRDefault="00BD22CF" w:rsidP="00BD22CF"/>
    <w:p w14:paraId="08979596" w14:textId="77777777" w:rsidR="00BD22CF" w:rsidRPr="0006037C" w:rsidRDefault="00BD22CF" w:rsidP="00BD22CF"/>
    <w:p w14:paraId="7281BD04" w14:textId="77777777" w:rsidR="0080613C" w:rsidRDefault="0080613C"/>
    <w:sectPr w:rsidR="0080613C" w:rsidSect="008A44F8">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07D"/>
    <w:rsid w:val="000259DB"/>
    <w:rsid w:val="0006037C"/>
    <w:rsid w:val="00092CAB"/>
    <w:rsid w:val="000D46C3"/>
    <w:rsid w:val="0017107D"/>
    <w:rsid w:val="001872B8"/>
    <w:rsid w:val="001F4ECC"/>
    <w:rsid w:val="00235343"/>
    <w:rsid w:val="0025370D"/>
    <w:rsid w:val="002825C5"/>
    <w:rsid w:val="00290A20"/>
    <w:rsid w:val="002A60A7"/>
    <w:rsid w:val="0045574C"/>
    <w:rsid w:val="0047323D"/>
    <w:rsid w:val="00544062"/>
    <w:rsid w:val="00574A13"/>
    <w:rsid w:val="00577F1D"/>
    <w:rsid w:val="005939F9"/>
    <w:rsid w:val="005B2AA2"/>
    <w:rsid w:val="00666A99"/>
    <w:rsid w:val="006852B8"/>
    <w:rsid w:val="006A3BF4"/>
    <w:rsid w:val="006E4326"/>
    <w:rsid w:val="00700910"/>
    <w:rsid w:val="0080613C"/>
    <w:rsid w:val="008A44F8"/>
    <w:rsid w:val="008D1833"/>
    <w:rsid w:val="00935F0B"/>
    <w:rsid w:val="009D2DA6"/>
    <w:rsid w:val="00AA419D"/>
    <w:rsid w:val="00B00FFF"/>
    <w:rsid w:val="00B30086"/>
    <w:rsid w:val="00BD22CF"/>
    <w:rsid w:val="00C51F09"/>
    <w:rsid w:val="00CD7993"/>
    <w:rsid w:val="00CE3AB3"/>
    <w:rsid w:val="00E96B2F"/>
    <w:rsid w:val="00EE471A"/>
    <w:rsid w:val="00EE7333"/>
    <w:rsid w:val="00F71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BEF49"/>
  <w15:chartTrackingRefBased/>
  <w15:docId w15:val="{6D9789F5-AC05-445A-B726-6ED24E94E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0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1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1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1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1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1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1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1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1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1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1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07D"/>
    <w:rPr>
      <w:rFonts w:eastAsiaTheme="majorEastAsia" w:cstheme="majorBidi"/>
      <w:color w:val="272727" w:themeColor="text1" w:themeTint="D8"/>
    </w:rPr>
  </w:style>
  <w:style w:type="paragraph" w:styleId="Title">
    <w:name w:val="Title"/>
    <w:basedOn w:val="Normal"/>
    <w:next w:val="Normal"/>
    <w:link w:val="TitleChar"/>
    <w:uiPriority w:val="10"/>
    <w:qFormat/>
    <w:rsid w:val="00171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07D"/>
    <w:pPr>
      <w:spacing w:before="160"/>
      <w:jc w:val="center"/>
    </w:pPr>
    <w:rPr>
      <w:i/>
      <w:iCs/>
      <w:color w:val="404040" w:themeColor="text1" w:themeTint="BF"/>
    </w:rPr>
  </w:style>
  <w:style w:type="character" w:customStyle="1" w:styleId="QuoteChar">
    <w:name w:val="Quote Char"/>
    <w:basedOn w:val="DefaultParagraphFont"/>
    <w:link w:val="Quote"/>
    <w:uiPriority w:val="29"/>
    <w:rsid w:val="0017107D"/>
    <w:rPr>
      <w:i/>
      <w:iCs/>
      <w:color w:val="404040" w:themeColor="text1" w:themeTint="BF"/>
    </w:rPr>
  </w:style>
  <w:style w:type="paragraph" w:styleId="ListParagraph">
    <w:name w:val="List Paragraph"/>
    <w:basedOn w:val="Normal"/>
    <w:uiPriority w:val="34"/>
    <w:qFormat/>
    <w:rsid w:val="0017107D"/>
    <w:pPr>
      <w:ind w:left="720"/>
      <w:contextualSpacing/>
    </w:pPr>
  </w:style>
  <w:style w:type="character" w:styleId="IntenseEmphasis">
    <w:name w:val="Intense Emphasis"/>
    <w:basedOn w:val="DefaultParagraphFont"/>
    <w:uiPriority w:val="21"/>
    <w:qFormat/>
    <w:rsid w:val="0017107D"/>
    <w:rPr>
      <w:i/>
      <w:iCs/>
      <w:color w:val="0F4761" w:themeColor="accent1" w:themeShade="BF"/>
    </w:rPr>
  </w:style>
  <w:style w:type="paragraph" w:styleId="IntenseQuote">
    <w:name w:val="Intense Quote"/>
    <w:basedOn w:val="Normal"/>
    <w:next w:val="Normal"/>
    <w:link w:val="IntenseQuoteChar"/>
    <w:uiPriority w:val="30"/>
    <w:qFormat/>
    <w:rsid w:val="00171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107D"/>
    <w:rPr>
      <w:i/>
      <w:iCs/>
      <w:color w:val="0F4761" w:themeColor="accent1" w:themeShade="BF"/>
    </w:rPr>
  </w:style>
  <w:style w:type="character" w:styleId="IntenseReference">
    <w:name w:val="Intense Reference"/>
    <w:basedOn w:val="DefaultParagraphFont"/>
    <w:uiPriority w:val="32"/>
    <w:qFormat/>
    <w:rsid w:val="0017107D"/>
    <w:rPr>
      <w:b/>
      <w:bCs/>
      <w:smallCaps/>
      <w:color w:val="0F4761" w:themeColor="accent1" w:themeShade="BF"/>
      <w:spacing w:val="5"/>
    </w:rPr>
  </w:style>
  <w:style w:type="paragraph" w:styleId="NormalWeb">
    <w:name w:val="Normal (Web)"/>
    <w:basedOn w:val="Normal"/>
    <w:uiPriority w:val="99"/>
    <w:semiHidden/>
    <w:unhideWhenUsed/>
    <w:rsid w:val="00BD22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290A20"/>
    <w:pPr>
      <w:spacing w:after="240" w:line="240" w:lineRule="auto"/>
    </w:pPr>
  </w:style>
  <w:style w:type="character" w:styleId="Hyperlink">
    <w:name w:val="Hyperlink"/>
    <w:basedOn w:val="DefaultParagraphFont"/>
    <w:uiPriority w:val="99"/>
    <w:unhideWhenUsed/>
    <w:rsid w:val="00290A20"/>
    <w:rPr>
      <w:color w:val="467886" w:themeColor="hyperlink"/>
      <w:u w:val="single"/>
    </w:rPr>
  </w:style>
  <w:style w:type="character" w:styleId="UnresolvedMention">
    <w:name w:val="Unresolved Mention"/>
    <w:basedOn w:val="DefaultParagraphFont"/>
    <w:uiPriority w:val="99"/>
    <w:semiHidden/>
    <w:unhideWhenUsed/>
    <w:rsid w:val="00290A20"/>
    <w:rPr>
      <w:color w:val="605E5C"/>
      <w:shd w:val="clear" w:color="auto" w:fill="E1DFDD"/>
    </w:rPr>
  </w:style>
  <w:style w:type="paragraph" w:styleId="Caption">
    <w:name w:val="caption"/>
    <w:basedOn w:val="Normal"/>
    <w:next w:val="Normal"/>
    <w:uiPriority w:val="35"/>
    <w:unhideWhenUsed/>
    <w:qFormat/>
    <w:rsid w:val="00935F0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e-past.com/feature/beliefs-and-narratives-images-from-predynastic-egy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FE6A04-40EC-402D-9700-E4ADD595E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3186</Words>
  <Characters>18164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2025-10-24T19:04:00Z</dcterms:created>
  <dcterms:modified xsi:type="dcterms:W3CDTF">2025-10-24T19:04:00Z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id="GSQjsOQm"/&gt;&lt;style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