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BF964" w14:textId="77777777" w:rsidR="00027E45" w:rsidRPr="00027E45" w:rsidRDefault="00027E45" w:rsidP="00027E45">
      <w:pPr>
        <w:spacing w:before="100" w:beforeAutospacing="1" w:after="100" w:afterAutospacing="1"/>
        <w:jc w:val="center"/>
        <w:rPr>
          <w:rFonts w:ascii="Arial" w:hAnsi="Arial" w:cs="Arial"/>
          <w:b/>
          <w:bCs/>
          <w:sz w:val="22"/>
          <w:szCs w:val="22"/>
          <w:lang w:val="en-IN"/>
        </w:rPr>
      </w:pPr>
    </w:p>
    <w:p w14:paraId="5BC8EF3A" w14:textId="77777777" w:rsidR="00027E45" w:rsidRPr="00027E45" w:rsidRDefault="00027E45" w:rsidP="00027E45">
      <w:pPr>
        <w:spacing w:before="100" w:beforeAutospacing="1" w:after="100" w:afterAutospacing="1"/>
        <w:jc w:val="center"/>
        <w:rPr>
          <w:rFonts w:ascii="Arial" w:hAnsi="Arial" w:cs="Arial"/>
          <w:b/>
          <w:bCs/>
          <w:sz w:val="22"/>
          <w:szCs w:val="22"/>
          <w:lang w:val="en-IN"/>
        </w:rPr>
      </w:pPr>
    </w:p>
    <w:p w14:paraId="60451357" w14:textId="77777777" w:rsidR="00027E45" w:rsidRPr="00027E45" w:rsidRDefault="00027E45" w:rsidP="00027E45">
      <w:pPr>
        <w:spacing w:before="100" w:beforeAutospacing="1" w:after="100" w:afterAutospacing="1"/>
        <w:jc w:val="center"/>
        <w:rPr>
          <w:rFonts w:ascii="Arial" w:hAnsi="Arial" w:cs="Arial"/>
          <w:b/>
          <w:bCs/>
          <w:sz w:val="22"/>
          <w:szCs w:val="22"/>
          <w:lang w:val="en-IN"/>
        </w:rPr>
      </w:pPr>
    </w:p>
    <w:p w14:paraId="0DCDA557" w14:textId="77777777" w:rsidR="00027E45" w:rsidRPr="00027E45" w:rsidRDefault="00027E45" w:rsidP="00027E45">
      <w:pPr>
        <w:spacing w:before="100" w:beforeAutospacing="1" w:after="100" w:afterAutospacing="1"/>
        <w:jc w:val="center"/>
        <w:rPr>
          <w:rFonts w:ascii="Arial" w:hAnsi="Arial" w:cs="Arial"/>
          <w:b/>
          <w:bCs/>
          <w:sz w:val="22"/>
          <w:szCs w:val="22"/>
          <w:lang w:val="en-IN"/>
        </w:rPr>
      </w:pPr>
    </w:p>
    <w:p w14:paraId="7342609C" w14:textId="5503CC9E"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b/>
          <w:bCs/>
          <w:sz w:val="22"/>
          <w:szCs w:val="22"/>
          <w:lang w:val="en-IN"/>
        </w:rPr>
        <w:t>BSc (Hons) Health and Social Care</w:t>
      </w:r>
    </w:p>
    <w:p w14:paraId="54813C74" w14:textId="77777777"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b/>
          <w:bCs/>
          <w:sz w:val="22"/>
          <w:szCs w:val="22"/>
          <w:lang w:val="en-IN"/>
        </w:rPr>
        <w:t>BMHP6020 Independent Project</w:t>
      </w:r>
    </w:p>
    <w:p w14:paraId="7CF90AAC" w14:textId="77777777" w:rsidR="00027E45" w:rsidRPr="00027E45" w:rsidRDefault="00027E45" w:rsidP="00027E45">
      <w:pPr>
        <w:spacing w:before="100" w:beforeAutospacing="1" w:after="100" w:afterAutospacing="1"/>
        <w:jc w:val="center"/>
        <w:rPr>
          <w:rFonts w:ascii="Arial" w:hAnsi="Arial" w:cs="Arial"/>
          <w:b/>
          <w:bCs/>
          <w:sz w:val="22"/>
          <w:szCs w:val="22"/>
          <w:lang w:val="en-IN"/>
        </w:rPr>
      </w:pPr>
      <w:r w:rsidRPr="00027E45">
        <w:rPr>
          <w:rFonts w:ascii="Arial" w:hAnsi="Arial" w:cs="Arial"/>
          <w:b/>
          <w:bCs/>
          <w:sz w:val="22"/>
          <w:szCs w:val="22"/>
          <w:lang w:val="en-IN"/>
        </w:rPr>
        <w:t>Component 1: Portfolio</w:t>
      </w:r>
    </w:p>
    <w:p w14:paraId="090455B6" w14:textId="15604B47" w:rsidR="00027E45" w:rsidRPr="00027E45" w:rsidRDefault="00027E45" w:rsidP="00027E45">
      <w:pPr>
        <w:spacing w:before="100" w:beforeAutospacing="1" w:after="100" w:afterAutospacing="1"/>
        <w:jc w:val="center"/>
        <w:rPr>
          <w:rFonts w:ascii="Arial" w:hAnsi="Arial" w:cs="Arial"/>
          <w:b/>
          <w:bCs/>
          <w:sz w:val="22"/>
          <w:szCs w:val="22"/>
        </w:rPr>
      </w:pPr>
      <w:r w:rsidRPr="00027E45">
        <w:rPr>
          <w:rFonts w:ascii="Arial" w:hAnsi="Arial" w:cs="Arial"/>
          <w:b/>
          <w:bCs/>
          <w:sz w:val="22"/>
          <w:szCs w:val="22"/>
        </w:rPr>
        <w:t>Element 1</w:t>
      </w:r>
      <w:r w:rsidRPr="00027E45">
        <w:rPr>
          <w:rFonts w:ascii="Arial" w:hAnsi="Arial" w:cs="Arial"/>
          <w:b/>
          <w:bCs/>
          <w:sz w:val="22"/>
          <w:szCs w:val="22"/>
        </w:rPr>
        <w:t xml:space="preserve">: </w:t>
      </w:r>
      <w:r w:rsidRPr="00027E45">
        <w:rPr>
          <w:rFonts w:ascii="Arial" w:hAnsi="Arial" w:cs="Arial"/>
          <w:b/>
          <w:bCs/>
          <w:sz w:val="22"/>
          <w:szCs w:val="22"/>
        </w:rPr>
        <w:t>Project Proposal</w:t>
      </w:r>
    </w:p>
    <w:p w14:paraId="21E10F58" w14:textId="42CB8C8D"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b/>
          <w:bCs/>
          <w:sz w:val="22"/>
          <w:szCs w:val="22"/>
        </w:rPr>
        <w:t>Element 2: Poster</w:t>
      </w:r>
    </w:p>
    <w:p w14:paraId="791B7532" w14:textId="77777777"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b/>
          <w:bCs/>
          <w:sz w:val="22"/>
          <w:szCs w:val="22"/>
          <w:lang w:val="en-IN"/>
        </w:rPr>
        <w:t>Element 3: Dissertation document (L6 T3)</w:t>
      </w:r>
    </w:p>
    <w:p w14:paraId="2D6C042A" w14:textId="77777777"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b/>
          <w:bCs/>
          <w:sz w:val="22"/>
          <w:szCs w:val="22"/>
          <w:lang w:val="en-IN"/>
        </w:rPr>
        <w:t>Research title: Impact of substance abuse on young people (18-25 years) in East European people living in London</w:t>
      </w:r>
    </w:p>
    <w:p w14:paraId="23E8829F" w14:textId="77777777" w:rsidR="00027E45" w:rsidRPr="00027E45" w:rsidRDefault="00027E45" w:rsidP="00027E45">
      <w:pPr>
        <w:spacing w:before="100" w:beforeAutospacing="1" w:after="100" w:afterAutospacing="1"/>
        <w:jc w:val="center"/>
        <w:rPr>
          <w:rFonts w:ascii="Arial" w:hAnsi="Arial" w:cs="Arial"/>
          <w:b/>
          <w:bCs/>
          <w:sz w:val="22"/>
          <w:szCs w:val="22"/>
          <w:lang w:val="en-IN"/>
        </w:rPr>
      </w:pPr>
      <w:r w:rsidRPr="00027E45">
        <w:rPr>
          <w:rFonts w:ascii="Arial" w:hAnsi="Arial" w:cs="Arial"/>
          <w:b/>
          <w:bCs/>
          <w:sz w:val="22"/>
          <w:szCs w:val="22"/>
          <w:lang w:val="en-IN"/>
        </w:rPr>
        <w:t>Student ID:</w:t>
      </w:r>
    </w:p>
    <w:p w14:paraId="41A32224" w14:textId="2A61891C" w:rsidR="00027E45" w:rsidRPr="00027E45" w:rsidRDefault="00027E45" w:rsidP="00027E45">
      <w:pPr>
        <w:spacing w:before="100" w:beforeAutospacing="1" w:after="100" w:afterAutospacing="1"/>
        <w:jc w:val="left"/>
        <w:rPr>
          <w:rFonts w:ascii="Arial" w:hAnsi="Arial" w:cs="Arial"/>
          <w:b/>
          <w:bCs/>
          <w:sz w:val="22"/>
          <w:szCs w:val="22"/>
          <w:lang w:val="en-IN"/>
        </w:rPr>
      </w:pPr>
      <w:r w:rsidRPr="00027E45">
        <w:rPr>
          <w:rFonts w:ascii="Arial" w:hAnsi="Arial" w:cs="Arial"/>
          <w:b/>
          <w:bCs/>
          <w:sz w:val="22"/>
          <w:szCs w:val="22"/>
          <w:lang w:val="en-IN"/>
        </w:rPr>
        <w:br w:type="page"/>
      </w:r>
    </w:p>
    <w:sdt>
      <w:sdtPr>
        <w:rPr>
          <w:rFonts w:ascii="Arial" w:hAnsi="Arial" w:cs="Arial"/>
          <w:sz w:val="22"/>
          <w:szCs w:val="22"/>
        </w:rPr>
        <w:id w:val="883749416"/>
        <w:docPartObj>
          <w:docPartGallery w:val="Table of Contents"/>
          <w:docPartUnique/>
        </w:docPartObj>
      </w:sdtPr>
      <w:sdtEndPr>
        <w:rPr>
          <w:rFonts w:eastAsiaTheme="minorHAnsi"/>
          <w:b/>
          <w:bCs/>
          <w:noProof/>
          <w:color w:val="auto"/>
          <w:kern w:val="2"/>
          <w:lang w:val="en-GB" w:bidi="bn-IN"/>
          <w14:ligatures w14:val="standardContextual"/>
        </w:rPr>
      </w:sdtEndPr>
      <w:sdtContent>
        <w:p w14:paraId="599D331A" w14:textId="340E0EB0" w:rsidR="00027E45" w:rsidRPr="00027E45" w:rsidRDefault="00027E45" w:rsidP="00027E45">
          <w:pPr>
            <w:pStyle w:val="TOCHeading"/>
            <w:spacing w:before="100" w:beforeAutospacing="1" w:after="100" w:afterAutospacing="1" w:line="360" w:lineRule="auto"/>
            <w:jc w:val="center"/>
            <w:rPr>
              <w:rFonts w:ascii="Arial" w:hAnsi="Arial" w:cs="Arial"/>
              <w:b/>
              <w:bCs/>
              <w:color w:val="auto"/>
              <w:sz w:val="22"/>
              <w:szCs w:val="22"/>
            </w:rPr>
          </w:pPr>
          <w:r w:rsidRPr="00027E45">
            <w:rPr>
              <w:rFonts w:ascii="Arial" w:hAnsi="Arial" w:cs="Arial"/>
              <w:b/>
              <w:bCs/>
              <w:color w:val="auto"/>
              <w:sz w:val="22"/>
              <w:szCs w:val="22"/>
            </w:rPr>
            <w:t>Table of Contents</w:t>
          </w:r>
        </w:p>
        <w:p w14:paraId="3C5854F3" w14:textId="06E70BCA" w:rsidR="00027E45" w:rsidRPr="00027E45" w:rsidRDefault="00027E45" w:rsidP="00027E45">
          <w:pPr>
            <w:pStyle w:val="TOC1"/>
            <w:tabs>
              <w:tab w:val="right" w:leader="dot" w:pos="9016"/>
            </w:tabs>
            <w:spacing w:before="100" w:beforeAutospacing="1" w:afterAutospacing="1"/>
            <w:rPr>
              <w:rFonts w:ascii="Arial" w:hAnsi="Arial" w:cs="Arial"/>
              <w:noProof/>
              <w:sz w:val="22"/>
              <w:szCs w:val="22"/>
            </w:rPr>
          </w:pPr>
          <w:r w:rsidRPr="00027E45">
            <w:rPr>
              <w:rFonts w:ascii="Arial" w:hAnsi="Arial" w:cs="Arial"/>
              <w:sz w:val="22"/>
              <w:szCs w:val="22"/>
            </w:rPr>
            <w:fldChar w:fldCharType="begin"/>
          </w:r>
          <w:r w:rsidRPr="00027E45">
            <w:rPr>
              <w:rFonts w:ascii="Arial" w:hAnsi="Arial" w:cs="Arial"/>
              <w:sz w:val="22"/>
              <w:szCs w:val="22"/>
            </w:rPr>
            <w:instrText xml:space="preserve"> TOC \o "1-3" \h \z \u </w:instrText>
          </w:r>
          <w:r w:rsidRPr="00027E45">
            <w:rPr>
              <w:rFonts w:ascii="Arial" w:hAnsi="Arial" w:cs="Arial"/>
              <w:sz w:val="22"/>
              <w:szCs w:val="22"/>
            </w:rPr>
            <w:fldChar w:fldCharType="separate"/>
          </w:r>
          <w:hyperlink w:anchor="_Toc221374490" w:history="1">
            <w:r w:rsidRPr="00027E45">
              <w:rPr>
                <w:rStyle w:val="Hyperlink"/>
                <w:rFonts w:ascii="Arial" w:hAnsi="Arial" w:cs="Arial"/>
                <w:noProof/>
                <w:sz w:val="22"/>
                <w:szCs w:val="22"/>
                <w:lang w:val="en-IN"/>
              </w:rPr>
              <w:t>Element 1: Project Proposal</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_Toc221374490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3</w:t>
            </w:r>
            <w:r w:rsidRPr="00027E45">
              <w:rPr>
                <w:rFonts w:ascii="Arial" w:hAnsi="Arial" w:cs="Arial"/>
                <w:noProof/>
                <w:webHidden/>
                <w:sz w:val="22"/>
                <w:szCs w:val="22"/>
              </w:rPr>
              <w:fldChar w:fldCharType="end"/>
            </w:r>
          </w:hyperlink>
        </w:p>
        <w:p w14:paraId="23BFCE56" w14:textId="0D125E69" w:rsidR="00027E45" w:rsidRPr="00027E45" w:rsidRDefault="00027E45" w:rsidP="00027E45">
          <w:pPr>
            <w:pStyle w:val="TOC2"/>
            <w:tabs>
              <w:tab w:val="right" w:leader="dot" w:pos="9016"/>
            </w:tabs>
            <w:spacing w:before="100" w:beforeAutospacing="1" w:afterAutospacing="1"/>
            <w:rPr>
              <w:rFonts w:ascii="Arial" w:hAnsi="Arial" w:cs="Arial"/>
              <w:noProof/>
              <w:sz w:val="22"/>
              <w:szCs w:val="22"/>
            </w:rPr>
          </w:pPr>
          <w:hyperlink w:anchor="_Toc221374491" w:history="1">
            <w:r w:rsidRPr="00027E45">
              <w:rPr>
                <w:rStyle w:val="Hyperlink"/>
                <w:rFonts w:ascii="Arial" w:hAnsi="Arial" w:cs="Arial"/>
                <w:noProof/>
                <w:sz w:val="22"/>
                <w:szCs w:val="22"/>
                <w:lang w:val="en-IN"/>
              </w:rPr>
              <w:t>1. Introduction</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_Toc221374491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3</w:t>
            </w:r>
            <w:r w:rsidRPr="00027E45">
              <w:rPr>
                <w:rFonts w:ascii="Arial" w:hAnsi="Arial" w:cs="Arial"/>
                <w:noProof/>
                <w:webHidden/>
                <w:sz w:val="22"/>
                <w:szCs w:val="22"/>
              </w:rPr>
              <w:fldChar w:fldCharType="end"/>
            </w:r>
          </w:hyperlink>
        </w:p>
        <w:p w14:paraId="105B8DD7" w14:textId="216BAA72" w:rsidR="00027E45" w:rsidRPr="00027E45" w:rsidRDefault="00027E45" w:rsidP="00027E45">
          <w:pPr>
            <w:pStyle w:val="TOC3"/>
            <w:tabs>
              <w:tab w:val="right" w:leader="dot" w:pos="9016"/>
            </w:tabs>
            <w:spacing w:before="100" w:beforeAutospacing="1" w:afterAutospacing="1"/>
            <w:rPr>
              <w:rFonts w:ascii="Arial" w:hAnsi="Arial" w:cs="Arial"/>
              <w:noProof/>
              <w:sz w:val="22"/>
              <w:szCs w:val="22"/>
            </w:rPr>
          </w:pPr>
          <w:hyperlink w:anchor="_Toc221374492" w:history="1">
            <w:r w:rsidRPr="00027E45">
              <w:rPr>
                <w:rStyle w:val="Hyperlink"/>
                <w:rFonts w:ascii="Arial" w:hAnsi="Arial" w:cs="Arial"/>
                <w:noProof/>
                <w:sz w:val="22"/>
                <w:szCs w:val="22"/>
                <w:lang w:val="en-IN"/>
              </w:rPr>
              <w:t>1.1 Background and Rationale</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_Toc221374492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3</w:t>
            </w:r>
            <w:r w:rsidRPr="00027E45">
              <w:rPr>
                <w:rFonts w:ascii="Arial" w:hAnsi="Arial" w:cs="Arial"/>
                <w:noProof/>
                <w:webHidden/>
                <w:sz w:val="22"/>
                <w:szCs w:val="22"/>
              </w:rPr>
              <w:fldChar w:fldCharType="end"/>
            </w:r>
          </w:hyperlink>
        </w:p>
        <w:p w14:paraId="235D275B" w14:textId="728FA96B" w:rsidR="00027E45" w:rsidRPr="00027E45" w:rsidRDefault="00027E45" w:rsidP="00027E45">
          <w:pPr>
            <w:pStyle w:val="TOC3"/>
            <w:tabs>
              <w:tab w:val="right" w:leader="dot" w:pos="9016"/>
            </w:tabs>
            <w:spacing w:before="100" w:beforeAutospacing="1" w:afterAutospacing="1"/>
            <w:rPr>
              <w:rFonts w:ascii="Arial" w:hAnsi="Arial" w:cs="Arial"/>
              <w:noProof/>
              <w:sz w:val="22"/>
              <w:szCs w:val="22"/>
            </w:rPr>
          </w:pPr>
          <w:hyperlink w:anchor="_Toc221374493" w:history="1">
            <w:r w:rsidRPr="00027E45">
              <w:rPr>
                <w:rStyle w:val="Hyperlink"/>
                <w:rFonts w:ascii="Arial" w:hAnsi="Arial" w:cs="Arial"/>
                <w:noProof/>
                <w:sz w:val="22"/>
                <w:szCs w:val="22"/>
                <w:lang w:val="en-IN"/>
              </w:rPr>
              <w:t>1.2 Aim and Objectives</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_Toc221374493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3</w:t>
            </w:r>
            <w:r w:rsidRPr="00027E45">
              <w:rPr>
                <w:rFonts w:ascii="Arial" w:hAnsi="Arial" w:cs="Arial"/>
                <w:noProof/>
                <w:webHidden/>
                <w:sz w:val="22"/>
                <w:szCs w:val="22"/>
              </w:rPr>
              <w:fldChar w:fldCharType="end"/>
            </w:r>
          </w:hyperlink>
        </w:p>
        <w:p w14:paraId="47BB9504" w14:textId="5A83231A" w:rsidR="00027E45" w:rsidRPr="00027E45" w:rsidRDefault="00027E45" w:rsidP="00027E45">
          <w:pPr>
            <w:pStyle w:val="TOC3"/>
            <w:tabs>
              <w:tab w:val="right" w:leader="dot" w:pos="9016"/>
            </w:tabs>
            <w:spacing w:before="100" w:beforeAutospacing="1" w:afterAutospacing="1"/>
            <w:rPr>
              <w:rFonts w:ascii="Arial" w:hAnsi="Arial" w:cs="Arial"/>
              <w:noProof/>
              <w:sz w:val="22"/>
              <w:szCs w:val="22"/>
            </w:rPr>
          </w:pPr>
          <w:hyperlink w:anchor="_Toc221374494" w:history="1">
            <w:r w:rsidRPr="00027E45">
              <w:rPr>
                <w:rStyle w:val="Hyperlink"/>
                <w:rFonts w:ascii="Arial" w:hAnsi="Arial" w:cs="Arial"/>
                <w:noProof/>
                <w:sz w:val="22"/>
                <w:szCs w:val="22"/>
                <w:lang w:val="en-IN"/>
              </w:rPr>
              <w:t>1.3 Research Question</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_Toc221374494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4</w:t>
            </w:r>
            <w:r w:rsidRPr="00027E45">
              <w:rPr>
                <w:rFonts w:ascii="Arial" w:hAnsi="Arial" w:cs="Arial"/>
                <w:noProof/>
                <w:webHidden/>
                <w:sz w:val="22"/>
                <w:szCs w:val="22"/>
              </w:rPr>
              <w:fldChar w:fldCharType="end"/>
            </w:r>
          </w:hyperlink>
        </w:p>
        <w:p w14:paraId="025094D2" w14:textId="6F2E93D4" w:rsidR="00027E45" w:rsidRPr="00027E45" w:rsidRDefault="00027E45" w:rsidP="00027E45">
          <w:pPr>
            <w:pStyle w:val="TOC3"/>
            <w:tabs>
              <w:tab w:val="right" w:leader="dot" w:pos="9016"/>
            </w:tabs>
            <w:spacing w:before="100" w:beforeAutospacing="1" w:afterAutospacing="1"/>
            <w:rPr>
              <w:rFonts w:ascii="Arial" w:hAnsi="Arial" w:cs="Arial"/>
              <w:noProof/>
              <w:sz w:val="22"/>
              <w:szCs w:val="22"/>
            </w:rPr>
          </w:pPr>
          <w:hyperlink w:anchor="_Toc221374495" w:history="1">
            <w:r w:rsidRPr="00027E45">
              <w:rPr>
                <w:rStyle w:val="Hyperlink"/>
                <w:rFonts w:ascii="Arial" w:hAnsi="Arial" w:cs="Arial"/>
                <w:noProof/>
                <w:sz w:val="22"/>
                <w:szCs w:val="22"/>
                <w:lang w:val="en-IN"/>
              </w:rPr>
              <w:t>2. Literature Review</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_Toc221374495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4</w:t>
            </w:r>
            <w:r w:rsidRPr="00027E45">
              <w:rPr>
                <w:rFonts w:ascii="Arial" w:hAnsi="Arial" w:cs="Arial"/>
                <w:noProof/>
                <w:webHidden/>
                <w:sz w:val="22"/>
                <w:szCs w:val="22"/>
              </w:rPr>
              <w:fldChar w:fldCharType="end"/>
            </w:r>
          </w:hyperlink>
        </w:p>
        <w:p w14:paraId="6869F203" w14:textId="7B83E884" w:rsidR="00027E45" w:rsidRPr="00027E45" w:rsidRDefault="00027E45" w:rsidP="00027E45">
          <w:pPr>
            <w:pStyle w:val="TOC2"/>
            <w:tabs>
              <w:tab w:val="right" w:leader="dot" w:pos="9016"/>
            </w:tabs>
            <w:spacing w:before="100" w:beforeAutospacing="1" w:afterAutospacing="1"/>
            <w:rPr>
              <w:rFonts w:ascii="Arial" w:hAnsi="Arial" w:cs="Arial"/>
              <w:noProof/>
              <w:sz w:val="22"/>
              <w:szCs w:val="22"/>
            </w:rPr>
          </w:pPr>
          <w:hyperlink w:anchor="_Toc221374496" w:history="1">
            <w:r w:rsidRPr="00027E45">
              <w:rPr>
                <w:rStyle w:val="Hyperlink"/>
                <w:rFonts w:ascii="Arial" w:hAnsi="Arial" w:cs="Arial"/>
                <w:noProof/>
                <w:sz w:val="22"/>
                <w:szCs w:val="22"/>
                <w:lang w:val="en-IN"/>
              </w:rPr>
              <w:t>3. Methodology</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_Toc221374496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4</w:t>
            </w:r>
            <w:r w:rsidRPr="00027E45">
              <w:rPr>
                <w:rFonts w:ascii="Arial" w:hAnsi="Arial" w:cs="Arial"/>
                <w:noProof/>
                <w:webHidden/>
                <w:sz w:val="22"/>
                <w:szCs w:val="22"/>
              </w:rPr>
              <w:fldChar w:fldCharType="end"/>
            </w:r>
          </w:hyperlink>
        </w:p>
        <w:p w14:paraId="43763FFF" w14:textId="49C97197" w:rsidR="00027E45" w:rsidRPr="00027E45" w:rsidRDefault="00027E45" w:rsidP="00027E45">
          <w:pPr>
            <w:pStyle w:val="TOC2"/>
            <w:tabs>
              <w:tab w:val="right" w:leader="dot" w:pos="9016"/>
            </w:tabs>
            <w:spacing w:before="100" w:beforeAutospacing="1" w:afterAutospacing="1"/>
            <w:rPr>
              <w:rFonts w:ascii="Arial" w:hAnsi="Arial" w:cs="Arial"/>
              <w:noProof/>
              <w:sz w:val="22"/>
              <w:szCs w:val="22"/>
            </w:rPr>
          </w:pPr>
          <w:hyperlink w:anchor="_Toc221374497" w:history="1">
            <w:r w:rsidRPr="00027E45">
              <w:rPr>
                <w:rStyle w:val="Hyperlink"/>
                <w:rFonts w:ascii="Arial" w:hAnsi="Arial" w:cs="Arial"/>
                <w:noProof/>
                <w:sz w:val="22"/>
                <w:szCs w:val="22"/>
                <w:lang w:val="en-IN"/>
              </w:rPr>
              <w:t>4. Research Timeline</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_Toc221374497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5</w:t>
            </w:r>
            <w:r w:rsidRPr="00027E45">
              <w:rPr>
                <w:rFonts w:ascii="Arial" w:hAnsi="Arial" w:cs="Arial"/>
                <w:noProof/>
                <w:webHidden/>
                <w:sz w:val="22"/>
                <w:szCs w:val="22"/>
              </w:rPr>
              <w:fldChar w:fldCharType="end"/>
            </w:r>
          </w:hyperlink>
        </w:p>
        <w:p w14:paraId="2A82017D" w14:textId="30E0334C" w:rsidR="00027E45" w:rsidRPr="00027E45" w:rsidRDefault="00027E45" w:rsidP="00027E45">
          <w:pPr>
            <w:pStyle w:val="TOC2"/>
            <w:tabs>
              <w:tab w:val="right" w:leader="dot" w:pos="9016"/>
            </w:tabs>
            <w:spacing w:before="100" w:beforeAutospacing="1" w:afterAutospacing="1"/>
            <w:rPr>
              <w:rFonts w:ascii="Arial" w:hAnsi="Arial" w:cs="Arial"/>
              <w:noProof/>
              <w:sz w:val="22"/>
              <w:szCs w:val="22"/>
            </w:rPr>
          </w:pPr>
          <w:hyperlink w:anchor="_Toc221374498" w:history="1">
            <w:r w:rsidRPr="00027E45">
              <w:rPr>
                <w:rStyle w:val="Hyperlink"/>
                <w:rFonts w:ascii="Arial" w:hAnsi="Arial" w:cs="Arial"/>
                <w:noProof/>
                <w:sz w:val="22"/>
                <w:szCs w:val="22"/>
                <w:lang w:val="en-IN"/>
              </w:rPr>
              <w:t>5. Expected Outcomes</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_Toc221374498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5</w:t>
            </w:r>
            <w:r w:rsidRPr="00027E45">
              <w:rPr>
                <w:rFonts w:ascii="Arial" w:hAnsi="Arial" w:cs="Arial"/>
                <w:noProof/>
                <w:webHidden/>
                <w:sz w:val="22"/>
                <w:szCs w:val="22"/>
              </w:rPr>
              <w:fldChar w:fldCharType="end"/>
            </w:r>
          </w:hyperlink>
        </w:p>
        <w:p w14:paraId="587FE8CF" w14:textId="7A67D276" w:rsidR="00027E45" w:rsidRPr="00027E45" w:rsidRDefault="00027E45" w:rsidP="00027E45">
          <w:pPr>
            <w:pStyle w:val="TOC2"/>
            <w:tabs>
              <w:tab w:val="right" w:leader="dot" w:pos="9016"/>
            </w:tabs>
            <w:spacing w:before="100" w:beforeAutospacing="1" w:afterAutospacing="1"/>
            <w:rPr>
              <w:rFonts w:ascii="Arial" w:hAnsi="Arial" w:cs="Arial"/>
              <w:noProof/>
              <w:sz w:val="22"/>
              <w:szCs w:val="22"/>
            </w:rPr>
          </w:pPr>
          <w:hyperlink w:anchor="_Toc221374499" w:history="1">
            <w:r w:rsidRPr="00027E45">
              <w:rPr>
                <w:rStyle w:val="Hyperlink"/>
                <w:rFonts w:ascii="Arial" w:hAnsi="Arial" w:cs="Arial"/>
                <w:noProof/>
                <w:sz w:val="22"/>
                <w:szCs w:val="22"/>
                <w:lang w:val="en-IN"/>
              </w:rPr>
              <w:t>6. References</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_Toc221374499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6</w:t>
            </w:r>
            <w:r w:rsidRPr="00027E45">
              <w:rPr>
                <w:rFonts w:ascii="Arial" w:hAnsi="Arial" w:cs="Arial"/>
                <w:noProof/>
                <w:webHidden/>
                <w:sz w:val="22"/>
                <w:szCs w:val="22"/>
              </w:rPr>
              <w:fldChar w:fldCharType="end"/>
            </w:r>
          </w:hyperlink>
        </w:p>
        <w:p w14:paraId="3E132338" w14:textId="71052D25" w:rsidR="00027E45" w:rsidRPr="00027E45" w:rsidRDefault="00027E45" w:rsidP="00027E45">
          <w:pPr>
            <w:pStyle w:val="TOC1"/>
            <w:tabs>
              <w:tab w:val="right" w:leader="dot" w:pos="9016"/>
            </w:tabs>
            <w:spacing w:before="100" w:beforeAutospacing="1" w:afterAutospacing="1"/>
            <w:rPr>
              <w:rFonts w:ascii="Arial" w:hAnsi="Arial" w:cs="Arial"/>
              <w:noProof/>
              <w:sz w:val="22"/>
              <w:szCs w:val="22"/>
            </w:rPr>
          </w:pPr>
          <w:hyperlink w:anchor="_Toc221374500" w:history="1">
            <w:r w:rsidRPr="00027E45">
              <w:rPr>
                <w:rStyle w:val="Hyperlink"/>
                <w:rFonts w:ascii="Arial" w:hAnsi="Arial" w:cs="Arial"/>
                <w:noProof/>
                <w:sz w:val="22"/>
                <w:szCs w:val="22"/>
              </w:rPr>
              <w:t>Element 2: Poster</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_Toc221374500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7</w:t>
            </w:r>
            <w:r w:rsidRPr="00027E45">
              <w:rPr>
                <w:rFonts w:ascii="Arial" w:hAnsi="Arial" w:cs="Arial"/>
                <w:noProof/>
                <w:webHidden/>
                <w:sz w:val="22"/>
                <w:szCs w:val="22"/>
              </w:rPr>
              <w:fldChar w:fldCharType="end"/>
            </w:r>
          </w:hyperlink>
        </w:p>
        <w:p w14:paraId="7F3AE2E6" w14:textId="5296EDA8" w:rsidR="00027E45" w:rsidRPr="00027E45" w:rsidRDefault="00027E45" w:rsidP="00027E45">
          <w:pPr>
            <w:pStyle w:val="TOC1"/>
            <w:tabs>
              <w:tab w:val="right" w:leader="dot" w:pos="9016"/>
            </w:tabs>
            <w:spacing w:before="100" w:beforeAutospacing="1" w:afterAutospacing="1"/>
            <w:rPr>
              <w:rFonts w:ascii="Arial" w:hAnsi="Arial" w:cs="Arial"/>
              <w:noProof/>
              <w:sz w:val="22"/>
              <w:szCs w:val="22"/>
            </w:rPr>
          </w:pPr>
          <w:hyperlink w:anchor="_Toc221374501" w:history="1">
            <w:r w:rsidRPr="00027E45">
              <w:rPr>
                <w:rStyle w:val="Hyperlink"/>
                <w:rFonts w:ascii="Arial" w:hAnsi="Arial" w:cs="Arial"/>
                <w:noProof/>
                <w:sz w:val="22"/>
                <w:szCs w:val="22"/>
              </w:rPr>
              <w:t xml:space="preserve">Element 3: </w:t>
            </w:r>
            <w:r w:rsidRPr="00027E45">
              <w:rPr>
                <w:rStyle w:val="Hyperlink"/>
                <w:rFonts w:ascii="Arial" w:hAnsi="Arial" w:cs="Arial"/>
                <w:noProof/>
                <w:sz w:val="22"/>
                <w:szCs w:val="22"/>
                <w:lang w:val="en-IN"/>
              </w:rPr>
              <w:t>Dissertation document</w:t>
            </w:r>
            <w:r w:rsidRPr="00027E45">
              <w:rPr>
                <w:rFonts w:ascii="Arial" w:hAnsi="Arial" w:cs="Arial"/>
                <w:noProof/>
                <w:webHidden/>
                <w:sz w:val="22"/>
                <w:szCs w:val="22"/>
              </w:rPr>
              <w:tab/>
            </w:r>
            <w:r w:rsidRPr="00027E45">
              <w:rPr>
                <w:rFonts w:ascii="Arial" w:hAnsi="Arial" w:cs="Arial"/>
                <w:noProof/>
                <w:webHidden/>
                <w:sz w:val="22"/>
                <w:szCs w:val="22"/>
              </w:rPr>
              <w:fldChar w:fldCharType="begin"/>
            </w:r>
            <w:r w:rsidRPr="00027E45">
              <w:rPr>
                <w:rFonts w:ascii="Arial" w:hAnsi="Arial" w:cs="Arial"/>
                <w:noProof/>
                <w:webHidden/>
                <w:sz w:val="22"/>
                <w:szCs w:val="22"/>
              </w:rPr>
              <w:instrText xml:space="preserve"> PAGEREF _Toc221374501 \h </w:instrText>
            </w:r>
            <w:r w:rsidRPr="00027E45">
              <w:rPr>
                <w:rFonts w:ascii="Arial" w:hAnsi="Arial" w:cs="Arial"/>
                <w:noProof/>
                <w:webHidden/>
                <w:sz w:val="22"/>
                <w:szCs w:val="22"/>
              </w:rPr>
            </w:r>
            <w:r w:rsidRPr="00027E45">
              <w:rPr>
                <w:rFonts w:ascii="Arial" w:hAnsi="Arial" w:cs="Arial"/>
                <w:noProof/>
                <w:webHidden/>
                <w:sz w:val="22"/>
                <w:szCs w:val="22"/>
              </w:rPr>
              <w:fldChar w:fldCharType="separate"/>
            </w:r>
            <w:r w:rsidRPr="00027E45">
              <w:rPr>
                <w:rFonts w:ascii="Arial" w:hAnsi="Arial" w:cs="Arial"/>
                <w:noProof/>
                <w:webHidden/>
                <w:sz w:val="22"/>
                <w:szCs w:val="22"/>
              </w:rPr>
              <w:t>8</w:t>
            </w:r>
            <w:r w:rsidRPr="00027E45">
              <w:rPr>
                <w:rFonts w:ascii="Arial" w:hAnsi="Arial" w:cs="Arial"/>
                <w:noProof/>
                <w:webHidden/>
                <w:sz w:val="22"/>
                <w:szCs w:val="22"/>
              </w:rPr>
              <w:fldChar w:fldCharType="end"/>
            </w:r>
          </w:hyperlink>
        </w:p>
        <w:p w14:paraId="7EBE641A" w14:textId="0328172F" w:rsidR="00027E45" w:rsidRPr="00027E45" w:rsidRDefault="00027E45" w:rsidP="00027E45">
          <w:pPr>
            <w:spacing w:before="100" w:beforeAutospacing="1" w:after="100" w:afterAutospacing="1"/>
            <w:rPr>
              <w:rFonts w:ascii="Arial" w:hAnsi="Arial" w:cs="Arial"/>
              <w:sz w:val="22"/>
              <w:szCs w:val="22"/>
            </w:rPr>
          </w:pPr>
          <w:r w:rsidRPr="00027E45">
            <w:rPr>
              <w:rFonts w:ascii="Arial" w:hAnsi="Arial" w:cs="Arial"/>
              <w:b/>
              <w:bCs/>
              <w:noProof/>
              <w:sz w:val="22"/>
              <w:szCs w:val="22"/>
            </w:rPr>
            <w:fldChar w:fldCharType="end"/>
          </w:r>
        </w:p>
      </w:sdtContent>
    </w:sdt>
    <w:p w14:paraId="7AD5BC54" w14:textId="74A6D574" w:rsidR="00027E45" w:rsidRPr="00027E45" w:rsidRDefault="00027E45" w:rsidP="00027E45">
      <w:pPr>
        <w:spacing w:before="100" w:beforeAutospacing="1" w:after="100" w:afterAutospacing="1"/>
        <w:jc w:val="left"/>
        <w:rPr>
          <w:rFonts w:ascii="Arial" w:hAnsi="Arial" w:cs="Arial"/>
          <w:sz w:val="22"/>
          <w:szCs w:val="22"/>
          <w:lang w:val="en-IN"/>
        </w:rPr>
      </w:pPr>
      <w:r w:rsidRPr="00027E45">
        <w:rPr>
          <w:rFonts w:ascii="Arial" w:hAnsi="Arial" w:cs="Arial"/>
          <w:sz w:val="22"/>
          <w:szCs w:val="22"/>
          <w:lang w:val="en-IN"/>
        </w:rPr>
        <w:br w:type="page"/>
      </w:r>
    </w:p>
    <w:p w14:paraId="2B5106FD" w14:textId="690B8789" w:rsidR="00027E45" w:rsidRPr="00027E45" w:rsidRDefault="00027E45" w:rsidP="00027E45">
      <w:pPr>
        <w:pStyle w:val="Heading1"/>
        <w:spacing w:before="100" w:beforeAutospacing="1" w:after="100" w:afterAutospacing="1"/>
        <w:jc w:val="center"/>
        <w:rPr>
          <w:rFonts w:ascii="Arial" w:hAnsi="Arial" w:cs="Arial"/>
          <w:sz w:val="22"/>
          <w:szCs w:val="22"/>
          <w:lang w:val="en-IN"/>
        </w:rPr>
      </w:pPr>
      <w:bookmarkStart w:id="0" w:name="_Toc221374490"/>
      <w:r w:rsidRPr="00027E45">
        <w:rPr>
          <w:rFonts w:ascii="Arial" w:hAnsi="Arial" w:cs="Arial"/>
          <w:sz w:val="22"/>
          <w:szCs w:val="22"/>
          <w:lang w:val="en-IN"/>
        </w:rPr>
        <w:lastRenderedPageBreak/>
        <w:t>Element 1: Project Proposal</w:t>
      </w:r>
      <w:bookmarkEnd w:id="0"/>
    </w:p>
    <w:p w14:paraId="4A6075B6" w14:textId="1CB6C930" w:rsidR="00027E45" w:rsidRPr="00027E45" w:rsidRDefault="00027E45" w:rsidP="00027E45">
      <w:pPr>
        <w:pStyle w:val="Heading2"/>
        <w:spacing w:before="100" w:beforeAutospacing="1" w:after="100" w:afterAutospacing="1"/>
        <w:rPr>
          <w:rFonts w:ascii="Arial" w:hAnsi="Arial" w:cs="Arial"/>
          <w:sz w:val="22"/>
          <w:szCs w:val="22"/>
          <w:lang w:val="en-IN"/>
        </w:rPr>
      </w:pPr>
      <w:bookmarkStart w:id="1" w:name="_Toc221374491"/>
      <w:r w:rsidRPr="00027E45">
        <w:rPr>
          <w:rFonts w:ascii="Arial" w:hAnsi="Arial" w:cs="Arial"/>
          <w:sz w:val="22"/>
          <w:szCs w:val="22"/>
          <w:lang w:val="en-IN"/>
        </w:rPr>
        <w:t>1. Introduction</w:t>
      </w:r>
      <w:bookmarkEnd w:id="1"/>
    </w:p>
    <w:p w14:paraId="71909FAE" w14:textId="77777777" w:rsidR="00027E45" w:rsidRPr="00027E45" w:rsidRDefault="00027E45" w:rsidP="00027E45">
      <w:pPr>
        <w:pStyle w:val="Heading3"/>
        <w:spacing w:before="100" w:beforeAutospacing="1" w:after="100" w:afterAutospacing="1"/>
        <w:rPr>
          <w:rFonts w:ascii="Arial" w:hAnsi="Arial" w:cs="Arial"/>
          <w:sz w:val="22"/>
          <w:szCs w:val="22"/>
          <w:lang w:val="en-IN"/>
        </w:rPr>
      </w:pPr>
      <w:bookmarkStart w:id="2" w:name="_Toc221374492"/>
      <w:r w:rsidRPr="00027E45">
        <w:rPr>
          <w:rFonts w:ascii="Arial" w:hAnsi="Arial" w:cs="Arial"/>
          <w:sz w:val="22"/>
          <w:szCs w:val="22"/>
          <w:lang w:val="en-IN"/>
        </w:rPr>
        <w:t>1.1 Background and Rationale</w:t>
      </w:r>
      <w:bookmarkEnd w:id="2"/>
    </w:p>
    <w:p w14:paraId="544ACAE0"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The young migrants of Eastern Europe within the age group of 18 to 25 in London may face norms of cultural drinking, precarious employment, social isolation and barriers to healthcare. The data of the GOV.UK (2025) showcases the age group of 20-24, approximately 14,258 people, who entered drug or alcohol treatment in 2023-24 within England. The From Harm to Hope Drugs plan of 10 years within the UK included a £768 million budget allocation. The aim is to reduce the use to a low of 30 years (UK Parliament, 2024). The existing reviews showcase the migrants of Eastern Europe who mostly distrust the provision of mainstream and underutilise services. The research investigates the unmet needs among the Eastern Europe Migrants regarding all those issues. </w:t>
      </w:r>
    </w:p>
    <w:p w14:paraId="5455C62B" w14:textId="77777777" w:rsidR="00027E45" w:rsidRPr="00027E45" w:rsidRDefault="00027E45" w:rsidP="00027E45">
      <w:pPr>
        <w:pStyle w:val="Heading3"/>
        <w:spacing w:before="100" w:beforeAutospacing="1" w:after="100" w:afterAutospacing="1"/>
        <w:rPr>
          <w:rFonts w:ascii="Arial" w:hAnsi="Arial" w:cs="Arial"/>
          <w:sz w:val="22"/>
          <w:szCs w:val="22"/>
          <w:lang w:val="en-IN"/>
        </w:rPr>
      </w:pPr>
      <w:bookmarkStart w:id="3" w:name="_Toc221374493"/>
      <w:r w:rsidRPr="00027E45">
        <w:rPr>
          <w:rFonts w:ascii="Arial" w:hAnsi="Arial" w:cs="Arial"/>
          <w:sz w:val="22"/>
          <w:szCs w:val="22"/>
          <w:lang w:val="en-IN"/>
        </w:rPr>
        <w:t>1.2 Aim and Objectives</w:t>
      </w:r>
      <w:bookmarkEnd w:id="3"/>
    </w:p>
    <w:p w14:paraId="79A054CE"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Aim </w:t>
      </w:r>
    </w:p>
    <w:p w14:paraId="16E26657"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To explore the significance of substance, use among Eastern European migrants of 18-25 years who live in London and to recognise policy, service and research gaps. </w:t>
      </w:r>
    </w:p>
    <w:p w14:paraId="067CC2B1"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Objectives</w:t>
      </w:r>
    </w:p>
    <w:p w14:paraId="7B45C4C8"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 xml:space="preserve">I. </w:t>
      </w:r>
      <w:r w:rsidRPr="00027E45">
        <w:rPr>
          <w:rFonts w:ascii="Arial" w:hAnsi="Arial" w:cs="Arial"/>
          <w:sz w:val="22"/>
          <w:szCs w:val="22"/>
          <w:lang w:val="en-IN"/>
        </w:rPr>
        <w:t>To recognise the impact of substance misuse and lived experiences among the old Eastern European migrants of 18-25 years in London. </w:t>
      </w:r>
    </w:p>
    <w:p w14:paraId="3E9B2D9C"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 xml:space="preserve">II. </w:t>
      </w:r>
      <w:r w:rsidRPr="00027E45">
        <w:rPr>
          <w:rFonts w:ascii="Arial" w:hAnsi="Arial" w:cs="Arial"/>
          <w:sz w:val="22"/>
          <w:szCs w:val="22"/>
          <w:lang w:val="en-IN"/>
        </w:rPr>
        <w:t>To examine how culture, migration, and structural factors affect the service engagement and substance use. </w:t>
      </w:r>
    </w:p>
    <w:p w14:paraId="62318460"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III.</w:t>
      </w:r>
      <w:r w:rsidRPr="00027E45">
        <w:rPr>
          <w:rFonts w:ascii="Arial" w:hAnsi="Arial" w:cs="Arial"/>
          <w:sz w:val="22"/>
          <w:szCs w:val="22"/>
          <w:lang w:val="en-IN"/>
        </w:rPr>
        <w:t xml:space="preserve"> To evaluate barriers, existing services and facilitators for this youth group. </w:t>
      </w:r>
    </w:p>
    <w:p w14:paraId="20B03463"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 xml:space="preserve">IV. </w:t>
      </w:r>
      <w:r w:rsidRPr="00027E45">
        <w:rPr>
          <w:rFonts w:ascii="Arial" w:hAnsi="Arial" w:cs="Arial"/>
          <w:sz w:val="22"/>
          <w:szCs w:val="22"/>
          <w:lang w:val="en-IN"/>
        </w:rPr>
        <w:t>To recommend evidence-informed, culturally sensitive interventions, research directions and policies. </w:t>
      </w:r>
    </w:p>
    <w:p w14:paraId="22D687D1" w14:textId="77777777" w:rsidR="00027E45" w:rsidRPr="00027E45" w:rsidRDefault="00027E45" w:rsidP="00027E45">
      <w:pPr>
        <w:pStyle w:val="Heading3"/>
        <w:spacing w:before="100" w:beforeAutospacing="1" w:after="100" w:afterAutospacing="1"/>
        <w:rPr>
          <w:rFonts w:ascii="Arial" w:hAnsi="Arial" w:cs="Arial"/>
          <w:sz w:val="22"/>
          <w:szCs w:val="22"/>
          <w:lang w:val="en-IN"/>
        </w:rPr>
      </w:pPr>
      <w:bookmarkStart w:id="4" w:name="_Toc221374494"/>
      <w:r w:rsidRPr="00027E45">
        <w:rPr>
          <w:rFonts w:ascii="Arial" w:hAnsi="Arial" w:cs="Arial"/>
          <w:sz w:val="22"/>
          <w:szCs w:val="22"/>
          <w:lang w:val="en-IN"/>
        </w:rPr>
        <w:lastRenderedPageBreak/>
        <w:t>1.3 Research Question</w:t>
      </w:r>
      <w:bookmarkEnd w:id="4"/>
    </w:p>
    <w:p w14:paraId="1B252C34"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How do mitigation experiences, cultural norms and structural obstacles transform the substance use impacts and help-seeking among Eastern European migrants of 18-25 years in London? </w:t>
      </w:r>
    </w:p>
    <w:p w14:paraId="7C1D811B" w14:textId="77777777" w:rsidR="00027E45" w:rsidRPr="00027E45" w:rsidRDefault="00027E45" w:rsidP="00027E45">
      <w:pPr>
        <w:pStyle w:val="Heading3"/>
        <w:spacing w:before="100" w:beforeAutospacing="1" w:after="100" w:afterAutospacing="1"/>
        <w:rPr>
          <w:rFonts w:ascii="Arial" w:hAnsi="Arial" w:cs="Arial"/>
          <w:sz w:val="22"/>
          <w:szCs w:val="22"/>
          <w:lang w:val="en-IN"/>
        </w:rPr>
      </w:pPr>
      <w:bookmarkStart w:id="5" w:name="_Toc221374495"/>
      <w:r w:rsidRPr="00027E45">
        <w:rPr>
          <w:rFonts w:ascii="Arial" w:hAnsi="Arial" w:cs="Arial"/>
          <w:sz w:val="22"/>
          <w:szCs w:val="22"/>
          <w:lang w:val="en-IN"/>
        </w:rPr>
        <w:t>2. Literature Review</w:t>
      </w:r>
      <w:bookmarkEnd w:id="5"/>
      <w:r w:rsidRPr="00027E45">
        <w:rPr>
          <w:rFonts w:ascii="Arial" w:hAnsi="Arial" w:cs="Arial"/>
          <w:sz w:val="22"/>
          <w:szCs w:val="22"/>
          <w:lang w:val="en-IN"/>
        </w:rPr>
        <w:t> </w:t>
      </w:r>
    </w:p>
    <w:p w14:paraId="12EEEE2F" w14:textId="77777777" w:rsidR="00027E45" w:rsidRPr="00027E45" w:rsidRDefault="00027E45" w:rsidP="00027E45">
      <w:pPr>
        <w:spacing w:before="100" w:beforeAutospacing="1" w:after="100" w:afterAutospacing="1"/>
        <w:rPr>
          <w:rFonts w:ascii="Arial" w:hAnsi="Arial" w:cs="Arial"/>
          <w:b/>
          <w:bCs/>
          <w:sz w:val="22"/>
          <w:szCs w:val="22"/>
          <w:lang w:val="en-IN"/>
        </w:rPr>
      </w:pPr>
      <w:r w:rsidRPr="00027E45">
        <w:rPr>
          <w:rFonts w:ascii="Arial" w:hAnsi="Arial" w:cs="Arial"/>
          <w:b/>
          <w:bCs/>
          <w:sz w:val="22"/>
          <w:szCs w:val="22"/>
          <w:lang w:val="en-IN"/>
        </w:rPr>
        <w:t>2.1 Theme 1: Access Barriers and Structural Vulnerability </w:t>
      </w:r>
    </w:p>
    <w:p w14:paraId="733440D6"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The insights of van Selm </w:t>
      </w:r>
      <w:r w:rsidRPr="00027E45">
        <w:rPr>
          <w:rFonts w:ascii="Arial" w:hAnsi="Arial" w:cs="Arial"/>
          <w:i/>
          <w:iCs/>
          <w:sz w:val="22"/>
          <w:szCs w:val="22"/>
          <w:lang w:val="en-IN"/>
        </w:rPr>
        <w:t>et al</w:t>
      </w:r>
      <w:r w:rsidRPr="00027E45">
        <w:rPr>
          <w:rFonts w:ascii="Arial" w:hAnsi="Arial" w:cs="Arial"/>
          <w:sz w:val="22"/>
          <w:szCs w:val="22"/>
          <w:lang w:val="en-IN"/>
        </w:rPr>
        <w:t>. (2023) suggest migrants mostly confront unstable work, precarious housing, administrative hurdles, undocumented status and exclusionary policies of health. This limits access to all the services. </w:t>
      </w:r>
    </w:p>
    <w:p w14:paraId="36A841B0" w14:textId="77777777" w:rsidR="00027E45" w:rsidRPr="00027E45" w:rsidRDefault="00027E45" w:rsidP="00027E45">
      <w:pPr>
        <w:spacing w:before="100" w:beforeAutospacing="1" w:after="100" w:afterAutospacing="1"/>
        <w:rPr>
          <w:rFonts w:ascii="Arial" w:hAnsi="Arial" w:cs="Arial"/>
          <w:b/>
          <w:bCs/>
          <w:sz w:val="22"/>
          <w:szCs w:val="22"/>
          <w:lang w:val="en-IN"/>
        </w:rPr>
      </w:pPr>
      <w:r w:rsidRPr="00027E45">
        <w:rPr>
          <w:rFonts w:ascii="Arial" w:hAnsi="Arial" w:cs="Arial"/>
          <w:b/>
          <w:bCs/>
          <w:sz w:val="22"/>
          <w:szCs w:val="22"/>
          <w:lang w:val="en-IN"/>
        </w:rPr>
        <w:t>2.2 Theme 2: Concealment, Identity and Stigma </w:t>
      </w:r>
    </w:p>
    <w:p w14:paraId="6FECBECC"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The systematic review crucially showcases the insights of Douglass </w:t>
      </w:r>
      <w:r w:rsidRPr="00027E45">
        <w:rPr>
          <w:rFonts w:ascii="Arial" w:hAnsi="Arial" w:cs="Arial"/>
          <w:i/>
          <w:iCs/>
          <w:sz w:val="22"/>
          <w:szCs w:val="22"/>
          <w:lang w:val="en-IN"/>
        </w:rPr>
        <w:t>et al</w:t>
      </w:r>
      <w:r w:rsidRPr="00027E45">
        <w:rPr>
          <w:rFonts w:ascii="Arial" w:hAnsi="Arial" w:cs="Arial"/>
          <w:sz w:val="22"/>
          <w:szCs w:val="22"/>
          <w:lang w:val="en-IN"/>
        </w:rPr>
        <w:t>. (2023) includes the stigma that includes migrant status, ethnicity and substance use. This also boosts emotional distress, drives secrecy, and includes avoidance of care and isolation. </w:t>
      </w:r>
    </w:p>
    <w:p w14:paraId="68608B59"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b/>
          <w:bCs/>
          <w:sz w:val="22"/>
          <w:szCs w:val="22"/>
          <w:lang w:val="en-IN"/>
        </w:rPr>
        <w:t>2.3 Theme 3: Service Distrust and Cultural Norms </w:t>
      </w:r>
    </w:p>
    <w:p w14:paraId="5ACEBD42"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According to Gleeson </w:t>
      </w:r>
      <w:r w:rsidRPr="00027E45">
        <w:rPr>
          <w:rFonts w:ascii="Arial" w:hAnsi="Arial" w:cs="Arial"/>
          <w:i/>
          <w:iCs/>
          <w:sz w:val="22"/>
          <w:szCs w:val="22"/>
          <w:lang w:val="en-IN"/>
        </w:rPr>
        <w:t>et al</w:t>
      </w:r>
      <w:r w:rsidRPr="00027E45">
        <w:rPr>
          <w:rFonts w:ascii="Arial" w:hAnsi="Arial" w:cs="Arial"/>
          <w:sz w:val="22"/>
          <w:szCs w:val="22"/>
          <w:lang w:val="en-IN"/>
        </w:rPr>
        <w:t>. (2022), the migrants of Eastern Europe, norms of drug or alcohol use from various home countries, mainstream service-related scepticism and past negative care experiences discourage the whole engagement. </w:t>
      </w:r>
    </w:p>
    <w:p w14:paraId="483F6458" w14:textId="77777777" w:rsidR="00027E45" w:rsidRPr="00027E45" w:rsidRDefault="00027E45" w:rsidP="00027E45">
      <w:pPr>
        <w:spacing w:before="100" w:beforeAutospacing="1" w:after="100" w:afterAutospacing="1"/>
        <w:rPr>
          <w:rFonts w:ascii="Arial" w:hAnsi="Arial" w:cs="Arial"/>
          <w:b/>
          <w:bCs/>
          <w:sz w:val="22"/>
          <w:szCs w:val="22"/>
          <w:lang w:val="en-IN"/>
        </w:rPr>
      </w:pPr>
      <w:r w:rsidRPr="00027E45">
        <w:rPr>
          <w:rFonts w:ascii="Arial" w:hAnsi="Arial" w:cs="Arial"/>
          <w:b/>
          <w:bCs/>
          <w:sz w:val="22"/>
          <w:szCs w:val="22"/>
          <w:lang w:val="en-IN"/>
        </w:rPr>
        <w:t>2.4 Theoretical Underpinnings </w:t>
      </w:r>
    </w:p>
    <w:p w14:paraId="42F955DE"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The research needs to be underlined with critical social theory to situate stigma, power and other structural inequalities that influence the behaviour (McCall </w:t>
      </w:r>
      <w:r w:rsidRPr="00027E45">
        <w:rPr>
          <w:rFonts w:ascii="Arial" w:hAnsi="Arial" w:cs="Arial"/>
          <w:i/>
          <w:iCs/>
          <w:sz w:val="22"/>
          <w:szCs w:val="22"/>
          <w:lang w:val="en-IN"/>
        </w:rPr>
        <w:t>et al</w:t>
      </w:r>
      <w:r w:rsidRPr="00027E45">
        <w:rPr>
          <w:rFonts w:ascii="Arial" w:hAnsi="Arial" w:cs="Arial"/>
          <w:sz w:val="22"/>
          <w:szCs w:val="22"/>
          <w:lang w:val="en-IN"/>
        </w:rPr>
        <w:t>., 2023). It draws the symbolic interactionism to understand the meanings of migrants after the use of substance. </w:t>
      </w:r>
    </w:p>
    <w:p w14:paraId="725FED94" w14:textId="77777777" w:rsidR="00027E45" w:rsidRPr="00027E45" w:rsidRDefault="00027E45" w:rsidP="00027E45">
      <w:pPr>
        <w:pStyle w:val="Heading2"/>
        <w:spacing w:before="100" w:beforeAutospacing="1" w:after="100" w:afterAutospacing="1"/>
        <w:rPr>
          <w:rFonts w:ascii="Arial" w:hAnsi="Arial" w:cs="Arial"/>
          <w:sz w:val="22"/>
          <w:szCs w:val="22"/>
          <w:lang w:val="en-IN"/>
        </w:rPr>
      </w:pPr>
      <w:bookmarkStart w:id="6" w:name="_Toc221374496"/>
      <w:r w:rsidRPr="00027E45">
        <w:rPr>
          <w:rFonts w:ascii="Arial" w:hAnsi="Arial" w:cs="Arial"/>
          <w:sz w:val="22"/>
          <w:szCs w:val="22"/>
          <w:lang w:val="en-IN"/>
        </w:rPr>
        <w:t>3. Methodology</w:t>
      </w:r>
      <w:bookmarkEnd w:id="6"/>
      <w:r w:rsidRPr="00027E45">
        <w:rPr>
          <w:rFonts w:ascii="Arial" w:hAnsi="Arial" w:cs="Arial"/>
          <w:sz w:val="22"/>
          <w:szCs w:val="22"/>
          <w:lang w:val="en-IN"/>
        </w:rPr>
        <w:t> </w:t>
      </w:r>
    </w:p>
    <w:p w14:paraId="652A2EFD"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The research will adopt the philosophy of </w:t>
      </w:r>
      <w:r w:rsidRPr="00027E45">
        <w:rPr>
          <w:rFonts w:ascii="Arial" w:hAnsi="Arial" w:cs="Arial"/>
          <w:i/>
          <w:iCs/>
          <w:sz w:val="22"/>
          <w:szCs w:val="22"/>
          <w:lang w:val="en-IN"/>
        </w:rPr>
        <w:t>interpretivism, which</w:t>
      </w:r>
      <w:r w:rsidRPr="00027E45">
        <w:rPr>
          <w:rFonts w:ascii="Arial" w:hAnsi="Arial" w:cs="Arial"/>
          <w:sz w:val="22"/>
          <w:szCs w:val="22"/>
          <w:lang w:val="en-IN"/>
        </w:rPr>
        <w:t xml:space="preserve"> assists in understanding the experience in society with the subjective meaning of the social incidents. The design of the research is exploratory, which assists in investigating the under-researched phenomenon among the young migrants of Eastern Europe. The approach is mostly inductive, letting the theory and pattern emerge from specific data rather than imposing preconceived frameworks. </w:t>
      </w:r>
    </w:p>
    <w:p w14:paraId="1E59933A"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lastRenderedPageBreak/>
        <w:t xml:space="preserve">The collection of data will include </w:t>
      </w:r>
      <w:r w:rsidRPr="00027E45">
        <w:rPr>
          <w:rFonts w:ascii="Arial" w:hAnsi="Arial" w:cs="Arial"/>
          <w:b/>
          <w:bCs/>
          <w:i/>
          <w:iCs/>
          <w:sz w:val="22"/>
          <w:szCs w:val="22"/>
          <w:lang w:val="en-IN"/>
        </w:rPr>
        <w:t>exclusive qualitative secondary</w:t>
      </w:r>
      <w:r w:rsidRPr="00027E45">
        <w:rPr>
          <w:rFonts w:ascii="Arial" w:hAnsi="Arial" w:cs="Arial"/>
          <w:sz w:val="22"/>
          <w:szCs w:val="22"/>
          <w:lang w:val="en-IN"/>
        </w:rPr>
        <w:t xml:space="preserve"> sources through the government reports of the UK, publications of communication organisations, articles of newspapers and evaluations of agencies. </w:t>
      </w:r>
    </w:p>
    <w:p w14:paraId="6D71E073" w14:textId="77777777" w:rsidR="00027E45" w:rsidRPr="00027E45" w:rsidRDefault="00027E45" w:rsidP="00027E45">
      <w:pPr>
        <w:pStyle w:val="Heading2"/>
        <w:spacing w:before="100" w:beforeAutospacing="1" w:after="100" w:afterAutospacing="1"/>
        <w:rPr>
          <w:rFonts w:ascii="Arial" w:hAnsi="Arial" w:cs="Arial"/>
          <w:sz w:val="22"/>
          <w:szCs w:val="22"/>
          <w:lang w:val="en-IN"/>
        </w:rPr>
      </w:pPr>
      <w:bookmarkStart w:id="7" w:name="_Toc221374497"/>
      <w:r w:rsidRPr="00027E45">
        <w:rPr>
          <w:rFonts w:ascii="Arial" w:hAnsi="Arial" w:cs="Arial"/>
          <w:sz w:val="22"/>
          <w:szCs w:val="22"/>
          <w:lang w:val="en-IN"/>
        </w:rPr>
        <w:t>4. Research Timeline</w:t>
      </w:r>
      <w:bookmarkEnd w:id="7"/>
      <w:r w:rsidRPr="00027E45">
        <w:rPr>
          <w:rFonts w:ascii="Arial" w:hAnsi="Arial" w:cs="Arial"/>
          <w:sz w:val="22"/>
          <w:szCs w:val="22"/>
          <w:lang w:val="en-IN"/>
        </w:rPr>
        <w:t> </w:t>
      </w:r>
    </w:p>
    <w:p w14:paraId="44BC8773" w14:textId="5D251FB4"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sz w:val="22"/>
          <w:szCs w:val="22"/>
          <w:lang w:val="en-IN"/>
        </w:rPr>
        <w:drawing>
          <wp:inline distT="0" distB="0" distL="0" distR="0" wp14:anchorId="67A5454C" wp14:editId="4EFD0E94">
            <wp:extent cx="3467100" cy="3893820"/>
            <wp:effectExtent l="0" t="0" r="0" b="0"/>
            <wp:docPr id="2045337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7100" cy="3893820"/>
                    </a:xfrm>
                    <a:prstGeom prst="rect">
                      <a:avLst/>
                    </a:prstGeom>
                    <a:noFill/>
                    <a:ln>
                      <a:noFill/>
                    </a:ln>
                  </pic:spPr>
                </pic:pic>
              </a:graphicData>
            </a:graphic>
          </wp:inline>
        </w:drawing>
      </w:r>
    </w:p>
    <w:p w14:paraId="0FA5215E" w14:textId="7405C72C"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b/>
          <w:bCs/>
          <w:sz w:val="22"/>
          <w:szCs w:val="22"/>
          <w:lang w:val="en-IN"/>
        </w:rPr>
        <w:t>Figure 1: Timeline for the Research</w:t>
      </w:r>
    </w:p>
    <w:p w14:paraId="4CFDDDC7" w14:textId="77777777" w:rsidR="00027E45" w:rsidRPr="00027E45" w:rsidRDefault="00027E45" w:rsidP="00027E45">
      <w:pPr>
        <w:spacing w:before="100" w:beforeAutospacing="1" w:after="100" w:afterAutospacing="1"/>
        <w:jc w:val="center"/>
        <w:rPr>
          <w:rFonts w:ascii="Arial" w:hAnsi="Arial" w:cs="Arial"/>
          <w:sz w:val="22"/>
          <w:szCs w:val="22"/>
          <w:lang w:val="en-IN"/>
        </w:rPr>
      </w:pPr>
      <w:r w:rsidRPr="00027E45">
        <w:rPr>
          <w:rFonts w:ascii="Arial" w:hAnsi="Arial" w:cs="Arial"/>
          <w:sz w:val="22"/>
          <w:szCs w:val="22"/>
          <w:lang w:val="en-IN"/>
        </w:rPr>
        <w:t>(Source: Self-Developed)</w:t>
      </w:r>
    </w:p>
    <w:p w14:paraId="4231F1D6" w14:textId="77777777" w:rsidR="00027E45" w:rsidRPr="00027E45" w:rsidRDefault="00027E45" w:rsidP="00027E45">
      <w:pPr>
        <w:pStyle w:val="Heading2"/>
        <w:spacing w:before="100" w:beforeAutospacing="1" w:after="100" w:afterAutospacing="1"/>
        <w:rPr>
          <w:rFonts w:ascii="Arial" w:hAnsi="Arial" w:cs="Arial"/>
          <w:sz w:val="22"/>
          <w:szCs w:val="22"/>
          <w:lang w:val="en-IN"/>
        </w:rPr>
      </w:pPr>
      <w:bookmarkStart w:id="8" w:name="_Toc221374498"/>
      <w:r w:rsidRPr="00027E45">
        <w:rPr>
          <w:rFonts w:ascii="Arial" w:hAnsi="Arial" w:cs="Arial"/>
          <w:sz w:val="22"/>
          <w:szCs w:val="22"/>
          <w:lang w:val="en-IN"/>
        </w:rPr>
        <w:t>5. Expected Outcomes</w:t>
      </w:r>
      <w:bookmarkEnd w:id="8"/>
      <w:r w:rsidRPr="00027E45">
        <w:rPr>
          <w:rFonts w:ascii="Arial" w:hAnsi="Arial" w:cs="Arial"/>
          <w:sz w:val="22"/>
          <w:szCs w:val="22"/>
          <w:lang w:val="en-IN"/>
        </w:rPr>
        <w:t> </w:t>
      </w:r>
    </w:p>
    <w:p w14:paraId="111770B8"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The research is expected to recognise the important negative significance related to mental health, economic and social perspectives among the migrants of Eastern Europe. This helps to evaluate the structural factors and contributory migration. The evaluation also includes service gaps and suggested proper prevention, policy and intervention approaches. </w:t>
      </w:r>
    </w:p>
    <w:p w14:paraId="3F57B58E" w14:textId="77777777" w:rsidR="00027E45" w:rsidRPr="00027E45" w:rsidRDefault="00027E45" w:rsidP="00027E45">
      <w:pPr>
        <w:spacing w:before="100" w:beforeAutospacing="1" w:after="100" w:afterAutospacing="1"/>
        <w:rPr>
          <w:rFonts w:ascii="Arial" w:hAnsi="Arial" w:cs="Arial"/>
          <w:sz w:val="22"/>
          <w:szCs w:val="22"/>
          <w:lang w:val="en-IN"/>
        </w:rPr>
      </w:pPr>
    </w:p>
    <w:p w14:paraId="1499919D" w14:textId="77777777" w:rsidR="00027E45" w:rsidRPr="00027E45" w:rsidRDefault="00027E45" w:rsidP="00027E45">
      <w:pPr>
        <w:spacing w:before="100" w:beforeAutospacing="1" w:after="100" w:afterAutospacing="1"/>
        <w:jc w:val="left"/>
        <w:rPr>
          <w:rFonts w:ascii="Arial" w:hAnsi="Arial" w:cs="Arial"/>
          <w:sz w:val="22"/>
          <w:szCs w:val="22"/>
        </w:rPr>
      </w:pPr>
      <w:r w:rsidRPr="00027E45">
        <w:rPr>
          <w:rFonts w:ascii="Arial" w:hAnsi="Arial" w:cs="Arial"/>
          <w:sz w:val="22"/>
          <w:szCs w:val="22"/>
        </w:rPr>
        <w:br w:type="page"/>
      </w:r>
    </w:p>
    <w:p w14:paraId="0BCA6F46" w14:textId="77777777" w:rsidR="00027E45" w:rsidRPr="00027E45" w:rsidRDefault="00027E45" w:rsidP="00027E45">
      <w:pPr>
        <w:pStyle w:val="Heading2"/>
        <w:spacing w:before="100" w:beforeAutospacing="1" w:after="100" w:afterAutospacing="1"/>
        <w:rPr>
          <w:rFonts w:ascii="Arial" w:hAnsi="Arial" w:cs="Arial"/>
          <w:sz w:val="22"/>
          <w:szCs w:val="22"/>
          <w:lang w:val="en-IN"/>
        </w:rPr>
      </w:pPr>
      <w:bookmarkStart w:id="9" w:name="_Toc221374499"/>
      <w:r w:rsidRPr="00027E45">
        <w:rPr>
          <w:rFonts w:ascii="Arial" w:hAnsi="Arial" w:cs="Arial"/>
          <w:sz w:val="22"/>
          <w:szCs w:val="22"/>
          <w:lang w:val="en-IN"/>
        </w:rPr>
        <w:lastRenderedPageBreak/>
        <w:t>6. References</w:t>
      </w:r>
      <w:bookmarkEnd w:id="9"/>
      <w:r w:rsidRPr="00027E45">
        <w:rPr>
          <w:rFonts w:ascii="Arial" w:hAnsi="Arial" w:cs="Arial"/>
          <w:sz w:val="22"/>
          <w:szCs w:val="22"/>
          <w:lang w:val="en-IN"/>
        </w:rPr>
        <w:t> </w:t>
      </w:r>
    </w:p>
    <w:p w14:paraId="701B8660"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Douglass, C.H., Win, T.M., </w:t>
      </w:r>
      <w:proofErr w:type="spellStart"/>
      <w:r w:rsidRPr="00027E45">
        <w:rPr>
          <w:rFonts w:ascii="Arial" w:hAnsi="Arial" w:cs="Arial"/>
          <w:sz w:val="22"/>
          <w:szCs w:val="22"/>
          <w:lang w:val="en-IN"/>
        </w:rPr>
        <w:t>Goutzamanis</w:t>
      </w:r>
      <w:proofErr w:type="spellEnd"/>
      <w:r w:rsidRPr="00027E45">
        <w:rPr>
          <w:rFonts w:ascii="Arial" w:hAnsi="Arial" w:cs="Arial"/>
          <w:sz w:val="22"/>
          <w:szCs w:val="22"/>
          <w:lang w:val="en-IN"/>
        </w:rPr>
        <w:t xml:space="preserve">, S., Lim, M.S. Block, K. </w:t>
      </w:r>
      <w:proofErr w:type="spellStart"/>
      <w:r w:rsidRPr="00027E45">
        <w:rPr>
          <w:rFonts w:ascii="Arial" w:hAnsi="Arial" w:cs="Arial"/>
          <w:sz w:val="22"/>
          <w:szCs w:val="22"/>
          <w:lang w:val="en-IN"/>
        </w:rPr>
        <w:t>Onsando</w:t>
      </w:r>
      <w:proofErr w:type="spellEnd"/>
      <w:r w:rsidRPr="00027E45">
        <w:rPr>
          <w:rFonts w:ascii="Arial" w:hAnsi="Arial" w:cs="Arial"/>
          <w:sz w:val="22"/>
          <w:szCs w:val="22"/>
          <w:lang w:val="en-IN"/>
        </w:rPr>
        <w:t xml:space="preserve">, G. Hellard, M. Higgs, P., Livingstone, C. and </w:t>
      </w:r>
      <w:proofErr w:type="spellStart"/>
      <w:r w:rsidRPr="00027E45">
        <w:rPr>
          <w:rFonts w:ascii="Arial" w:hAnsi="Arial" w:cs="Arial"/>
          <w:sz w:val="22"/>
          <w:szCs w:val="22"/>
          <w:lang w:val="en-IN"/>
        </w:rPr>
        <w:t>Horyniak</w:t>
      </w:r>
      <w:proofErr w:type="spellEnd"/>
      <w:r w:rsidRPr="00027E45">
        <w:rPr>
          <w:rFonts w:ascii="Arial" w:hAnsi="Arial" w:cs="Arial"/>
          <w:sz w:val="22"/>
          <w:szCs w:val="22"/>
          <w:lang w:val="en-IN"/>
        </w:rPr>
        <w:t xml:space="preserve">, D. (2023) ‘Stigma associated with alcohol and other drug use among people from migrant and ethnic minority groups: Results from a systematic review of qualitative studies’, </w:t>
      </w:r>
      <w:r w:rsidRPr="00027E45">
        <w:rPr>
          <w:rFonts w:ascii="Arial" w:hAnsi="Arial" w:cs="Arial"/>
          <w:i/>
          <w:iCs/>
          <w:sz w:val="22"/>
          <w:szCs w:val="22"/>
          <w:lang w:val="en-IN"/>
        </w:rPr>
        <w:t>Journal of Immigrant and Minority Health</w:t>
      </w:r>
      <w:r w:rsidRPr="00027E45">
        <w:rPr>
          <w:rFonts w:ascii="Arial" w:hAnsi="Arial" w:cs="Arial"/>
          <w:sz w:val="22"/>
          <w:szCs w:val="22"/>
          <w:lang w:val="en-IN"/>
        </w:rPr>
        <w:t>, 25(6), pp.1402-1425. </w:t>
      </w:r>
    </w:p>
    <w:p w14:paraId="6AFF08AF"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Gleeson, H., Herring, R. and Bayley, M. (2022) ‘Exploring gendered differences among Polish migrants in the UK in problematic drinking and pathways into and through alcohol treatment’, </w:t>
      </w:r>
      <w:r w:rsidRPr="00027E45">
        <w:rPr>
          <w:rFonts w:ascii="Arial" w:hAnsi="Arial" w:cs="Arial"/>
          <w:i/>
          <w:iCs/>
          <w:sz w:val="22"/>
          <w:szCs w:val="22"/>
          <w:lang w:val="en-IN"/>
        </w:rPr>
        <w:t>Journal of Ethnicity in Substance Abuse</w:t>
      </w:r>
      <w:r w:rsidRPr="00027E45">
        <w:rPr>
          <w:rFonts w:ascii="Arial" w:hAnsi="Arial" w:cs="Arial"/>
          <w:sz w:val="22"/>
          <w:szCs w:val="22"/>
          <w:lang w:val="en-IN"/>
        </w:rPr>
        <w:t>, 21(3), pp.1120-1140. </w:t>
      </w:r>
    </w:p>
    <w:p w14:paraId="54FD0C7F"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GOV.UK (2025) </w:t>
      </w:r>
      <w:r w:rsidRPr="00027E45">
        <w:rPr>
          <w:rFonts w:ascii="Arial" w:hAnsi="Arial" w:cs="Arial"/>
          <w:i/>
          <w:iCs/>
          <w:sz w:val="22"/>
          <w:szCs w:val="22"/>
          <w:lang w:val="en-IN"/>
        </w:rPr>
        <w:t xml:space="preserve">Adult substance misuse treatment statistics 2023 to 2024: report. </w:t>
      </w:r>
      <w:r w:rsidRPr="00027E45">
        <w:rPr>
          <w:rFonts w:ascii="Arial" w:hAnsi="Arial" w:cs="Arial"/>
          <w:sz w:val="22"/>
          <w:szCs w:val="22"/>
          <w:lang w:val="en-IN"/>
        </w:rPr>
        <w:t xml:space="preserve">Available from: </w:t>
      </w:r>
      <w:hyperlink r:id="rId8" w:history="1">
        <w:r w:rsidRPr="00027E45">
          <w:rPr>
            <w:rStyle w:val="Hyperlink"/>
            <w:rFonts w:ascii="Arial" w:hAnsi="Arial" w:cs="Arial"/>
            <w:sz w:val="22"/>
            <w:szCs w:val="22"/>
            <w:lang w:val="en-IN"/>
          </w:rPr>
          <w:t>https://www.gov.uk/government/statistics/substance-misuse-treatment-for-adults-statistics-2023-to-2024/adult-substance-misuse-treatment-statistics-2023-to-2024-report</w:t>
        </w:r>
      </w:hyperlink>
      <w:r w:rsidRPr="00027E45">
        <w:rPr>
          <w:rFonts w:ascii="Arial" w:hAnsi="Arial" w:cs="Arial"/>
          <w:sz w:val="22"/>
          <w:szCs w:val="22"/>
          <w:lang w:val="en-IN"/>
        </w:rPr>
        <w:t xml:space="preserve"> (Accessed 15 October 2025). </w:t>
      </w:r>
    </w:p>
    <w:p w14:paraId="0AD545C6"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McCall, J., Phillips, J.C., Estefan, A. and Caine, V., (2023) ‘The relationship between critical social theory and interpretive description in nursing research’, </w:t>
      </w:r>
      <w:r w:rsidRPr="00027E45">
        <w:rPr>
          <w:rFonts w:ascii="Arial" w:hAnsi="Arial" w:cs="Arial"/>
          <w:i/>
          <w:iCs/>
          <w:sz w:val="22"/>
          <w:szCs w:val="22"/>
          <w:lang w:val="en-IN"/>
        </w:rPr>
        <w:t>Global Qualitative Nursing Research</w:t>
      </w:r>
      <w:r w:rsidRPr="00027E45">
        <w:rPr>
          <w:rFonts w:ascii="Arial" w:hAnsi="Arial" w:cs="Arial"/>
          <w:sz w:val="22"/>
          <w:szCs w:val="22"/>
          <w:lang w:val="en-IN"/>
        </w:rPr>
        <w:t>,</w:t>
      </w:r>
      <w:r w:rsidRPr="00027E45">
        <w:rPr>
          <w:rFonts w:ascii="Arial" w:hAnsi="Arial" w:cs="Arial"/>
          <w:i/>
          <w:iCs/>
          <w:sz w:val="22"/>
          <w:szCs w:val="22"/>
          <w:lang w:val="en-IN"/>
        </w:rPr>
        <w:t xml:space="preserve"> </w:t>
      </w:r>
      <w:r w:rsidRPr="00027E45">
        <w:rPr>
          <w:rFonts w:ascii="Arial" w:hAnsi="Arial" w:cs="Arial"/>
          <w:sz w:val="22"/>
          <w:szCs w:val="22"/>
          <w:lang w:val="en-IN"/>
        </w:rPr>
        <w:t>10, pp. 1-8. </w:t>
      </w:r>
    </w:p>
    <w:p w14:paraId="32E2640B"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UK Parliament (2024) </w:t>
      </w:r>
      <w:r w:rsidRPr="00027E45">
        <w:rPr>
          <w:rFonts w:ascii="Arial" w:hAnsi="Arial" w:cs="Arial"/>
          <w:i/>
          <w:iCs/>
          <w:sz w:val="22"/>
          <w:szCs w:val="22"/>
          <w:lang w:val="en-IN"/>
        </w:rPr>
        <w:t xml:space="preserve">Reducing the harm from illegal drugs. </w:t>
      </w:r>
      <w:r w:rsidRPr="00027E45">
        <w:rPr>
          <w:rFonts w:ascii="Arial" w:hAnsi="Arial" w:cs="Arial"/>
          <w:sz w:val="22"/>
          <w:szCs w:val="22"/>
          <w:lang w:val="en-IN"/>
        </w:rPr>
        <w:t xml:space="preserve">Available from: </w:t>
      </w:r>
      <w:hyperlink r:id="rId9" w:history="1">
        <w:r w:rsidRPr="00027E45">
          <w:rPr>
            <w:rStyle w:val="Hyperlink"/>
            <w:rFonts w:ascii="Arial" w:hAnsi="Arial" w:cs="Arial"/>
            <w:sz w:val="22"/>
            <w:szCs w:val="22"/>
            <w:lang w:val="en-IN"/>
          </w:rPr>
          <w:t>https://publications.parliament.uk/pa/cm5804/cmselect/cmpubacc/72/report</w:t>
        </w:r>
      </w:hyperlink>
      <w:r w:rsidRPr="00027E45">
        <w:rPr>
          <w:rFonts w:ascii="Arial" w:hAnsi="Arial" w:cs="Arial"/>
          <w:sz w:val="22"/>
          <w:szCs w:val="22"/>
          <w:lang w:val="en-IN"/>
        </w:rPr>
        <w:t xml:space="preserve"> (Accessed 15 October 2025). </w:t>
      </w:r>
    </w:p>
    <w:p w14:paraId="3224CCCB" w14:textId="77777777" w:rsidR="00027E45" w:rsidRPr="00027E45" w:rsidRDefault="00027E45" w:rsidP="00027E45">
      <w:pPr>
        <w:spacing w:before="100" w:beforeAutospacing="1" w:after="100" w:afterAutospacing="1"/>
        <w:rPr>
          <w:rFonts w:ascii="Arial" w:hAnsi="Arial" w:cs="Arial"/>
          <w:sz w:val="22"/>
          <w:szCs w:val="22"/>
          <w:lang w:val="en-IN"/>
        </w:rPr>
      </w:pPr>
      <w:r w:rsidRPr="00027E45">
        <w:rPr>
          <w:rFonts w:ascii="Arial" w:hAnsi="Arial" w:cs="Arial"/>
          <w:sz w:val="22"/>
          <w:szCs w:val="22"/>
          <w:lang w:val="en-IN"/>
        </w:rPr>
        <w:t xml:space="preserve">van Selm, L., White, T.M., </w:t>
      </w:r>
      <w:proofErr w:type="spellStart"/>
      <w:r w:rsidRPr="00027E45">
        <w:rPr>
          <w:rFonts w:ascii="Arial" w:hAnsi="Arial" w:cs="Arial"/>
          <w:sz w:val="22"/>
          <w:szCs w:val="22"/>
          <w:lang w:val="en-IN"/>
        </w:rPr>
        <w:t>Picchio</w:t>
      </w:r>
      <w:proofErr w:type="spellEnd"/>
      <w:r w:rsidRPr="00027E45">
        <w:rPr>
          <w:rFonts w:ascii="Arial" w:hAnsi="Arial" w:cs="Arial"/>
          <w:sz w:val="22"/>
          <w:szCs w:val="22"/>
          <w:lang w:val="en-IN"/>
        </w:rPr>
        <w:t xml:space="preserve">, C.A., Requena-Méndez, A., Busz, M., Bakker, I., Romero, D., Gayo, R.P., Pouille, A., </w:t>
      </w:r>
      <w:proofErr w:type="spellStart"/>
      <w:r w:rsidRPr="00027E45">
        <w:rPr>
          <w:rFonts w:ascii="Arial" w:hAnsi="Arial" w:cs="Arial"/>
          <w:sz w:val="22"/>
          <w:szCs w:val="22"/>
          <w:lang w:val="en-IN"/>
        </w:rPr>
        <w:t>Vanderplasschen</w:t>
      </w:r>
      <w:proofErr w:type="spellEnd"/>
      <w:r w:rsidRPr="00027E45">
        <w:rPr>
          <w:rFonts w:ascii="Arial" w:hAnsi="Arial" w:cs="Arial"/>
          <w:sz w:val="22"/>
          <w:szCs w:val="22"/>
          <w:lang w:val="en-IN"/>
        </w:rPr>
        <w:t xml:space="preserve">, W. and Lazarus, J.V. (2023) ‘Drug use and access to drug dependency services for vulnerable migrants who use drugs in the European Union: consensus statements and recommendations from civil society experts in Europe’, </w:t>
      </w:r>
      <w:r w:rsidRPr="00027E45">
        <w:rPr>
          <w:rFonts w:ascii="Arial" w:hAnsi="Arial" w:cs="Arial"/>
          <w:i/>
          <w:iCs/>
          <w:sz w:val="22"/>
          <w:szCs w:val="22"/>
          <w:lang w:val="en-IN"/>
        </w:rPr>
        <w:t>International Journal of Drug Policy,</w:t>
      </w:r>
      <w:r w:rsidRPr="00027E45">
        <w:rPr>
          <w:rFonts w:ascii="Arial" w:hAnsi="Arial" w:cs="Arial"/>
          <w:sz w:val="22"/>
          <w:szCs w:val="22"/>
          <w:lang w:val="en-IN"/>
        </w:rPr>
        <w:t xml:space="preserve"> 118, pp. 1-8 </w:t>
      </w:r>
    </w:p>
    <w:p w14:paraId="6C044AA8" w14:textId="041429F0" w:rsidR="00027E45" w:rsidRPr="00027E45" w:rsidRDefault="00027E45" w:rsidP="00027E45">
      <w:pPr>
        <w:spacing w:before="100" w:beforeAutospacing="1" w:after="100" w:afterAutospacing="1"/>
        <w:jc w:val="left"/>
        <w:rPr>
          <w:rFonts w:ascii="Arial" w:hAnsi="Arial" w:cs="Arial"/>
          <w:sz w:val="22"/>
          <w:szCs w:val="22"/>
        </w:rPr>
      </w:pPr>
      <w:r w:rsidRPr="00027E45">
        <w:rPr>
          <w:rFonts w:ascii="Arial" w:hAnsi="Arial" w:cs="Arial"/>
          <w:sz w:val="22"/>
          <w:szCs w:val="22"/>
        </w:rPr>
        <w:br w:type="page"/>
      </w:r>
    </w:p>
    <w:p w14:paraId="0ED0117B" w14:textId="77777777" w:rsidR="00027E45" w:rsidRPr="00027E45" w:rsidRDefault="00027E45" w:rsidP="00027E45">
      <w:pPr>
        <w:pStyle w:val="Heading1"/>
        <w:spacing w:before="100" w:beforeAutospacing="1" w:after="100" w:afterAutospacing="1"/>
        <w:jc w:val="center"/>
        <w:rPr>
          <w:rFonts w:ascii="Arial" w:hAnsi="Arial" w:cs="Arial"/>
          <w:sz w:val="22"/>
          <w:szCs w:val="22"/>
        </w:rPr>
        <w:sectPr w:rsidR="00027E45" w:rsidRPr="00027E45">
          <w:footerReference w:type="default" r:id="rId10"/>
          <w:pgSz w:w="11906" w:h="16838"/>
          <w:pgMar w:top="1440" w:right="1440" w:bottom="1440" w:left="1440" w:header="708" w:footer="708" w:gutter="0"/>
          <w:cols w:space="708"/>
          <w:docGrid w:linePitch="360"/>
        </w:sectPr>
      </w:pPr>
    </w:p>
    <w:p w14:paraId="373DE139" w14:textId="5BF61362" w:rsidR="00027E45" w:rsidRPr="00027E45" w:rsidRDefault="00027E45" w:rsidP="00027E45">
      <w:pPr>
        <w:pStyle w:val="Heading1"/>
        <w:spacing w:before="100" w:beforeAutospacing="1" w:after="100" w:afterAutospacing="1"/>
        <w:jc w:val="center"/>
        <w:rPr>
          <w:rFonts w:ascii="Arial" w:hAnsi="Arial" w:cs="Arial"/>
          <w:sz w:val="22"/>
          <w:szCs w:val="22"/>
        </w:rPr>
      </w:pPr>
      <w:bookmarkStart w:id="10" w:name="_Toc221374500"/>
      <w:r w:rsidRPr="00027E45">
        <w:rPr>
          <w:rFonts w:ascii="Arial" w:hAnsi="Arial" w:cs="Arial"/>
          <w:sz w:val="22"/>
          <w:szCs w:val="22"/>
        </w:rPr>
        <w:lastRenderedPageBreak/>
        <w:t>Element 2: Poster</w:t>
      </w:r>
      <w:bookmarkEnd w:id="10"/>
    </w:p>
    <w:p w14:paraId="66813B0D" w14:textId="4A5D59A4" w:rsidR="00027E45" w:rsidRPr="00027E45" w:rsidRDefault="00027E45" w:rsidP="00027E45">
      <w:pPr>
        <w:spacing w:before="100" w:beforeAutospacing="1" w:after="100" w:afterAutospacing="1"/>
        <w:rPr>
          <w:rFonts w:ascii="Arial" w:hAnsi="Arial" w:cs="Arial"/>
          <w:sz w:val="22"/>
          <w:szCs w:val="22"/>
          <w:lang w:val="en-IN" w:bidi="ar-SA"/>
        </w:rPr>
      </w:pPr>
    </w:p>
    <w:p w14:paraId="06C33F16" w14:textId="23C31363"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drawing>
          <wp:inline distT="0" distB="0" distL="0" distR="0" wp14:anchorId="0E517850" wp14:editId="325F4006">
            <wp:extent cx="8815372" cy="4594860"/>
            <wp:effectExtent l="0" t="0" r="5080" b="0"/>
            <wp:docPr id="3780053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49674" cy="4612739"/>
                    </a:xfrm>
                    <a:prstGeom prst="rect">
                      <a:avLst/>
                    </a:prstGeom>
                    <a:noFill/>
                    <a:ln>
                      <a:noFill/>
                    </a:ln>
                  </pic:spPr>
                </pic:pic>
              </a:graphicData>
            </a:graphic>
          </wp:inline>
        </w:drawing>
      </w:r>
    </w:p>
    <w:p w14:paraId="5F3B57ED" w14:textId="77777777" w:rsidR="00027E45" w:rsidRPr="00027E45" w:rsidRDefault="00027E45" w:rsidP="00027E45">
      <w:pPr>
        <w:spacing w:before="100" w:beforeAutospacing="1" w:after="100" w:afterAutospacing="1"/>
        <w:rPr>
          <w:rFonts w:ascii="Arial" w:hAnsi="Arial" w:cs="Arial"/>
          <w:sz w:val="22"/>
          <w:szCs w:val="22"/>
          <w:lang w:bidi="ar-SA"/>
        </w:rPr>
        <w:sectPr w:rsidR="00027E45" w:rsidRPr="00027E45" w:rsidSect="00027E45">
          <w:pgSz w:w="16838" w:h="11906" w:orient="landscape"/>
          <w:pgMar w:top="1440" w:right="1440" w:bottom="1440" w:left="1440" w:header="709" w:footer="709" w:gutter="0"/>
          <w:cols w:space="708"/>
          <w:docGrid w:linePitch="360"/>
        </w:sectPr>
      </w:pPr>
    </w:p>
    <w:p w14:paraId="1A511277" w14:textId="3C624A44" w:rsidR="00027E45" w:rsidRPr="00027E45" w:rsidRDefault="00027E45" w:rsidP="00027E45">
      <w:pPr>
        <w:pStyle w:val="Heading1"/>
        <w:spacing w:before="100" w:beforeAutospacing="1" w:after="100" w:afterAutospacing="1"/>
        <w:jc w:val="center"/>
        <w:rPr>
          <w:rFonts w:ascii="Arial" w:hAnsi="Arial" w:cs="Arial"/>
          <w:sz w:val="22"/>
          <w:szCs w:val="22"/>
          <w:lang w:val="en-IN"/>
        </w:rPr>
      </w:pPr>
      <w:bookmarkStart w:id="11" w:name="_Toc221374501"/>
      <w:r w:rsidRPr="00027E45">
        <w:rPr>
          <w:rFonts w:ascii="Arial" w:hAnsi="Arial" w:cs="Arial"/>
          <w:sz w:val="22"/>
          <w:szCs w:val="22"/>
        </w:rPr>
        <w:lastRenderedPageBreak/>
        <w:t xml:space="preserve">Element 3: </w:t>
      </w:r>
      <w:r w:rsidRPr="00027E45">
        <w:rPr>
          <w:rFonts w:ascii="Arial" w:hAnsi="Arial" w:cs="Arial"/>
          <w:sz w:val="22"/>
          <w:szCs w:val="22"/>
          <w:lang w:val="en-IN"/>
        </w:rPr>
        <w:t>Dissertation document</w:t>
      </w:r>
      <w:bookmarkEnd w:id="11"/>
    </w:p>
    <w:p w14:paraId="7D50521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Abstract</w:t>
      </w:r>
    </w:p>
    <w:p w14:paraId="0D6B2D9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 xml:space="preserve">Purpose: </w:t>
      </w:r>
      <w:r w:rsidRPr="00027E45">
        <w:rPr>
          <w:rFonts w:ascii="Arial" w:hAnsi="Arial" w:cs="Arial"/>
          <w:sz w:val="22"/>
          <w:szCs w:val="22"/>
          <w:lang w:val="en-IN" w:bidi="ar-SA"/>
        </w:rPr>
        <w:t>The purpose of this study was to explore the significance of substance abuse among Eastern European migrants of 18-25 years who live in London and to recognise policy, service and research gaps.</w:t>
      </w:r>
    </w:p>
    <w:p w14:paraId="63C14B9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 xml:space="preserve">Background: </w:t>
      </w:r>
      <w:r w:rsidRPr="00027E45">
        <w:rPr>
          <w:rFonts w:ascii="Arial" w:hAnsi="Arial" w:cs="Arial"/>
          <w:sz w:val="22"/>
          <w:szCs w:val="22"/>
          <w:lang w:val="en-IN" w:bidi="ar-SA"/>
        </w:rPr>
        <w:t>Existing research highlighted considerable prevalence of substance abuse among the said population and highlighted both sociocultural and socioeconomic reasons behind it. Stigma, social marginalisation, disproportionate income and unemployment are highlighted as major factors that somewhat force the migrant youths to succumb to substance abuse. Existing literature also presents a sustained critique of the one-size-fits-all approaches of the existing intervention initiatives.   </w:t>
      </w:r>
    </w:p>
    <w:p w14:paraId="097D566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Methods:</w:t>
      </w:r>
      <w:r w:rsidRPr="00027E45">
        <w:rPr>
          <w:rFonts w:ascii="Arial" w:hAnsi="Arial" w:cs="Arial"/>
          <w:sz w:val="22"/>
          <w:szCs w:val="22"/>
          <w:lang w:val="en-IN" w:bidi="ar-SA"/>
        </w:rPr>
        <w:t xml:space="preserve"> This study used a secondary qualitative data collection method to collect information from credible online sources using the Google search engine, published within the last 6 years. The gathered information had further been analysed using a thematic data analysis method. </w:t>
      </w:r>
    </w:p>
    <w:p w14:paraId="2868FEB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 xml:space="preserve">Findings: </w:t>
      </w:r>
      <w:r w:rsidRPr="00027E45">
        <w:rPr>
          <w:rFonts w:ascii="Arial" w:hAnsi="Arial" w:cs="Arial"/>
          <w:sz w:val="22"/>
          <w:szCs w:val="22"/>
          <w:lang w:val="en-IN" w:bidi="ar-SA"/>
        </w:rPr>
        <w:t>Findings revealed that there is a decent prevalence of young migrants struggling with substance abuse or alcohol consumption in the UK. These can be second-generation or first-generation. Their interaction with the support system is obstructed by limited access to digital knowledge, information towards support, language barrier, health literacy, stigma associated with parents from seeking help, and fear of the family and community getting to know.</w:t>
      </w:r>
    </w:p>
    <w:p w14:paraId="5EFFB280" w14:textId="77777777" w:rsidR="00027E45" w:rsidRPr="00027E45" w:rsidRDefault="00027E45" w:rsidP="00027E45">
      <w:pPr>
        <w:spacing w:before="100" w:beforeAutospacing="1" w:after="100" w:afterAutospacing="1"/>
        <w:rPr>
          <w:rFonts w:ascii="Arial" w:hAnsi="Arial" w:cs="Arial"/>
          <w:sz w:val="22"/>
          <w:szCs w:val="22"/>
          <w:lang w:val="en-IN" w:bidi="ar-SA"/>
        </w:rPr>
      </w:pPr>
    </w:p>
    <w:p w14:paraId="650A6B52" w14:textId="77777777" w:rsidR="00027E45" w:rsidRPr="00027E45" w:rsidRDefault="00027E45" w:rsidP="00027E45">
      <w:pPr>
        <w:spacing w:before="100" w:beforeAutospacing="1" w:after="100" w:afterAutospacing="1"/>
        <w:jc w:val="left"/>
        <w:rPr>
          <w:rFonts w:ascii="Arial" w:hAnsi="Arial" w:cs="Arial"/>
          <w:b/>
          <w:bCs/>
          <w:sz w:val="22"/>
          <w:szCs w:val="22"/>
          <w:lang w:val="en-IN" w:bidi="ar-SA"/>
        </w:rPr>
      </w:pPr>
      <w:r w:rsidRPr="00027E45">
        <w:rPr>
          <w:rFonts w:ascii="Arial" w:hAnsi="Arial" w:cs="Arial"/>
          <w:b/>
          <w:bCs/>
          <w:sz w:val="22"/>
          <w:szCs w:val="22"/>
          <w:lang w:val="en-IN" w:bidi="ar-SA"/>
        </w:rPr>
        <w:br w:type="page"/>
      </w:r>
    </w:p>
    <w:p w14:paraId="126FCF6A" w14:textId="07B5D072"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lastRenderedPageBreak/>
        <w:t>Acknowledgement </w:t>
      </w:r>
    </w:p>
    <w:p w14:paraId="6674D31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I am thankful to all my tutors and supervisors for their relentless support that helped me to be on the right track while completing the undertaken research. I am also grateful to all my peers and family members for constantly motivating me. Without them, I might not have been able to accomplish such a colossal task by myself within the due time.</w:t>
      </w:r>
    </w:p>
    <w:p w14:paraId="2AD34BC3" w14:textId="491A0EC7" w:rsidR="00027E45" w:rsidRPr="00027E45" w:rsidRDefault="00027E45" w:rsidP="00027E45">
      <w:pPr>
        <w:spacing w:before="100" w:beforeAutospacing="1" w:after="100" w:afterAutospacing="1"/>
        <w:rPr>
          <w:rFonts w:ascii="Arial" w:hAnsi="Arial" w:cs="Arial"/>
          <w:sz w:val="22"/>
          <w:szCs w:val="22"/>
          <w:lang w:val="en-IN" w:bidi="ar-SA"/>
        </w:rPr>
      </w:pPr>
    </w:p>
    <w:p w14:paraId="2F391B8C" w14:textId="77777777" w:rsidR="00027E45" w:rsidRPr="00027E45" w:rsidRDefault="00027E45" w:rsidP="00027E45">
      <w:pPr>
        <w:spacing w:before="100" w:beforeAutospacing="1" w:after="100" w:afterAutospacing="1"/>
        <w:rPr>
          <w:rFonts w:ascii="Arial" w:hAnsi="Arial" w:cs="Arial"/>
          <w:sz w:val="22"/>
          <w:szCs w:val="22"/>
          <w:lang w:val="en-IN" w:bidi="ar-SA"/>
        </w:rPr>
      </w:pPr>
    </w:p>
    <w:p w14:paraId="0C5A6CFF" w14:textId="77777777" w:rsidR="00027E45" w:rsidRPr="00027E45" w:rsidRDefault="00027E45" w:rsidP="00027E45">
      <w:pPr>
        <w:spacing w:before="100" w:beforeAutospacing="1" w:after="100" w:afterAutospacing="1"/>
        <w:jc w:val="left"/>
        <w:rPr>
          <w:rFonts w:ascii="Arial" w:hAnsi="Arial" w:cs="Arial"/>
          <w:b/>
          <w:bCs/>
          <w:sz w:val="22"/>
          <w:szCs w:val="22"/>
          <w:lang w:val="en-IN" w:bidi="ar-SA"/>
        </w:rPr>
      </w:pPr>
      <w:r w:rsidRPr="00027E45">
        <w:rPr>
          <w:rFonts w:ascii="Arial" w:hAnsi="Arial" w:cs="Arial"/>
          <w:b/>
          <w:bCs/>
          <w:sz w:val="22"/>
          <w:szCs w:val="22"/>
          <w:lang w:val="en-IN" w:bidi="ar-SA"/>
        </w:rPr>
        <w:br w:type="page"/>
      </w:r>
    </w:p>
    <w:p w14:paraId="3CE283DB" w14:textId="5BC414AF"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lastRenderedPageBreak/>
        <w:t>Chapter 1: Introduction </w:t>
      </w:r>
    </w:p>
    <w:p w14:paraId="58E932A9"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1.1 Background and context </w:t>
      </w:r>
    </w:p>
    <w:p w14:paraId="05496FE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issue of substance abuse among younger adults remains a critical public health concern in the UK, specifically for people aged between 18-25 years. Compared to people of older age groups, the rate of drug use is significantly higher among young adults. The data published by ONS (2024) informed that individuals aged between 16-24 years are more likely to use drugs, with a reporting of 16.5% of any drug usage. While Class A drugs, like Cocaine and nitrous oxide, contribute to this prevalence significantly, Cannabis is the most used drug among this age group, as 13.8% of this population consumes it frequently (see Fig. 1.1) (ONS, 2024). </w:t>
      </w:r>
    </w:p>
    <w:p w14:paraId="6D561FEB" w14:textId="064BAE11"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sz w:val="22"/>
          <w:szCs w:val="22"/>
          <w:lang w:val="en-IN" w:bidi="ar-SA"/>
        </w:rPr>
        <w:drawing>
          <wp:inline distT="0" distB="0" distL="0" distR="0" wp14:anchorId="5C39A5CF" wp14:editId="1C07E315">
            <wp:extent cx="5730240" cy="3116580"/>
            <wp:effectExtent l="0" t="0" r="3810" b="7620"/>
            <wp:docPr id="5418417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3116580"/>
                    </a:xfrm>
                    <a:prstGeom prst="rect">
                      <a:avLst/>
                    </a:prstGeom>
                    <a:noFill/>
                    <a:ln>
                      <a:noFill/>
                    </a:ln>
                  </pic:spPr>
                </pic:pic>
              </a:graphicData>
            </a:graphic>
          </wp:inline>
        </w:drawing>
      </w:r>
    </w:p>
    <w:p w14:paraId="1C136D04" w14:textId="77777777"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b/>
          <w:bCs/>
          <w:sz w:val="22"/>
          <w:szCs w:val="22"/>
          <w:lang w:val="en-IN" w:bidi="ar-SA"/>
        </w:rPr>
        <w:t>Figure 1.1: The rate of drug use among 16-24-year-olds in the UK</w:t>
      </w:r>
    </w:p>
    <w:p w14:paraId="3049E2A2" w14:textId="206185B0"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sz w:val="22"/>
          <w:szCs w:val="22"/>
          <w:lang w:val="en-IN" w:bidi="ar-SA"/>
        </w:rPr>
        <w:t>(Source: ONS, 2024)</w:t>
      </w:r>
    </w:p>
    <w:p w14:paraId="1D8832D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In the case of migrant and minority communities that mostly include Eastern European populations living in London are highly likely to face distinct risks and protective factors associated with frequent substance use. As reported by EUDA (2023), initially a lower prevalence of drug use could have been found in the host nation, although for some migrants, prior practice of substance consumption requires continuous medical care to get rid of the habit. However, such continuity of medical attention often faces difficulties due to equivalent medications or communication issues. At the same time, the trauma of migration, along with poverty, unemployment, or lack of social support push migrant individuals to develop the habit </w:t>
      </w:r>
      <w:r w:rsidRPr="00027E45">
        <w:rPr>
          <w:rFonts w:ascii="Arial" w:hAnsi="Arial" w:cs="Arial"/>
          <w:sz w:val="22"/>
          <w:szCs w:val="22"/>
          <w:lang w:val="en-IN" w:bidi="ar-SA"/>
        </w:rPr>
        <w:lastRenderedPageBreak/>
        <w:t>of substance consumption (Salas-Wright and Schwartz, 2019). Considering the large and heterogeneous Eastern European migrant diaspora in London, it is essential to explore the factors that trigger the use of substances among 18-25-year-olds and the related harms to further improve public health interventions.   </w:t>
      </w:r>
    </w:p>
    <w:p w14:paraId="0D12978E"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1.2 Problem statement/rationale </w:t>
      </w:r>
    </w:p>
    <w:p w14:paraId="1D4CE05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As mentioned earlier, the growing prevalence of substance use among younger adults in London, as well as in the entire UK, highlights the persisting public health concerns. The data published by GOV.UK (2024), over 12418 young people in the UK came in contact with drug and alcohol services between 2022-2023, which is a 10% increase from the previous year, while the number of treatments has reduced by 13% compared to 2019-2020. The report also claims that young people who came for treatment were mostly addicted to Cannabis followed by alcohol. The vulnerabilities, however, are more impactful for girls compared to boys that often show self-harming behaviour or even sexual exploitation (GOV.UK, 2024). These quantitative findings, thus, highlight the growing prevalence of this issue that further adversely impacts the lived experiences of young individuals. </w:t>
      </w:r>
    </w:p>
    <w:p w14:paraId="2946C3C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Although there is sufficient information about substance abuse and its impacts on the whole UK population, the level of such misuse among the migrant subgroups in London, to be more specific, among Eastern Europeans living here, is highly limited. The study by Canfield et al. (2017) claimed that residing in another country often influences the patterns of substance use, and the migratory process remains highly impactful on such practices, such as alcoholism. On this note, while the Eastern European population represents a growing migrant diaspora in London, insufficient scholarly findings exist on how migration-related stressors and other external factors of the host country influence the pattern of substance use, alongside their related impacts on this community. In turn, developing targeted interventions becomes difficult. Considering it as a problem, this study focuses on exploring the critical factors that trigger the level of substance use among Eastern European individuals aged 18-25 years living in London.         </w:t>
      </w:r>
    </w:p>
    <w:p w14:paraId="1AD11A76"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1.3 Aim and objectives </w:t>
      </w:r>
    </w:p>
    <w:p w14:paraId="62F0D5B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aim of this study is to explore the significance of substance abuse among Eastern European migrants of 18-25 years who live in London and to recognise policy, service and research gaps.</w:t>
      </w:r>
    </w:p>
    <w:p w14:paraId="4C42C35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To achieve the aim, the following objectives have been considered,</w:t>
      </w:r>
    </w:p>
    <w:p w14:paraId="384BB00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       To recognise the impact of substance misuse and lived experiences among the old Eastern European migrants aged 18-25 years in London. </w:t>
      </w:r>
    </w:p>
    <w:p w14:paraId="4AABC4F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To examine how culture, migration, and structural factors affect the service engagement and substance use. </w:t>
      </w:r>
    </w:p>
    <w:p w14:paraId="3AB0372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To evaluate barriers, existing services and facilitators for this youth group. </w:t>
      </w:r>
    </w:p>
    <w:p w14:paraId="1541DEC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To recommend evidence-informed, culturally sensitive interventions, research directions and policies. </w:t>
      </w:r>
    </w:p>
    <w:p w14:paraId="1B0CC79F"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1.4 Research questions </w:t>
      </w:r>
    </w:p>
    <w:p w14:paraId="5452E93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primary research question of this study is as follows, </w:t>
      </w:r>
    </w:p>
    <w:p w14:paraId="0BCAB82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“How do migration experiences, cultural norms and structural obstacles transform the substance use impacts and help-seeking among Eastern European migrants of 18-25 years in London?”</w:t>
      </w:r>
    </w:p>
    <w:p w14:paraId="7B06A433"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1.5 Significance of the study </w:t>
      </w:r>
    </w:p>
    <w:p w14:paraId="48D62D0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This study holds greater significance in the contemporary context as it considers addressing a critical evidence gap related to the substance use of Eastern European population (18-25 years) living in the UK. While the rate of this population is growing in the UK, specifically in London, this migrant diaspora is highly underrepresented in the domain of public health research. By exploring socioeconomic and migration-related factors that trigger the prevalence of substance abuse among these individuals, the undertaken research can offer relevant insights related to the development of culturally sensitive and targeted intervention strategies. Thus, the generated findings can inform local health practitioners, regulatory bodies, policymakers, and even non-governmental organisations to improve access to proper healthcare and support for this population alongside developing early prevention strategies.  </w:t>
      </w:r>
    </w:p>
    <w:p w14:paraId="5B8AC3DB"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1.6 Dissertation structure</w:t>
      </w:r>
    </w:p>
    <w:p w14:paraId="75887F9F" w14:textId="087254DC"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drawing>
          <wp:inline distT="0" distB="0" distL="0" distR="0" wp14:anchorId="2A9ADE34" wp14:editId="4761A7E2">
            <wp:extent cx="3962400" cy="3299460"/>
            <wp:effectExtent l="0" t="0" r="0" b="0"/>
            <wp:docPr id="9243737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62400" cy="3299460"/>
                    </a:xfrm>
                    <a:prstGeom prst="rect">
                      <a:avLst/>
                    </a:prstGeom>
                    <a:noFill/>
                    <a:ln>
                      <a:noFill/>
                    </a:ln>
                  </pic:spPr>
                </pic:pic>
              </a:graphicData>
            </a:graphic>
          </wp:inline>
        </w:drawing>
      </w:r>
    </w:p>
    <w:p w14:paraId="1094F98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Figure 1.2 Dissertation structure</w:t>
      </w:r>
    </w:p>
    <w:p w14:paraId="3E34EF1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(Source: Self-made)</w:t>
      </w:r>
    </w:p>
    <w:p w14:paraId="0FC4BFF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This dissertation consists of five chapters in total. The first chapter is ‘Introduction’ that outlines the research context and problem, along with the aim and objectives to be achieved. ‘Background’ is the second chapter that critically reviews prior scholarly works related to the context to find the necessary evidence, and also the gap to direct further research. The following chapter is ‘Methodology’, which informs that the chosen methodological approaches and strategies used to carry out this research, along with their justifications. The fourth chapter is ‘Results and Discussions’ that presents the generated findings and cross-evaluates them against the reviewed scholarly studies. The final chapter is ‘Recommendations and Conclusion’ that sums up the overall findings of the research, along with including recommendations and scope for future research based on the identified limitations of the current study.     </w:t>
      </w:r>
    </w:p>
    <w:p w14:paraId="0A051736"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Chapter 2: Background</w:t>
      </w:r>
    </w:p>
    <w:p w14:paraId="00583A1A"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2.1 Chapter introduction </w:t>
      </w:r>
    </w:p>
    <w:p w14:paraId="53B9B5DC"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purpose of this chapter is to elaborate on the opinions, views, and arguments of the scholar in the literature body. This chapter discusses what major scholars have opined on the impact of substance abuse among the migrant youth in the UK and European regions in </w:t>
      </w:r>
      <w:r w:rsidRPr="00027E45">
        <w:rPr>
          <w:rFonts w:ascii="Arial" w:hAnsi="Arial" w:cs="Arial"/>
          <w:sz w:val="22"/>
          <w:szCs w:val="22"/>
          <w:lang w:val="en-IN" w:bidi="ar-SA"/>
        </w:rPr>
        <w:lastRenderedPageBreak/>
        <w:t>general. It also discusses some opinions on the levels of services they get, the social and cultural aspects, the socioeconomic conditions around seeking help, and a few barriers. This chapter also highlights theories and literature gap sections.</w:t>
      </w:r>
    </w:p>
    <w:p w14:paraId="16829E87"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2.2 Impact of substance abuse among the migrants aged 18-25 years in the UK</w:t>
      </w:r>
    </w:p>
    <w:p w14:paraId="2C086E9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There has been evidence in many different research studies indicating that substance abuse is commonly observed among migrant populations, which is linked to social exclusion, health barriers, cultural issues, and poor mental health. In a systematic literature review conducted by Phung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(2020), it was established that Eastern European migrants living in the UK are often found to engage in recreational drug abuse, along with consuming alcohol very frequently. This was typically high compared to their general UK counterparts. Such behaviour with respect to substance abuse is related to comorbid conditions, sexually transmitted diseases and other negative health outcomes, which increase substance dependence. On the other hand, in another systematic review study by van Dorp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(2020), it was found that even though the migrant young population tend to show specific risks against drug or alcohol misuse, the extent to which there might be a difference between natives and migrants is difficult to elaborate. This study finally revealed that the level of alcohol abuse tends to be much lower among the migrant populations than the native UK-born. The above two studies differ in their findings, but it can be said that familial protection and other cultural factors around alcohol/drugs may also indicate a lack of interest towards substance abuse in general.</w:t>
      </w:r>
    </w:p>
    <w:p w14:paraId="5A8796F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In another study conducted by Mathieu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(2025), it was revealed that the substance abuse and alcohol consumption levels are particularly high among the second-generation migrant population (youth). This was especially prominent among the young women who belonged to the second-generation segments living in the UK or Europe in general. This indicates that exposure to the host country’s cultural norms, aspects of acculturation, tends to influence the migrant population group in the UK.  On the other hand, a study around young migrant and refugee groups conducted by Aleer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(2023) and Saleh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(2023), it was found that substance abuse tends to have negative impacts on their education, mental health, economic situation and social engagement levels. This study indicated that the migrant populations who have little education, who also have no proper support from the network circles and who already have migration-related trauma develop greater chances to age with substance abuse and alcohol, which further declines their mental health, and increases stress levels.</w:t>
      </w:r>
    </w:p>
    <w:p w14:paraId="1EB80C4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Across the above studies, it has been noted that the UK shows different risk levels among the migrant population youth, where there have been opinions around drug abuse patterns showing mixed risk, while there are other studies where lower substance abuse, including </w:t>
      </w:r>
      <w:r w:rsidRPr="00027E45">
        <w:rPr>
          <w:rFonts w:ascii="Arial" w:hAnsi="Arial" w:cs="Arial"/>
          <w:sz w:val="22"/>
          <w:szCs w:val="22"/>
          <w:lang w:val="en-IN" w:bidi="ar-SA"/>
        </w:rPr>
        <w:lastRenderedPageBreak/>
        <w:t>alcohol, has been found. However, with the increasing risk of substance abuse among the populations, there have been chances of reduced engagement with support services, a high level of social exclusion and vulnerability and poor mental health conditions being associated.</w:t>
      </w:r>
    </w:p>
    <w:p w14:paraId="15BAD0C3"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2.3 Impacts of socio-cultural factors and structural factors on service engagement and substance use</w:t>
      </w:r>
    </w:p>
    <w:p w14:paraId="3AE796B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Among young migrant populations, substance abuse does not happen without a reason. There are both structural environmental and socio-cultural factors for development. These influenced the prevalence in their limited engagement with support services and also increased risk tendencies. Through a semi-structured interview process, the study by Sattar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(2024) revealed that substance abuse awareness is increasing among the South Asian and Muslim migrant groups in the UK; however, this is considered a taboo topic, and if they acknowledge being associated with substance abuse publicly, then it becomes an act associated with stigma and shame. Furthermore, due to limited internet access to support services and high-level misconceptions existing within the community, these individuals are unable to ask for help. Similarly, through an in-depth individual interview method, the authors Pettersen and </w:t>
      </w:r>
      <w:proofErr w:type="spellStart"/>
      <w:r w:rsidRPr="00027E45">
        <w:rPr>
          <w:rFonts w:ascii="Arial" w:hAnsi="Arial" w:cs="Arial"/>
          <w:sz w:val="22"/>
          <w:szCs w:val="22"/>
          <w:lang w:val="en-IN" w:bidi="ar-SA"/>
        </w:rPr>
        <w:t>Debesay</w:t>
      </w:r>
      <w:proofErr w:type="spellEnd"/>
      <w:r w:rsidRPr="00027E45">
        <w:rPr>
          <w:rFonts w:ascii="Arial" w:hAnsi="Arial" w:cs="Arial"/>
          <w:sz w:val="22"/>
          <w:szCs w:val="22"/>
          <w:lang w:val="en-IN" w:bidi="ar-SA"/>
        </w:rPr>
        <w:t xml:space="preserve"> (2023) also posited that with respect to the young migrant populations asking for help from the services, there is a high level of scepticism that exists with respect to racism and white system dominance. Moreover, there is also little access to information and a lack of overall knowledge on how to seek help and the related process. They also fear that upon seeking help, they may get excluded from their families. It means that the major problem towards accessibility to seek help is because of a lack of a culturally sensitive service system, where there is a lack of proper communication between the help seekers, their families and the system. Through systematic studies, Douglass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(2023) also expanded on the previous finding. They mentioned that if a society and the service system are filled with stigma drivers and facilitators, then it reduces the help-seeking behaviour among the young with respect to substance abuse (</w:t>
      </w:r>
      <w:proofErr w:type="spellStart"/>
      <w:r w:rsidRPr="00027E45">
        <w:rPr>
          <w:rFonts w:ascii="Arial" w:hAnsi="Arial" w:cs="Arial"/>
          <w:sz w:val="22"/>
          <w:szCs w:val="22"/>
          <w:lang w:val="en-IN" w:bidi="ar-SA"/>
        </w:rPr>
        <w:t>Byrow</w:t>
      </w:r>
      <w:proofErr w:type="spellEnd"/>
      <w:r w:rsidRPr="00027E45">
        <w:rPr>
          <w:rFonts w:ascii="Arial" w:hAnsi="Arial" w:cs="Arial"/>
          <w:sz w:val="22"/>
          <w:szCs w:val="22"/>
          <w:lang w:val="en-IN" w:bidi="ar-SA"/>
        </w:rPr>
        <w:t xml:space="preserve">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2019). These mainly exist in the form of social norms, legal barriers, stereotypes and precarious life experiences of the youth. Moreover, when the stigma tends to mix with intersectional aspects like race, gender, citizenship and ethnicity and these migrant young populations, it further reduces the chances to receive support driven by expectation of discriminatory behaviour, loneliness and isolation because of shame. </w:t>
      </w:r>
    </w:p>
    <w:p w14:paraId="618CD393"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2.4 Socio-economic barriers and other challenges around services and facilitators for the migrant group</w:t>
      </w:r>
    </w:p>
    <w:p w14:paraId="729D8EF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Scholars agree on the point that taking up and abusing substances by the young East European people in the UK is not a matter of choice. For example, Currier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(2021) </w:t>
      </w:r>
      <w:r w:rsidRPr="00027E45">
        <w:rPr>
          <w:rFonts w:ascii="Arial" w:hAnsi="Arial" w:cs="Arial"/>
          <w:sz w:val="22"/>
          <w:szCs w:val="22"/>
          <w:lang w:val="en-IN" w:bidi="ar-SA"/>
        </w:rPr>
        <w:lastRenderedPageBreak/>
        <w:t xml:space="preserve">highlight how this inclination toward substance abuse among the young people is a result of a complex web of factors including systemic inequalities, socioeconomic challenges and psychosocial stressors. For young migrants in general and East European young people in specific in the UK, substance abuse can be read as an inevitable consequence of social marginalisation and the precarious nature of them as labourers. In other words, though one can argue that abusing substances is an universal phenomenon for people in their adolescence (i.e., a transitional stage of life), the existing research has agreed upon the fact that it is not attributable solely to that. Scholars like Scott </w:t>
      </w:r>
      <w:r w:rsidRPr="00027E45">
        <w:rPr>
          <w:rFonts w:ascii="Arial" w:hAnsi="Arial" w:cs="Arial"/>
          <w:i/>
          <w:iCs/>
          <w:sz w:val="22"/>
          <w:szCs w:val="22"/>
          <w:lang w:val="en-IN" w:bidi="ar-SA"/>
        </w:rPr>
        <w:t>et al</w:t>
      </w:r>
      <w:r w:rsidRPr="00027E45">
        <w:rPr>
          <w:rFonts w:ascii="Arial" w:hAnsi="Arial" w:cs="Arial"/>
          <w:sz w:val="22"/>
          <w:szCs w:val="22"/>
          <w:lang w:val="en-IN" w:bidi="ar-SA"/>
        </w:rPr>
        <w:t>. (2022) highlight how their precarity as labourers is part of the socioeconomic challenges they encounter. It is highly likely that they are paid disproportionately and typically employed in sectors with low skills requirements (e.g., hospitality, cleaning, warehousing). Interestingly, these sectors - or the roles usually kept for the young East European people - are characterised by job insecurity (hence precarity), long working hours and limited scope for collective bargaining. In other words, the very nature of their employment causes emotional exhaustion where substances appear to them as the only escape. In other words, from the discussion up to now, it is evident how substance abuse of the said population can be read as the combined effect of systemic inequalities and socioeconomic challenges.  </w:t>
      </w:r>
    </w:p>
    <w:p w14:paraId="2183388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One must also highlight how these structural inequalities that this population is subjected to are not limited to employment but also extends to, for instance, housing insecurity (Hock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2023). Being low-paid and usually without any rental history, the young East European migrants are forced to accept substandard accommodations. Interestingly, it is likely that they take up substance abuse there out of peer pressure. Concerning other factors, scholars like Hasanović, </w:t>
      </w:r>
      <w:proofErr w:type="spellStart"/>
      <w:r w:rsidRPr="00027E45">
        <w:rPr>
          <w:rFonts w:ascii="Arial" w:hAnsi="Arial" w:cs="Arial"/>
          <w:sz w:val="22"/>
          <w:szCs w:val="22"/>
          <w:lang w:val="en-IN" w:bidi="ar-SA"/>
        </w:rPr>
        <w:t>Šmigalović</w:t>
      </w:r>
      <w:proofErr w:type="spellEnd"/>
      <w:r w:rsidRPr="00027E45">
        <w:rPr>
          <w:rFonts w:ascii="Arial" w:hAnsi="Arial" w:cs="Arial"/>
          <w:sz w:val="22"/>
          <w:szCs w:val="22"/>
          <w:lang w:val="en-IN" w:bidi="ar-SA"/>
        </w:rPr>
        <w:t xml:space="preserve"> and Fazlović (2020) have highlighted acculturation pressures. In other words, these young people from Eastern Europe usually find it difficult to integrate socially, which often results in psychosocial stressors. These stressors can be seen as among the main reasons that prompt this population to take up substances.    </w:t>
      </w:r>
    </w:p>
    <w:p w14:paraId="421D85B7"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2.5 Interventions taken towards substance abuse among migrant youths</w:t>
      </w:r>
    </w:p>
    <w:p w14:paraId="019F871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It is highlighted in the previous segment that there are individual, systemic and community-level factors that influence the tendency of substance abuse among East European migrant youths. Hence, it is unsurprising that interventions to prevent substance abuse in the UK will have similar dimensions. Nevertheless, a considerable number of scholars stress the relative ineffectiveness of the existing intervention programs in the UK. Adopting a holistic view, for example, scholars like Gleeson, Duke and Thom (2019) highlight how this ineffectiveness can be attributed to barriers at multiple levels including structural, cultural and linguistic barriers. It </w:t>
      </w:r>
      <w:r w:rsidRPr="00027E45">
        <w:rPr>
          <w:rFonts w:ascii="Arial" w:hAnsi="Arial" w:cs="Arial"/>
          <w:sz w:val="22"/>
          <w:szCs w:val="22"/>
          <w:lang w:val="en-IN" w:bidi="ar-SA"/>
        </w:rPr>
        <w:lastRenderedPageBreak/>
        <w:t xml:space="preserve">has been noted by some that the interventions in the individual-level often resort to tested therapeutic models like Cognitive Behavioural Therapy (CBT). CBT is apparently an ideal tool in this regard, as it strives for early detection of symptoms that eventually results in substance abuse, especially among young migrants. However, scholars like </w:t>
      </w:r>
      <w:proofErr w:type="spellStart"/>
      <w:r w:rsidRPr="00027E45">
        <w:rPr>
          <w:rFonts w:ascii="Arial" w:hAnsi="Arial" w:cs="Arial"/>
          <w:sz w:val="22"/>
          <w:szCs w:val="22"/>
          <w:lang w:val="en-IN" w:bidi="ar-SA"/>
        </w:rPr>
        <w:t>Kunorubwe</w:t>
      </w:r>
      <w:proofErr w:type="spellEnd"/>
      <w:r w:rsidRPr="00027E45">
        <w:rPr>
          <w:rFonts w:ascii="Arial" w:hAnsi="Arial" w:cs="Arial"/>
          <w:sz w:val="22"/>
          <w:szCs w:val="22"/>
          <w:lang w:val="en-IN" w:bidi="ar-SA"/>
        </w:rPr>
        <w:t xml:space="preserve"> (2023) contested the effectiveness of this model by citing how, in the first place, its effectiveness is a function of delivery that is culturally adapted. In other words, the reach of the CBT-based intervention programs is limited among the East European migrant youth essentially due to various cultural barriers. More importantly, there were criticisms regarding whether these standardised models like CBT are at all capable of addressing the specific problems (e.g., pressure of acculturation that is unique to them) of the migrant youth from East Europe residing in the UK (Magill, Kiluk and Ray, 2023). Contrarily, the community-level interventions turn out to be more effective, especially because they are customised culturally. According to Hafford-</w:t>
      </w:r>
      <w:proofErr w:type="spellStart"/>
      <w:r w:rsidRPr="00027E45">
        <w:rPr>
          <w:rFonts w:ascii="Arial" w:hAnsi="Arial" w:cs="Arial"/>
          <w:sz w:val="22"/>
          <w:szCs w:val="22"/>
          <w:lang w:val="en-IN" w:bidi="ar-SA"/>
        </w:rPr>
        <w:t>Letchfield</w:t>
      </w:r>
      <w:proofErr w:type="spellEnd"/>
      <w:r w:rsidRPr="00027E45">
        <w:rPr>
          <w:rFonts w:ascii="Arial" w:hAnsi="Arial" w:cs="Arial"/>
          <w:sz w:val="22"/>
          <w:szCs w:val="22"/>
          <w:lang w:val="en-IN" w:bidi="ar-SA"/>
        </w:rPr>
        <w:t xml:space="preserve"> </w:t>
      </w:r>
      <w:r w:rsidRPr="00027E45">
        <w:rPr>
          <w:rFonts w:ascii="Arial" w:hAnsi="Arial" w:cs="Arial"/>
          <w:i/>
          <w:iCs/>
          <w:sz w:val="22"/>
          <w:szCs w:val="22"/>
          <w:lang w:val="en-IN" w:bidi="ar-SA"/>
        </w:rPr>
        <w:t>et al</w:t>
      </w:r>
      <w:r w:rsidRPr="00027E45">
        <w:rPr>
          <w:rFonts w:ascii="Arial" w:hAnsi="Arial" w:cs="Arial"/>
          <w:sz w:val="22"/>
          <w:szCs w:val="22"/>
          <w:lang w:val="en-IN" w:bidi="ar-SA"/>
        </w:rPr>
        <w:t>. (2020), cultural adaptability of the community-led programs are more likely to be successful, as they, along with respecting the specific cultural norms, also offer language choices and try to understand the specificities of migrant experiences. In other words, one must stress here how making the intervention programs culturally sensitive is crucial to gain trust of these youths and consequently increase outreach. Interestingly, beyond community organisations, these intervention programs also target institutions like schools or colleges to focus on developing life skills (e.g., awareness building) that make them inherently resilient to substance abuse. Nevertheless, as scholars like Melendez</w:t>
      </w:r>
      <w:r w:rsidRPr="00027E45">
        <w:rPr>
          <w:rFonts w:ascii="Cambria Math" w:hAnsi="Cambria Math" w:cs="Cambria Math"/>
          <w:sz w:val="22"/>
          <w:szCs w:val="22"/>
          <w:lang w:val="en-IN" w:bidi="ar-SA"/>
        </w:rPr>
        <w:t>‐</w:t>
      </w:r>
      <w:r w:rsidRPr="00027E45">
        <w:rPr>
          <w:rFonts w:ascii="Arial" w:hAnsi="Arial" w:cs="Arial"/>
          <w:sz w:val="22"/>
          <w:szCs w:val="22"/>
          <w:lang w:val="en-IN" w:bidi="ar-SA"/>
        </w:rPr>
        <w:t xml:space="preserve">Torres </w:t>
      </w:r>
      <w:r w:rsidRPr="00027E45">
        <w:rPr>
          <w:rFonts w:ascii="Arial" w:hAnsi="Arial" w:cs="Arial"/>
          <w:i/>
          <w:iCs/>
          <w:sz w:val="22"/>
          <w:szCs w:val="22"/>
          <w:lang w:val="en-IN" w:bidi="ar-SA"/>
        </w:rPr>
        <w:t>et al</w:t>
      </w:r>
      <w:r w:rsidRPr="00027E45">
        <w:rPr>
          <w:rFonts w:ascii="Arial" w:hAnsi="Arial" w:cs="Arial"/>
          <w:sz w:val="22"/>
          <w:szCs w:val="22"/>
          <w:lang w:val="en-IN" w:bidi="ar-SA"/>
        </w:rPr>
        <w:t>. (2018) show, the major problem of these education-oriented programs is that they cannot reach the underrepresented segment of the migrant population, often referred to as Not in Education, Employment or Training (NEET). In a nutshell, it can be said from the insights of existing research that, though the UK has planned interventions at various levels to combat substance abuse among the migrant youths, factors like cultural adaptability or universal access are to be adequately addressed for them to be truly effective.    </w:t>
      </w:r>
    </w:p>
    <w:p w14:paraId="600D3286"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2.6 Theories</w:t>
      </w:r>
    </w:p>
    <w:p w14:paraId="755823F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As this research focuses on substance abuse among young East European migrants, the </w:t>
      </w:r>
      <w:r w:rsidRPr="00027E45">
        <w:rPr>
          <w:rFonts w:ascii="Arial" w:hAnsi="Arial" w:cs="Arial"/>
          <w:i/>
          <w:iCs/>
          <w:sz w:val="22"/>
          <w:szCs w:val="22"/>
          <w:lang w:val="en-IN" w:bidi="ar-SA"/>
        </w:rPr>
        <w:t xml:space="preserve">Ecological Systems Theory </w:t>
      </w:r>
      <w:r w:rsidRPr="00027E45">
        <w:rPr>
          <w:rFonts w:ascii="Arial" w:hAnsi="Arial" w:cs="Arial"/>
          <w:sz w:val="22"/>
          <w:szCs w:val="22"/>
          <w:lang w:val="en-IN" w:bidi="ar-SA"/>
        </w:rPr>
        <w:t xml:space="preserve">proposed by Bronfenbrenner appears suitable here. From this lens, as </w:t>
      </w:r>
      <w:proofErr w:type="spellStart"/>
      <w:r w:rsidRPr="00027E45">
        <w:rPr>
          <w:rFonts w:ascii="Arial" w:hAnsi="Arial" w:cs="Arial"/>
          <w:sz w:val="22"/>
          <w:szCs w:val="22"/>
          <w:lang w:val="en-IN" w:bidi="ar-SA"/>
        </w:rPr>
        <w:t>Aytur</w:t>
      </w:r>
      <w:proofErr w:type="spellEnd"/>
      <w:r w:rsidRPr="00027E45">
        <w:rPr>
          <w:rFonts w:ascii="Arial" w:hAnsi="Arial" w:cs="Arial"/>
          <w:sz w:val="22"/>
          <w:szCs w:val="22"/>
          <w:lang w:val="en-IN" w:bidi="ar-SA"/>
        </w:rPr>
        <w:t xml:space="preserve"> </w:t>
      </w:r>
      <w:r w:rsidRPr="00027E45">
        <w:rPr>
          <w:rFonts w:ascii="Arial" w:hAnsi="Arial" w:cs="Arial"/>
          <w:i/>
          <w:iCs/>
          <w:sz w:val="22"/>
          <w:szCs w:val="22"/>
          <w:lang w:val="en-IN" w:bidi="ar-SA"/>
        </w:rPr>
        <w:t>et al</w:t>
      </w:r>
      <w:r w:rsidRPr="00027E45">
        <w:rPr>
          <w:rFonts w:ascii="Arial" w:hAnsi="Arial" w:cs="Arial"/>
          <w:sz w:val="22"/>
          <w:szCs w:val="22"/>
          <w:lang w:val="en-IN" w:bidi="ar-SA"/>
        </w:rPr>
        <w:t>. (2022) have argued, substance abuse is a result of the interactions between different environmental factors, as this research also tried to argue. As briefly hinted above, beyond personal factors, these youths’ tendency to abuse substances is shaped by various microsystemic (e.g., peer pressure), mesosystemic (e.g., housing crisis), exosystemic (e.g., precarity in the labour market) and macrosystemic (e.g., marginalisation) factors.  </w:t>
      </w:r>
    </w:p>
    <w:p w14:paraId="51694FAA" w14:textId="27D16C05"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drawing>
          <wp:inline distT="0" distB="0" distL="0" distR="0" wp14:anchorId="124B28DD" wp14:editId="32C85D86">
            <wp:extent cx="2468880" cy="2202180"/>
            <wp:effectExtent l="0" t="0" r="7620" b="7620"/>
            <wp:docPr id="4085878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68880" cy="2202180"/>
                    </a:xfrm>
                    <a:prstGeom prst="rect">
                      <a:avLst/>
                    </a:prstGeom>
                    <a:noFill/>
                    <a:ln>
                      <a:noFill/>
                    </a:ln>
                  </pic:spPr>
                </pic:pic>
              </a:graphicData>
            </a:graphic>
          </wp:inline>
        </w:drawing>
      </w:r>
    </w:p>
    <w:p w14:paraId="502213C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Figure 2.1: Bronfenbrenner’s Ecological Systems Theory</w:t>
      </w:r>
    </w:p>
    <w:p w14:paraId="465DD67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(Source: Guy-Evans, 2025)</w:t>
      </w:r>
    </w:p>
    <w:p w14:paraId="18FA7CC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It is already highlighted above that the pressure for acculturation translates into psychological stressors among the migrant youths from East Europe in the UK. This can be reinforced through the </w:t>
      </w:r>
      <w:r w:rsidRPr="00027E45">
        <w:rPr>
          <w:rFonts w:ascii="Arial" w:hAnsi="Arial" w:cs="Arial"/>
          <w:i/>
          <w:iCs/>
          <w:sz w:val="22"/>
          <w:szCs w:val="22"/>
          <w:lang w:val="en-IN" w:bidi="ar-SA"/>
        </w:rPr>
        <w:t xml:space="preserve">Acculturation Stress Theory </w:t>
      </w:r>
      <w:r w:rsidRPr="00027E45">
        <w:rPr>
          <w:rFonts w:ascii="Arial" w:hAnsi="Arial" w:cs="Arial"/>
          <w:sz w:val="22"/>
          <w:szCs w:val="22"/>
          <w:lang w:val="en-IN" w:bidi="ar-SA"/>
        </w:rPr>
        <w:t>that principally argues how the struggle to adapt to a new cultural environment result in psychological stress (Lau and Shaffer, 2023). This theory is also suitable in this regard, given its ability to address other crucial factors including language barriers and identity conflicts arising from the struggle to negotiate home and host country cultures. </w:t>
      </w:r>
    </w:p>
    <w:p w14:paraId="5C910846"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2.7 Literature gaps</w:t>
      </w:r>
    </w:p>
    <w:p w14:paraId="42F7518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Though scholars like Gleeson, Duke and Thom (2019) and Magill, Kiluk and Ray (2023) significantly contributed to the academic research regarding substance abuse in the UK, the existing literature conspicuously lacks references to youth of East European origins. Though broad categories like ‘EU Migrant’ have been referred to, the suitability of this study lies essentially on the focus on the underrepresented segment of the migrant population living in the UK. Furthermore, the existing studies, notably one by </w:t>
      </w:r>
      <w:proofErr w:type="spellStart"/>
      <w:r w:rsidRPr="00027E45">
        <w:rPr>
          <w:rFonts w:ascii="Arial" w:hAnsi="Arial" w:cs="Arial"/>
          <w:sz w:val="22"/>
          <w:szCs w:val="22"/>
          <w:lang w:val="en-IN" w:bidi="ar-SA"/>
        </w:rPr>
        <w:t>Aytur</w:t>
      </w:r>
      <w:proofErr w:type="spellEnd"/>
      <w:r w:rsidRPr="00027E45">
        <w:rPr>
          <w:rFonts w:ascii="Arial" w:hAnsi="Arial" w:cs="Arial"/>
          <w:sz w:val="22"/>
          <w:szCs w:val="22"/>
          <w:lang w:val="en-IN" w:bidi="ar-SA"/>
        </w:rPr>
        <w:t xml:space="preserve"> </w:t>
      </w:r>
      <w:r w:rsidRPr="00027E45">
        <w:rPr>
          <w:rFonts w:ascii="Arial" w:hAnsi="Arial" w:cs="Arial"/>
          <w:i/>
          <w:iCs/>
          <w:sz w:val="22"/>
          <w:szCs w:val="22"/>
          <w:lang w:val="en-IN" w:bidi="ar-SA"/>
        </w:rPr>
        <w:t>et al</w:t>
      </w:r>
      <w:r w:rsidRPr="00027E45">
        <w:rPr>
          <w:rFonts w:ascii="Arial" w:hAnsi="Arial" w:cs="Arial"/>
          <w:sz w:val="22"/>
          <w:szCs w:val="22"/>
          <w:lang w:val="en-IN" w:bidi="ar-SA"/>
        </w:rPr>
        <w:t>. (2022), focuses on adolescents. In other words, most of the studies in the existing research somewhat ignored the transitional life stage (i.e., 18-25) when the youths are most vulnerable to substance abuse. Hence, focusing on this stage, this research wishes to fulfil the gap in existing research.  </w:t>
      </w:r>
    </w:p>
    <w:p w14:paraId="25006C2F"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2.8 Chapter summary</w:t>
      </w:r>
    </w:p>
    <w:p w14:paraId="1C43186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It can be summarised that the Eastern European migrants in the UK tend to have a high prevalence of substance abuse risk and alcohol abuse as well. They are mostly driven by recreation, hard work, and social exclusion. However, there are migrant groups which do not engage in such behaviour due to cultural norms. Barriers for help seeking behaviour can be social stigma, stereotypes, lack of culturally sensitive support systems. </w:t>
      </w:r>
    </w:p>
    <w:p w14:paraId="550AD16C"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Chapter 3: Methods </w:t>
      </w:r>
    </w:p>
    <w:p w14:paraId="1B10FF11"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3.1 Introduction </w:t>
      </w:r>
    </w:p>
    <w:p w14:paraId="7615F90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third chapter of this research outlines the methodological structure that was followed to carry out diverse activities throughout the study. In line with the research onion developed by Saunders et al. (2019), this study selected specific methodological elements that helped attain the established aim. This chapter presents the selected methodological aspects along with their justifications to demonstrate how they are suitable to meet the current research requirements. </w:t>
      </w:r>
    </w:p>
    <w:p w14:paraId="44006BAC" w14:textId="6CABDB69"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sz w:val="22"/>
          <w:szCs w:val="22"/>
          <w:lang w:val="en-IN" w:bidi="ar-SA"/>
        </w:rPr>
        <w:drawing>
          <wp:inline distT="0" distB="0" distL="0" distR="0" wp14:anchorId="686B740F" wp14:editId="6720B425">
            <wp:extent cx="4427220" cy="3177540"/>
            <wp:effectExtent l="0" t="0" r="0" b="3810"/>
            <wp:docPr id="91922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27220" cy="3177540"/>
                    </a:xfrm>
                    <a:prstGeom prst="rect">
                      <a:avLst/>
                    </a:prstGeom>
                    <a:noFill/>
                    <a:ln>
                      <a:noFill/>
                    </a:ln>
                  </pic:spPr>
                </pic:pic>
              </a:graphicData>
            </a:graphic>
          </wp:inline>
        </w:drawing>
      </w:r>
    </w:p>
    <w:p w14:paraId="5F2F7A60" w14:textId="3F5A4D13"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b/>
          <w:bCs/>
          <w:sz w:val="22"/>
          <w:szCs w:val="22"/>
          <w:lang w:val="en-IN" w:bidi="ar-SA"/>
        </w:rPr>
        <w:t>Figure 3.1: Research onion</w:t>
      </w:r>
    </w:p>
    <w:p w14:paraId="3B76AD5C" w14:textId="77777777"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sz w:val="22"/>
          <w:szCs w:val="22"/>
          <w:lang w:val="en-IN" w:bidi="ar-SA"/>
        </w:rPr>
        <w:t>(Source: Saunders et al., 2019)</w:t>
      </w:r>
    </w:p>
    <w:p w14:paraId="52E57F42"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3.2 Research philosophy </w:t>
      </w:r>
    </w:p>
    <w:p w14:paraId="494FE2D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While research philosophy outlines the values or knowledge that guide a researcher to conduct a study, the undertaken research considered the interpretivism philosophy. As Melnikovas (2018) claimed, an interpretivist philosophical approach considers reality as a socially constructed phenomenon that changes over time. Similarly, in this study, substance abuse of 18-25-year-old Eastern European individuals living in London is such a social reality that demands a detailed exploration of how diverse factors trigger this behaviour, along with their impacts on lived experiences. Compared to positivism, which is also extensively used in the domain of social science to gain specific and measurable outcomes, this study, with the aim to explore the significance of substance use among the aforementioned population in detail, found interpretivism to be highly suitable.       </w:t>
      </w:r>
    </w:p>
    <w:p w14:paraId="18BE201C"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3.3 Research approach</w:t>
      </w:r>
    </w:p>
    <w:p w14:paraId="50E2890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Research approach outlines the overall strategy to execute a research work. Among the three approaches, this study used the inductive approach to develop a general conclusion about a context by gaining specific information (Liu, 2016). In this research, thus, the inductive approach was highly useful in gathering certain information through specific observation related to the contributing factors, challenges, and impacts of substance use among Eastern European individuals of 18-25 years who live in London. Eventually, the study develops a general conclusion about the overall significance of substance use in this population, driven by the existing policy and service gaps.    </w:t>
      </w:r>
    </w:p>
    <w:p w14:paraId="1DAF5D29"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3.4 Research strategy </w:t>
      </w:r>
    </w:p>
    <w:p w14:paraId="6B95A74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Research strategy refers to the use of various approaches and methods that help conduct a systematic investigation of a specific context (Sahay, 2016). Following this, the strategy used for this research is desk-based, which, as per Bassot (2022), allows carrying out a web-based investigation using the internet. Similarly, this research used a desk-based strategy to gather information from online sources related to the chosen context strictly. As this method is advantageous to conduct an in-depth investigation from the place of the researcher only, considering time limitations, this strategy was also beneficial.  </w:t>
      </w:r>
    </w:p>
    <w:p w14:paraId="673FA0F7"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3.5 Research choice </w:t>
      </w:r>
    </w:p>
    <w:p w14:paraId="0F0F10E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Research choice or methodological choice refers to the overall approach that is sought to collect and analyse data to achieve the established research objectives (</w:t>
      </w:r>
      <w:proofErr w:type="spellStart"/>
      <w:r w:rsidRPr="00027E45">
        <w:rPr>
          <w:rFonts w:ascii="Arial" w:hAnsi="Arial" w:cs="Arial"/>
          <w:sz w:val="22"/>
          <w:szCs w:val="22"/>
          <w:lang w:val="en-IN" w:bidi="ar-SA"/>
        </w:rPr>
        <w:t>Mesek</w:t>
      </w:r>
      <w:proofErr w:type="spellEnd"/>
      <w:r w:rsidRPr="00027E45">
        <w:rPr>
          <w:rFonts w:ascii="Arial" w:hAnsi="Arial" w:cs="Arial"/>
          <w:sz w:val="22"/>
          <w:szCs w:val="22"/>
          <w:lang w:val="en-IN" w:bidi="ar-SA"/>
        </w:rPr>
        <w:t xml:space="preserve">, 2023). In the discourse of social science, usually, three distinct types of choice are available, known as mono-method, mixed-method, and multi-method. These methodological choices offer a </w:t>
      </w:r>
      <w:r w:rsidRPr="00027E45">
        <w:rPr>
          <w:rFonts w:ascii="Arial" w:hAnsi="Arial" w:cs="Arial"/>
          <w:sz w:val="22"/>
          <w:szCs w:val="22"/>
          <w:lang w:val="en-IN" w:bidi="ar-SA"/>
        </w:rPr>
        <w:lastRenderedPageBreak/>
        <w:t>selection between the collection of quantitative and qualitative data (Nanthagopan, 2021). In line with the research onion, this study considered using a mono-method approach that focuses on collecting a specific type of data, either qualitative or quantitative, based on the requirements of the study. As it was required to critically explore the significance of substance use for the Eastern European individuals of 18-25 years living in London, the mono-qualitative method was used. It eventually helped gather detailed information about this population, along with the challenges or issues they face while seeking help to understand the existing service or policy gaps in the UK.     </w:t>
      </w:r>
    </w:p>
    <w:p w14:paraId="50083A58"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3.6 Time horizon </w:t>
      </w:r>
    </w:p>
    <w:p w14:paraId="66B3264C"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In the research onion context, the time horizon considers the specific period over which the data required for a study is collected. Usually, there are two time horizons, i.e., cross-sectional and longitudinal (Cohen et al., 2017). For this research, a cross-sectional time horizon was chosen to gather data within the last 6 years, focusing on the chosen context of substance abuse among young Eastern European people living in London. This strategy further ensured the gathered data remain convenient and concurrent enough to resolve the identified research problem.      </w:t>
      </w:r>
    </w:p>
    <w:p w14:paraId="01D113C5"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3.7 Data collection and analysis technique </w:t>
      </w:r>
    </w:p>
    <w:p w14:paraId="4CF01E1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In consideration of the chosen methodologies, this study prioritised a secondary method of qualitative data collection. As Cheong et al. (2023) claimed, the secondary data collection method considers gathering information from already existing sources to investigate a problem in detail from diverse perspectives. Following the similar strategy of the aforementioned authors, this research focused on gathering secondary evidence from online sources by using Google as the search engine. As there is very limited scholarly data about substance abuse and its significance, specifically on Eastern European individuals aged between 18-25 years and living in London, web-based evidence is the only solution to gather sufficient information. Thus, this study collected information from credible and publicly accessible online sources, such as government documents, case study reports, news articles, and even data published by third parties, like non-governmental organisations (NGOs). By using a purposive sampling strategy, this study set the inclusion-exclusion criteria for selecting the sources. Following it, sources published within the last 6 years and solely related to substance abuse of the selected population were considered for collecting data. Paid sources, along with irrelevant ones, such as blogs and Wikipedia, were excluded as well, considering the possibility of including biased or incomplete data. </w:t>
      </w:r>
    </w:p>
    <w:p w14:paraId="32BF5B0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The gathered qualitative information was further analysed using the thematic method. Following the six-step framework of thematic analysis by Braun and Clarke, first, a data familiarisation was done to find relevant keywords (Ahmed et al., 2025). Later, the keywords were grouped based on their recurrent patterns and similarities to determine key themes, and later they were named in alignment with the established objectives. The gathered datasets had been further placed based on their recurring similarities under each theme to ensure they were interpreted accurately without mismanagement of information.       </w:t>
      </w:r>
    </w:p>
    <w:p w14:paraId="72142A5B"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3.8 Ethical considerations</w:t>
      </w:r>
    </w:p>
    <w:p w14:paraId="0AA9C6D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As this study did not consider collecting primary data from human participants, ethical considerations related to anonymity and confidentiality were nullified here. Still, it maintained academic and ethical integrity by acknowledging all sources from which information had been sought. While presenting the findings, this research also ensured that no falsification or fabrication of information was made, which stood for the authenticity and credibility of the outcomes produced.   </w:t>
      </w:r>
    </w:p>
    <w:p w14:paraId="2E3E0198"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3.9 Summary</w:t>
      </w:r>
    </w:p>
    <w:p w14:paraId="1BCFF5B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This chapter outlines how the entire research work was done based on the interpretivism philosophy and an inductive approach that further guided the process of secondary qualitative data collection. To gather sufficient information, this study prioritised selecting publicly accessible online sources, and later, the gathered information was analysed using a thematic technique. Notably, all academic and ethical integrity-related requirements were met by acknowledging all sources and making no tampering of the collected evidence while producing the findings that can be found in the following chapter.   </w:t>
      </w:r>
    </w:p>
    <w:p w14:paraId="1413457B" w14:textId="77777777" w:rsidR="00027E45" w:rsidRPr="00027E45" w:rsidRDefault="00027E45" w:rsidP="00027E45">
      <w:pPr>
        <w:spacing w:before="100" w:beforeAutospacing="1" w:after="100" w:afterAutospacing="1"/>
        <w:rPr>
          <w:rFonts w:ascii="Arial" w:hAnsi="Arial" w:cs="Arial"/>
          <w:sz w:val="22"/>
          <w:szCs w:val="22"/>
          <w:lang w:val="en-IN" w:bidi="ar-SA"/>
        </w:rPr>
      </w:pPr>
    </w:p>
    <w:p w14:paraId="425D2FCA"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Chapter 4: Results and Discussion</w:t>
      </w:r>
    </w:p>
    <w:p w14:paraId="0BFF2364"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4.1 Results</w:t>
      </w:r>
    </w:p>
    <w:p w14:paraId="55FD5FFC"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4.1.1 Chapter introduction</w:t>
      </w:r>
    </w:p>
    <w:p w14:paraId="74582A46"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This chapter elaborates on the findings from the credible publicly available sources. Around 16 sources have been listed and discussed around the subject matter of substance abuse among Eastern European migrant communities in the UK. </w:t>
      </w:r>
    </w:p>
    <w:p w14:paraId="755AB69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lastRenderedPageBreak/>
        <w:t>Theme 1: Impact of substance abuse among Eastern European migrants aged 18-25 years in the UK</w:t>
      </w:r>
    </w:p>
    <w:p w14:paraId="341AAB5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Adult substance misuse treatment statistics 2024 to 2025 report from the UK government indicates that young adult populations between 18 and 25 years of age account for a significant proportion of those who are entering the treatments for drug, substance and alcohol abuse in the UK. Within this population, there are people who are subject to further need around other mental health challenges and homelessness as well (Office for Health Improvement &amp; Disparities, 2025). Even though in the national data, migrant status is not explicitly mentioned, the figures show that many of the young population, who take drugs and misuse, tend to struggle with migration-related challenges such as limited support from services, unemployment and cultural issues. On the other hand, there are also media reports from Simpson (2025) which mention how young migrants from France tend to get exposed to illegal drug markets in the UK, due to which sometimes they are compelled to engage in drug misuse or abuse activities, further damaging their lives later. This shows that even if not all Eastern European migrants are exposed to such situations, it nevertheless indicates that drug and substance abuse involvement leads to social exclusion through criminal charges and destroys their employment opportunities.</w:t>
      </w:r>
    </w:p>
    <w:p w14:paraId="7E2B501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Another report from the organisation Homeless Link (2024) mentioned that there is a Substance Misuse Toolkit that has been provided to the young migrant population in the UK. The toolkits are available in multiple languages, such as Romanian, Polish, Arabic and Punjabi, indicating that migrants from those countries are essentially targeted, who state that substance abuse is related to social exclusion faced. Drug misuse and abuse have been connected in both ways to homelessness and housing instability amongst Eastern European migrants, mainly from Romania and Poland. This further declines mental health and physical health, creates employment instability and a lack of service support engagements. Further reports from the London City Hall (2024) on Rough Sleeping, Migration and Drug and Alcohol Treatment had mentioned that non-UK nations, mainly from Romania and other eastern European countries, experience a high substance abuse risk which deteriorates mental and physical health, further exacerbating homelessness. However, these people are also the ones who face little access, furthered by limited awareness, language issues and a lack of data sharing with them from the support services system. Thus, their treatments and support are further delayed.</w:t>
      </w:r>
    </w:p>
    <w:p w14:paraId="5EAD54E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2: Impacts of socio-cultural factors and structural factors on service engagement and substance use</w:t>
      </w:r>
    </w:p>
    <w:p w14:paraId="3A9E2EC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The National Centre for Social Research (</w:t>
      </w:r>
      <w:proofErr w:type="spellStart"/>
      <w:r w:rsidRPr="00027E45">
        <w:rPr>
          <w:rFonts w:ascii="Arial" w:hAnsi="Arial" w:cs="Arial"/>
          <w:sz w:val="22"/>
          <w:szCs w:val="22"/>
          <w:lang w:val="en-IN" w:bidi="ar-SA"/>
        </w:rPr>
        <w:t>NatCen</w:t>
      </w:r>
      <w:proofErr w:type="spellEnd"/>
      <w:r w:rsidRPr="00027E45">
        <w:rPr>
          <w:rFonts w:ascii="Arial" w:hAnsi="Arial" w:cs="Arial"/>
          <w:sz w:val="22"/>
          <w:szCs w:val="22"/>
          <w:lang w:val="en-IN" w:bidi="ar-SA"/>
        </w:rPr>
        <w:t>) had published a report on the ethnic minority segment in the UK, or the young migrant population. It was found that cultural taboos and stigma are associated with seeking help or substance abuse. Trauma, isolation, discrimination, social exclusion, lack of trust in services and lack of culturally competent services are some of the main reasons that are associated with high-level disengagement with the social support system among the young migrant groups (National Centre for Social Research, 2023). Thus, it was evidenced that both structural inadequacy and cultural norms and beliefs prevented the migrant groups, ethnic minority groups in the UK, from getting help from services. Another report found that young Polish migrants tend to have a high probability of engaging in drug and alcohol abuse in the UK (GOV.UK, 2025). This report mentioned that beside socio-cultural issues, structural barriers in the system world are against these people. Language barriers, lack of digital access, poor knowledge and literacy around health and lack of understanding of the service steps, provisional and entitlements cause disengagement with the social support systems. These issues in the structural social system of the UK prevent the youth from seeking help and are more impactful for them, since they may also be troubled with other issues like homelessness, housing instabilities and unemployment.</w:t>
      </w:r>
    </w:p>
    <w:p w14:paraId="617474F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 report on refugees and migrants' mental health conditions from the Mental Health Foundation (2025) revealed that these people do not easily trust the government or statutory services, and they are afraid of getting discriminated against by these service systems, which do not allow them to engage with them. Interestingly, some migrants have also indicated that the reason they seek to help is the higher likelihood that they will be discriminated against. They may also be subject to harsh surveillance by the state, along with legal complications. This kind of thinking and fear tends to live within their minds, which does encourage them to ask for help or seek early interventional help. All these results in them further getting trapped under the psychological challenges, isolation and delayed remedies for substance abuse. In the same manner, a report from advocacy groups highlighted that migrant groups are afraid that their confidentiality will be compromised by the statutory services, which prevents seeking help (MacKey, 2023). Besides this, cultural inequity or incompetence in these structures further creates inequalities in the service group proportionately. Thus, it is greatly observed that migrants’ own socio-cultural factors and structural factors in the UK system tend to determine the service engagement around substance use.</w:t>
      </w:r>
    </w:p>
    <w:p w14:paraId="4BB8BD5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3: Socio-economic barriers and other challenges around services and facilitators for the migrant group</w:t>
      </w:r>
    </w:p>
    <w:p w14:paraId="09448BA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In the grey literature consulted for this research, various socioeconomic reasons have been highlighted as major reasons for East European migrant youths taking up substance abuse. In a report by the European Union Drugs Agency (EUDA), for example, stress has been given to poverty and unemployment (EUDA, 2023). Apart from that, according to this report, the trauma of leaving home country also emerged as a major reason behind adopting substances. Though there are indeed youths that are accustomed to substance use before migrating to the UK, psychosocial aspects such as leaving family members behind or lack of adequate emotional support also facilitated adoption of substances among migrant youths from East Europe. Other non-academic studies have attempted to understand the mediating effect of socioeconomic factors in forcing this population to take up drugs through the social determinants of health. For example, a report by the European Commission (EC) focusing on the newly arrived migrants from East Europe shows how substance abuse is a reliable health indicator of them (EC, 2020). More importantly, this report raised the question of intercultural communication that not only exacerbates the situation of these new migrants but also comes as an impediment in the way of them seeking healthcare services (EC, 2020). On a global scale as well, substance abuse has been rendered as a major concern as far as the health status of the migrants are concerned. For example, the 2020 World Migration Report (WMR) has shown how the feeling of being left behind is a major reason for the migrants to develop habits of substance use (IOM, 2020). This report has further highlighted that this tendency is most prominent among the youth where substance abuse often invariably corresponds with major mental health problems like depression, anxiety and suicidal thoughts. The report also insinuated how this can be attributed to disproportionate income, as a majority of these migrants are dependent upon remittances to purchase food or get access to education (IOM, 2020). As per as the government bodies of London are concerned, their official publications attempted to associate substance abuse with homelessness. For example, in the Substance Misuse Toolkit published via direct support of the Mayor of London, homelessness is identified as the major condition of the migrants - a majority of them are youths from Eastern European countries - seeking healthcare services (Homeless Link, 2023). Though not discussed explicitly, it is evident from this toolkit that the anxiety regarding the housing crisis indeed forces the migrant youths toward substance misuse.    </w:t>
      </w:r>
    </w:p>
    <w:p w14:paraId="25AD248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4: Interventions taken towards substance abuse among migrant youths </w:t>
      </w:r>
    </w:p>
    <w:p w14:paraId="7E5E6F9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As far as interventions to the abusers of substances among the migrant youths from East European countries are concerned, the government of the UK has pointed out various routes to access the required services. What is interesting to note here is the somewhat exclusive focus on referral services, especially from educational institutions and social care settings </w:t>
      </w:r>
      <w:r w:rsidRPr="00027E45">
        <w:rPr>
          <w:rFonts w:ascii="Arial" w:hAnsi="Arial" w:cs="Arial"/>
          <w:sz w:val="22"/>
          <w:szCs w:val="22"/>
          <w:lang w:val="en-IN" w:bidi="ar-SA"/>
        </w:rPr>
        <w:lastRenderedPageBreak/>
        <w:t>(Gov.UK, 2024). For example, as per the statistics offered by the UK government, in 2021-2022, 31% of the migrant youths of East European origin entered the designed healthcare services through referrals from their educational institutions (Gov.UK, 2024). Similarly, 23% of them have received specialist treatment through referrals from respective social care organisations (Gov.UK, 2024). It clearly shows how representation of these youths in either education or the social care organisations are crucial for accessing the due treatments. There are other reports as well, though invariably supported by the UK’s government, that talk about interventions beyond individual levels i.e., community-driven or peer-led intervention initiatives. Among these reports, the one by the Advisory Council of the Misuse of Drugs (ACMD) deserves special mention, as it focuses on the limitations of this community-driven approach. Despite acknowledging the importance of such an approach, it suggests, for example, that its fixation with ‘vulnerable groups’ must be challenged (ACMD, 2022). Instead, it calls for an approach that acknowledges contexts and risk factors specific to certain individuals (ACMD, 2022). Based on this, one can argue against the standardised, one-size-fits-all approaches or initiatives that automatically restricts the outreach of interventions. An alternative pathway to go beyond these standardised approaches and being able to address the specific contexts has been put forth by a Council of Europe report. Briefly put, it essentially targets the need for the intervention approaches to be culturally adaptable. It mainly argued in favour of the culturally determined nature of the risk factors, including psychological aspects, that make the migrant youths of East European origin in the UK vulnerable to substance misuse (Council of Europe, 2022). In other words, success of these intervention programs can be ensured if the specific backgrounds and experiences can be taken into account. In the same vein, a study dedicated to the ethnic populations in the UK, especially the migrant youths from East European descent, stresses a poor response rate to the standardised intervention initiatives (EMCDDA, 2020). Though the report concluded that this does not necessarily mean overlooking their specific needs, it is indeed a crucial factor for the desirable misuse prevention rate to be accomplished.         </w:t>
      </w:r>
    </w:p>
    <w:p w14:paraId="07EB979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Chapter summary </w:t>
      </w:r>
    </w:p>
    <w:p w14:paraId="742394C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This chapter attempted to identify the themes from the findings related to the impact of substance abuse among the migrant youths of the UK from East European origin. It essentially highlighted a considerable prevalence of substance abuse among the said population. It also highlighted the major sociocultural and socioeconomic factors that determine this association. Findings essentially reveal that stigma, unemployment, poor economic conditions, homelessness and psychosocial stressors are the key factors that pushes the said population towards substance abuse. Findings also argued against the standardised approaches of the </w:t>
      </w:r>
      <w:r w:rsidRPr="00027E45">
        <w:rPr>
          <w:rFonts w:ascii="Arial" w:hAnsi="Arial" w:cs="Arial"/>
          <w:sz w:val="22"/>
          <w:szCs w:val="22"/>
          <w:lang w:val="en-IN" w:bidi="ar-SA"/>
        </w:rPr>
        <w:lastRenderedPageBreak/>
        <w:t>existing intervention models that inevitably restricts outreach to what they vaguely categorise as ‘vulnerable groups.’ Finally, the findings vehemently stressed the need for culturally adaptable initiatives to improve success rates of the intervention programs.   </w:t>
      </w:r>
    </w:p>
    <w:p w14:paraId="140FB272"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4.2 Discussions </w:t>
      </w:r>
    </w:p>
    <w:p w14:paraId="393D879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4.2.1 Chapter introduction</w:t>
      </w:r>
    </w:p>
    <w:p w14:paraId="0886C2C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central aim of this chapter is to illustrate the findings of this research in detail. This essentially means interpreting the findings and identifying critical nuances from them that can potentially make original contributions to the field. Furthermore, for aiding the discussions, attempts are being made to cross-evaluate the findings of this research with that of the background. This cross-evaluation will expectedly lead to identification of facets that remained uncaptured before this study. In this sense, this chapter can be seen as an assessment of this research in terms of how far it has been able to stand out to its promises.  </w:t>
      </w:r>
    </w:p>
    <w:p w14:paraId="34EC3FB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1: Impact of substance abuse among Eastern European migrants aged 18-25 years in the UK</w:t>
      </w:r>
    </w:p>
    <w:p w14:paraId="6655120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findings have revealed that the Eastern European migrants in the UK aged between 18 and 25 years tend to struggle with different types of issues, even though the national database does not bifurcate them under migrant status. Literature review strongly aligns with the findings, which indicate that among the migrants in the UK, there is a high prevalence of substance abuse; the patterns of this use are not driven by individual reasons, but also the societal, structural and service level issues. For example, the findings from the Office for Health Improvement &amp; Disparities (2025) show that young adults between 18 and 25 years are those who are taking treatments for substance abuse and misuse, along with issues around homelessness and mental health challenges. This clearly aligns with the author Phung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(2020) who noted that substance abuse and alcohol consumption among Eastern European migrants is mainly driven by already existing poor health conditions, mental health, economy and STDs. Therefore, it can be inferred that substance abuse among the young migrant population in the UK shows great impact on their lives in all ways, mainly health outcomes. However, the above findings might not be related to or relevant to the findings from van Dorp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(2020). This is mainly because of the contradictions between things and the scholarly opinion. The author mentioned that there are certain groups in the UK which tend to shy away from substance and alcohol abuse, driven by cultural factors which may not align with the findings from the Office for Health Improvement &amp; Disparities (2025).</w:t>
      </w:r>
    </w:p>
    <w:p w14:paraId="68A108A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 xml:space="preserve">Even though not connected directly to specifically Eastern European migrants, findings from Simpson (2025) suggest that exposure to substance abuse or misuse can also be driven by argumentation for the expectations, especially in the formative years of life. This is in line with Mathieu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(2025), who said that among the second-generation migrants into the UK, there is an even higher prevalence of substance misuse, mainly among women. This means that the second generation, who were tiny, influenced by new cultures in the UK, were compelled to adopt a certain way of life, as compared to the first generation, who had arrived much later in their life. Thus, clearly aligning with the findings emphasising the importance of how substance abuse or a similar lifestyle can also be an issue in UK society, which is often forced upon the migrant youth.</w:t>
      </w:r>
    </w:p>
    <w:p w14:paraId="04D6E44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Apart from this, the findings from Homeless Link (2024) and  London City Hall (2024) are not only closely aligned with each other, but also in line with what author Aleer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(2023)’s ideas. They all indicate the same thing: substance abuse tends to further impact the issues of homelessness among the youth. Moreover, due to constantly engaging with substances, their social exclusion and isolation increase along with declining mental health situations. To target the migrant youths from Poland and Romania, especially the subsistence misuse toolkits are thus important as they recognise the requirement for help. It can, hence, be said that substance abuse impacts the migrant youth within the UK system greatly, where not only their physical health is compromised, but also their social situations.</w:t>
      </w:r>
    </w:p>
    <w:p w14:paraId="42FFAB2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2: Impacts of socio-cultural factors and structural factors on service engagement and substance use</w:t>
      </w:r>
    </w:p>
    <w:p w14:paraId="655564E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findings reveal that there are strong structural and sociocultural assumptions that influence how migrant youth behave and negotiate the service support systems. Both of these factors together shape the experience of the migrant youth audience seeking help from the system for substance abuse. For example, the findings from the National Centre for Social Research (2023) revealed that substance abuse and misuse treatments and help seeking is perceived to be quite shameful for the migrant among their communities since it increases their chances of getting caught. This aligns with the authors Sattar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(2024), who, even though targeted at Muslim and South Asian populations, also argued that there is stigma and cultural misfit with respect to substance abuse help and treatments among the migrant population. Even though the studies are not about Eastern European migrant youth, it still sheds light on how cultural conformance means keeping silent and not seeking help, which causes deterioration in health for the youth at the individual level. This can mean that stigma </w:t>
      </w:r>
      <w:r w:rsidRPr="00027E45">
        <w:rPr>
          <w:rFonts w:ascii="Arial" w:hAnsi="Arial" w:cs="Arial"/>
          <w:sz w:val="22"/>
          <w:szCs w:val="22"/>
          <w:lang w:val="en-IN" w:bidi="ar-SA"/>
        </w:rPr>
        <w:lastRenderedPageBreak/>
        <w:t>works as a sociocultural barrier which prevents access to the treatment or support service ecosystem within the UK.</w:t>
      </w:r>
    </w:p>
    <w:p w14:paraId="180C260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GOV.UK (2025) further highlighted how low health literacy, language barriers, and disability to use digital devices due to access for the Eastern European migrant groups further reduce their access to get support from the system. This is consistent with the arguments of Pettersen and </w:t>
      </w:r>
      <w:proofErr w:type="spellStart"/>
      <w:r w:rsidRPr="00027E45">
        <w:rPr>
          <w:rFonts w:ascii="Arial" w:hAnsi="Arial" w:cs="Arial"/>
          <w:sz w:val="22"/>
          <w:szCs w:val="22"/>
          <w:lang w:val="en-IN" w:bidi="ar-SA"/>
        </w:rPr>
        <w:t>Debesay</w:t>
      </w:r>
      <w:proofErr w:type="spellEnd"/>
      <w:r w:rsidRPr="00027E45">
        <w:rPr>
          <w:rFonts w:ascii="Arial" w:hAnsi="Arial" w:cs="Arial"/>
          <w:sz w:val="22"/>
          <w:szCs w:val="22"/>
          <w:lang w:val="en-IN" w:bidi="ar-SA"/>
        </w:rPr>
        <w:t xml:space="preserve"> (2023) who emphasised that there exists a mistrust on the system driven by racism and cultural dominance, which makes it culturally insensitive to deal with every issue separately, while there are also issues around little access and information which would not only in offering help effectively, but reduce fear that other community members will get to know. Another finding from the Mental Health Foundation (2025) is also in line with the authors, and they also revealed that these people do not easily trust the statutory services, and they are afraid of getting discriminated against by these service systems, which do not allow them to engage with them. This is again further consistent with Douglass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(2023), who emphasised that the help-seeking behaviour against the migrant youth is observed since there is stigma associated with society, and even the institutions which are asked for help. This means these findings indicate that, besides individual or cultural factors, there are issues with the system's offering, provisions, and how they handle the treatments. This tends to bring about the question whether the institutions themselves are inclusive or not, or if these too create a stigmatised situation for the youth, since they fall under intersectional domains seeking help for problematic additional behaviour. This is because even findings also argue that sometimes such institutions also show discriminatory behaviours (Mental Health Foundation, 2025; National Centre for Social Research, 2023). In addition to this, the cultural issues can also be extended to how unprofessionally the cases are handled, since the youth migrants are sceptical about confidentiality being broken (MacKey, 2023). </w:t>
      </w:r>
    </w:p>
    <w:p w14:paraId="251B413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3: Socio-economic barriers and other challenges around services and facilitators for the migrant group</w:t>
      </w:r>
    </w:p>
    <w:p w14:paraId="21A1CC0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fact that substance abuse cannot be attributed solely to the personal factors of the chosen population is already raised in the existing literature, especially in the study by Currier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(2021). For example, the systemic factors that scholars like Scott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(2022) attribute this to primarily include precarity as labourers. It follows that these migrant youths from East European descent have to take up menial jobs in meagre salaries, which also stresses their financial precarity. Interestingly, the findings of this research also raised this point, which, in the first place, confirms that socioeconomic factors indeed shape the situations for these youths to succumb to substance abuse. The report from EUDA, for example, highlighted, inter </w:t>
      </w:r>
      <w:r w:rsidRPr="00027E45">
        <w:rPr>
          <w:rFonts w:ascii="Arial" w:hAnsi="Arial" w:cs="Arial"/>
          <w:sz w:val="22"/>
          <w:szCs w:val="22"/>
          <w:lang w:val="en-IN" w:bidi="ar-SA"/>
        </w:rPr>
        <w:lastRenderedPageBreak/>
        <w:t xml:space="preserve">alia, the role unemployment and poverty play in influencing this journey toward substance abuse (EUDA, 2023). Interestingly, the emphasis on psychosocial stressors in the existing literature is limited, though scholars like Hasanović, </w:t>
      </w:r>
      <w:proofErr w:type="spellStart"/>
      <w:r w:rsidRPr="00027E45">
        <w:rPr>
          <w:rFonts w:ascii="Arial" w:hAnsi="Arial" w:cs="Arial"/>
          <w:sz w:val="22"/>
          <w:szCs w:val="22"/>
          <w:lang w:val="en-IN" w:bidi="ar-SA"/>
        </w:rPr>
        <w:t>Šmigalović</w:t>
      </w:r>
      <w:proofErr w:type="spellEnd"/>
      <w:r w:rsidRPr="00027E45">
        <w:rPr>
          <w:rFonts w:ascii="Arial" w:hAnsi="Arial" w:cs="Arial"/>
          <w:sz w:val="22"/>
          <w:szCs w:val="22"/>
          <w:lang w:val="en-IN" w:bidi="ar-SA"/>
        </w:rPr>
        <w:t xml:space="preserve"> and Fazlović (2020) highlight the pressures associated with the acculturation needs. However, as the findings of this study has shown, the psychosocial stressors that this population encounters are not limited to acculturation pressures. For example, both the reports by EUDA and IOM (2020) have shown how the sense of leaving one’s home country translates into a trauma, which consequently makes substance abuse obvious among this population. Critically speaking, the existing literature consulted here appears somewhat reticent as far as making reference to mental health problems of any sort in this context. The findings of this research, contrarily, stress the prevalence of anxiety and depression among this population to make the association with substance abuse clearer. The EC (2020) report, for example, acknowledges the social determinants of health and attempts to raise substance abuse to the status of health indicator. Nevertheless, one cannot but agree that these problems have roots in corresponding economic problems which the scholars have not failed to make reference to. Similarly, the IOM (2020) report highlights how these youths’ dependence on remittance make them more vulnerable to substance abuse. Furthermore, scholars like Hock </w:t>
      </w:r>
      <w:r w:rsidRPr="00027E45">
        <w:rPr>
          <w:rFonts w:ascii="Arial" w:hAnsi="Arial" w:cs="Arial"/>
          <w:i/>
          <w:iCs/>
          <w:sz w:val="22"/>
          <w:szCs w:val="22"/>
          <w:lang w:val="en-IN" w:bidi="ar-SA"/>
        </w:rPr>
        <w:t>et al</w:t>
      </w:r>
      <w:r w:rsidRPr="00027E45">
        <w:rPr>
          <w:rFonts w:ascii="Arial" w:hAnsi="Arial" w:cs="Arial"/>
          <w:sz w:val="22"/>
          <w:szCs w:val="22"/>
          <w:lang w:val="en-IN" w:bidi="ar-SA"/>
        </w:rPr>
        <w:t>. (2023) made a decent attempt to associate the problem with the housing crisis, though the aspect of peer pressure was integrated into it. This is consistent with the data shared by the Homeless Link (2023) report that vehemently stresses the association of homelessness and the tendency to be involved in substance abuse, especially among the migrant youths. </w:t>
      </w:r>
    </w:p>
    <w:p w14:paraId="571DC5D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4: Interventions taken towards substance abuse among migrant youths</w:t>
      </w:r>
      <w:r w:rsidRPr="00027E45">
        <w:rPr>
          <w:rFonts w:ascii="Arial" w:hAnsi="Arial" w:cs="Arial"/>
          <w:sz w:val="22"/>
          <w:szCs w:val="22"/>
          <w:lang w:val="en-IN" w:bidi="ar-SA"/>
        </w:rPr>
        <w:t>  </w:t>
      </w:r>
    </w:p>
    <w:p w14:paraId="2C3CC9D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As far as the individual-level intervention programs are concerned, the insights from the existing literature appear to be interested in something disparate than the sources consulted for the findings of this research. This is interesting to explore, especially when the existing literature makes an attempt to produce a sustained critique of the individual-level intervention initiatives. For example, scholars like Magill Kiluk and Ray (2023) have stressed how these initiatives are dominated by CBT-based approaches that are ineffective due to being too standardised i.e., offer limited scope for adaptability. Yet, this adaptability is required, essentially because the population in question are from a different cultural background. However, the statistics offered by the Gov.UK (2024) entry focused entirely on the crucial role that referral services play in ensuring that the migrant youths get the needed treatment. In this context, the critique presented by Melendez-Torres </w:t>
      </w:r>
      <w:r w:rsidRPr="00027E45">
        <w:rPr>
          <w:rFonts w:ascii="Arial" w:hAnsi="Arial" w:cs="Arial"/>
          <w:i/>
          <w:iCs/>
          <w:sz w:val="22"/>
          <w:szCs w:val="22"/>
          <w:lang w:val="en-IN" w:bidi="ar-SA"/>
        </w:rPr>
        <w:t>et al</w:t>
      </w:r>
      <w:r w:rsidRPr="00027E45">
        <w:rPr>
          <w:rFonts w:ascii="Arial" w:hAnsi="Arial" w:cs="Arial"/>
          <w:sz w:val="22"/>
          <w:szCs w:val="22"/>
          <w:lang w:val="en-IN" w:bidi="ar-SA"/>
        </w:rPr>
        <w:t xml:space="preserve">. (2018) regarding the East European migrant youths as an underrepresented category acquires strong analytical charge. Briefly put, if the access to interventions is dependent solely upon the referral services, it is obvious </w:t>
      </w:r>
      <w:r w:rsidRPr="00027E45">
        <w:rPr>
          <w:rFonts w:ascii="Arial" w:hAnsi="Arial" w:cs="Arial"/>
          <w:sz w:val="22"/>
          <w:szCs w:val="22"/>
          <w:lang w:val="en-IN" w:bidi="ar-SA"/>
        </w:rPr>
        <w:lastRenderedPageBreak/>
        <w:t>that the people belonging to NEET will always remain underrepresented. This critical discussion, however, paves a path for reinforcing the systemic nature of this substance abuse epidemic prevalent among the migrant youths in the UK. </w:t>
      </w:r>
    </w:p>
    <w:p w14:paraId="3318F28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existing literature further strengthened the discourse on cultural compatibility by stressing linguistic barriers. For example, scholars like Gleeson, Duke and Thom (2019) stress how linguistic incompatibility is directly related to the poor outreach of the individual-level intervention initiatives. The findings of this research, notably the report by the Council of Europe (2022), also reinforced this statement. However, where it contributed more is not reducing it to mere outreach - or what the EMCDDA (2020) study called ‘poor response rate’ - but reveals how these barriers make it virtually impossible to access the context of the said population that consequently shapes the risk factors that they encounter. In other words, where scholars like </w:t>
      </w:r>
      <w:proofErr w:type="spellStart"/>
      <w:r w:rsidRPr="00027E45">
        <w:rPr>
          <w:rFonts w:ascii="Arial" w:hAnsi="Arial" w:cs="Arial"/>
          <w:sz w:val="22"/>
          <w:szCs w:val="22"/>
          <w:lang w:val="en-IN" w:bidi="ar-SA"/>
        </w:rPr>
        <w:t>Kunorubwe</w:t>
      </w:r>
      <w:proofErr w:type="spellEnd"/>
      <w:r w:rsidRPr="00027E45">
        <w:rPr>
          <w:rFonts w:ascii="Arial" w:hAnsi="Arial" w:cs="Arial"/>
          <w:sz w:val="22"/>
          <w:szCs w:val="22"/>
          <w:lang w:val="en-IN" w:bidi="ar-SA"/>
        </w:rPr>
        <w:t xml:space="preserve"> (2023) or Hafford-</w:t>
      </w:r>
      <w:proofErr w:type="spellStart"/>
      <w:r w:rsidRPr="00027E45">
        <w:rPr>
          <w:rFonts w:ascii="Arial" w:hAnsi="Arial" w:cs="Arial"/>
          <w:sz w:val="22"/>
          <w:szCs w:val="22"/>
          <w:lang w:val="en-IN" w:bidi="ar-SA"/>
        </w:rPr>
        <w:t>Letchfield</w:t>
      </w:r>
      <w:proofErr w:type="spellEnd"/>
      <w:r w:rsidRPr="00027E45">
        <w:rPr>
          <w:rFonts w:ascii="Arial" w:hAnsi="Arial" w:cs="Arial"/>
          <w:sz w:val="22"/>
          <w:szCs w:val="22"/>
          <w:lang w:val="en-IN" w:bidi="ar-SA"/>
        </w:rPr>
        <w:t xml:space="preserve"> </w:t>
      </w:r>
      <w:r w:rsidRPr="00027E45">
        <w:rPr>
          <w:rFonts w:ascii="Arial" w:hAnsi="Arial" w:cs="Arial"/>
          <w:i/>
          <w:iCs/>
          <w:sz w:val="22"/>
          <w:szCs w:val="22"/>
          <w:lang w:val="en-IN" w:bidi="ar-SA"/>
        </w:rPr>
        <w:t>et al</w:t>
      </w:r>
      <w:r w:rsidRPr="00027E45">
        <w:rPr>
          <w:rFonts w:ascii="Arial" w:hAnsi="Arial" w:cs="Arial"/>
          <w:sz w:val="22"/>
          <w:szCs w:val="22"/>
          <w:lang w:val="en-IN" w:bidi="ar-SA"/>
        </w:rPr>
        <w:t>. (2020) focus on cultural adaptability, findings of this research advocate cultural compatibility. It is important on various levels. For example, it is an essential element for overcoming the rigidity of existing approaches and customising them to be able to address the problems of the said population adequately. In a nutshell, the responsible bodies must be aware of the fact that if the community-level interventions are fairly successful, it is essentially due to their cultural compatibility with problems specific to the population in question.      </w:t>
      </w:r>
    </w:p>
    <w:p w14:paraId="5F1E3888"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4.2.2 Chapter summary</w:t>
      </w:r>
    </w:p>
    <w:p w14:paraId="256B986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In summary, it can be said that the structure offered at the social support system is problematic as it is not supportive of the youths asking for help. In addition to those issues, they also arise when there are also individual or cultural factors which interact with each other to prevent help-seeking behaviour. For example, barriers like limited access to digital knowledge, information towards support, language barrier, health literacy, stigmatised behaviour of seeking help, fear of the community getting to know and many others. </w:t>
      </w:r>
    </w:p>
    <w:p w14:paraId="2BC300A3" w14:textId="77777777" w:rsidR="00027E45" w:rsidRPr="00027E45" w:rsidRDefault="00027E45" w:rsidP="00027E45">
      <w:pPr>
        <w:spacing w:before="100" w:beforeAutospacing="1" w:after="100" w:afterAutospacing="1"/>
        <w:rPr>
          <w:rFonts w:ascii="Arial" w:hAnsi="Arial" w:cs="Arial"/>
          <w:sz w:val="22"/>
          <w:szCs w:val="22"/>
          <w:lang w:val="en-IN" w:bidi="ar-SA"/>
        </w:rPr>
      </w:pPr>
    </w:p>
    <w:p w14:paraId="72FC36CB"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Chapter 5: Recommendations and conclusions</w:t>
      </w:r>
    </w:p>
    <w:p w14:paraId="50CEF1D2"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5.1 Overall conclusion</w:t>
      </w:r>
    </w:p>
    <w:p w14:paraId="2E1FEAA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generated findings obtained from the analysis of secondary data strongly inform that the prevalence of substance abuse is undeniably growing among East Europeans aged between 18-25 years living in London. The tendency to consume alcohol, drugs, and other substances, </w:t>
      </w:r>
      <w:r w:rsidRPr="00027E45">
        <w:rPr>
          <w:rFonts w:ascii="Arial" w:hAnsi="Arial" w:cs="Arial"/>
          <w:sz w:val="22"/>
          <w:szCs w:val="22"/>
          <w:lang w:val="en-IN" w:bidi="ar-SA"/>
        </w:rPr>
        <w:lastRenderedPageBreak/>
        <w:t>like Cannabis is extensively growing among this population, though there are no sufficient separate health records for this group. Compared to first-generation migrants of this population, the second generation is more likely to develop substance abuse tendencies, which are driven by several factors, starting from generational poverty and poor mental health, to as a coping mechanism for sexually transmitted diseases. The findings suggest that this tendency is higher among migrant women of this population than their male counterparts. The evidence of structural inequalities, such as stigma or biases, in the culture of the UK is also evident. These existing issues often impose difficulties for these groups to access necessary care and support on time. Besides, economic factors, like unemployment, low-paid jobs, etc., have also been identified as contributing factors that trigger adverse health outcomes driven by the habit of substance abuse. The findings also highlighted the existence of several interventions, such as CBT or community-level interventive strategies, to reduce the harmful consumption practices. However, the study clearly outlines the need for culturally sensitive targeted prevention and intervention programmes, designed specifically for this group to address the problem at its root and not by merely suppressing the triggering factors.           </w:t>
      </w:r>
    </w:p>
    <w:p w14:paraId="197A72BF"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5.2 Linking with objectives </w:t>
      </w:r>
    </w:p>
    <w:p w14:paraId="0990CDF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i/>
          <w:iCs/>
          <w:sz w:val="22"/>
          <w:szCs w:val="22"/>
          <w:lang w:val="en-IN" w:bidi="ar-SA"/>
        </w:rPr>
        <w:t>Objective 1: “To recognise the impact of substance misuse and lived experiences among the old Eastern European migrants aged 18-25 years in London.” </w:t>
      </w:r>
    </w:p>
    <w:p w14:paraId="13399E7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study fully identified the impacts of substance misuse on the chosen population, not only from the perspective of their physical health but mental health as well. The findings also inform how such practices of substance abuse affect the social position of migrant individuals within the host nation or region, which further affects their overall well-being.  </w:t>
      </w:r>
    </w:p>
    <w:p w14:paraId="24814E7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i/>
          <w:iCs/>
          <w:sz w:val="22"/>
          <w:szCs w:val="22"/>
          <w:lang w:val="en-IN" w:bidi="ar-SA"/>
        </w:rPr>
        <w:t>Objective 2: “To examine how culture, migration, and structural factors affect the service engagement and substance use.” </w:t>
      </w:r>
    </w:p>
    <w:p w14:paraId="0FAC022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While working on this objective, the findings highlighted how the existing structural inequalities in London, along with the limited health literacy of the migrant population, affect access to health and social care support. However, this objective is partially achieved as the study did not delve into exploring why these inequalities persist to date in the UK.   </w:t>
      </w:r>
    </w:p>
    <w:p w14:paraId="54DB3A4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i/>
          <w:iCs/>
          <w:sz w:val="22"/>
          <w:szCs w:val="22"/>
          <w:lang w:val="en-IN" w:bidi="ar-SA"/>
        </w:rPr>
        <w:t>Objective 3: “To evaluate barriers, existing services and facilitators for this youth group.” </w:t>
      </w:r>
    </w:p>
    <w:p w14:paraId="7956B04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The findings have critically explored individual behavioural as well as community-based services that exist to support this youth group. Also, it has identified the evidence of systematic </w:t>
      </w:r>
      <w:r w:rsidRPr="00027E45">
        <w:rPr>
          <w:rFonts w:ascii="Arial" w:hAnsi="Arial" w:cs="Arial"/>
          <w:sz w:val="22"/>
          <w:szCs w:val="22"/>
          <w:lang w:val="en-IN" w:bidi="ar-SA"/>
        </w:rPr>
        <w:lastRenderedPageBreak/>
        <w:t>injustice driven by cultural dominance, along with several socioeconomic issues, like poverty, unemployment, etc., that stand as strong barriers in this context. Hence, this objective has been met fully. </w:t>
      </w:r>
    </w:p>
    <w:p w14:paraId="0DB52D0C"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i/>
          <w:iCs/>
          <w:sz w:val="22"/>
          <w:szCs w:val="22"/>
          <w:lang w:val="en-IN" w:bidi="ar-SA"/>
        </w:rPr>
        <w:t>Objective 4: “To recommend evidence-informed, culturally sensitive interventions, research directions and policies.” </w:t>
      </w:r>
    </w:p>
    <w:p w14:paraId="7A8DE11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findings clearly identified gaps in developing targeted intervention strategies that are refined with specific cultural requirements and values. The existing practices, though, include scope for customisation; they hold a generalised approach to treat all migrant populations in the same way. Hence, this objective is almost met with the identification of theory-driven solutions to improve existing policies and practices related to this context.   </w:t>
      </w:r>
    </w:p>
    <w:p w14:paraId="30008D31"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5.3 Recommendations </w:t>
      </w:r>
    </w:p>
    <w:p w14:paraId="20354AD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following two recommendations have been developed based on the findings. </w:t>
      </w:r>
    </w:p>
    <w:p w14:paraId="37861E16"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i/>
          <w:iCs/>
          <w:sz w:val="22"/>
          <w:szCs w:val="22"/>
          <w:lang w:val="en-IN" w:bidi="ar-SA"/>
        </w:rPr>
        <w:t>Recommendation 1: Implementing culturally tailored prevention programmes </w:t>
      </w:r>
    </w:p>
    <w:p w14:paraId="2F3CFA0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The public health authorities and local community organisations in London must develop a culturally tailored substance-use prevention programme for young East European migrant individuals. The implementation of this programme must also ensure addressing all linguistic barriers to make it fully inclusive. Also, these initiatives need to involve relevant stakeholders properly, starting from the community leaders to social care providers, to improve the engagement level with a focus on reducing stigmatised behaviours. </w:t>
      </w:r>
    </w:p>
    <w:p w14:paraId="514F9AD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i/>
          <w:iCs/>
          <w:sz w:val="22"/>
          <w:szCs w:val="22"/>
          <w:lang w:val="en-IN" w:bidi="ar-SA"/>
        </w:rPr>
        <w:t>Recommendation 2: Improving access to youth-focused early support services </w:t>
      </w:r>
    </w:p>
    <w:p w14:paraId="75F3A62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Health and social care service providers in London must focus on enhancing the access of youth-focused early support services to prevent substance misuse. Such facilities will ensure addressing the issue from the very initial stage and not mitigating it when it already affected the lived experiences of the individuals. Thus, the services, while being implemented, must focus on addressing the barriers, starting from cultural to socioeconomic, specifically by strengthening collaboration with relevant authoritative bodies to effectively reduce long-term adverse health outcomes.    </w:t>
      </w:r>
    </w:p>
    <w:p w14:paraId="1F394E81"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5.4 Research limitations and future scope</w:t>
      </w:r>
    </w:p>
    <w:p w14:paraId="748570E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The major limitation of this study is the use of secondary data from already existing sources. While the study is based on a specific population subset of migrant East European individuals living in London and their tendency towards substance use, no consideration of gathering first-hand information from these individuals directly can be regarded as a critical limitation. Although this study has gathered credible and sufficient secondary information from online sources specifically related to the context, primary data directly from the victims could lead to more informed outcomes. Also, this study did not include any quantitative data, which also imposed limits on measuring the outcomes accurately. Thus, further research should be conducted focusing on collecting primary information directly from the migrant population. Future researchers, in this context, can opt for conducting a mixed-method study by using both primary qualitative and quantitative datasets. The use of a survey followed by interviews of the vulnerable individuals can offer more relevant and measurable insights related to the context.   </w:t>
      </w:r>
    </w:p>
    <w:p w14:paraId="3E49E134" w14:textId="77777777" w:rsidR="00027E45" w:rsidRPr="00027E45" w:rsidRDefault="00027E45" w:rsidP="00027E45">
      <w:pPr>
        <w:spacing w:before="100" w:beforeAutospacing="1" w:after="100" w:afterAutospacing="1"/>
        <w:rPr>
          <w:rFonts w:ascii="Arial" w:hAnsi="Arial" w:cs="Arial"/>
          <w:sz w:val="22"/>
          <w:szCs w:val="22"/>
          <w:lang w:val="en-IN" w:bidi="ar-SA"/>
        </w:rPr>
      </w:pPr>
    </w:p>
    <w:p w14:paraId="33516F38"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References</w:t>
      </w:r>
    </w:p>
    <w:p w14:paraId="56247D5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Aleer, E., Alam, K., Rashid, A., Mohsin, M. and Eacersall, D. (2023) ‘Substance Abuse Amongst Refugee Youth: A Scoping Review’, </w:t>
      </w:r>
      <w:r w:rsidRPr="00027E45">
        <w:rPr>
          <w:rFonts w:ascii="Arial" w:hAnsi="Arial" w:cs="Arial"/>
          <w:i/>
          <w:iCs/>
          <w:sz w:val="22"/>
          <w:szCs w:val="22"/>
          <w:lang w:val="en-IN" w:bidi="ar-SA"/>
        </w:rPr>
        <w:t>Current Addiction Reports</w:t>
      </w:r>
      <w:r w:rsidRPr="00027E45">
        <w:rPr>
          <w:rFonts w:ascii="Arial" w:hAnsi="Arial" w:cs="Arial"/>
          <w:sz w:val="22"/>
          <w:szCs w:val="22"/>
          <w:lang w:val="en-IN" w:bidi="ar-SA"/>
        </w:rPr>
        <w:t>, 10, pp. 594–609.</w:t>
      </w:r>
    </w:p>
    <w:p w14:paraId="50E8CC0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Byrow, Y., Pajak, R., McMahon, T., </w:t>
      </w:r>
      <w:proofErr w:type="spellStart"/>
      <w:r w:rsidRPr="00027E45">
        <w:rPr>
          <w:rFonts w:ascii="Arial" w:hAnsi="Arial" w:cs="Arial"/>
          <w:sz w:val="22"/>
          <w:szCs w:val="22"/>
          <w:lang w:val="en-IN" w:bidi="ar-SA"/>
        </w:rPr>
        <w:t>Rajouria</w:t>
      </w:r>
      <w:proofErr w:type="spellEnd"/>
      <w:r w:rsidRPr="00027E45">
        <w:rPr>
          <w:rFonts w:ascii="Arial" w:hAnsi="Arial" w:cs="Arial"/>
          <w:sz w:val="22"/>
          <w:szCs w:val="22"/>
          <w:lang w:val="en-IN" w:bidi="ar-SA"/>
        </w:rPr>
        <w:t xml:space="preserve">, A. and Nickerson, A. (2019) ‘Barriers to Mental Health Help-Seeking Amongst Refugee Men’, </w:t>
      </w:r>
      <w:r w:rsidRPr="00027E45">
        <w:rPr>
          <w:rFonts w:ascii="Arial" w:hAnsi="Arial" w:cs="Arial"/>
          <w:i/>
          <w:iCs/>
          <w:sz w:val="22"/>
          <w:szCs w:val="22"/>
          <w:lang w:val="en-IN" w:bidi="ar-SA"/>
        </w:rPr>
        <w:t>International Journal of Environmental Research and Public Health</w:t>
      </w:r>
      <w:r w:rsidRPr="00027E45">
        <w:rPr>
          <w:rFonts w:ascii="Arial" w:hAnsi="Arial" w:cs="Arial"/>
          <w:sz w:val="22"/>
          <w:szCs w:val="22"/>
          <w:lang w:val="en-IN" w:bidi="ar-SA"/>
        </w:rPr>
        <w:t>, 16(15), p. 2634.</w:t>
      </w:r>
    </w:p>
    <w:p w14:paraId="0DE7A0C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Douglass, C.H., Win, T.M., </w:t>
      </w:r>
      <w:proofErr w:type="spellStart"/>
      <w:r w:rsidRPr="00027E45">
        <w:rPr>
          <w:rFonts w:ascii="Arial" w:hAnsi="Arial" w:cs="Arial"/>
          <w:sz w:val="22"/>
          <w:szCs w:val="22"/>
          <w:lang w:val="en-IN" w:bidi="ar-SA"/>
        </w:rPr>
        <w:t>Goutzamanis</w:t>
      </w:r>
      <w:proofErr w:type="spellEnd"/>
      <w:r w:rsidRPr="00027E45">
        <w:rPr>
          <w:rFonts w:ascii="Arial" w:hAnsi="Arial" w:cs="Arial"/>
          <w:sz w:val="22"/>
          <w:szCs w:val="22"/>
          <w:lang w:val="en-IN" w:bidi="ar-SA"/>
        </w:rPr>
        <w:t xml:space="preserve">, S., Lim, M.S.C., Block, K., </w:t>
      </w:r>
      <w:proofErr w:type="spellStart"/>
      <w:r w:rsidRPr="00027E45">
        <w:rPr>
          <w:rFonts w:ascii="Arial" w:hAnsi="Arial" w:cs="Arial"/>
          <w:sz w:val="22"/>
          <w:szCs w:val="22"/>
          <w:lang w:val="en-IN" w:bidi="ar-SA"/>
        </w:rPr>
        <w:t>Onsando</w:t>
      </w:r>
      <w:proofErr w:type="spellEnd"/>
      <w:r w:rsidRPr="00027E45">
        <w:rPr>
          <w:rFonts w:ascii="Arial" w:hAnsi="Arial" w:cs="Arial"/>
          <w:sz w:val="22"/>
          <w:szCs w:val="22"/>
          <w:lang w:val="en-IN" w:bidi="ar-SA"/>
        </w:rPr>
        <w:t xml:space="preserve">, G., Hellard, M., Higgs, P., Livingstone, C. and </w:t>
      </w:r>
      <w:proofErr w:type="spellStart"/>
      <w:r w:rsidRPr="00027E45">
        <w:rPr>
          <w:rFonts w:ascii="Arial" w:hAnsi="Arial" w:cs="Arial"/>
          <w:sz w:val="22"/>
          <w:szCs w:val="22"/>
          <w:lang w:val="en-IN" w:bidi="ar-SA"/>
        </w:rPr>
        <w:t>Horyniak</w:t>
      </w:r>
      <w:proofErr w:type="spellEnd"/>
      <w:r w:rsidRPr="00027E45">
        <w:rPr>
          <w:rFonts w:ascii="Arial" w:hAnsi="Arial" w:cs="Arial"/>
          <w:sz w:val="22"/>
          <w:szCs w:val="22"/>
          <w:lang w:val="en-IN" w:bidi="ar-SA"/>
        </w:rPr>
        <w:t xml:space="preserve">, D. (2023) ‘Stigma Associated with Alcohol and Other Drug Use among People from Migrant and Ethnic Minority Groups: Results from a Systematic Review of Qualitative Studies’, </w:t>
      </w:r>
      <w:r w:rsidRPr="00027E45">
        <w:rPr>
          <w:rFonts w:ascii="Arial" w:hAnsi="Arial" w:cs="Arial"/>
          <w:i/>
          <w:iCs/>
          <w:sz w:val="22"/>
          <w:szCs w:val="22"/>
          <w:lang w:val="en-IN" w:bidi="ar-SA"/>
        </w:rPr>
        <w:t>Journal of Immigrant and Minority Health</w:t>
      </w:r>
      <w:r w:rsidRPr="00027E45">
        <w:rPr>
          <w:rFonts w:ascii="Arial" w:hAnsi="Arial" w:cs="Arial"/>
          <w:sz w:val="22"/>
          <w:szCs w:val="22"/>
          <w:lang w:val="en-IN" w:bidi="ar-SA"/>
        </w:rPr>
        <w:t>, 25(6), pp. 1402–1425.</w:t>
      </w:r>
    </w:p>
    <w:p w14:paraId="0A0EC3C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GOV.UK (2025) </w:t>
      </w:r>
      <w:r w:rsidRPr="00027E45">
        <w:rPr>
          <w:rFonts w:ascii="Arial" w:hAnsi="Arial" w:cs="Arial"/>
          <w:i/>
          <w:iCs/>
          <w:sz w:val="22"/>
          <w:szCs w:val="22"/>
          <w:lang w:val="en-IN" w:bidi="ar-SA"/>
        </w:rPr>
        <w:t>Clinical guidelines for alcohol treatment - 25. Developing inclusive services - Guidance</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Www.gov.uk</w:t>
      </w:r>
      <w:r w:rsidRPr="00027E45">
        <w:rPr>
          <w:rFonts w:ascii="Arial" w:hAnsi="Arial" w:cs="Arial"/>
          <w:sz w:val="22"/>
          <w:szCs w:val="22"/>
          <w:lang w:val="en-IN" w:bidi="ar-SA"/>
        </w:rPr>
        <w:t>. Available at: https://www.gov.uk/guidance/clinical-guidelines-for-alcohol-treatment/25-developing-inclusive-services (Accessed: 20 January 2026).</w:t>
      </w:r>
    </w:p>
    <w:p w14:paraId="7379CE4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Homeless Link (2024) </w:t>
      </w:r>
      <w:r w:rsidRPr="00027E45">
        <w:rPr>
          <w:rFonts w:ascii="Arial" w:hAnsi="Arial" w:cs="Arial"/>
          <w:i/>
          <w:iCs/>
          <w:sz w:val="22"/>
          <w:szCs w:val="22"/>
          <w:lang w:val="en-IN" w:bidi="ar-SA"/>
        </w:rPr>
        <w:t>Substance misuse toolkit for migrants experiencing homelessness</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Homeless Link</w:t>
      </w:r>
      <w:r w:rsidRPr="00027E45">
        <w:rPr>
          <w:rFonts w:ascii="Arial" w:hAnsi="Arial" w:cs="Arial"/>
          <w:sz w:val="22"/>
          <w:szCs w:val="22"/>
          <w:lang w:val="en-IN" w:bidi="ar-SA"/>
        </w:rPr>
        <w:t>. Available at: https://homeless.org.uk/knowledge-hub/substance-misuse-toolkit-for-migrants-experiencing-homelessness (Accessed: 20 January 2026).</w:t>
      </w:r>
    </w:p>
    <w:p w14:paraId="22EB9F5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 xml:space="preserve">London City Hall (2024) </w:t>
      </w:r>
      <w:r w:rsidRPr="00027E45">
        <w:rPr>
          <w:rFonts w:ascii="Arial" w:hAnsi="Arial" w:cs="Arial"/>
          <w:i/>
          <w:iCs/>
          <w:sz w:val="22"/>
          <w:szCs w:val="22"/>
          <w:lang w:val="en-IN" w:bidi="ar-SA"/>
        </w:rPr>
        <w:t>ADD2734 Rough Sleeping, Migration and Drug and Alcohol Treatment 2024-25</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London City Hall</w:t>
      </w:r>
      <w:r w:rsidRPr="00027E45">
        <w:rPr>
          <w:rFonts w:ascii="Arial" w:hAnsi="Arial" w:cs="Arial"/>
          <w:sz w:val="22"/>
          <w:szCs w:val="22"/>
          <w:lang w:val="en-IN" w:bidi="ar-SA"/>
        </w:rPr>
        <w:t>. Available at: https://www.london.gov.uk/add2734-rough-sleeping-migration-and-drug-and-alcohol-treatment-2024-25 (Accessed: 20 January 2026).</w:t>
      </w:r>
    </w:p>
    <w:p w14:paraId="444B7CF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MacKey, B. (2023) </w:t>
      </w:r>
      <w:r w:rsidRPr="00027E45">
        <w:rPr>
          <w:rFonts w:ascii="Arial" w:hAnsi="Arial" w:cs="Arial"/>
          <w:i/>
          <w:iCs/>
          <w:sz w:val="22"/>
          <w:szCs w:val="22"/>
          <w:lang w:val="en-IN" w:bidi="ar-SA"/>
        </w:rPr>
        <w:t>Minority ethnic communities suffer inequality in substance misuse treatment - Rehab 4 Addiction</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www.rehab4addiction.co.uk</w:t>
      </w:r>
      <w:r w:rsidRPr="00027E45">
        <w:rPr>
          <w:rFonts w:ascii="Arial" w:hAnsi="Arial" w:cs="Arial"/>
          <w:sz w:val="22"/>
          <w:szCs w:val="22"/>
          <w:lang w:val="en-IN" w:bidi="ar-SA"/>
        </w:rPr>
        <w:t>. Available at: https://www.rehab4addiction.co.uk/blog/minority-ethnic-communities-suffer-inequality-in-substance-misuse-treatment (Accessed: 20 January 2026).</w:t>
      </w:r>
    </w:p>
    <w:p w14:paraId="1F06768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Mathieu, J., </w:t>
      </w:r>
      <w:proofErr w:type="spellStart"/>
      <w:r w:rsidRPr="00027E45">
        <w:rPr>
          <w:rFonts w:ascii="Arial" w:hAnsi="Arial" w:cs="Arial"/>
          <w:sz w:val="22"/>
          <w:szCs w:val="22"/>
          <w:lang w:val="en-IN" w:bidi="ar-SA"/>
        </w:rPr>
        <w:t>Frigaux</w:t>
      </w:r>
      <w:proofErr w:type="spellEnd"/>
      <w:r w:rsidRPr="00027E45">
        <w:rPr>
          <w:rFonts w:ascii="Arial" w:hAnsi="Arial" w:cs="Arial"/>
          <w:sz w:val="22"/>
          <w:szCs w:val="22"/>
          <w:lang w:val="en-IN" w:bidi="ar-SA"/>
        </w:rPr>
        <w:t xml:space="preserve">, A., Mouton, C., </w:t>
      </w:r>
      <w:proofErr w:type="spellStart"/>
      <w:r w:rsidRPr="00027E45">
        <w:rPr>
          <w:rFonts w:ascii="Arial" w:hAnsi="Arial" w:cs="Arial"/>
          <w:sz w:val="22"/>
          <w:szCs w:val="22"/>
          <w:lang w:val="en-IN" w:bidi="ar-SA"/>
        </w:rPr>
        <w:t>Gressier</w:t>
      </w:r>
      <w:proofErr w:type="spellEnd"/>
      <w:r w:rsidRPr="00027E45">
        <w:rPr>
          <w:rFonts w:ascii="Arial" w:hAnsi="Arial" w:cs="Arial"/>
          <w:sz w:val="22"/>
          <w:szCs w:val="22"/>
          <w:lang w:val="en-IN" w:bidi="ar-SA"/>
        </w:rPr>
        <w:t xml:space="preserve">, F., Najdini, M., Shadili, G. and </w:t>
      </w:r>
      <w:proofErr w:type="spellStart"/>
      <w:r w:rsidRPr="00027E45">
        <w:rPr>
          <w:rFonts w:ascii="Arial" w:hAnsi="Arial" w:cs="Arial"/>
          <w:sz w:val="22"/>
          <w:szCs w:val="22"/>
          <w:lang w:val="en-IN" w:bidi="ar-SA"/>
        </w:rPr>
        <w:t>Essadek</w:t>
      </w:r>
      <w:proofErr w:type="spellEnd"/>
      <w:r w:rsidRPr="00027E45">
        <w:rPr>
          <w:rFonts w:ascii="Arial" w:hAnsi="Arial" w:cs="Arial"/>
          <w:sz w:val="22"/>
          <w:szCs w:val="22"/>
          <w:lang w:val="en-IN" w:bidi="ar-SA"/>
        </w:rPr>
        <w:t>, A. (2025) ‘Substance use prevalence among immigrants by generational status in Europe: A systematic review and meta</w:t>
      </w:r>
      <w:r w:rsidRPr="00027E45">
        <w:rPr>
          <w:rFonts w:ascii="Cambria Math" w:hAnsi="Cambria Math" w:cs="Cambria Math"/>
          <w:sz w:val="22"/>
          <w:szCs w:val="22"/>
          <w:lang w:val="en-IN" w:bidi="ar-SA"/>
        </w:rPr>
        <w:t>‐</w:t>
      </w:r>
      <w:r w:rsidRPr="00027E45">
        <w:rPr>
          <w:rFonts w:ascii="Arial" w:hAnsi="Arial" w:cs="Arial"/>
          <w:sz w:val="22"/>
          <w:szCs w:val="22"/>
          <w:lang w:val="en-IN" w:bidi="ar-SA"/>
        </w:rPr>
        <w:t xml:space="preserve">analysis’, </w:t>
      </w:r>
      <w:r w:rsidRPr="00027E45">
        <w:rPr>
          <w:rFonts w:ascii="Arial" w:hAnsi="Arial" w:cs="Arial"/>
          <w:i/>
          <w:iCs/>
          <w:sz w:val="22"/>
          <w:szCs w:val="22"/>
          <w:lang w:val="en-IN" w:bidi="ar-SA"/>
        </w:rPr>
        <w:t>Alcohol Clinical and Experimental Research</w:t>
      </w:r>
      <w:r w:rsidRPr="00027E45">
        <w:rPr>
          <w:rFonts w:ascii="Arial" w:hAnsi="Arial" w:cs="Arial"/>
          <w:sz w:val="22"/>
          <w:szCs w:val="22"/>
          <w:lang w:val="en-IN" w:bidi="ar-SA"/>
        </w:rPr>
        <w:t>, 49(7), pp. 1381–1391.</w:t>
      </w:r>
    </w:p>
    <w:p w14:paraId="55FD447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Mental Health Foundation (2025) </w:t>
      </w:r>
      <w:r w:rsidRPr="00027E45">
        <w:rPr>
          <w:rFonts w:ascii="Arial" w:hAnsi="Arial" w:cs="Arial"/>
          <w:i/>
          <w:iCs/>
          <w:sz w:val="22"/>
          <w:szCs w:val="22"/>
          <w:lang w:val="en-IN" w:bidi="ar-SA"/>
        </w:rPr>
        <w:t>The mental health of asylum seekers and refugees in the UK</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www.mentalhealth.org.uk</w:t>
      </w:r>
      <w:r w:rsidRPr="00027E45">
        <w:rPr>
          <w:rFonts w:ascii="Arial" w:hAnsi="Arial" w:cs="Arial"/>
          <w:sz w:val="22"/>
          <w:szCs w:val="22"/>
          <w:lang w:val="en-IN" w:bidi="ar-SA"/>
        </w:rPr>
        <w:t>. Available at: https://www.mentalhealth.org.uk/explore-mental-health/publications/mental-health-asylum-seekers-and-refugees-uk (Accessed: 20 January 2026).</w:t>
      </w:r>
    </w:p>
    <w:p w14:paraId="7037C6D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National Centre for Social Research (2023) </w:t>
      </w:r>
      <w:r w:rsidRPr="00027E45">
        <w:rPr>
          <w:rFonts w:ascii="Arial" w:hAnsi="Arial" w:cs="Arial"/>
          <w:i/>
          <w:iCs/>
          <w:sz w:val="22"/>
          <w:szCs w:val="22"/>
          <w:lang w:val="en-IN" w:bidi="ar-SA"/>
        </w:rPr>
        <w:t>New research reveals experience of drug use amongst people from minority ethnic groups</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National Centre for Social Research</w:t>
      </w:r>
      <w:r w:rsidRPr="00027E45">
        <w:rPr>
          <w:rFonts w:ascii="Arial" w:hAnsi="Arial" w:cs="Arial"/>
          <w:sz w:val="22"/>
          <w:szCs w:val="22"/>
          <w:lang w:val="en-IN" w:bidi="ar-SA"/>
        </w:rPr>
        <w:t>. Available at: https://natcen.ac.uk/news/new-research-reveals-experience-drug-use-amongst-people-minority-ethnic-groups (Accessed: 20 January 2026).</w:t>
      </w:r>
    </w:p>
    <w:p w14:paraId="26D428D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Office for Health Improvement &amp; Disparities (2025) </w:t>
      </w:r>
      <w:r w:rsidRPr="00027E45">
        <w:rPr>
          <w:rFonts w:ascii="Arial" w:hAnsi="Arial" w:cs="Arial"/>
          <w:i/>
          <w:iCs/>
          <w:sz w:val="22"/>
          <w:szCs w:val="22"/>
          <w:lang w:val="en-IN" w:bidi="ar-SA"/>
        </w:rPr>
        <w:t>Adult substance misuse treatment statistics 2024 to 2025: report</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GOV.UK</w:t>
      </w:r>
      <w:r w:rsidRPr="00027E45">
        <w:rPr>
          <w:rFonts w:ascii="Arial" w:hAnsi="Arial" w:cs="Arial"/>
          <w:sz w:val="22"/>
          <w:szCs w:val="22"/>
          <w:lang w:val="en-IN" w:bidi="ar-SA"/>
        </w:rPr>
        <w:t>. Available at: https://www.gov.uk/government/statistics/substance-misuse-treatment-for-adults-statistics-2024-to-2025/adult-substance-misuse-treatment-statistics-2024-to-2025-report (Accessed: 20 January 2026).</w:t>
      </w:r>
    </w:p>
    <w:p w14:paraId="3430320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Pettersen, R.J. and </w:t>
      </w:r>
      <w:proofErr w:type="spellStart"/>
      <w:r w:rsidRPr="00027E45">
        <w:rPr>
          <w:rFonts w:ascii="Arial" w:hAnsi="Arial" w:cs="Arial"/>
          <w:sz w:val="22"/>
          <w:szCs w:val="22"/>
          <w:lang w:val="en-IN" w:bidi="ar-SA"/>
        </w:rPr>
        <w:t>Debesay</w:t>
      </w:r>
      <w:proofErr w:type="spellEnd"/>
      <w:r w:rsidRPr="00027E45">
        <w:rPr>
          <w:rFonts w:ascii="Arial" w:hAnsi="Arial" w:cs="Arial"/>
          <w:sz w:val="22"/>
          <w:szCs w:val="22"/>
          <w:lang w:val="en-IN" w:bidi="ar-SA"/>
        </w:rPr>
        <w:t xml:space="preserve">, J. (2023) ‘Substance use and help-seeking barriers: a qualitative study of East African migrants’ experiences of access to Norwegian healthcare services’, </w:t>
      </w:r>
      <w:r w:rsidRPr="00027E45">
        <w:rPr>
          <w:rFonts w:ascii="Arial" w:hAnsi="Arial" w:cs="Arial"/>
          <w:i/>
          <w:iCs/>
          <w:sz w:val="22"/>
          <w:szCs w:val="22"/>
          <w:lang w:val="en-IN" w:bidi="ar-SA"/>
        </w:rPr>
        <w:t>BMC Health Services Research</w:t>
      </w:r>
      <w:r w:rsidRPr="00027E45">
        <w:rPr>
          <w:rFonts w:ascii="Arial" w:hAnsi="Arial" w:cs="Arial"/>
          <w:sz w:val="22"/>
          <w:szCs w:val="22"/>
          <w:lang w:val="en-IN" w:bidi="ar-SA"/>
        </w:rPr>
        <w:t>, 23(1), p. 107.</w:t>
      </w:r>
    </w:p>
    <w:p w14:paraId="37FCE40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Phung, V.-H., Asghar, Z., </w:t>
      </w:r>
      <w:proofErr w:type="spellStart"/>
      <w:r w:rsidRPr="00027E45">
        <w:rPr>
          <w:rFonts w:ascii="Arial" w:hAnsi="Arial" w:cs="Arial"/>
          <w:sz w:val="22"/>
          <w:szCs w:val="22"/>
          <w:lang w:val="en-IN" w:bidi="ar-SA"/>
        </w:rPr>
        <w:t>Matiti</w:t>
      </w:r>
      <w:proofErr w:type="spellEnd"/>
      <w:r w:rsidRPr="00027E45">
        <w:rPr>
          <w:rFonts w:ascii="Arial" w:hAnsi="Arial" w:cs="Arial"/>
          <w:sz w:val="22"/>
          <w:szCs w:val="22"/>
          <w:lang w:val="en-IN" w:bidi="ar-SA"/>
        </w:rPr>
        <w:t xml:space="preserve">, M. and Siriwardena, A.N. (2020) ‘Understanding how Eastern European migrants use and experience UK health services: a systematic scoping review’, </w:t>
      </w:r>
      <w:r w:rsidRPr="00027E45">
        <w:rPr>
          <w:rFonts w:ascii="Arial" w:hAnsi="Arial" w:cs="Arial"/>
          <w:i/>
          <w:iCs/>
          <w:sz w:val="22"/>
          <w:szCs w:val="22"/>
          <w:lang w:val="en-IN" w:bidi="ar-SA"/>
        </w:rPr>
        <w:t>BMC Health Services Research</w:t>
      </w:r>
      <w:r w:rsidRPr="00027E45">
        <w:rPr>
          <w:rFonts w:ascii="Arial" w:hAnsi="Arial" w:cs="Arial"/>
          <w:sz w:val="22"/>
          <w:szCs w:val="22"/>
          <w:lang w:val="en-IN" w:bidi="ar-SA"/>
        </w:rPr>
        <w:t>, 20(1), p. 173.</w:t>
      </w:r>
    </w:p>
    <w:p w14:paraId="7BC5C3E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 xml:space="preserve">Saleh, E.A., Lazaridou, F.B., Klapprott, F., </w:t>
      </w:r>
      <w:proofErr w:type="spellStart"/>
      <w:r w:rsidRPr="00027E45">
        <w:rPr>
          <w:rFonts w:ascii="Arial" w:hAnsi="Arial" w:cs="Arial"/>
          <w:sz w:val="22"/>
          <w:szCs w:val="22"/>
          <w:lang w:val="en-IN" w:bidi="ar-SA"/>
        </w:rPr>
        <w:t>Wazaify</w:t>
      </w:r>
      <w:proofErr w:type="spellEnd"/>
      <w:r w:rsidRPr="00027E45">
        <w:rPr>
          <w:rFonts w:ascii="Arial" w:hAnsi="Arial" w:cs="Arial"/>
          <w:sz w:val="22"/>
          <w:szCs w:val="22"/>
          <w:lang w:val="en-IN" w:bidi="ar-SA"/>
        </w:rPr>
        <w:t xml:space="preserve">, M., Heinz, A. and Kluge, U. (2023) ‘A systematic review of qualitative research on substance use among refugees’, </w:t>
      </w:r>
      <w:r w:rsidRPr="00027E45">
        <w:rPr>
          <w:rFonts w:ascii="Arial" w:hAnsi="Arial" w:cs="Arial"/>
          <w:i/>
          <w:iCs/>
          <w:sz w:val="22"/>
          <w:szCs w:val="22"/>
          <w:lang w:val="en-IN" w:bidi="ar-SA"/>
        </w:rPr>
        <w:t>Addiction</w:t>
      </w:r>
      <w:r w:rsidRPr="00027E45">
        <w:rPr>
          <w:rFonts w:ascii="Arial" w:hAnsi="Arial" w:cs="Arial"/>
          <w:sz w:val="22"/>
          <w:szCs w:val="22"/>
          <w:lang w:val="en-IN" w:bidi="ar-SA"/>
        </w:rPr>
        <w:t>, 118(2), pp. 218–253.</w:t>
      </w:r>
    </w:p>
    <w:p w14:paraId="6CFA48F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Sattar, Z., Lochhead, L., Alderson, H., </w:t>
      </w:r>
      <w:proofErr w:type="spellStart"/>
      <w:r w:rsidRPr="00027E45">
        <w:rPr>
          <w:rFonts w:ascii="Arial" w:hAnsi="Arial" w:cs="Arial"/>
          <w:sz w:val="22"/>
          <w:szCs w:val="22"/>
          <w:lang w:val="en-IN" w:bidi="ar-SA"/>
        </w:rPr>
        <w:t>Lhussier</w:t>
      </w:r>
      <w:proofErr w:type="spellEnd"/>
      <w:r w:rsidRPr="00027E45">
        <w:rPr>
          <w:rFonts w:ascii="Arial" w:hAnsi="Arial" w:cs="Arial"/>
          <w:sz w:val="22"/>
          <w:szCs w:val="22"/>
          <w:lang w:val="en-IN" w:bidi="ar-SA"/>
        </w:rPr>
        <w:t xml:space="preserve">, M., McGovern, R. and McGovern, W. (2024) ‘British South Asian and Muslim Communities’ Perceptions and Experiences of Addiction and Traditional Drug and Alcohol Treatment Services’, </w:t>
      </w:r>
      <w:r w:rsidRPr="00027E45">
        <w:rPr>
          <w:rFonts w:ascii="Arial" w:hAnsi="Arial" w:cs="Arial"/>
          <w:i/>
          <w:iCs/>
          <w:sz w:val="22"/>
          <w:szCs w:val="22"/>
          <w:lang w:val="en-IN" w:bidi="ar-SA"/>
        </w:rPr>
        <w:t>International Journal of Environmental Research and Public Health</w:t>
      </w:r>
      <w:r w:rsidRPr="00027E45">
        <w:rPr>
          <w:rFonts w:ascii="Arial" w:hAnsi="Arial" w:cs="Arial"/>
          <w:sz w:val="22"/>
          <w:szCs w:val="22"/>
          <w:lang w:val="en-IN" w:bidi="ar-SA"/>
        </w:rPr>
        <w:t>, 21(10), p. 1338.</w:t>
      </w:r>
    </w:p>
    <w:p w14:paraId="58CD2A7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Simpson, D. (2025) </w:t>
      </w:r>
      <w:r w:rsidRPr="00027E45">
        <w:rPr>
          <w:rFonts w:ascii="Arial" w:hAnsi="Arial" w:cs="Arial"/>
          <w:i/>
          <w:iCs/>
          <w:sz w:val="22"/>
          <w:szCs w:val="22"/>
          <w:lang w:val="en-IN" w:bidi="ar-SA"/>
        </w:rPr>
        <w:t>Small boat migrants ‘bringing cocaine &amp; heroin into Britain to get cut-price Channel crossings from people...</w:t>
      </w:r>
      <w:r w:rsidRPr="00027E45">
        <w:rPr>
          <w:rFonts w:ascii="Arial" w:hAnsi="Arial" w:cs="Arial"/>
          <w:sz w:val="22"/>
          <w:szCs w:val="22"/>
          <w:lang w:val="en-IN" w:bidi="ar-SA"/>
        </w:rPr>
        <w:t xml:space="preserve">, </w:t>
      </w:r>
      <w:r w:rsidRPr="00027E45">
        <w:rPr>
          <w:rFonts w:ascii="Arial" w:hAnsi="Arial" w:cs="Arial"/>
          <w:i/>
          <w:iCs/>
          <w:sz w:val="22"/>
          <w:szCs w:val="22"/>
          <w:lang w:val="en-IN" w:bidi="ar-SA"/>
        </w:rPr>
        <w:t>The Sun</w:t>
      </w:r>
      <w:r w:rsidRPr="00027E45">
        <w:rPr>
          <w:rFonts w:ascii="Arial" w:hAnsi="Arial" w:cs="Arial"/>
          <w:sz w:val="22"/>
          <w:szCs w:val="22"/>
          <w:lang w:val="en-IN" w:bidi="ar-SA"/>
        </w:rPr>
        <w:t>. Available at: https://www.thesun.co.uk/news/37575554/migrants-smuggle-cocaine-heroin-britain-channel (Accessed: 20 January 2026).</w:t>
      </w:r>
    </w:p>
    <w:p w14:paraId="51E37DE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van Dorp, M., Boon, A., </w:t>
      </w:r>
      <w:proofErr w:type="spellStart"/>
      <w:r w:rsidRPr="00027E45">
        <w:rPr>
          <w:rFonts w:ascii="Arial" w:hAnsi="Arial" w:cs="Arial"/>
          <w:sz w:val="22"/>
          <w:szCs w:val="22"/>
          <w:lang w:val="en-IN" w:bidi="ar-SA"/>
        </w:rPr>
        <w:t>Spijkerman</w:t>
      </w:r>
      <w:proofErr w:type="spellEnd"/>
      <w:r w:rsidRPr="00027E45">
        <w:rPr>
          <w:rFonts w:ascii="Arial" w:hAnsi="Arial" w:cs="Arial"/>
          <w:sz w:val="22"/>
          <w:szCs w:val="22"/>
          <w:lang w:val="en-IN" w:bidi="ar-SA"/>
        </w:rPr>
        <w:t xml:space="preserve">, R. and Los, L. (2020) ‘Substance use prevalence rates among migrant and native adolescents in Europe: A systematic review’, </w:t>
      </w:r>
      <w:r w:rsidRPr="00027E45">
        <w:rPr>
          <w:rFonts w:ascii="Arial" w:hAnsi="Arial" w:cs="Arial"/>
          <w:i/>
          <w:iCs/>
          <w:sz w:val="22"/>
          <w:szCs w:val="22"/>
          <w:lang w:val="en-IN" w:bidi="ar-SA"/>
        </w:rPr>
        <w:t>Drug and Alcohol Review</w:t>
      </w:r>
      <w:r w:rsidRPr="00027E45">
        <w:rPr>
          <w:rFonts w:ascii="Arial" w:hAnsi="Arial" w:cs="Arial"/>
          <w:sz w:val="22"/>
          <w:szCs w:val="22"/>
          <w:lang w:val="en-IN" w:bidi="ar-SA"/>
        </w:rPr>
        <w:t>, 40(2), pp. 325–339.</w:t>
      </w:r>
    </w:p>
    <w:p w14:paraId="1F631E1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ONS (2024) </w:t>
      </w:r>
      <w:r w:rsidRPr="00027E45">
        <w:rPr>
          <w:rFonts w:ascii="Arial" w:hAnsi="Arial" w:cs="Arial"/>
          <w:i/>
          <w:iCs/>
          <w:sz w:val="22"/>
          <w:szCs w:val="22"/>
          <w:lang w:val="en-IN" w:bidi="ar-SA"/>
        </w:rPr>
        <w:t>Drug misuse in England and Wales: year ending March 2024.</w:t>
      </w:r>
      <w:r w:rsidRPr="00027E45">
        <w:rPr>
          <w:rFonts w:ascii="Arial" w:hAnsi="Arial" w:cs="Arial"/>
          <w:sz w:val="22"/>
          <w:szCs w:val="22"/>
          <w:lang w:val="en-IN" w:bidi="ar-SA"/>
        </w:rPr>
        <w:t xml:space="preserve"> Available at:</w:t>
      </w:r>
      <w:hyperlink r:id="rId16" w:history="1">
        <w:r w:rsidRPr="00027E45">
          <w:rPr>
            <w:rStyle w:val="Hyperlink"/>
            <w:rFonts w:ascii="Arial" w:hAnsi="Arial" w:cs="Arial"/>
            <w:sz w:val="22"/>
            <w:szCs w:val="22"/>
            <w:lang w:val="en-IN" w:bidi="ar-SA"/>
          </w:rPr>
          <w:t xml:space="preserve"> https://www.ons.gov.uk/peoplepopulationandcommunity/crimeandjustice/articles/drugmisuseinenglandandwales/yearendingmarch2024</w:t>
        </w:r>
      </w:hyperlink>
      <w:r w:rsidRPr="00027E45">
        <w:rPr>
          <w:rFonts w:ascii="Arial" w:hAnsi="Arial" w:cs="Arial"/>
          <w:sz w:val="22"/>
          <w:szCs w:val="22"/>
          <w:lang w:val="en-IN" w:bidi="ar-SA"/>
        </w:rPr>
        <w:t xml:space="preserve"> (Accessed: 16 January 2026) </w:t>
      </w:r>
    </w:p>
    <w:p w14:paraId="3885C07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EUDA (2023) </w:t>
      </w:r>
      <w:r w:rsidRPr="00027E45">
        <w:rPr>
          <w:rFonts w:ascii="Arial" w:hAnsi="Arial" w:cs="Arial"/>
          <w:i/>
          <w:iCs/>
          <w:sz w:val="22"/>
          <w:szCs w:val="22"/>
          <w:lang w:val="en-IN" w:bidi="ar-SA"/>
        </w:rPr>
        <w:t>Migrants and drugs: health and social responses.</w:t>
      </w:r>
      <w:r w:rsidRPr="00027E45">
        <w:rPr>
          <w:rFonts w:ascii="Arial" w:hAnsi="Arial" w:cs="Arial"/>
          <w:b/>
          <w:bCs/>
          <w:sz w:val="22"/>
          <w:szCs w:val="22"/>
          <w:lang w:val="en-IN" w:bidi="ar-SA"/>
        </w:rPr>
        <w:t xml:space="preserve"> </w:t>
      </w:r>
      <w:r w:rsidRPr="00027E45">
        <w:rPr>
          <w:rFonts w:ascii="Arial" w:hAnsi="Arial" w:cs="Arial"/>
          <w:sz w:val="22"/>
          <w:szCs w:val="22"/>
          <w:lang w:val="en-IN" w:bidi="ar-SA"/>
        </w:rPr>
        <w:t>Available at:</w:t>
      </w:r>
      <w:hyperlink r:id="rId17" w:history="1">
        <w:r w:rsidRPr="00027E45">
          <w:rPr>
            <w:rStyle w:val="Hyperlink"/>
            <w:rFonts w:ascii="Arial" w:hAnsi="Arial" w:cs="Arial"/>
            <w:sz w:val="22"/>
            <w:szCs w:val="22"/>
            <w:lang w:val="en-IN" w:bidi="ar-SA"/>
          </w:rPr>
          <w:t xml:space="preserve"> https://www.euda.europa.eu/publications/mini-guides/migrants-and-drugs-health-and-social-responses_en</w:t>
        </w:r>
      </w:hyperlink>
      <w:r w:rsidRPr="00027E45">
        <w:rPr>
          <w:rFonts w:ascii="Arial" w:hAnsi="Arial" w:cs="Arial"/>
          <w:sz w:val="22"/>
          <w:szCs w:val="22"/>
          <w:lang w:val="en-IN" w:bidi="ar-SA"/>
        </w:rPr>
        <w:t xml:space="preserve"> (Accessed: 17 January 2026)</w:t>
      </w:r>
    </w:p>
    <w:p w14:paraId="7E34FE26"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GOV.UK (2024) </w:t>
      </w:r>
      <w:r w:rsidRPr="00027E45">
        <w:rPr>
          <w:rFonts w:ascii="Arial" w:hAnsi="Arial" w:cs="Arial"/>
          <w:i/>
          <w:iCs/>
          <w:sz w:val="22"/>
          <w:szCs w:val="22"/>
          <w:lang w:val="en-IN" w:bidi="ar-SA"/>
        </w:rPr>
        <w:t>Young people's substance misuse treatment statistics 2022 to 2023: report.</w:t>
      </w:r>
      <w:r w:rsidRPr="00027E45">
        <w:rPr>
          <w:rFonts w:ascii="Arial" w:hAnsi="Arial" w:cs="Arial"/>
          <w:b/>
          <w:bCs/>
          <w:sz w:val="22"/>
          <w:szCs w:val="22"/>
          <w:lang w:val="en-IN" w:bidi="ar-SA"/>
        </w:rPr>
        <w:t xml:space="preserve"> </w:t>
      </w:r>
      <w:r w:rsidRPr="00027E45">
        <w:rPr>
          <w:rFonts w:ascii="Arial" w:hAnsi="Arial" w:cs="Arial"/>
          <w:sz w:val="22"/>
          <w:szCs w:val="22"/>
          <w:lang w:val="en-IN" w:bidi="ar-SA"/>
        </w:rPr>
        <w:t>Available at:</w:t>
      </w:r>
      <w:hyperlink r:id="rId18" w:history="1">
        <w:r w:rsidRPr="00027E45">
          <w:rPr>
            <w:rStyle w:val="Hyperlink"/>
            <w:rFonts w:ascii="Arial" w:hAnsi="Arial" w:cs="Arial"/>
            <w:sz w:val="22"/>
            <w:szCs w:val="22"/>
            <w:lang w:val="en-IN" w:bidi="ar-SA"/>
          </w:rPr>
          <w:t xml:space="preserve"> https://www.gov.uk/government/statistics/substance-misuse-treatment-for-young-people-2022-to-2023/young-peoples-substance-misuse-treatment-statistics-2022-to-2023-report</w:t>
        </w:r>
      </w:hyperlink>
      <w:r w:rsidRPr="00027E45">
        <w:rPr>
          <w:rFonts w:ascii="Arial" w:hAnsi="Arial" w:cs="Arial"/>
          <w:sz w:val="22"/>
          <w:szCs w:val="22"/>
          <w:lang w:val="en-IN" w:bidi="ar-SA"/>
        </w:rPr>
        <w:t xml:space="preserve"> (Accessed: 17 January 2026)</w:t>
      </w:r>
    </w:p>
    <w:p w14:paraId="5206FA1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Saunders, M., Thornhill, A. and Lewis, P. (2019) </w:t>
      </w:r>
      <w:r w:rsidRPr="00027E45">
        <w:rPr>
          <w:rFonts w:ascii="Arial" w:hAnsi="Arial" w:cs="Arial"/>
          <w:i/>
          <w:iCs/>
          <w:sz w:val="22"/>
          <w:szCs w:val="22"/>
          <w:lang w:val="en-IN" w:bidi="ar-SA"/>
        </w:rPr>
        <w:t>Research Methods for Business Students (8th Edition).</w:t>
      </w:r>
      <w:r w:rsidRPr="00027E45">
        <w:rPr>
          <w:rFonts w:ascii="Arial" w:hAnsi="Arial" w:cs="Arial"/>
          <w:sz w:val="22"/>
          <w:szCs w:val="22"/>
          <w:lang w:val="en-IN" w:bidi="ar-SA"/>
        </w:rPr>
        <w:t xml:space="preserve"> London: Pearson.</w:t>
      </w:r>
    </w:p>
    <w:p w14:paraId="70B5B2D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Canfield, M., Worrell, M. and </w:t>
      </w:r>
      <w:proofErr w:type="spellStart"/>
      <w:r w:rsidRPr="00027E45">
        <w:rPr>
          <w:rFonts w:ascii="Arial" w:hAnsi="Arial" w:cs="Arial"/>
          <w:sz w:val="22"/>
          <w:szCs w:val="22"/>
          <w:lang w:val="en-IN" w:bidi="ar-SA"/>
        </w:rPr>
        <w:t>Gilvarry</w:t>
      </w:r>
      <w:proofErr w:type="spellEnd"/>
      <w:r w:rsidRPr="00027E45">
        <w:rPr>
          <w:rFonts w:ascii="Arial" w:hAnsi="Arial" w:cs="Arial"/>
          <w:sz w:val="22"/>
          <w:szCs w:val="22"/>
          <w:lang w:val="en-IN" w:bidi="ar-SA"/>
        </w:rPr>
        <w:t xml:space="preserve">, C. (2017) ‘Determinants of substance use amongst Brazilians residing in the UK: The role of acculturation’, </w:t>
      </w:r>
      <w:r w:rsidRPr="00027E45">
        <w:rPr>
          <w:rFonts w:ascii="Arial" w:hAnsi="Arial" w:cs="Arial"/>
          <w:i/>
          <w:iCs/>
          <w:sz w:val="22"/>
          <w:szCs w:val="22"/>
          <w:lang w:val="en-IN" w:bidi="ar-SA"/>
        </w:rPr>
        <w:t>Drug and Alcohol Review</w:t>
      </w:r>
      <w:r w:rsidRPr="00027E45">
        <w:rPr>
          <w:rFonts w:ascii="Arial" w:hAnsi="Arial" w:cs="Arial"/>
          <w:sz w:val="22"/>
          <w:szCs w:val="22"/>
          <w:lang w:val="en-IN" w:bidi="ar-SA"/>
        </w:rPr>
        <w:t>, 36(6), pp. 751-760.</w:t>
      </w:r>
    </w:p>
    <w:p w14:paraId="059B354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 xml:space="preserve">Salas-Wright, C.P. and Schwartz, S.J. (2019) ‘The study and prevention of alcohol and other drug misuse among migrants: Toward a transnational theory of cultural stress’, </w:t>
      </w:r>
      <w:r w:rsidRPr="00027E45">
        <w:rPr>
          <w:rFonts w:ascii="Arial" w:hAnsi="Arial" w:cs="Arial"/>
          <w:i/>
          <w:iCs/>
          <w:sz w:val="22"/>
          <w:szCs w:val="22"/>
          <w:lang w:val="en-IN" w:bidi="ar-SA"/>
        </w:rPr>
        <w:t>International Journal of Mental Health and Addiction</w:t>
      </w:r>
      <w:r w:rsidRPr="00027E45">
        <w:rPr>
          <w:rFonts w:ascii="Arial" w:hAnsi="Arial" w:cs="Arial"/>
          <w:sz w:val="22"/>
          <w:szCs w:val="22"/>
          <w:lang w:val="en-IN" w:bidi="ar-SA"/>
        </w:rPr>
        <w:t>, 17(2), pp. 346-369.</w:t>
      </w:r>
    </w:p>
    <w:p w14:paraId="2E56D35C"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Melnikovas, A. (2018) ‘Towards an Explicit Research Methodology: Adapting Research Onion Model for Futures Studies’, </w:t>
      </w:r>
      <w:r w:rsidRPr="00027E45">
        <w:rPr>
          <w:rFonts w:ascii="Arial" w:hAnsi="Arial" w:cs="Arial"/>
          <w:i/>
          <w:iCs/>
          <w:sz w:val="22"/>
          <w:szCs w:val="22"/>
          <w:lang w:val="en-IN" w:bidi="ar-SA"/>
        </w:rPr>
        <w:t>Journal of futures Studies</w:t>
      </w:r>
      <w:r w:rsidRPr="00027E45">
        <w:rPr>
          <w:rFonts w:ascii="Arial" w:hAnsi="Arial" w:cs="Arial"/>
          <w:sz w:val="22"/>
          <w:szCs w:val="22"/>
          <w:lang w:val="en-IN" w:bidi="ar-SA"/>
        </w:rPr>
        <w:t>, 23(2), pp. 29-44.</w:t>
      </w:r>
    </w:p>
    <w:p w14:paraId="53F7349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Liu, L. (2016) ‘Using generic inductive approach in qualitative educational research: A case study analysis’, </w:t>
      </w:r>
      <w:r w:rsidRPr="00027E45">
        <w:rPr>
          <w:rFonts w:ascii="Arial" w:hAnsi="Arial" w:cs="Arial"/>
          <w:i/>
          <w:iCs/>
          <w:sz w:val="22"/>
          <w:szCs w:val="22"/>
          <w:lang w:val="en-IN" w:bidi="ar-SA"/>
        </w:rPr>
        <w:t>Journal of education and learning</w:t>
      </w:r>
      <w:r w:rsidRPr="00027E45">
        <w:rPr>
          <w:rFonts w:ascii="Arial" w:hAnsi="Arial" w:cs="Arial"/>
          <w:sz w:val="22"/>
          <w:szCs w:val="22"/>
          <w:lang w:val="en-IN" w:bidi="ar-SA"/>
        </w:rPr>
        <w:t>, 5(2), pp. 129-135.</w:t>
      </w:r>
    </w:p>
    <w:p w14:paraId="4DAA036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Bassot, B. (2022) </w:t>
      </w:r>
      <w:r w:rsidRPr="00027E45">
        <w:rPr>
          <w:rFonts w:ascii="Arial" w:hAnsi="Arial" w:cs="Arial"/>
          <w:i/>
          <w:iCs/>
          <w:sz w:val="22"/>
          <w:szCs w:val="22"/>
          <w:lang w:val="en-IN" w:bidi="ar-SA"/>
        </w:rPr>
        <w:t>Doing qualitative desk-based research: A practical guide to writing an excellent dissertation</w:t>
      </w:r>
      <w:r w:rsidRPr="00027E45">
        <w:rPr>
          <w:rFonts w:ascii="Arial" w:hAnsi="Arial" w:cs="Arial"/>
          <w:sz w:val="22"/>
          <w:szCs w:val="22"/>
          <w:lang w:val="en-IN" w:bidi="ar-SA"/>
        </w:rPr>
        <w:t>. London: Policy Press.</w:t>
      </w:r>
    </w:p>
    <w:p w14:paraId="0E50C81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Sahay, A. (2016) ‘Peeling Saunder's research onion’, </w:t>
      </w:r>
      <w:r w:rsidRPr="00027E45">
        <w:rPr>
          <w:rFonts w:ascii="Arial" w:hAnsi="Arial" w:cs="Arial"/>
          <w:i/>
          <w:iCs/>
          <w:sz w:val="22"/>
          <w:szCs w:val="22"/>
          <w:lang w:val="en-IN" w:bidi="ar-SA"/>
        </w:rPr>
        <w:t>Research Gate, Art</w:t>
      </w:r>
      <w:r w:rsidRPr="00027E45">
        <w:rPr>
          <w:rFonts w:ascii="Arial" w:hAnsi="Arial" w:cs="Arial"/>
          <w:sz w:val="22"/>
          <w:szCs w:val="22"/>
          <w:lang w:val="en-IN" w:bidi="ar-SA"/>
        </w:rPr>
        <w:t>, 3(2), pp. 1-5.</w:t>
      </w:r>
    </w:p>
    <w:p w14:paraId="4C187C4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Mesek, M. (2023) ‘How to understand the language of business research methods’, In </w:t>
      </w:r>
      <w:r w:rsidRPr="00027E45">
        <w:rPr>
          <w:rFonts w:ascii="Arial" w:hAnsi="Arial" w:cs="Arial"/>
          <w:i/>
          <w:iCs/>
          <w:sz w:val="22"/>
          <w:szCs w:val="22"/>
          <w:lang w:val="en-IN" w:bidi="ar-SA"/>
        </w:rPr>
        <w:t>Sage Research Methods: Business</w:t>
      </w:r>
      <w:r w:rsidRPr="00027E45">
        <w:rPr>
          <w:rFonts w:ascii="Arial" w:hAnsi="Arial" w:cs="Arial"/>
          <w:sz w:val="22"/>
          <w:szCs w:val="22"/>
          <w:lang w:val="en-IN" w:bidi="ar-SA"/>
        </w:rPr>
        <w:t>. London: SAGE Publications Ltd.</w:t>
      </w:r>
    </w:p>
    <w:p w14:paraId="6265C2C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Nanthagopan, Y. (2021) ‘Review and comparison of multi-method and mixed method application in research studies’, </w:t>
      </w:r>
      <w:r w:rsidRPr="00027E45">
        <w:rPr>
          <w:rFonts w:ascii="Arial" w:hAnsi="Arial" w:cs="Arial"/>
          <w:i/>
          <w:iCs/>
          <w:sz w:val="22"/>
          <w:szCs w:val="22"/>
          <w:lang w:val="en-IN" w:bidi="ar-SA"/>
        </w:rPr>
        <w:t>Journal of Advanced Research</w:t>
      </w:r>
      <w:r w:rsidRPr="00027E45">
        <w:rPr>
          <w:rFonts w:ascii="Arial" w:hAnsi="Arial" w:cs="Arial"/>
          <w:sz w:val="22"/>
          <w:szCs w:val="22"/>
          <w:lang w:val="en-IN" w:bidi="ar-SA"/>
        </w:rPr>
        <w:t>, 2(3), pp. 55-78.</w:t>
      </w:r>
    </w:p>
    <w:p w14:paraId="74ED611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Cohen, L., Manion, L. and Morrison, K. (2017) ‘Surveys, longitudinal, cross-sectional and trend studies’, In </w:t>
      </w:r>
      <w:r w:rsidRPr="00027E45">
        <w:rPr>
          <w:rFonts w:ascii="Arial" w:hAnsi="Arial" w:cs="Arial"/>
          <w:i/>
          <w:iCs/>
          <w:sz w:val="22"/>
          <w:szCs w:val="22"/>
          <w:lang w:val="en-IN" w:bidi="ar-SA"/>
        </w:rPr>
        <w:t>Research methods in education</w:t>
      </w:r>
      <w:r w:rsidRPr="00027E45">
        <w:rPr>
          <w:rFonts w:ascii="Arial" w:hAnsi="Arial" w:cs="Arial"/>
          <w:sz w:val="22"/>
          <w:szCs w:val="22"/>
          <w:lang w:val="en-IN" w:bidi="ar-SA"/>
        </w:rPr>
        <w:t xml:space="preserve"> (pp. 334-360). London: Routledge.</w:t>
      </w:r>
    </w:p>
    <w:p w14:paraId="51B1CC26"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Ahmed, S.K., Mohammed, R.A., Nashwan, A.J., Ibrahim, R.H., Abdalla, A.Q., Ameen, B.M.M. and </w:t>
      </w:r>
      <w:proofErr w:type="spellStart"/>
      <w:r w:rsidRPr="00027E45">
        <w:rPr>
          <w:rFonts w:ascii="Arial" w:hAnsi="Arial" w:cs="Arial"/>
          <w:sz w:val="22"/>
          <w:szCs w:val="22"/>
          <w:lang w:val="en-IN" w:bidi="ar-SA"/>
        </w:rPr>
        <w:t>Khdhir</w:t>
      </w:r>
      <w:proofErr w:type="spellEnd"/>
      <w:r w:rsidRPr="00027E45">
        <w:rPr>
          <w:rFonts w:ascii="Arial" w:hAnsi="Arial" w:cs="Arial"/>
          <w:sz w:val="22"/>
          <w:szCs w:val="22"/>
          <w:lang w:val="en-IN" w:bidi="ar-SA"/>
        </w:rPr>
        <w:t xml:space="preserve">, R.M. (2025) ‘Using thematic analysis in qualitative research’, </w:t>
      </w:r>
      <w:r w:rsidRPr="00027E45">
        <w:rPr>
          <w:rFonts w:ascii="Arial" w:hAnsi="Arial" w:cs="Arial"/>
          <w:i/>
          <w:iCs/>
          <w:sz w:val="22"/>
          <w:szCs w:val="22"/>
          <w:lang w:val="en-IN" w:bidi="ar-SA"/>
        </w:rPr>
        <w:t>Journal of Medicine, Surgery, and Public Health</w:t>
      </w:r>
      <w:r w:rsidRPr="00027E45">
        <w:rPr>
          <w:rFonts w:ascii="Arial" w:hAnsi="Arial" w:cs="Arial"/>
          <w:sz w:val="22"/>
          <w:szCs w:val="22"/>
          <w:lang w:val="en-IN" w:bidi="ar-SA"/>
        </w:rPr>
        <w:t>, 6, p. 100198.</w:t>
      </w:r>
    </w:p>
    <w:p w14:paraId="2CF1BB2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Cheong, H.I., Lyons, A., Houghton, R. and Majumdar, A. (2023) ‘Secondary qualitative research methodology using online data within the context of social sciences’, </w:t>
      </w:r>
      <w:r w:rsidRPr="00027E45">
        <w:rPr>
          <w:rFonts w:ascii="Arial" w:hAnsi="Arial" w:cs="Arial"/>
          <w:i/>
          <w:iCs/>
          <w:sz w:val="22"/>
          <w:szCs w:val="22"/>
          <w:lang w:val="en-IN" w:bidi="ar-SA"/>
        </w:rPr>
        <w:t>International Journal of Qualitative Methods</w:t>
      </w:r>
      <w:r w:rsidRPr="00027E45">
        <w:rPr>
          <w:rFonts w:ascii="Arial" w:hAnsi="Arial" w:cs="Arial"/>
          <w:sz w:val="22"/>
          <w:szCs w:val="22"/>
          <w:lang w:val="en-IN" w:bidi="ar-SA"/>
        </w:rPr>
        <w:t>, 22, p. 16094069231180160.</w:t>
      </w:r>
    </w:p>
    <w:p w14:paraId="50A494F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ACMD Advisory Council on the Misuse of Drugs (2022) </w:t>
      </w:r>
      <w:r w:rsidRPr="00027E45">
        <w:rPr>
          <w:rFonts w:ascii="Arial" w:hAnsi="Arial" w:cs="Arial"/>
          <w:i/>
          <w:iCs/>
          <w:sz w:val="22"/>
          <w:szCs w:val="22"/>
          <w:lang w:val="en-IN" w:bidi="ar-SA"/>
        </w:rPr>
        <w:t>Drug misuse prevention report</w:t>
      </w:r>
      <w:r w:rsidRPr="00027E45">
        <w:rPr>
          <w:rFonts w:ascii="Arial" w:hAnsi="Arial" w:cs="Arial"/>
          <w:sz w:val="22"/>
          <w:szCs w:val="22"/>
          <w:lang w:val="en-IN" w:bidi="ar-SA"/>
        </w:rPr>
        <w:t>, 16 May. Available at:</w:t>
      </w:r>
      <w:hyperlink r:id="rId19" w:history="1">
        <w:r w:rsidRPr="00027E45">
          <w:rPr>
            <w:rStyle w:val="Hyperlink"/>
            <w:rFonts w:ascii="Arial" w:hAnsi="Arial" w:cs="Arial"/>
            <w:sz w:val="22"/>
            <w:szCs w:val="22"/>
            <w:lang w:val="en-IN" w:bidi="ar-SA"/>
          </w:rPr>
          <w:t xml:space="preserve"> https://assets.publishing.service.gov.uk/media/628254fbd3bf7f1f433ae0e6/16052022_-_ACMD_Drug_Misuse_Prevention_Report_-_Final__Published_version_.pdf</w:t>
        </w:r>
      </w:hyperlink>
      <w:r w:rsidRPr="00027E45">
        <w:rPr>
          <w:rFonts w:ascii="Arial" w:hAnsi="Arial" w:cs="Arial"/>
          <w:sz w:val="22"/>
          <w:szCs w:val="22"/>
          <w:lang w:val="en-IN" w:bidi="ar-SA"/>
        </w:rPr>
        <w:t xml:space="preserve"> (Accessed: 18 January 2026).</w:t>
      </w:r>
    </w:p>
    <w:p w14:paraId="54F489FF" w14:textId="77777777" w:rsidR="00027E45" w:rsidRPr="00027E45" w:rsidRDefault="00027E45" w:rsidP="00027E45">
      <w:pPr>
        <w:spacing w:before="100" w:beforeAutospacing="1" w:after="100" w:afterAutospacing="1"/>
        <w:rPr>
          <w:rFonts w:ascii="Arial" w:hAnsi="Arial" w:cs="Arial"/>
          <w:sz w:val="22"/>
          <w:szCs w:val="22"/>
          <w:lang w:val="en-IN" w:bidi="ar-SA"/>
        </w:rPr>
      </w:pPr>
      <w:proofErr w:type="spellStart"/>
      <w:r w:rsidRPr="00027E45">
        <w:rPr>
          <w:rFonts w:ascii="Arial" w:hAnsi="Arial" w:cs="Arial"/>
          <w:sz w:val="22"/>
          <w:szCs w:val="22"/>
          <w:lang w:val="en-IN" w:bidi="ar-SA"/>
        </w:rPr>
        <w:lastRenderedPageBreak/>
        <w:t>Aytur</w:t>
      </w:r>
      <w:proofErr w:type="spellEnd"/>
      <w:r w:rsidRPr="00027E45">
        <w:rPr>
          <w:rFonts w:ascii="Arial" w:hAnsi="Arial" w:cs="Arial"/>
          <w:sz w:val="22"/>
          <w:szCs w:val="22"/>
          <w:lang w:val="en-IN" w:bidi="ar-SA"/>
        </w:rPr>
        <w:t>, S.A., Carlino, S., Bernard, F., West, K., Dobrzycki, V. and Malik, R. (2022) ‘Social</w:t>
      </w:r>
      <w:r w:rsidRPr="00027E45">
        <w:rPr>
          <w:rFonts w:ascii="Cambria Math" w:hAnsi="Cambria Math" w:cs="Cambria Math"/>
          <w:sz w:val="22"/>
          <w:szCs w:val="22"/>
          <w:lang w:val="en-IN" w:bidi="ar-SA"/>
        </w:rPr>
        <w:t>‐</w:t>
      </w:r>
      <w:r w:rsidRPr="00027E45">
        <w:rPr>
          <w:rFonts w:ascii="Arial" w:hAnsi="Arial" w:cs="Arial"/>
          <w:sz w:val="22"/>
          <w:szCs w:val="22"/>
          <w:lang w:val="en-IN" w:bidi="ar-SA"/>
        </w:rPr>
        <w:t xml:space="preserve">ecological theory, substance misuse, adverse childhood experiences, and adolescent suicidal ideation: Applications for community–academic partnerships,’ </w:t>
      </w:r>
      <w:r w:rsidRPr="00027E45">
        <w:rPr>
          <w:rFonts w:ascii="Arial" w:hAnsi="Arial" w:cs="Arial"/>
          <w:i/>
          <w:iCs/>
          <w:sz w:val="22"/>
          <w:szCs w:val="22"/>
          <w:lang w:val="en-IN" w:bidi="ar-SA"/>
        </w:rPr>
        <w:t>Journal of community psychology</w:t>
      </w:r>
      <w:r w:rsidRPr="00027E45">
        <w:rPr>
          <w:rFonts w:ascii="Arial" w:hAnsi="Arial" w:cs="Arial"/>
          <w:sz w:val="22"/>
          <w:szCs w:val="22"/>
          <w:lang w:val="en-IN" w:bidi="ar-SA"/>
        </w:rPr>
        <w:t>, 50(1), pp. 265-284.</w:t>
      </w:r>
    </w:p>
    <w:p w14:paraId="445EDE8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Council of Europe (2022) </w:t>
      </w:r>
      <w:r w:rsidRPr="00027E45">
        <w:rPr>
          <w:rFonts w:ascii="Arial" w:hAnsi="Arial" w:cs="Arial"/>
          <w:i/>
          <w:iCs/>
          <w:sz w:val="22"/>
          <w:szCs w:val="22"/>
          <w:lang w:val="en-IN" w:bidi="ar-SA"/>
        </w:rPr>
        <w:t>Intercultural responses to drug-related challenges for refugees, migrants and IDPS</w:t>
      </w:r>
      <w:r w:rsidRPr="00027E45">
        <w:rPr>
          <w:rFonts w:ascii="Arial" w:hAnsi="Arial" w:cs="Arial"/>
          <w:sz w:val="22"/>
          <w:szCs w:val="22"/>
          <w:lang w:val="en-IN" w:bidi="ar-SA"/>
        </w:rPr>
        <w:t>. Available at:</w:t>
      </w:r>
      <w:hyperlink r:id="rId20" w:history="1">
        <w:r w:rsidRPr="00027E45">
          <w:rPr>
            <w:rStyle w:val="Hyperlink"/>
            <w:rFonts w:ascii="Arial" w:hAnsi="Arial" w:cs="Arial"/>
            <w:sz w:val="22"/>
            <w:szCs w:val="22"/>
            <w:lang w:val="en-IN" w:bidi="ar-SA"/>
          </w:rPr>
          <w:t xml:space="preserve"> https://rm.coe.int/intercultural-responses-to-drug-related-challenges-refugees-migrants-i/1680ae0ebf</w:t>
        </w:r>
      </w:hyperlink>
      <w:r w:rsidRPr="00027E45">
        <w:rPr>
          <w:rFonts w:ascii="Arial" w:hAnsi="Arial" w:cs="Arial"/>
          <w:sz w:val="22"/>
          <w:szCs w:val="22"/>
          <w:lang w:val="en-IN" w:bidi="ar-SA"/>
        </w:rPr>
        <w:t xml:space="preserve"> (Accessed: 18 January 2026).</w:t>
      </w:r>
    </w:p>
    <w:p w14:paraId="068C4B5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Currier, D., Patton, G., Sanci, L., </w:t>
      </w:r>
      <w:proofErr w:type="spellStart"/>
      <w:r w:rsidRPr="00027E45">
        <w:rPr>
          <w:rFonts w:ascii="Arial" w:hAnsi="Arial" w:cs="Arial"/>
          <w:sz w:val="22"/>
          <w:szCs w:val="22"/>
          <w:lang w:val="en-IN" w:bidi="ar-SA"/>
        </w:rPr>
        <w:t>Sahabandu</w:t>
      </w:r>
      <w:proofErr w:type="spellEnd"/>
      <w:r w:rsidRPr="00027E45">
        <w:rPr>
          <w:rFonts w:ascii="Arial" w:hAnsi="Arial" w:cs="Arial"/>
          <w:sz w:val="22"/>
          <w:szCs w:val="22"/>
          <w:lang w:val="en-IN" w:bidi="ar-SA"/>
        </w:rPr>
        <w:t xml:space="preserve">, S., Spittal, M., English, D., Milner, A. and </w:t>
      </w:r>
      <w:proofErr w:type="spellStart"/>
      <w:r w:rsidRPr="00027E45">
        <w:rPr>
          <w:rFonts w:ascii="Arial" w:hAnsi="Arial" w:cs="Arial"/>
          <w:sz w:val="22"/>
          <w:szCs w:val="22"/>
          <w:lang w:val="en-IN" w:bidi="ar-SA"/>
        </w:rPr>
        <w:t>Pirkis</w:t>
      </w:r>
      <w:proofErr w:type="spellEnd"/>
      <w:r w:rsidRPr="00027E45">
        <w:rPr>
          <w:rFonts w:ascii="Arial" w:hAnsi="Arial" w:cs="Arial"/>
          <w:sz w:val="22"/>
          <w:szCs w:val="22"/>
          <w:lang w:val="en-IN" w:bidi="ar-SA"/>
        </w:rPr>
        <w:t xml:space="preserve">, J. (2021) ‘Socioeconomic disadvantage, mental health and substance use in young men in emerging adulthood,’ </w:t>
      </w:r>
      <w:proofErr w:type="spellStart"/>
      <w:r w:rsidRPr="00027E45">
        <w:rPr>
          <w:rFonts w:ascii="Arial" w:hAnsi="Arial" w:cs="Arial"/>
          <w:i/>
          <w:iCs/>
          <w:sz w:val="22"/>
          <w:szCs w:val="22"/>
          <w:lang w:val="en-IN" w:bidi="ar-SA"/>
        </w:rPr>
        <w:t>Behavioral</w:t>
      </w:r>
      <w:proofErr w:type="spellEnd"/>
      <w:r w:rsidRPr="00027E45">
        <w:rPr>
          <w:rFonts w:ascii="Arial" w:hAnsi="Arial" w:cs="Arial"/>
          <w:i/>
          <w:iCs/>
          <w:sz w:val="22"/>
          <w:szCs w:val="22"/>
          <w:lang w:val="en-IN" w:bidi="ar-SA"/>
        </w:rPr>
        <w:t xml:space="preserve"> medicine</w:t>
      </w:r>
      <w:r w:rsidRPr="00027E45">
        <w:rPr>
          <w:rFonts w:ascii="Arial" w:hAnsi="Arial" w:cs="Arial"/>
          <w:sz w:val="22"/>
          <w:szCs w:val="22"/>
          <w:lang w:val="en-IN" w:bidi="ar-SA"/>
        </w:rPr>
        <w:t>, 47(1), pp. 31-39.</w:t>
      </w:r>
    </w:p>
    <w:p w14:paraId="4F33486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EC European Commission (2020) </w:t>
      </w:r>
      <w:r w:rsidRPr="00027E45">
        <w:rPr>
          <w:rFonts w:ascii="Arial" w:hAnsi="Arial" w:cs="Arial"/>
          <w:i/>
          <w:iCs/>
          <w:sz w:val="22"/>
          <w:szCs w:val="22"/>
          <w:lang w:val="en-IN" w:bidi="ar-SA"/>
        </w:rPr>
        <w:t>Report on the health status of newly arrived migrants and refugees in EU/EEA</w:t>
      </w:r>
      <w:r w:rsidRPr="00027E45">
        <w:rPr>
          <w:rFonts w:ascii="Arial" w:hAnsi="Arial" w:cs="Arial"/>
          <w:sz w:val="22"/>
          <w:szCs w:val="22"/>
          <w:lang w:val="en-IN" w:bidi="ar-SA"/>
        </w:rPr>
        <w:t>. Available at:</w:t>
      </w:r>
      <w:hyperlink r:id="rId21" w:history="1">
        <w:r w:rsidRPr="00027E45">
          <w:rPr>
            <w:rStyle w:val="Hyperlink"/>
            <w:rFonts w:ascii="Arial" w:hAnsi="Arial" w:cs="Arial"/>
            <w:sz w:val="22"/>
            <w:szCs w:val="22"/>
            <w:lang w:val="en-IN" w:bidi="ar-SA"/>
          </w:rPr>
          <w:t xml:space="preserve"> https://health.ec.europa.eu/system/files/2020-06/healthstatus_newlyarrivedmigrantsrefugees_en_0.pdf</w:t>
        </w:r>
      </w:hyperlink>
      <w:r w:rsidRPr="00027E45">
        <w:rPr>
          <w:rFonts w:ascii="Arial" w:hAnsi="Arial" w:cs="Arial"/>
          <w:sz w:val="22"/>
          <w:szCs w:val="22"/>
          <w:lang w:val="en-IN" w:bidi="ar-SA"/>
        </w:rPr>
        <w:t xml:space="preserve"> (Accessed: 17 January 2026).</w:t>
      </w:r>
    </w:p>
    <w:p w14:paraId="7D6E9F8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EMCDDA European Monitoring Centre for Drugs and Drug Addiction (2020) </w:t>
      </w:r>
      <w:r w:rsidRPr="00027E45">
        <w:rPr>
          <w:rFonts w:ascii="Arial" w:hAnsi="Arial" w:cs="Arial"/>
          <w:i/>
          <w:iCs/>
          <w:sz w:val="22"/>
          <w:szCs w:val="22"/>
          <w:lang w:val="en-IN" w:bidi="ar-SA"/>
        </w:rPr>
        <w:t>Drug prevention interventions targeting minority ethnic populations: Issues raised by 33 case studies</w:t>
      </w:r>
      <w:r w:rsidRPr="00027E45">
        <w:rPr>
          <w:rFonts w:ascii="Arial" w:hAnsi="Arial" w:cs="Arial"/>
          <w:sz w:val="22"/>
          <w:szCs w:val="22"/>
          <w:lang w:val="en-IN" w:bidi="ar-SA"/>
        </w:rPr>
        <w:t>. Available at:</w:t>
      </w:r>
      <w:hyperlink r:id="rId22" w:history="1">
        <w:r w:rsidRPr="00027E45">
          <w:rPr>
            <w:rStyle w:val="Hyperlink"/>
            <w:rFonts w:ascii="Arial" w:hAnsi="Arial" w:cs="Arial"/>
            <w:sz w:val="22"/>
            <w:szCs w:val="22"/>
            <w:lang w:val="en-IN" w:bidi="ar-SA"/>
          </w:rPr>
          <w:t xml:space="preserve"> https://www.berlin-suchtpraevention.de/wp-content/uploads/2016/10/2013_EN_TDXA13001ENN.pdf</w:t>
        </w:r>
      </w:hyperlink>
      <w:r w:rsidRPr="00027E45">
        <w:rPr>
          <w:rFonts w:ascii="Arial" w:hAnsi="Arial" w:cs="Arial"/>
          <w:sz w:val="22"/>
          <w:szCs w:val="22"/>
          <w:lang w:val="en-IN" w:bidi="ar-SA"/>
        </w:rPr>
        <w:t xml:space="preserve"> (Accessed: 19 January 2026).</w:t>
      </w:r>
    </w:p>
    <w:p w14:paraId="17EA78F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EUDA European Union Drugs Agency (2023) </w:t>
      </w:r>
      <w:r w:rsidRPr="00027E45">
        <w:rPr>
          <w:rFonts w:ascii="Arial" w:hAnsi="Arial" w:cs="Arial"/>
          <w:i/>
          <w:iCs/>
          <w:sz w:val="22"/>
          <w:szCs w:val="22"/>
          <w:lang w:val="en-IN" w:bidi="ar-SA"/>
        </w:rPr>
        <w:t>Migrants and drugs: health and social responses</w:t>
      </w:r>
      <w:r w:rsidRPr="00027E45">
        <w:rPr>
          <w:rFonts w:ascii="Arial" w:hAnsi="Arial" w:cs="Arial"/>
          <w:sz w:val="22"/>
          <w:szCs w:val="22"/>
          <w:lang w:val="en-IN" w:bidi="ar-SA"/>
        </w:rPr>
        <w:t>. Available at:</w:t>
      </w:r>
      <w:hyperlink r:id="rId23" w:history="1">
        <w:r w:rsidRPr="00027E45">
          <w:rPr>
            <w:rStyle w:val="Hyperlink"/>
            <w:rFonts w:ascii="Arial" w:hAnsi="Arial" w:cs="Arial"/>
            <w:sz w:val="22"/>
            <w:szCs w:val="22"/>
            <w:lang w:val="en-IN" w:bidi="ar-SA"/>
          </w:rPr>
          <w:t xml:space="preserve"> https://www.euda.europa.eu/sites/default/files/pdf/14102_en.pdf?995012</w:t>
        </w:r>
      </w:hyperlink>
      <w:r w:rsidRPr="00027E45">
        <w:rPr>
          <w:rFonts w:ascii="Arial" w:hAnsi="Arial" w:cs="Arial"/>
          <w:sz w:val="22"/>
          <w:szCs w:val="22"/>
          <w:lang w:val="en-IN" w:bidi="ar-SA"/>
        </w:rPr>
        <w:t xml:space="preserve"> (Accessed: 17 January 2026).</w:t>
      </w:r>
    </w:p>
    <w:p w14:paraId="192ECEA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Gleeson, H., Duke, K. and Thom, B. (2019) ‘Challenges to providing culturally sensitive drug interventions for black and Asian minority ethnic (BAME) groups within UK youth justice systems,’ </w:t>
      </w:r>
      <w:r w:rsidRPr="00027E45">
        <w:rPr>
          <w:rFonts w:ascii="Arial" w:hAnsi="Arial" w:cs="Arial"/>
          <w:i/>
          <w:iCs/>
          <w:sz w:val="22"/>
          <w:szCs w:val="22"/>
          <w:lang w:val="en-IN" w:bidi="ar-SA"/>
        </w:rPr>
        <w:t>Drugs and Alcohol Today</w:t>
      </w:r>
      <w:r w:rsidRPr="00027E45">
        <w:rPr>
          <w:rFonts w:ascii="Arial" w:hAnsi="Arial" w:cs="Arial"/>
          <w:sz w:val="22"/>
          <w:szCs w:val="22"/>
          <w:lang w:val="en-IN" w:bidi="ar-SA"/>
        </w:rPr>
        <w:t>, 19(3), pp. 172-181.</w:t>
      </w:r>
    </w:p>
    <w:p w14:paraId="33B9D3D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Gov.UK (2024) </w:t>
      </w:r>
      <w:r w:rsidRPr="00027E45">
        <w:rPr>
          <w:rFonts w:ascii="Arial" w:hAnsi="Arial" w:cs="Arial"/>
          <w:i/>
          <w:iCs/>
          <w:sz w:val="22"/>
          <w:szCs w:val="22"/>
          <w:lang w:val="en-IN" w:bidi="ar-SA"/>
        </w:rPr>
        <w:t>Young people’s substance misuse treatment statistics 2022 to 2023: report</w:t>
      </w:r>
      <w:r w:rsidRPr="00027E45">
        <w:rPr>
          <w:rFonts w:ascii="Arial" w:hAnsi="Arial" w:cs="Arial"/>
          <w:sz w:val="22"/>
          <w:szCs w:val="22"/>
          <w:lang w:val="en-IN" w:bidi="ar-SA"/>
        </w:rPr>
        <w:t>, 25 Jan. Available at:</w:t>
      </w:r>
      <w:hyperlink r:id="rId24" w:history="1">
        <w:r w:rsidRPr="00027E45">
          <w:rPr>
            <w:rStyle w:val="Hyperlink"/>
            <w:rFonts w:ascii="Arial" w:hAnsi="Arial" w:cs="Arial"/>
            <w:sz w:val="22"/>
            <w:szCs w:val="22"/>
            <w:lang w:val="en-IN" w:bidi="ar-SA"/>
          </w:rPr>
          <w:t xml:space="preserve"> https://www.gov.uk/government/statistics/substance-misuse-treatment-for-young-people-2022-to-2023/young-peoples-substance-misuse-treatment-statistics-2022-to-2023-report</w:t>
        </w:r>
      </w:hyperlink>
      <w:r w:rsidRPr="00027E45">
        <w:rPr>
          <w:rFonts w:ascii="Arial" w:hAnsi="Arial" w:cs="Arial"/>
          <w:sz w:val="22"/>
          <w:szCs w:val="22"/>
          <w:lang w:val="en-IN" w:bidi="ar-SA"/>
        </w:rPr>
        <w:t xml:space="preserve"> (Accessed: 18 January 2026).</w:t>
      </w:r>
    </w:p>
    <w:p w14:paraId="7B01121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Guy-Evans, O. (2025) ‘Bronfenbrenner’s Ecological Systems Theory,’ </w:t>
      </w:r>
      <w:r w:rsidRPr="00027E45">
        <w:rPr>
          <w:rFonts w:ascii="Arial" w:hAnsi="Arial" w:cs="Arial"/>
          <w:i/>
          <w:iCs/>
          <w:sz w:val="22"/>
          <w:szCs w:val="22"/>
          <w:lang w:val="en-IN" w:bidi="ar-SA"/>
        </w:rPr>
        <w:t>Simply Psychology</w:t>
      </w:r>
      <w:r w:rsidRPr="00027E45">
        <w:rPr>
          <w:rFonts w:ascii="Arial" w:hAnsi="Arial" w:cs="Arial"/>
          <w:sz w:val="22"/>
          <w:szCs w:val="22"/>
          <w:lang w:val="en-IN" w:bidi="ar-SA"/>
        </w:rPr>
        <w:t>, 6 May. Available at:</w:t>
      </w:r>
      <w:hyperlink r:id="rId25" w:history="1">
        <w:r w:rsidRPr="00027E45">
          <w:rPr>
            <w:rStyle w:val="Hyperlink"/>
            <w:rFonts w:ascii="Arial" w:hAnsi="Arial" w:cs="Arial"/>
            <w:sz w:val="22"/>
            <w:szCs w:val="22"/>
            <w:lang w:val="en-IN" w:bidi="ar-SA"/>
          </w:rPr>
          <w:t xml:space="preserve"> https://www.simplypsychology.org/bronfenbrenner.html</w:t>
        </w:r>
      </w:hyperlink>
      <w:r w:rsidRPr="00027E45">
        <w:rPr>
          <w:rFonts w:ascii="Arial" w:hAnsi="Arial" w:cs="Arial"/>
          <w:sz w:val="22"/>
          <w:szCs w:val="22"/>
          <w:lang w:val="en-IN" w:bidi="ar-SA"/>
        </w:rPr>
        <w:t xml:space="preserve"> (Accessed: 16 January 2026).</w:t>
      </w:r>
    </w:p>
    <w:p w14:paraId="732093A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Hafford-</w:t>
      </w:r>
      <w:proofErr w:type="spellStart"/>
      <w:r w:rsidRPr="00027E45">
        <w:rPr>
          <w:rFonts w:ascii="Arial" w:hAnsi="Arial" w:cs="Arial"/>
          <w:sz w:val="22"/>
          <w:szCs w:val="22"/>
          <w:lang w:val="en-IN" w:bidi="ar-SA"/>
        </w:rPr>
        <w:t>Letchfield</w:t>
      </w:r>
      <w:proofErr w:type="spellEnd"/>
      <w:r w:rsidRPr="00027E45">
        <w:rPr>
          <w:rFonts w:ascii="Arial" w:hAnsi="Arial" w:cs="Arial"/>
          <w:sz w:val="22"/>
          <w:szCs w:val="22"/>
          <w:lang w:val="en-IN" w:bidi="ar-SA"/>
        </w:rPr>
        <w:t xml:space="preserve">, T., McQuarrie, T., Clancy, C., Thom, B. and Jain, B. (2020) ‘Community based interventions for problematic substance use in later life: a systematic review of evaluated studies and their outcomes,’ </w:t>
      </w:r>
      <w:r w:rsidRPr="00027E45">
        <w:rPr>
          <w:rFonts w:ascii="Arial" w:hAnsi="Arial" w:cs="Arial"/>
          <w:i/>
          <w:iCs/>
          <w:sz w:val="22"/>
          <w:szCs w:val="22"/>
          <w:lang w:val="en-IN" w:bidi="ar-SA"/>
        </w:rPr>
        <w:t>International journal of environmental research and public health</w:t>
      </w:r>
      <w:r w:rsidRPr="00027E45">
        <w:rPr>
          <w:rFonts w:ascii="Arial" w:hAnsi="Arial" w:cs="Arial"/>
          <w:sz w:val="22"/>
          <w:szCs w:val="22"/>
          <w:lang w:val="en-IN" w:bidi="ar-SA"/>
        </w:rPr>
        <w:t>, 17(21).</w:t>
      </w:r>
    </w:p>
    <w:p w14:paraId="43CEA6C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Hasanović, M., Šmigalović, D. and Fazlović, M. (2020) ‘Migration and acculturation: What we can expect in the future,’ </w:t>
      </w:r>
      <w:proofErr w:type="spellStart"/>
      <w:r w:rsidRPr="00027E45">
        <w:rPr>
          <w:rFonts w:ascii="Arial" w:hAnsi="Arial" w:cs="Arial"/>
          <w:i/>
          <w:iCs/>
          <w:sz w:val="22"/>
          <w:szCs w:val="22"/>
          <w:lang w:val="en-IN" w:bidi="ar-SA"/>
        </w:rPr>
        <w:t>Psychiatria</w:t>
      </w:r>
      <w:proofErr w:type="spellEnd"/>
      <w:r w:rsidRPr="00027E45">
        <w:rPr>
          <w:rFonts w:ascii="Arial" w:hAnsi="Arial" w:cs="Arial"/>
          <w:i/>
          <w:iCs/>
          <w:sz w:val="22"/>
          <w:szCs w:val="22"/>
          <w:lang w:val="en-IN" w:bidi="ar-SA"/>
        </w:rPr>
        <w:t xml:space="preserve"> </w:t>
      </w:r>
      <w:proofErr w:type="spellStart"/>
      <w:r w:rsidRPr="00027E45">
        <w:rPr>
          <w:rFonts w:ascii="Arial" w:hAnsi="Arial" w:cs="Arial"/>
          <w:i/>
          <w:iCs/>
          <w:sz w:val="22"/>
          <w:szCs w:val="22"/>
          <w:lang w:val="en-IN" w:bidi="ar-SA"/>
        </w:rPr>
        <w:t>Danubina</w:t>
      </w:r>
      <w:proofErr w:type="spellEnd"/>
      <w:r w:rsidRPr="00027E45">
        <w:rPr>
          <w:rFonts w:ascii="Arial" w:hAnsi="Arial" w:cs="Arial"/>
          <w:sz w:val="22"/>
          <w:szCs w:val="22"/>
          <w:lang w:val="en-IN" w:bidi="ar-SA"/>
        </w:rPr>
        <w:t>, 32(suppl. 3), pp. 386-395.</w:t>
      </w:r>
    </w:p>
    <w:p w14:paraId="69E0B9B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Hock, E., Blank, L., Fairbrother, H., Clowes, M., Cuevas, D.C., Cuevas, D., Booth, A. and Goyder, E. (2023) ‘Exploring the impact of housing insecurity on the health and well-being of children and young people: a systematic review,’ </w:t>
      </w:r>
      <w:r w:rsidRPr="00027E45">
        <w:rPr>
          <w:rFonts w:ascii="Arial" w:hAnsi="Arial" w:cs="Arial"/>
          <w:i/>
          <w:iCs/>
          <w:sz w:val="22"/>
          <w:szCs w:val="22"/>
          <w:lang w:val="en-IN" w:bidi="ar-SA"/>
        </w:rPr>
        <w:t>Public Health Research</w:t>
      </w:r>
      <w:r w:rsidRPr="00027E45">
        <w:rPr>
          <w:rFonts w:ascii="Arial" w:hAnsi="Arial" w:cs="Arial"/>
          <w:sz w:val="22"/>
          <w:szCs w:val="22"/>
          <w:lang w:val="en-IN" w:bidi="ar-SA"/>
        </w:rPr>
        <w:t>, 11(13), pp. 1-71.</w:t>
      </w:r>
    </w:p>
    <w:p w14:paraId="6D40AB3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Homeless Link (2023) </w:t>
      </w:r>
      <w:r w:rsidRPr="00027E45">
        <w:rPr>
          <w:rFonts w:ascii="Arial" w:hAnsi="Arial" w:cs="Arial"/>
          <w:i/>
          <w:iCs/>
          <w:sz w:val="22"/>
          <w:szCs w:val="22"/>
          <w:lang w:val="en-IN" w:bidi="ar-SA"/>
        </w:rPr>
        <w:t>Substance misuse toolkit for migrants experiencing homelessness</w:t>
      </w:r>
      <w:r w:rsidRPr="00027E45">
        <w:rPr>
          <w:rFonts w:ascii="Arial" w:hAnsi="Arial" w:cs="Arial"/>
          <w:sz w:val="22"/>
          <w:szCs w:val="22"/>
          <w:lang w:val="en-IN" w:bidi="ar-SA"/>
        </w:rPr>
        <w:t>. Available at:</w:t>
      </w:r>
      <w:hyperlink r:id="rId26" w:history="1">
        <w:r w:rsidRPr="00027E45">
          <w:rPr>
            <w:rStyle w:val="Hyperlink"/>
            <w:rFonts w:ascii="Arial" w:hAnsi="Arial" w:cs="Arial"/>
            <w:sz w:val="22"/>
            <w:szCs w:val="22"/>
            <w:lang w:val="en-IN" w:bidi="ar-SA"/>
          </w:rPr>
          <w:t xml:space="preserve"> https://homelesslink-1b54.kxcdn.com/media/documents/GLA_Toolkit_Guidance.pdf</w:t>
        </w:r>
      </w:hyperlink>
      <w:r w:rsidRPr="00027E45">
        <w:rPr>
          <w:rFonts w:ascii="Arial" w:hAnsi="Arial" w:cs="Arial"/>
          <w:sz w:val="22"/>
          <w:szCs w:val="22"/>
          <w:lang w:val="en-IN" w:bidi="ar-SA"/>
        </w:rPr>
        <w:t xml:space="preserve"> (Accessed: 18 January 2026).</w:t>
      </w:r>
    </w:p>
    <w:p w14:paraId="64F6519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IOM International Organization of Migration (2020) </w:t>
      </w:r>
      <w:r w:rsidRPr="00027E45">
        <w:rPr>
          <w:rFonts w:ascii="Arial" w:hAnsi="Arial" w:cs="Arial"/>
          <w:i/>
          <w:iCs/>
          <w:sz w:val="22"/>
          <w:szCs w:val="22"/>
          <w:lang w:val="en-IN" w:bidi="ar-SA"/>
        </w:rPr>
        <w:t>World migration report 2020</w:t>
      </w:r>
      <w:r w:rsidRPr="00027E45">
        <w:rPr>
          <w:rFonts w:ascii="Arial" w:hAnsi="Arial" w:cs="Arial"/>
          <w:sz w:val="22"/>
          <w:szCs w:val="22"/>
          <w:lang w:val="en-IN" w:bidi="ar-SA"/>
        </w:rPr>
        <w:t>. Available at:</w:t>
      </w:r>
      <w:hyperlink r:id="rId27" w:history="1">
        <w:r w:rsidRPr="00027E45">
          <w:rPr>
            <w:rStyle w:val="Hyperlink"/>
            <w:rFonts w:ascii="Arial" w:hAnsi="Arial" w:cs="Arial"/>
            <w:sz w:val="22"/>
            <w:szCs w:val="22"/>
            <w:lang w:val="en-IN" w:bidi="ar-SA"/>
          </w:rPr>
          <w:t xml:space="preserve"> https://publications.iom.int/system/files/pdf/wmr_2020.pdf</w:t>
        </w:r>
      </w:hyperlink>
      <w:r w:rsidRPr="00027E45">
        <w:rPr>
          <w:rFonts w:ascii="Arial" w:hAnsi="Arial" w:cs="Arial"/>
          <w:sz w:val="22"/>
          <w:szCs w:val="22"/>
          <w:lang w:val="en-IN" w:bidi="ar-SA"/>
        </w:rPr>
        <w:t xml:space="preserve"> (Accessed: 17 January 2026).</w:t>
      </w:r>
    </w:p>
    <w:p w14:paraId="58A53FF5" w14:textId="77777777" w:rsidR="00027E45" w:rsidRPr="00027E45" w:rsidRDefault="00027E45" w:rsidP="00027E45">
      <w:pPr>
        <w:spacing w:before="100" w:beforeAutospacing="1" w:after="100" w:afterAutospacing="1"/>
        <w:rPr>
          <w:rFonts w:ascii="Arial" w:hAnsi="Arial" w:cs="Arial"/>
          <w:sz w:val="22"/>
          <w:szCs w:val="22"/>
          <w:lang w:val="en-IN" w:bidi="ar-SA"/>
        </w:rPr>
      </w:pPr>
      <w:proofErr w:type="spellStart"/>
      <w:r w:rsidRPr="00027E45">
        <w:rPr>
          <w:rFonts w:ascii="Arial" w:hAnsi="Arial" w:cs="Arial"/>
          <w:sz w:val="22"/>
          <w:szCs w:val="22"/>
          <w:lang w:val="en-IN" w:bidi="ar-SA"/>
        </w:rPr>
        <w:t>Kunorubwe</w:t>
      </w:r>
      <w:proofErr w:type="spellEnd"/>
      <w:r w:rsidRPr="00027E45">
        <w:rPr>
          <w:rFonts w:ascii="Arial" w:hAnsi="Arial" w:cs="Arial"/>
          <w:sz w:val="22"/>
          <w:szCs w:val="22"/>
          <w:lang w:val="en-IN" w:bidi="ar-SA"/>
        </w:rPr>
        <w:t xml:space="preserve">, T. (2023) ‘Cultural adaptations of group CBT for depressed clients from diverse backgrounds: A systematic review,’ </w:t>
      </w:r>
      <w:r w:rsidRPr="00027E45">
        <w:rPr>
          <w:rFonts w:ascii="Arial" w:hAnsi="Arial" w:cs="Arial"/>
          <w:i/>
          <w:iCs/>
          <w:sz w:val="22"/>
          <w:szCs w:val="22"/>
          <w:lang w:val="en-IN" w:bidi="ar-SA"/>
        </w:rPr>
        <w:t>The Cognitive Behaviour Therapist</w:t>
      </w:r>
      <w:r w:rsidRPr="00027E45">
        <w:rPr>
          <w:rFonts w:ascii="Arial" w:hAnsi="Arial" w:cs="Arial"/>
          <w:sz w:val="22"/>
          <w:szCs w:val="22"/>
          <w:lang w:val="en-IN" w:bidi="ar-SA"/>
        </w:rPr>
        <w:t>, 16.</w:t>
      </w:r>
    </w:p>
    <w:p w14:paraId="569390F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Lau, V.P. and Shaffer, M.A. (2023) ‘A typological theory of domestic employees’ acculturation stress and adaptation in the context of globalization,’ </w:t>
      </w:r>
      <w:r w:rsidRPr="00027E45">
        <w:rPr>
          <w:rFonts w:ascii="Arial" w:hAnsi="Arial" w:cs="Arial"/>
          <w:i/>
          <w:iCs/>
          <w:sz w:val="22"/>
          <w:szCs w:val="22"/>
          <w:lang w:val="en-IN" w:bidi="ar-SA"/>
        </w:rPr>
        <w:t>Academy of Management Review</w:t>
      </w:r>
      <w:r w:rsidRPr="00027E45">
        <w:rPr>
          <w:rFonts w:ascii="Arial" w:hAnsi="Arial" w:cs="Arial"/>
          <w:sz w:val="22"/>
          <w:szCs w:val="22"/>
          <w:lang w:val="en-IN" w:bidi="ar-SA"/>
        </w:rPr>
        <w:t>, 48(1), pp. 57-77.</w:t>
      </w:r>
    </w:p>
    <w:p w14:paraId="762E24D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Magill, M., Kiluk, B.D. and Ray, L.A. (2023) ‘Efficacy of cognitive </w:t>
      </w:r>
      <w:proofErr w:type="spellStart"/>
      <w:r w:rsidRPr="00027E45">
        <w:rPr>
          <w:rFonts w:ascii="Arial" w:hAnsi="Arial" w:cs="Arial"/>
          <w:sz w:val="22"/>
          <w:szCs w:val="22"/>
          <w:lang w:val="en-IN" w:bidi="ar-SA"/>
        </w:rPr>
        <w:t>behavioral</w:t>
      </w:r>
      <w:proofErr w:type="spellEnd"/>
      <w:r w:rsidRPr="00027E45">
        <w:rPr>
          <w:rFonts w:ascii="Arial" w:hAnsi="Arial" w:cs="Arial"/>
          <w:sz w:val="22"/>
          <w:szCs w:val="22"/>
          <w:lang w:val="en-IN" w:bidi="ar-SA"/>
        </w:rPr>
        <w:t xml:space="preserve"> therapy for alcohol and other drug use disorders: is a one-size-fits-all approach appropriate?,’ </w:t>
      </w:r>
      <w:r w:rsidRPr="00027E45">
        <w:rPr>
          <w:rFonts w:ascii="Arial" w:hAnsi="Arial" w:cs="Arial"/>
          <w:i/>
          <w:iCs/>
          <w:sz w:val="22"/>
          <w:szCs w:val="22"/>
          <w:lang w:val="en-IN" w:bidi="ar-SA"/>
        </w:rPr>
        <w:t>Substance Abuse and Rehabilitation</w:t>
      </w:r>
      <w:r w:rsidRPr="00027E45">
        <w:rPr>
          <w:rFonts w:ascii="Arial" w:hAnsi="Arial" w:cs="Arial"/>
          <w:sz w:val="22"/>
          <w:szCs w:val="22"/>
          <w:lang w:val="en-IN" w:bidi="ar-SA"/>
        </w:rPr>
        <w:t>, pp. 1-11.</w:t>
      </w:r>
    </w:p>
    <w:p w14:paraId="6347E0E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Melendez</w:t>
      </w:r>
      <w:r w:rsidRPr="00027E45">
        <w:rPr>
          <w:rFonts w:ascii="Cambria Math" w:hAnsi="Cambria Math" w:cs="Cambria Math"/>
          <w:sz w:val="22"/>
          <w:szCs w:val="22"/>
          <w:lang w:val="en-IN" w:bidi="ar-SA"/>
        </w:rPr>
        <w:t>‐</w:t>
      </w:r>
      <w:r w:rsidRPr="00027E45">
        <w:rPr>
          <w:rFonts w:ascii="Arial" w:hAnsi="Arial" w:cs="Arial"/>
          <w:sz w:val="22"/>
          <w:szCs w:val="22"/>
          <w:lang w:val="en-IN" w:bidi="ar-SA"/>
        </w:rPr>
        <w:t>Torres, G.J., Tancred, T., Fletcher, A., Thomas, J., Campbell, R. and Bonell, C. (2018) ‘Does integrated academic and health education prevent substance use? Systematic review and meta</w:t>
      </w:r>
      <w:r w:rsidRPr="00027E45">
        <w:rPr>
          <w:rFonts w:ascii="Cambria Math" w:hAnsi="Cambria Math" w:cs="Cambria Math"/>
          <w:sz w:val="22"/>
          <w:szCs w:val="22"/>
          <w:lang w:val="en-IN" w:bidi="ar-SA"/>
        </w:rPr>
        <w:t>‐</w:t>
      </w:r>
      <w:r w:rsidRPr="00027E45">
        <w:rPr>
          <w:rFonts w:ascii="Arial" w:hAnsi="Arial" w:cs="Arial"/>
          <w:sz w:val="22"/>
          <w:szCs w:val="22"/>
          <w:lang w:val="en-IN" w:bidi="ar-SA"/>
        </w:rPr>
        <w:t xml:space="preserve">analyses,’ </w:t>
      </w:r>
      <w:r w:rsidRPr="00027E45">
        <w:rPr>
          <w:rFonts w:ascii="Arial" w:hAnsi="Arial" w:cs="Arial"/>
          <w:i/>
          <w:iCs/>
          <w:sz w:val="22"/>
          <w:szCs w:val="22"/>
          <w:lang w:val="en-IN" w:bidi="ar-SA"/>
        </w:rPr>
        <w:t>Child: care, health and development</w:t>
      </w:r>
      <w:r w:rsidRPr="00027E45">
        <w:rPr>
          <w:rFonts w:ascii="Arial" w:hAnsi="Arial" w:cs="Arial"/>
          <w:sz w:val="22"/>
          <w:szCs w:val="22"/>
          <w:lang w:val="en-IN" w:bidi="ar-SA"/>
        </w:rPr>
        <w:t>, 44(4), pp. 516-530.</w:t>
      </w:r>
    </w:p>
    <w:p w14:paraId="578D1DD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Scott, S., Jakobsen, T.S., Rye, J.F. and Visser, M.A. (2022) ‘Labour migration, precarious work and liminality,’ </w:t>
      </w:r>
      <w:r w:rsidRPr="00027E45">
        <w:rPr>
          <w:rFonts w:ascii="Arial" w:hAnsi="Arial" w:cs="Arial"/>
          <w:i/>
          <w:iCs/>
          <w:sz w:val="22"/>
          <w:szCs w:val="22"/>
          <w:lang w:val="en-IN" w:bidi="ar-SA"/>
        </w:rPr>
        <w:t>Work in the Global Economy</w:t>
      </w:r>
      <w:r w:rsidRPr="00027E45">
        <w:rPr>
          <w:rFonts w:ascii="Arial" w:hAnsi="Arial" w:cs="Arial"/>
          <w:sz w:val="22"/>
          <w:szCs w:val="22"/>
          <w:lang w:val="en-IN" w:bidi="ar-SA"/>
        </w:rPr>
        <w:t>, 2(1), pp. 27-45.</w:t>
      </w:r>
    </w:p>
    <w:p w14:paraId="5BBECC5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br/>
      </w:r>
    </w:p>
    <w:p w14:paraId="41B1525C"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lastRenderedPageBreak/>
        <w:t>Appendix</w:t>
      </w:r>
    </w:p>
    <w:p w14:paraId="4AB174D4" w14:textId="77777777" w:rsidR="00027E45" w:rsidRPr="00027E45" w:rsidRDefault="00027E45" w:rsidP="00027E45">
      <w:pPr>
        <w:spacing w:before="100" w:beforeAutospacing="1" w:after="100" w:afterAutospacing="1"/>
        <w:rPr>
          <w:rFonts w:ascii="Arial" w:hAnsi="Arial" w:cs="Arial"/>
          <w:b/>
          <w:bCs/>
          <w:sz w:val="22"/>
          <w:szCs w:val="22"/>
          <w:lang w:val="en-IN" w:bidi="ar-SA"/>
        </w:rPr>
      </w:pPr>
      <w:r w:rsidRPr="00027E45">
        <w:rPr>
          <w:rFonts w:ascii="Arial" w:hAnsi="Arial" w:cs="Arial"/>
          <w:b/>
          <w:bCs/>
          <w:sz w:val="22"/>
          <w:szCs w:val="22"/>
          <w:lang w:val="en-IN" w:bidi="ar-SA"/>
        </w:rPr>
        <w:t>Theme table</w:t>
      </w:r>
    </w:p>
    <w:tbl>
      <w:tblPr>
        <w:tblW w:w="0" w:type="auto"/>
        <w:tblCellMar>
          <w:top w:w="15" w:type="dxa"/>
          <w:left w:w="15" w:type="dxa"/>
          <w:bottom w:w="15" w:type="dxa"/>
          <w:right w:w="15" w:type="dxa"/>
        </w:tblCellMar>
        <w:tblLook w:val="04A0" w:firstRow="1" w:lastRow="0" w:firstColumn="1" w:lastColumn="0" w:noHBand="0" w:noVBand="1"/>
      </w:tblPr>
      <w:tblGrid>
        <w:gridCol w:w="4219"/>
        <w:gridCol w:w="811"/>
        <w:gridCol w:w="1259"/>
        <w:gridCol w:w="956"/>
        <w:gridCol w:w="933"/>
        <w:gridCol w:w="828"/>
      </w:tblGrid>
      <w:tr w:rsidR="00027E45" w:rsidRPr="00027E45" w14:paraId="34E50A2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BC7F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Source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2947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Author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55A6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796FAB"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DB596"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BF36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b/>
                <w:bCs/>
                <w:sz w:val="22"/>
                <w:szCs w:val="22"/>
                <w:lang w:val="en-IN" w:bidi="ar-SA"/>
              </w:rPr>
              <w:t>Theme 4</w:t>
            </w:r>
          </w:p>
        </w:tc>
      </w:tr>
      <w:tr w:rsidR="00027E45" w:rsidRPr="00027E45" w14:paraId="63AE448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2AD24"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28" w:history="1">
              <w:r w:rsidRPr="00027E45">
                <w:rPr>
                  <w:rStyle w:val="Hyperlink"/>
                  <w:rFonts w:ascii="Arial" w:hAnsi="Arial" w:cs="Arial"/>
                  <w:sz w:val="22"/>
                  <w:szCs w:val="22"/>
                  <w:lang w:val="en-IN" w:bidi="ar-SA"/>
                </w:rPr>
                <w:t>https://www.gov.uk/government/statistics/substance-misuse-treatment-for-adults-statistics-2024-to-2025/adult-substance-misuse-treatment-statistics-2024-to-2025-report</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79226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Office for Health Improvement &amp; Disparities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9D1F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treatments, drugs, substances, alcohol abuse, in the UK, mental health challenges, homelessness, Young, migration-related challenges, services, unemployment and cultural issues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7BC14"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72793"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62A36"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1A91837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843B1"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29" w:history="1">
              <w:r w:rsidRPr="00027E45">
                <w:rPr>
                  <w:rStyle w:val="Hyperlink"/>
                  <w:rFonts w:ascii="Arial" w:hAnsi="Arial" w:cs="Arial"/>
                  <w:sz w:val="22"/>
                  <w:szCs w:val="22"/>
                  <w:lang w:val="en-IN" w:bidi="ar-SA"/>
                </w:rPr>
                <w:t>https://www.thesun.co.uk/news/37575554/migrants-smuggle-cocaine-heroin-britain-channel</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9A3D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Simpson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E131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France, young migrants, compel, misuse, drugs,  abuse, </w:t>
            </w:r>
            <w:r w:rsidRPr="00027E45">
              <w:rPr>
                <w:rFonts w:ascii="Arial" w:hAnsi="Arial" w:cs="Arial"/>
                <w:sz w:val="22"/>
                <w:szCs w:val="22"/>
                <w:lang w:val="en-IN" w:bidi="ar-SA"/>
              </w:rPr>
              <w:lastRenderedPageBreak/>
              <w:t>employment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0345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51AFD"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E941E4"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0798FD6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D82E9"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0" w:history="1">
              <w:r w:rsidRPr="00027E45">
                <w:rPr>
                  <w:rStyle w:val="Hyperlink"/>
                  <w:rFonts w:ascii="Arial" w:hAnsi="Arial" w:cs="Arial"/>
                  <w:sz w:val="22"/>
                  <w:szCs w:val="22"/>
                  <w:lang w:val="en-IN" w:bidi="ar-SA"/>
                </w:rPr>
                <w:t>https://homeless.org.uk/knowledge-hub/substance-misuse-toolkit-for-migrants-experiencing-homelessness</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4093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Homeless Link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1BA3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substance misuse toolkit, young migrant, Romanian, Polish, Arabic and Punjabi, social exclusion, housing instability, homelessness, a lack of service support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F20E9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6E105"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343B4"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7E0389B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EF872"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1" w:history="1">
              <w:r w:rsidRPr="00027E45">
                <w:rPr>
                  <w:rStyle w:val="Hyperlink"/>
                  <w:rFonts w:ascii="Arial" w:hAnsi="Arial" w:cs="Arial"/>
                  <w:sz w:val="22"/>
                  <w:szCs w:val="22"/>
                  <w:lang w:val="en-IN" w:bidi="ar-SA"/>
                </w:rPr>
                <w:t>https://www.london.gov.uk/add2734-rough-sleeping-migration-and-drug-and-alcohol-treatment-2024-25</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DE99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London City Hall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6CD8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Rough Sleeping, Migration and Drug and Alcohol Treatment, non-UK nations, Romania, mental and physical health, </w:t>
            </w:r>
            <w:r w:rsidRPr="00027E45">
              <w:rPr>
                <w:rFonts w:ascii="Arial" w:hAnsi="Arial" w:cs="Arial"/>
                <w:sz w:val="22"/>
                <w:szCs w:val="22"/>
                <w:lang w:val="en-IN" w:bidi="ar-SA"/>
              </w:rPr>
              <w:lastRenderedPageBreak/>
              <w:t>homelessness,  limited awareness, language issues and a lack of data sharing with them from the support services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66F5B"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6AD750"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30F6D"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352827F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6DF09"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2" w:history="1">
              <w:r w:rsidRPr="00027E45">
                <w:rPr>
                  <w:rStyle w:val="Hyperlink"/>
                  <w:rFonts w:ascii="Arial" w:hAnsi="Arial" w:cs="Arial"/>
                  <w:sz w:val="22"/>
                  <w:szCs w:val="22"/>
                  <w:lang w:val="en-IN" w:bidi="ar-SA"/>
                </w:rPr>
                <w:t>https://natcen.ac.uk/news/new-research-reveals-experience-drug-use-amongst-people-minority-ethnic-groups</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746E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National Centre for Social Research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784E1"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15C5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ethnic minority, cultural taboos and stigma,  seeking help, Trauma, isolation, discrimination, social exclusion, lack of trust </w:t>
            </w:r>
            <w:r w:rsidRPr="00027E45">
              <w:rPr>
                <w:rFonts w:ascii="Arial" w:hAnsi="Arial" w:cs="Arial"/>
                <w:sz w:val="22"/>
                <w:szCs w:val="22"/>
                <w:lang w:val="en-IN" w:bidi="ar-SA"/>
              </w:rPr>
              <w:lastRenderedPageBreak/>
              <w:t>in services and lack of culturally competent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515791"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93236"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61FA2AF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23394"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3" w:history="1">
              <w:r w:rsidRPr="00027E45">
                <w:rPr>
                  <w:rStyle w:val="Hyperlink"/>
                  <w:rFonts w:ascii="Arial" w:hAnsi="Arial" w:cs="Arial"/>
                  <w:sz w:val="22"/>
                  <w:szCs w:val="22"/>
                  <w:lang w:val="en-IN" w:bidi="ar-SA"/>
                </w:rPr>
                <w:t>https://www.gov.uk/guidance/clinical-guidelines-for-alcohol-treatment/25-developing-inclusive-services</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1907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GOV.UK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A07EBE"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B4AD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Young Polish migrants, Language barriers, lack of digital access, poor knowledge and literacy around health and lack of understanding of the service steps, provisi</w:t>
            </w:r>
            <w:r w:rsidRPr="00027E45">
              <w:rPr>
                <w:rFonts w:ascii="Arial" w:hAnsi="Arial" w:cs="Arial"/>
                <w:sz w:val="22"/>
                <w:szCs w:val="22"/>
                <w:lang w:val="en-IN" w:bidi="ar-SA"/>
              </w:rPr>
              <w:lastRenderedPageBreak/>
              <w:t>onal and entitlements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2F1D9"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4E035"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64A2C48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4E49A6"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4" w:history="1">
              <w:r w:rsidRPr="00027E45">
                <w:rPr>
                  <w:rStyle w:val="Hyperlink"/>
                  <w:rFonts w:ascii="Arial" w:hAnsi="Arial" w:cs="Arial"/>
                  <w:sz w:val="22"/>
                  <w:szCs w:val="22"/>
                  <w:lang w:val="en-IN" w:bidi="ar-SA"/>
                </w:rPr>
                <w:t>https://www.mentalhealth.org.uk/explore-mental-health/publications/mental-health-asylum-seekers-and-refugees-uk</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C46F0"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Mental Health Foundation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A32A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6768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Trust,  statutory services, discrimination, surveillance, isolation, delay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1EF46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33D49"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69AF2EC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5A52EC"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5" w:history="1">
              <w:r w:rsidRPr="00027E45">
                <w:rPr>
                  <w:rStyle w:val="Hyperlink"/>
                  <w:rFonts w:ascii="Arial" w:hAnsi="Arial" w:cs="Arial"/>
                  <w:sz w:val="22"/>
                  <w:szCs w:val="22"/>
                  <w:lang w:val="en-IN" w:bidi="ar-SA"/>
                </w:rPr>
                <w:t>https://www.rehab4addiction.co.uk/blog/minority-ethnic-communities-suffer-inequality-in-substance-misuse-treatment</w:t>
              </w:r>
            </w:hyperlink>
            <w:r w:rsidRPr="00027E45">
              <w:rPr>
                <w:rFonts w:ascii="Arial" w:hAnsi="Arial" w:cs="Arial"/>
                <w:sz w:val="22"/>
                <w:szCs w:val="22"/>
                <w:lang w:val="en-IN" w:bidi="ar-SA"/>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C067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MacKey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00DA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9332F"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Confidentiality, statutory services, culture, inequity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D78CD"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02B70"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0F660DA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30A0D"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6" w:history="1">
              <w:r w:rsidRPr="00027E45">
                <w:rPr>
                  <w:rStyle w:val="Hyperlink"/>
                  <w:rFonts w:ascii="Arial" w:hAnsi="Arial" w:cs="Arial"/>
                  <w:sz w:val="22"/>
                  <w:szCs w:val="22"/>
                  <w:lang w:val="en-IN" w:bidi="ar-SA"/>
                </w:rPr>
                <w:t>https://www.euda.europa.eu/sites/default/files/pdf/14102_en.pdf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54235"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EUDA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9A88B"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3D82B"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8A8A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Poverty, unemployment, psychosocial stressors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A45D6"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12CD832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71463"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7" w:history="1">
              <w:r w:rsidRPr="00027E45">
                <w:rPr>
                  <w:rStyle w:val="Hyperlink"/>
                  <w:rFonts w:ascii="Arial" w:hAnsi="Arial" w:cs="Arial"/>
                  <w:sz w:val="22"/>
                  <w:szCs w:val="22"/>
                  <w:lang w:val="en-IN" w:bidi="ar-SA"/>
                </w:rPr>
                <w:t>https://health.ec.europa.eu/system/files/2020-06/healthstatus_newlyarrivedmigrantsrefugees_en_0.pdf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60DCE"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EC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C6AA1"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397AC"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EA4F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Substance abuse as a migrant health indicator, intercultural communication, accessibility to healthcare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4C28FE"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0D67D25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C16D9"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8" w:history="1">
              <w:r w:rsidRPr="00027E45">
                <w:rPr>
                  <w:rStyle w:val="Hyperlink"/>
                  <w:rFonts w:ascii="Arial" w:hAnsi="Arial" w:cs="Arial"/>
                  <w:sz w:val="22"/>
                  <w:szCs w:val="22"/>
                  <w:lang w:val="en-IN" w:bidi="ar-SA"/>
                </w:rPr>
                <w:t>https://publications.iom.int/system/files/pdf/wmr_2020.pdf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7573D3"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IOM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93C33"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71C24"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F399D"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Feeling of left behind, anxiety, depression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122023"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528B40C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CC4D8"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39" w:history="1">
              <w:r w:rsidRPr="00027E45">
                <w:rPr>
                  <w:rStyle w:val="Hyperlink"/>
                  <w:rFonts w:ascii="Arial" w:hAnsi="Arial" w:cs="Arial"/>
                  <w:sz w:val="22"/>
                  <w:szCs w:val="22"/>
                  <w:lang w:val="en-IN" w:bidi="ar-SA"/>
                </w:rPr>
                <w:t>https://homelesslink-1b54.kxcdn.com/media/documents/GLA_Toolkit_Guidance.pdf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874A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Homeless Link (2023)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3EF604"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0D3C3"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78D7A7"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Homelessness, housing crisis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F5E626" w14:textId="77777777" w:rsidR="00027E45" w:rsidRPr="00027E45" w:rsidRDefault="00027E45" w:rsidP="00027E45">
            <w:pPr>
              <w:spacing w:before="100" w:beforeAutospacing="1" w:after="100" w:afterAutospacing="1"/>
              <w:rPr>
                <w:rFonts w:ascii="Arial" w:hAnsi="Arial" w:cs="Arial"/>
                <w:sz w:val="22"/>
                <w:szCs w:val="22"/>
                <w:lang w:val="en-IN" w:bidi="ar-SA"/>
              </w:rPr>
            </w:pPr>
          </w:p>
        </w:tc>
      </w:tr>
      <w:tr w:rsidR="00027E45" w:rsidRPr="00027E45" w14:paraId="54CE986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01D2E"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40" w:history="1">
              <w:r w:rsidRPr="00027E45">
                <w:rPr>
                  <w:rStyle w:val="Hyperlink"/>
                  <w:rFonts w:ascii="Arial" w:hAnsi="Arial" w:cs="Arial"/>
                  <w:sz w:val="22"/>
                  <w:szCs w:val="22"/>
                  <w:lang w:val="en-IN" w:bidi="ar-SA"/>
                </w:rPr>
                <w:t>https://www.gov.uk/government/statistics/substance-misuse-treatment-for-young-people-2022-to-2023/young-peoples-</w:t>
              </w:r>
              <w:r w:rsidRPr="00027E45">
                <w:rPr>
                  <w:rStyle w:val="Hyperlink"/>
                  <w:rFonts w:ascii="Arial" w:hAnsi="Arial" w:cs="Arial"/>
                  <w:sz w:val="22"/>
                  <w:szCs w:val="22"/>
                  <w:lang w:val="en-IN" w:bidi="ar-SA"/>
                </w:rPr>
                <w:lastRenderedPageBreak/>
                <w:t>substance-misuse-treatment-statistics-2022-to-2023-report</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C4B3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lastRenderedPageBreak/>
              <w:t xml:space="preserve">Gov.UK </w:t>
            </w:r>
            <w:r w:rsidRPr="00027E45">
              <w:rPr>
                <w:rFonts w:ascii="Arial" w:hAnsi="Arial" w:cs="Arial"/>
                <w:sz w:val="22"/>
                <w:szCs w:val="22"/>
                <w:lang w:val="en-IN" w:bidi="ar-SA"/>
              </w:rPr>
              <w:lastRenderedPageBreak/>
              <w:t>(2025)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E978F"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9183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3234A"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ADACE4"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Referral routes </w:t>
            </w:r>
            <w:r w:rsidRPr="00027E45">
              <w:rPr>
                <w:rFonts w:ascii="Arial" w:hAnsi="Arial" w:cs="Arial"/>
                <w:sz w:val="22"/>
                <w:szCs w:val="22"/>
                <w:lang w:val="en-IN" w:bidi="ar-SA"/>
              </w:rPr>
              <w:lastRenderedPageBreak/>
              <w:t>to specialist treatment, educational institutions, social care</w:t>
            </w:r>
          </w:p>
        </w:tc>
      </w:tr>
      <w:tr w:rsidR="00027E45" w:rsidRPr="00027E45" w14:paraId="337EA10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A28CD"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41" w:history="1">
              <w:r w:rsidRPr="00027E45">
                <w:rPr>
                  <w:rStyle w:val="Hyperlink"/>
                  <w:rFonts w:ascii="Arial" w:hAnsi="Arial" w:cs="Arial"/>
                  <w:sz w:val="22"/>
                  <w:szCs w:val="22"/>
                  <w:lang w:val="en-IN" w:bidi="ar-SA"/>
                </w:rPr>
                <w:t>https://assets.publishing.service.gov.uk/media/628254fbd3bf7f1f433ae0e6/16052022_-_ACMD_Drug_Misuse_Prevention_Report_-_Final__Published_version_.pdf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BF17A"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ACMD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BA737"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AD747"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180A9"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179E8"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Fixation of ‘vulnerable groups,’ restricted outreach of interventions, one-size-fits-all approach</w:t>
            </w:r>
          </w:p>
        </w:tc>
      </w:tr>
      <w:tr w:rsidR="00027E45" w:rsidRPr="00027E45" w14:paraId="329C73B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F585E2"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42" w:history="1">
              <w:r w:rsidRPr="00027E45">
                <w:rPr>
                  <w:rStyle w:val="Hyperlink"/>
                  <w:rFonts w:ascii="Arial" w:hAnsi="Arial" w:cs="Arial"/>
                  <w:sz w:val="22"/>
                  <w:szCs w:val="22"/>
                  <w:lang w:val="en-IN" w:bidi="ar-SA"/>
                </w:rPr>
                <w:t>https://rm.coe.int/intercultural-responses-to-drug-related-challenges-refugees-migrants-i/1680ae0ebf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DE2E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Council of Europe </w:t>
            </w:r>
            <w:r w:rsidRPr="00027E45">
              <w:rPr>
                <w:rFonts w:ascii="Arial" w:hAnsi="Arial" w:cs="Arial"/>
                <w:sz w:val="22"/>
                <w:szCs w:val="22"/>
                <w:lang w:val="en-IN" w:bidi="ar-SA"/>
              </w:rPr>
              <w:lastRenderedPageBreak/>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598EB"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85EA4"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3894D"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73301"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 xml:space="preserve">Culturally determined nature </w:t>
            </w:r>
            <w:r w:rsidRPr="00027E45">
              <w:rPr>
                <w:rFonts w:ascii="Arial" w:hAnsi="Arial" w:cs="Arial"/>
                <w:sz w:val="22"/>
                <w:szCs w:val="22"/>
                <w:lang w:val="en-IN" w:bidi="ar-SA"/>
              </w:rPr>
              <w:lastRenderedPageBreak/>
              <w:t>of risk factors, psychological aspects, culturally adaptability</w:t>
            </w:r>
          </w:p>
        </w:tc>
      </w:tr>
      <w:tr w:rsidR="00027E45" w:rsidRPr="00027E45" w14:paraId="0094B0A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04930" w14:textId="77777777" w:rsidR="00027E45" w:rsidRPr="00027E45" w:rsidRDefault="00027E45" w:rsidP="00027E45">
            <w:pPr>
              <w:spacing w:before="100" w:beforeAutospacing="1" w:after="100" w:afterAutospacing="1"/>
              <w:rPr>
                <w:rFonts w:ascii="Arial" w:hAnsi="Arial" w:cs="Arial"/>
                <w:sz w:val="22"/>
                <w:szCs w:val="22"/>
                <w:lang w:val="en-IN" w:bidi="ar-SA"/>
              </w:rPr>
            </w:pPr>
            <w:hyperlink r:id="rId43" w:history="1">
              <w:r w:rsidRPr="00027E45">
                <w:rPr>
                  <w:rStyle w:val="Hyperlink"/>
                  <w:rFonts w:ascii="Arial" w:hAnsi="Arial" w:cs="Arial"/>
                  <w:sz w:val="22"/>
                  <w:szCs w:val="22"/>
                  <w:lang w:val="en-IN" w:bidi="ar-SA"/>
                </w:rPr>
                <w:t>https://www.berlin-suchtpraevention.de/wp-content/uploads/2016/10/2013_EN_TDXA13001ENN.pdf</w:t>
              </w:r>
            </w:hyperlink>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48D22"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EMCDDA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70AE6"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9E037"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B5C79" w14:textId="77777777" w:rsidR="00027E45" w:rsidRPr="00027E45" w:rsidRDefault="00027E45" w:rsidP="00027E45">
            <w:pPr>
              <w:spacing w:before="100" w:beforeAutospacing="1" w:after="100" w:afterAutospacing="1"/>
              <w:rPr>
                <w:rFonts w:ascii="Arial" w:hAnsi="Arial" w:cs="Arial"/>
                <w:sz w:val="22"/>
                <w:szCs w:val="22"/>
                <w:lang w:val="en-IN"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E75429" w14:textId="77777777" w:rsidR="00027E45" w:rsidRPr="00027E45" w:rsidRDefault="00027E45" w:rsidP="00027E45">
            <w:pPr>
              <w:spacing w:before="100" w:beforeAutospacing="1" w:after="100" w:afterAutospacing="1"/>
              <w:rPr>
                <w:rFonts w:ascii="Arial" w:hAnsi="Arial" w:cs="Arial"/>
                <w:sz w:val="22"/>
                <w:szCs w:val="22"/>
                <w:lang w:val="en-IN" w:bidi="ar-SA"/>
              </w:rPr>
            </w:pPr>
            <w:r w:rsidRPr="00027E45">
              <w:rPr>
                <w:rFonts w:ascii="Arial" w:hAnsi="Arial" w:cs="Arial"/>
                <w:sz w:val="22"/>
                <w:szCs w:val="22"/>
                <w:lang w:val="en-IN" w:bidi="ar-SA"/>
              </w:rPr>
              <w:t>Poor response rate to the standardised intervention initiatives</w:t>
            </w:r>
          </w:p>
        </w:tc>
      </w:tr>
    </w:tbl>
    <w:p w14:paraId="634A48B1" w14:textId="77777777" w:rsidR="00027E45" w:rsidRPr="00027E45" w:rsidRDefault="00027E45" w:rsidP="00027E45">
      <w:pPr>
        <w:spacing w:before="100" w:beforeAutospacing="1" w:after="100" w:afterAutospacing="1"/>
        <w:jc w:val="center"/>
        <w:rPr>
          <w:rFonts w:ascii="Arial" w:hAnsi="Arial" w:cs="Arial"/>
          <w:sz w:val="22"/>
          <w:szCs w:val="22"/>
          <w:lang w:val="en-IN" w:bidi="ar-SA"/>
        </w:rPr>
      </w:pPr>
      <w:r w:rsidRPr="00027E45">
        <w:rPr>
          <w:rFonts w:ascii="Arial" w:hAnsi="Arial" w:cs="Arial"/>
          <w:sz w:val="22"/>
          <w:szCs w:val="22"/>
          <w:lang w:val="en-IN" w:bidi="ar-SA"/>
        </w:rPr>
        <w:t>(Source: self-generated)</w:t>
      </w:r>
    </w:p>
    <w:p w14:paraId="0C5792DB" w14:textId="77777777" w:rsidR="00027E45" w:rsidRPr="00027E45" w:rsidRDefault="00027E45" w:rsidP="00027E45">
      <w:pPr>
        <w:spacing w:before="100" w:beforeAutospacing="1" w:after="100" w:afterAutospacing="1"/>
        <w:rPr>
          <w:rFonts w:ascii="Arial" w:hAnsi="Arial" w:cs="Arial"/>
          <w:sz w:val="22"/>
          <w:szCs w:val="22"/>
          <w:lang w:val="en-IN" w:bidi="ar-SA"/>
        </w:rPr>
      </w:pPr>
    </w:p>
    <w:p w14:paraId="597449C7" w14:textId="77777777" w:rsidR="00027E45" w:rsidRPr="00027E45" w:rsidRDefault="00027E45" w:rsidP="00027E45">
      <w:pPr>
        <w:spacing w:before="100" w:beforeAutospacing="1" w:after="100" w:afterAutospacing="1"/>
        <w:jc w:val="left"/>
        <w:rPr>
          <w:rFonts w:ascii="Arial" w:hAnsi="Arial" w:cs="Arial"/>
          <w:sz w:val="22"/>
          <w:szCs w:val="22"/>
          <w:lang w:bidi="ar-SA"/>
        </w:rPr>
      </w:pPr>
      <w:r w:rsidRPr="00027E45">
        <w:rPr>
          <w:rFonts w:ascii="Arial" w:hAnsi="Arial" w:cs="Arial"/>
          <w:sz w:val="22"/>
          <w:szCs w:val="22"/>
          <w:lang w:bidi="ar-SA"/>
        </w:rPr>
        <w:br w:type="page"/>
      </w:r>
    </w:p>
    <w:p w14:paraId="199F846F" w14:textId="67A5A9E9" w:rsidR="00027E45" w:rsidRPr="00027E45" w:rsidRDefault="00027E45" w:rsidP="00027E45">
      <w:pPr>
        <w:spacing w:before="100" w:beforeAutospacing="1" w:after="100" w:afterAutospacing="1"/>
        <w:jc w:val="left"/>
        <w:rPr>
          <w:rFonts w:ascii="Arial" w:hAnsi="Arial" w:cs="Arial"/>
          <w:sz w:val="22"/>
          <w:szCs w:val="22"/>
          <w:lang w:bidi="ar-SA"/>
        </w:rPr>
      </w:pPr>
      <w:r w:rsidRPr="00027E45">
        <w:rPr>
          <w:rFonts w:ascii="Arial" w:hAnsi="Arial" w:cs="Arial"/>
          <w:sz w:val="22"/>
          <w:szCs w:val="22"/>
          <w:lang w:bidi="ar-SA"/>
        </w:rPr>
        <w:lastRenderedPageBreak/>
        <w:br w:type="page"/>
      </w:r>
    </w:p>
    <w:p w14:paraId="323A6012" w14:textId="77777777" w:rsidR="00027E45" w:rsidRPr="00027E45" w:rsidRDefault="00027E45" w:rsidP="00027E45">
      <w:pPr>
        <w:spacing w:before="100" w:beforeAutospacing="1" w:after="100" w:afterAutospacing="1"/>
        <w:rPr>
          <w:rFonts w:ascii="Arial" w:hAnsi="Arial" w:cs="Arial"/>
          <w:sz w:val="22"/>
          <w:szCs w:val="22"/>
          <w:lang w:bidi="ar-SA"/>
        </w:rPr>
      </w:pPr>
    </w:p>
    <w:sectPr w:rsidR="00027E45" w:rsidRPr="00027E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B04B4" w14:textId="77777777" w:rsidR="00FD776F" w:rsidRDefault="00FD776F" w:rsidP="00F61B91">
      <w:pPr>
        <w:spacing w:after="0" w:line="240" w:lineRule="auto"/>
      </w:pPr>
      <w:r>
        <w:separator/>
      </w:r>
    </w:p>
  </w:endnote>
  <w:endnote w:type="continuationSeparator" w:id="0">
    <w:p w14:paraId="010C32DF" w14:textId="77777777" w:rsidR="00FD776F" w:rsidRDefault="00FD776F" w:rsidP="00F61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424205"/>
      <w:docPartObj>
        <w:docPartGallery w:val="Page Numbers (Bottom of Page)"/>
        <w:docPartUnique/>
      </w:docPartObj>
    </w:sdtPr>
    <w:sdtEndPr>
      <w:rPr>
        <w:noProof/>
      </w:rPr>
    </w:sdtEndPr>
    <w:sdtContent>
      <w:p w14:paraId="3CD789DA" w14:textId="59C060EA" w:rsidR="00F61B91" w:rsidRDefault="00F61B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0EFB9D" w14:textId="77777777" w:rsidR="00F61B91" w:rsidRDefault="00F61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3E366" w14:textId="77777777" w:rsidR="00FD776F" w:rsidRDefault="00FD776F" w:rsidP="00F61B91">
      <w:pPr>
        <w:spacing w:after="0" w:line="240" w:lineRule="auto"/>
      </w:pPr>
      <w:r>
        <w:separator/>
      </w:r>
    </w:p>
  </w:footnote>
  <w:footnote w:type="continuationSeparator" w:id="0">
    <w:p w14:paraId="757BCC8D" w14:textId="77777777" w:rsidR="00FD776F" w:rsidRDefault="00FD776F" w:rsidP="00F61B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554"/>
    <w:rsid w:val="00027E45"/>
    <w:rsid w:val="000E4A30"/>
    <w:rsid w:val="00434820"/>
    <w:rsid w:val="00462613"/>
    <w:rsid w:val="005914DC"/>
    <w:rsid w:val="00694A9A"/>
    <w:rsid w:val="006A3966"/>
    <w:rsid w:val="007041D9"/>
    <w:rsid w:val="00716D04"/>
    <w:rsid w:val="008555C8"/>
    <w:rsid w:val="008F34E3"/>
    <w:rsid w:val="00980554"/>
    <w:rsid w:val="009D4AAF"/>
    <w:rsid w:val="00B62A9C"/>
    <w:rsid w:val="00C43875"/>
    <w:rsid w:val="00C71F91"/>
    <w:rsid w:val="00CD5AC2"/>
    <w:rsid w:val="00D4680D"/>
    <w:rsid w:val="00F13A83"/>
    <w:rsid w:val="00F61B91"/>
    <w:rsid w:val="00FB141B"/>
    <w:rsid w:val="00FD77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FD4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41B"/>
    <w:pPr>
      <w:spacing w:after="200" w:line="360" w:lineRule="auto"/>
      <w:jc w:val="both"/>
    </w:pPr>
    <w:rPr>
      <w:rFonts w:ascii="Times New Roman" w:hAnsi="Times New Roman"/>
      <w:sz w:val="24"/>
      <w:szCs w:val="28"/>
      <w:lang w:val="en-GB" w:bidi="bn-IN"/>
    </w:rPr>
  </w:style>
  <w:style w:type="paragraph" w:styleId="Heading1">
    <w:name w:val="heading 1"/>
    <w:basedOn w:val="Normal"/>
    <w:next w:val="Normal"/>
    <w:link w:val="Heading1Char"/>
    <w:uiPriority w:val="9"/>
    <w:qFormat/>
    <w:rsid w:val="00C71F91"/>
    <w:pPr>
      <w:keepNext/>
      <w:keepLines/>
      <w:spacing w:before="480" w:after="0"/>
      <w:outlineLvl w:val="0"/>
    </w:pPr>
    <w:rPr>
      <w:rFonts w:eastAsiaTheme="majorEastAsia" w:cstheme="majorBidi"/>
      <w:b/>
      <w:bCs/>
      <w:sz w:val="28"/>
      <w:szCs w:val="35"/>
      <w:lang w:bidi="ar-SA"/>
    </w:rPr>
  </w:style>
  <w:style w:type="paragraph" w:styleId="Heading2">
    <w:name w:val="heading 2"/>
    <w:basedOn w:val="Normal"/>
    <w:next w:val="Normal"/>
    <w:link w:val="Heading2Char"/>
    <w:uiPriority w:val="9"/>
    <w:unhideWhenUsed/>
    <w:qFormat/>
    <w:rsid w:val="00C71F91"/>
    <w:pPr>
      <w:keepNext/>
      <w:keepLines/>
      <w:spacing w:before="40" w:after="0"/>
      <w:outlineLvl w:val="1"/>
    </w:pPr>
    <w:rPr>
      <w:rFonts w:eastAsiaTheme="majorEastAsia" w:cstheme="majorBidi"/>
      <w:b/>
      <w:sz w:val="26"/>
      <w:szCs w:val="33"/>
      <w:lang w:bidi="ar-SA"/>
    </w:rPr>
  </w:style>
  <w:style w:type="paragraph" w:styleId="Heading3">
    <w:name w:val="heading 3"/>
    <w:basedOn w:val="Normal"/>
    <w:next w:val="Normal"/>
    <w:link w:val="Heading3Char"/>
    <w:uiPriority w:val="9"/>
    <w:unhideWhenUsed/>
    <w:qFormat/>
    <w:rsid w:val="00FB141B"/>
    <w:pPr>
      <w:keepNext/>
      <w:keepLines/>
      <w:spacing w:before="40" w:after="0"/>
      <w:outlineLvl w:val="2"/>
    </w:pPr>
    <w:rPr>
      <w:rFonts w:eastAsiaTheme="majorEastAsia" w:cstheme="majorBidi"/>
      <w:b/>
      <w:i/>
      <w:szCs w:val="30"/>
      <w:lang w:bidi="ar-SA"/>
    </w:rPr>
  </w:style>
  <w:style w:type="paragraph" w:styleId="Heading4">
    <w:name w:val="heading 4"/>
    <w:basedOn w:val="Normal"/>
    <w:next w:val="Normal"/>
    <w:link w:val="Heading4Char"/>
    <w:uiPriority w:val="9"/>
    <w:semiHidden/>
    <w:unhideWhenUsed/>
    <w:qFormat/>
    <w:rsid w:val="0098055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8055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805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05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05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05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34E3"/>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8F34E3"/>
    <w:rPr>
      <w:rFonts w:ascii="Times New Roman" w:eastAsiaTheme="majorEastAsia" w:hAnsi="Times New Roman" w:cstheme="majorBidi"/>
      <w:b/>
      <w:spacing w:val="-10"/>
      <w:kern w:val="28"/>
      <w:sz w:val="48"/>
      <w:szCs w:val="56"/>
      <w:lang w:val="en-GB"/>
    </w:rPr>
  </w:style>
  <w:style w:type="character" w:customStyle="1" w:styleId="Heading1Char">
    <w:name w:val="Heading 1 Char"/>
    <w:basedOn w:val="DefaultParagraphFont"/>
    <w:link w:val="Heading1"/>
    <w:uiPriority w:val="9"/>
    <w:rsid w:val="00C71F91"/>
    <w:rPr>
      <w:rFonts w:ascii="Times New Roman" w:eastAsiaTheme="majorEastAsia" w:hAnsi="Times New Roman" w:cstheme="majorBidi"/>
      <w:b/>
      <w:bCs/>
      <w:sz w:val="28"/>
      <w:szCs w:val="35"/>
      <w:lang w:val="en-GB"/>
    </w:rPr>
  </w:style>
  <w:style w:type="character" w:customStyle="1" w:styleId="Heading2Char">
    <w:name w:val="Heading 2 Char"/>
    <w:basedOn w:val="DefaultParagraphFont"/>
    <w:link w:val="Heading2"/>
    <w:uiPriority w:val="9"/>
    <w:rsid w:val="00C71F91"/>
    <w:rPr>
      <w:rFonts w:ascii="Times New Roman" w:eastAsiaTheme="majorEastAsia" w:hAnsi="Times New Roman" w:cstheme="majorBidi"/>
      <w:b/>
      <w:sz w:val="26"/>
      <w:szCs w:val="33"/>
      <w:lang w:val="en-GB"/>
    </w:rPr>
  </w:style>
  <w:style w:type="paragraph" w:customStyle="1" w:styleId="Listoftables">
    <w:name w:val="List of tables"/>
    <w:basedOn w:val="Normal"/>
    <w:link w:val="ListoftablesChar"/>
    <w:qFormat/>
    <w:rsid w:val="008555C8"/>
    <w:pPr>
      <w:jc w:val="center"/>
    </w:pPr>
    <w:rPr>
      <w:b/>
    </w:rPr>
  </w:style>
  <w:style w:type="character" w:customStyle="1" w:styleId="ListoftablesChar">
    <w:name w:val="List of tables Char"/>
    <w:basedOn w:val="DefaultParagraphFont"/>
    <w:link w:val="Listoftables"/>
    <w:rsid w:val="008555C8"/>
    <w:rPr>
      <w:rFonts w:ascii="Times New Roman" w:hAnsi="Times New Roman"/>
      <w:b/>
      <w:sz w:val="24"/>
      <w:szCs w:val="28"/>
      <w:lang w:val="en-GB" w:bidi="bn-IN"/>
    </w:rPr>
  </w:style>
  <w:style w:type="paragraph" w:customStyle="1" w:styleId="Listoffigures">
    <w:name w:val="List of figures"/>
    <w:basedOn w:val="Listoftables"/>
    <w:link w:val="ListoffiguresChar"/>
    <w:qFormat/>
    <w:rsid w:val="008555C8"/>
  </w:style>
  <w:style w:type="character" w:customStyle="1" w:styleId="ListoffiguresChar">
    <w:name w:val="List of figures Char"/>
    <w:basedOn w:val="ListoftablesChar"/>
    <w:link w:val="Listoffigures"/>
    <w:rsid w:val="008555C8"/>
    <w:rPr>
      <w:rFonts w:ascii="Times New Roman" w:hAnsi="Times New Roman"/>
      <w:b/>
      <w:sz w:val="24"/>
      <w:szCs w:val="28"/>
      <w:lang w:val="en-GB" w:bidi="bn-IN"/>
    </w:rPr>
  </w:style>
  <w:style w:type="character" w:customStyle="1" w:styleId="Heading3Char">
    <w:name w:val="Heading 3 Char"/>
    <w:basedOn w:val="DefaultParagraphFont"/>
    <w:link w:val="Heading3"/>
    <w:uiPriority w:val="9"/>
    <w:rsid w:val="00FB141B"/>
    <w:rPr>
      <w:rFonts w:ascii="Times New Roman" w:eastAsiaTheme="majorEastAsia" w:hAnsi="Times New Roman" w:cstheme="majorBidi"/>
      <w:b/>
      <w:i/>
      <w:sz w:val="24"/>
      <w:szCs w:val="30"/>
    </w:rPr>
  </w:style>
  <w:style w:type="character" w:customStyle="1" w:styleId="Heading4Char">
    <w:name w:val="Heading 4 Char"/>
    <w:basedOn w:val="DefaultParagraphFont"/>
    <w:link w:val="Heading4"/>
    <w:uiPriority w:val="9"/>
    <w:semiHidden/>
    <w:rsid w:val="00980554"/>
    <w:rPr>
      <w:rFonts w:eastAsiaTheme="majorEastAsia" w:cstheme="majorBidi"/>
      <w:i/>
      <w:iCs/>
      <w:color w:val="2F5496" w:themeColor="accent1" w:themeShade="BF"/>
      <w:sz w:val="24"/>
      <w:szCs w:val="28"/>
      <w:lang w:val="en-GB" w:bidi="bn-IN"/>
    </w:rPr>
  </w:style>
  <w:style w:type="character" w:customStyle="1" w:styleId="Heading5Char">
    <w:name w:val="Heading 5 Char"/>
    <w:basedOn w:val="DefaultParagraphFont"/>
    <w:link w:val="Heading5"/>
    <w:uiPriority w:val="9"/>
    <w:semiHidden/>
    <w:rsid w:val="00980554"/>
    <w:rPr>
      <w:rFonts w:eastAsiaTheme="majorEastAsia" w:cstheme="majorBidi"/>
      <w:color w:val="2F5496" w:themeColor="accent1" w:themeShade="BF"/>
      <w:sz w:val="24"/>
      <w:szCs w:val="28"/>
      <w:lang w:val="en-GB" w:bidi="bn-IN"/>
    </w:rPr>
  </w:style>
  <w:style w:type="character" w:customStyle="1" w:styleId="Heading6Char">
    <w:name w:val="Heading 6 Char"/>
    <w:basedOn w:val="DefaultParagraphFont"/>
    <w:link w:val="Heading6"/>
    <w:uiPriority w:val="9"/>
    <w:semiHidden/>
    <w:rsid w:val="00980554"/>
    <w:rPr>
      <w:rFonts w:eastAsiaTheme="majorEastAsia" w:cstheme="majorBidi"/>
      <w:i/>
      <w:iCs/>
      <w:color w:val="595959" w:themeColor="text1" w:themeTint="A6"/>
      <w:sz w:val="24"/>
      <w:szCs w:val="28"/>
      <w:lang w:val="en-GB" w:bidi="bn-IN"/>
    </w:rPr>
  </w:style>
  <w:style w:type="character" w:customStyle="1" w:styleId="Heading7Char">
    <w:name w:val="Heading 7 Char"/>
    <w:basedOn w:val="DefaultParagraphFont"/>
    <w:link w:val="Heading7"/>
    <w:uiPriority w:val="9"/>
    <w:semiHidden/>
    <w:rsid w:val="00980554"/>
    <w:rPr>
      <w:rFonts w:eastAsiaTheme="majorEastAsia" w:cstheme="majorBidi"/>
      <w:color w:val="595959" w:themeColor="text1" w:themeTint="A6"/>
      <w:sz w:val="24"/>
      <w:szCs w:val="28"/>
      <w:lang w:val="en-GB" w:bidi="bn-IN"/>
    </w:rPr>
  </w:style>
  <w:style w:type="character" w:customStyle="1" w:styleId="Heading8Char">
    <w:name w:val="Heading 8 Char"/>
    <w:basedOn w:val="DefaultParagraphFont"/>
    <w:link w:val="Heading8"/>
    <w:uiPriority w:val="9"/>
    <w:semiHidden/>
    <w:rsid w:val="00980554"/>
    <w:rPr>
      <w:rFonts w:eastAsiaTheme="majorEastAsia" w:cstheme="majorBidi"/>
      <w:i/>
      <w:iCs/>
      <w:color w:val="272727" w:themeColor="text1" w:themeTint="D8"/>
      <w:sz w:val="24"/>
      <w:szCs w:val="28"/>
      <w:lang w:val="en-GB" w:bidi="bn-IN"/>
    </w:rPr>
  </w:style>
  <w:style w:type="character" w:customStyle="1" w:styleId="Heading9Char">
    <w:name w:val="Heading 9 Char"/>
    <w:basedOn w:val="DefaultParagraphFont"/>
    <w:link w:val="Heading9"/>
    <w:uiPriority w:val="9"/>
    <w:semiHidden/>
    <w:rsid w:val="00980554"/>
    <w:rPr>
      <w:rFonts w:eastAsiaTheme="majorEastAsia" w:cstheme="majorBidi"/>
      <w:color w:val="272727" w:themeColor="text1" w:themeTint="D8"/>
      <w:sz w:val="24"/>
      <w:szCs w:val="28"/>
      <w:lang w:val="en-GB" w:bidi="bn-IN"/>
    </w:rPr>
  </w:style>
  <w:style w:type="paragraph" w:styleId="Subtitle">
    <w:name w:val="Subtitle"/>
    <w:basedOn w:val="Normal"/>
    <w:next w:val="Normal"/>
    <w:link w:val="SubtitleChar"/>
    <w:uiPriority w:val="11"/>
    <w:qFormat/>
    <w:rsid w:val="00980554"/>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80554"/>
    <w:rPr>
      <w:rFonts w:eastAsiaTheme="majorEastAsia" w:cstheme="majorBidi"/>
      <w:color w:val="595959" w:themeColor="text1" w:themeTint="A6"/>
      <w:spacing w:val="15"/>
      <w:sz w:val="28"/>
      <w:szCs w:val="35"/>
      <w:lang w:val="en-GB" w:bidi="bn-IN"/>
    </w:rPr>
  </w:style>
  <w:style w:type="paragraph" w:styleId="Quote">
    <w:name w:val="Quote"/>
    <w:basedOn w:val="Normal"/>
    <w:next w:val="Normal"/>
    <w:link w:val="QuoteChar"/>
    <w:uiPriority w:val="29"/>
    <w:qFormat/>
    <w:rsid w:val="009805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0554"/>
    <w:rPr>
      <w:rFonts w:ascii="Times New Roman" w:hAnsi="Times New Roman"/>
      <w:i/>
      <w:iCs/>
      <w:color w:val="404040" w:themeColor="text1" w:themeTint="BF"/>
      <w:sz w:val="24"/>
      <w:szCs w:val="28"/>
      <w:lang w:val="en-GB" w:bidi="bn-IN"/>
    </w:rPr>
  </w:style>
  <w:style w:type="paragraph" w:styleId="ListParagraph">
    <w:name w:val="List Paragraph"/>
    <w:basedOn w:val="Normal"/>
    <w:uiPriority w:val="34"/>
    <w:qFormat/>
    <w:rsid w:val="00980554"/>
    <w:pPr>
      <w:ind w:left="720"/>
      <w:contextualSpacing/>
    </w:pPr>
  </w:style>
  <w:style w:type="character" w:styleId="IntenseEmphasis">
    <w:name w:val="Intense Emphasis"/>
    <w:basedOn w:val="DefaultParagraphFont"/>
    <w:uiPriority w:val="21"/>
    <w:qFormat/>
    <w:rsid w:val="00980554"/>
    <w:rPr>
      <w:i/>
      <w:iCs/>
      <w:color w:val="2F5496" w:themeColor="accent1" w:themeShade="BF"/>
    </w:rPr>
  </w:style>
  <w:style w:type="paragraph" w:styleId="IntenseQuote">
    <w:name w:val="Intense Quote"/>
    <w:basedOn w:val="Normal"/>
    <w:next w:val="Normal"/>
    <w:link w:val="IntenseQuoteChar"/>
    <w:uiPriority w:val="30"/>
    <w:qFormat/>
    <w:rsid w:val="009805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0554"/>
    <w:rPr>
      <w:rFonts w:ascii="Times New Roman" w:hAnsi="Times New Roman"/>
      <w:i/>
      <w:iCs/>
      <w:color w:val="2F5496" w:themeColor="accent1" w:themeShade="BF"/>
      <w:sz w:val="24"/>
      <w:szCs w:val="28"/>
      <w:lang w:val="en-GB" w:bidi="bn-IN"/>
    </w:rPr>
  </w:style>
  <w:style w:type="character" w:styleId="IntenseReference">
    <w:name w:val="Intense Reference"/>
    <w:basedOn w:val="DefaultParagraphFont"/>
    <w:uiPriority w:val="32"/>
    <w:qFormat/>
    <w:rsid w:val="00980554"/>
    <w:rPr>
      <w:b/>
      <w:bCs/>
      <w:smallCaps/>
      <w:color w:val="2F5496" w:themeColor="accent1" w:themeShade="BF"/>
      <w:spacing w:val="5"/>
    </w:rPr>
  </w:style>
  <w:style w:type="character" w:styleId="Hyperlink">
    <w:name w:val="Hyperlink"/>
    <w:basedOn w:val="DefaultParagraphFont"/>
    <w:uiPriority w:val="99"/>
    <w:unhideWhenUsed/>
    <w:rsid w:val="00027E45"/>
    <w:rPr>
      <w:color w:val="0563C1" w:themeColor="hyperlink"/>
      <w:u w:val="single"/>
    </w:rPr>
  </w:style>
  <w:style w:type="character" w:styleId="UnresolvedMention">
    <w:name w:val="Unresolved Mention"/>
    <w:basedOn w:val="DefaultParagraphFont"/>
    <w:uiPriority w:val="99"/>
    <w:semiHidden/>
    <w:unhideWhenUsed/>
    <w:rsid w:val="00027E45"/>
    <w:rPr>
      <w:color w:val="605E5C"/>
      <w:shd w:val="clear" w:color="auto" w:fill="E1DFDD"/>
    </w:rPr>
  </w:style>
  <w:style w:type="paragraph" w:styleId="TOCHeading">
    <w:name w:val="TOC Heading"/>
    <w:basedOn w:val="Heading1"/>
    <w:next w:val="Normal"/>
    <w:uiPriority w:val="39"/>
    <w:unhideWhenUsed/>
    <w:qFormat/>
    <w:rsid w:val="00027E45"/>
    <w:pPr>
      <w:spacing w:before="24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27E45"/>
    <w:pPr>
      <w:spacing w:after="100"/>
    </w:pPr>
  </w:style>
  <w:style w:type="paragraph" w:styleId="TOC2">
    <w:name w:val="toc 2"/>
    <w:basedOn w:val="Normal"/>
    <w:next w:val="Normal"/>
    <w:autoRedefine/>
    <w:uiPriority w:val="39"/>
    <w:unhideWhenUsed/>
    <w:rsid w:val="00027E45"/>
    <w:pPr>
      <w:spacing w:after="100"/>
      <w:ind w:left="240"/>
    </w:pPr>
  </w:style>
  <w:style w:type="paragraph" w:styleId="TOC3">
    <w:name w:val="toc 3"/>
    <w:basedOn w:val="Normal"/>
    <w:next w:val="Normal"/>
    <w:autoRedefine/>
    <w:uiPriority w:val="39"/>
    <w:unhideWhenUsed/>
    <w:rsid w:val="00027E45"/>
    <w:pPr>
      <w:spacing w:after="100"/>
      <w:ind w:left="480"/>
    </w:pPr>
  </w:style>
  <w:style w:type="paragraph" w:styleId="Header">
    <w:name w:val="header"/>
    <w:basedOn w:val="Normal"/>
    <w:link w:val="HeaderChar"/>
    <w:uiPriority w:val="99"/>
    <w:unhideWhenUsed/>
    <w:rsid w:val="00F61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B91"/>
    <w:rPr>
      <w:rFonts w:ascii="Times New Roman" w:hAnsi="Times New Roman"/>
      <w:sz w:val="24"/>
      <w:szCs w:val="28"/>
      <w:lang w:val="en-GB" w:bidi="bn-IN"/>
    </w:rPr>
  </w:style>
  <w:style w:type="paragraph" w:styleId="Footer">
    <w:name w:val="footer"/>
    <w:basedOn w:val="Normal"/>
    <w:link w:val="FooterChar"/>
    <w:uiPriority w:val="99"/>
    <w:unhideWhenUsed/>
    <w:rsid w:val="00F61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B91"/>
    <w:rPr>
      <w:rFonts w:ascii="Times New Roman" w:hAnsi="Times New Roman"/>
      <w:sz w:val="24"/>
      <w:szCs w:val="28"/>
      <w:lang w:val="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substance-misuse-treatment-for-adults-statistics-2023-to-2024/adult-substance-misuse-treatment-statistics-2023-to-2024-report" TargetMode="External"/><Relationship Id="rId13" Type="http://schemas.openxmlformats.org/officeDocument/2006/relationships/image" Target="media/image4.png"/><Relationship Id="rId18" Type="http://schemas.openxmlformats.org/officeDocument/2006/relationships/hyperlink" Target="https://www.gov.uk/government/statistics/substance-misuse-treatment-for-young-people-2022-to-2023/young-peoples-substance-misuse-treatment-statistics-2022-to-2023-report" TargetMode="External"/><Relationship Id="rId26" Type="http://schemas.openxmlformats.org/officeDocument/2006/relationships/hyperlink" Target="https://homelesslink-1b54.kxcdn.com/media/documents/GLA_Toolkit_Guidance.pdf" TargetMode="External"/><Relationship Id="rId39" Type="http://schemas.openxmlformats.org/officeDocument/2006/relationships/hyperlink" Target="https://homelesslink-1b54.kxcdn.com/media/documents/GLA_Toolkit_Guidance.pdf" TargetMode="External"/><Relationship Id="rId3" Type="http://schemas.openxmlformats.org/officeDocument/2006/relationships/settings" Target="settings.xml"/><Relationship Id="rId21" Type="http://schemas.openxmlformats.org/officeDocument/2006/relationships/hyperlink" Target="https://health.ec.europa.eu/system/files/2020-06/healthstatus_newlyarrivedmigrantsrefugees_en_0.pdf" TargetMode="External"/><Relationship Id="rId34" Type="http://schemas.openxmlformats.org/officeDocument/2006/relationships/hyperlink" Target="https://www.mentalhealth.org.uk/explore-mental-health/publications/mental-health-asylum-seekers-and-refugees-uk" TargetMode="External"/><Relationship Id="rId42" Type="http://schemas.openxmlformats.org/officeDocument/2006/relationships/hyperlink" Target="https://rm.coe.int/intercultural-responses-to-drug-related-challenges-refugees-migrants-i/1680ae0ebf"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euda.europa.eu/publications/mini-guides/migrants-and-drugs-health-and-social-responses_en" TargetMode="External"/><Relationship Id="rId25" Type="http://schemas.openxmlformats.org/officeDocument/2006/relationships/hyperlink" Target="https://www.simplypsychology.org/bronfenbrenner.html" TargetMode="External"/><Relationship Id="rId33" Type="http://schemas.openxmlformats.org/officeDocument/2006/relationships/hyperlink" Target="https://www.gov.uk/guidance/clinical-guidelines-for-alcohol-treatment/25-developing-inclusive-services" TargetMode="External"/><Relationship Id="rId38" Type="http://schemas.openxmlformats.org/officeDocument/2006/relationships/hyperlink" Target="https://publications.iom.int/system/files/pdf/wmr_2020.pdf" TargetMode="External"/><Relationship Id="rId2" Type="http://schemas.openxmlformats.org/officeDocument/2006/relationships/styles" Target="styles.xml"/><Relationship Id="rId16" Type="http://schemas.openxmlformats.org/officeDocument/2006/relationships/hyperlink" Target="https://www.ons.gov.uk/peoplepopulationandcommunity/crimeandjustice/articles/drugmisuseinenglandandwales/yearendingmarch2024" TargetMode="External"/><Relationship Id="rId20" Type="http://schemas.openxmlformats.org/officeDocument/2006/relationships/hyperlink" Target="https://rm.coe.int/intercultural-responses-to-drug-related-challenges-refugees-migrants-i/1680ae0ebf" TargetMode="External"/><Relationship Id="rId29" Type="http://schemas.openxmlformats.org/officeDocument/2006/relationships/hyperlink" Target="https://www.thesun.co.uk/news/37575554/migrants-smuggle-cocaine-heroin-britain-channel" TargetMode="External"/><Relationship Id="rId41" Type="http://schemas.openxmlformats.org/officeDocument/2006/relationships/hyperlink" Target="https://assets.publishing.service.gov.uk/media/628254fbd3bf7f1f433ae0e6/16052022_-_ACMD_Drug_Misuse_Prevention_Report_-_Final__Published_version_.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gov.uk/government/statistics/substance-misuse-treatment-for-young-people-2022-to-2023/young-peoples-substance-misuse-treatment-statistics-2022-to-2023-report" TargetMode="External"/><Relationship Id="rId32" Type="http://schemas.openxmlformats.org/officeDocument/2006/relationships/hyperlink" Target="https://natcen.ac.uk/news/new-research-reveals-experience-drug-use-amongst-people-minority-ethnic-groups" TargetMode="External"/><Relationship Id="rId37" Type="http://schemas.openxmlformats.org/officeDocument/2006/relationships/hyperlink" Target="https://health.ec.europa.eu/system/files/2020-06/healthstatus_newlyarrivedmigrantsrefugees_en_0.pdf" TargetMode="External"/><Relationship Id="rId40" Type="http://schemas.openxmlformats.org/officeDocument/2006/relationships/hyperlink" Target="https://www.gov.uk/government/statistics/substance-misuse-treatment-for-young-people-2022-to-2023/young-peoples-substance-misuse-treatment-statistics-2022-to-2023-report"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euda.europa.eu/sites/default/files/pdf/14102_en.pdf?995012" TargetMode="External"/><Relationship Id="rId28" Type="http://schemas.openxmlformats.org/officeDocument/2006/relationships/hyperlink" Target="https://www.gov.uk/government/statistics/substance-misuse-treatment-for-adults-statistics-2024-to-2025/adult-substance-misuse-treatment-statistics-2024-to-2025-report" TargetMode="External"/><Relationship Id="rId36" Type="http://schemas.openxmlformats.org/officeDocument/2006/relationships/hyperlink" Target="https://www.euda.europa.eu/sites/default/files/pdf/14102_en.pdf?995012" TargetMode="External"/><Relationship Id="rId10" Type="http://schemas.openxmlformats.org/officeDocument/2006/relationships/footer" Target="footer1.xml"/><Relationship Id="rId19" Type="http://schemas.openxmlformats.org/officeDocument/2006/relationships/hyperlink" Target="https://assets.publishing.service.gov.uk/media/628254fbd3bf7f1f433ae0e6/16052022_-_ACMD_Drug_Misuse_Prevention_Report_-_Final__Published_version_.pdf" TargetMode="External"/><Relationship Id="rId31" Type="http://schemas.openxmlformats.org/officeDocument/2006/relationships/hyperlink" Target="https://www.london.gov.uk/add2734-rough-sleeping-migration-and-drug-and-alcohol-treatment-2024-25"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lications.parliament.uk/pa/cm5804/cmselect/cmpubacc/72/report" TargetMode="External"/><Relationship Id="rId14" Type="http://schemas.openxmlformats.org/officeDocument/2006/relationships/image" Target="media/image5.png"/><Relationship Id="rId22" Type="http://schemas.openxmlformats.org/officeDocument/2006/relationships/hyperlink" Target="https://www.berlin-suchtpraevention.de/wp-content/uploads/2016/10/2013_EN_TDXA13001ENN.pdf" TargetMode="External"/><Relationship Id="rId27" Type="http://schemas.openxmlformats.org/officeDocument/2006/relationships/hyperlink" Target="https://publications.iom.int/system/files/pdf/wmr_2020.pdf" TargetMode="External"/><Relationship Id="rId30" Type="http://schemas.openxmlformats.org/officeDocument/2006/relationships/hyperlink" Target="https://homeless.org.uk/knowledge-hub/substance-misuse-toolkit-for-migrants-experiencing-homelessness" TargetMode="External"/><Relationship Id="rId35" Type="http://schemas.openxmlformats.org/officeDocument/2006/relationships/hyperlink" Target="https://www.rehab4addiction.co.uk/blog/minority-ethnic-communities-suffer-inequality-in-substance-misuse-treatment" TargetMode="External"/><Relationship Id="rId43" Type="http://schemas.openxmlformats.org/officeDocument/2006/relationships/hyperlink" Target="https://www.berlin-suchtpraevention.de/wp-content/uploads/2016/10/2013_EN_TDXA13001EN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F8EE3-25A6-48F2-99E8-C8D148881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13392</Words>
  <Characters>76336</Characters>
  <Application>Microsoft Office Word</Application>
  <DocSecurity>0</DocSecurity>
  <Lines>636</Lines>
  <Paragraphs>179</Paragraphs>
  <ScaleCrop>false</ScaleCrop>
  <Company/>
  <LinksUpToDate>false</LinksUpToDate>
  <CharactersWithSpaces>89549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2026-02-07T11:05:00Z</dcterms:created>
  <dcterms:modified xsi:type="dcterms:W3CDTF">2026-02-07T11:05:00Z</dcterms:modified>
</cp:coreProperties>
</file>