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109D7D9" w14:textId="77777777" w:rsidR="00206048" w:rsidRPr="00206048" w:rsidRDefault="00206048" w:rsidP="00206048">
      <w:pPr>
        <w:spacing w:before="120" w:after="120"/>
        <w:jc w:val="center"/>
        <w:rPr>
          <w:rFonts w:asciiTheme="minorHAnsi" w:hAnsiTheme="minorHAnsi" w:cs="Arial"/>
          <w:sz w:val="22"/>
          <w:szCs w:val="22"/>
        </w:rPr>
      </w:pPr>
      <w:r w:rsidRPr="00206048">
        <w:rPr>
          <w:rFonts w:asciiTheme="minorHAnsi" w:hAnsiTheme="minorHAnsi" w:cs="Arial"/>
          <w:sz w:val="22"/>
          <w:szCs w:val="22"/>
        </w:rPr>
        <w:t>I confirm that I have not used any AI tools in the research and creation of this assignment. I confirm that I have not presented any AI generated materials as my own work. I confirm I have copies of my drafts, notes, and other resources I used, which I may be asked to provide in evidence.</w:t>
      </w:r>
    </w:p>
    <w:p w14:paraId="2C84A466" w14:textId="77777777" w:rsidR="00206048" w:rsidRDefault="00206048" w:rsidP="00325776">
      <w:pPr>
        <w:spacing w:before="120" w:after="120"/>
        <w:jc w:val="center"/>
        <w:rPr>
          <w:rFonts w:asciiTheme="minorHAnsi" w:hAnsiTheme="minorHAnsi" w:cs="Arial"/>
          <w:b/>
          <w:bCs/>
          <w:sz w:val="22"/>
          <w:szCs w:val="22"/>
          <w:u w:val="single"/>
        </w:rPr>
      </w:pPr>
    </w:p>
    <w:p w14:paraId="692FC9E8" w14:textId="77777777" w:rsidR="00206048" w:rsidRDefault="00206048" w:rsidP="00325776">
      <w:pPr>
        <w:spacing w:before="120" w:after="120"/>
        <w:jc w:val="center"/>
        <w:rPr>
          <w:rFonts w:asciiTheme="minorHAnsi" w:hAnsiTheme="minorHAnsi" w:cs="Arial"/>
          <w:b/>
          <w:bCs/>
          <w:sz w:val="22"/>
          <w:szCs w:val="22"/>
          <w:u w:val="single"/>
        </w:rPr>
      </w:pPr>
    </w:p>
    <w:p w14:paraId="04E1CD04" w14:textId="592CF375" w:rsidR="00325776" w:rsidRDefault="00325776" w:rsidP="00325776">
      <w:pPr>
        <w:spacing w:before="120" w:after="120"/>
        <w:jc w:val="center"/>
        <w:rPr>
          <w:rFonts w:asciiTheme="minorHAnsi" w:hAnsiTheme="minorHAnsi" w:cs="Arial"/>
          <w:b/>
          <w:bCs/>
          <w:sz w:val="22"/>
          <w:szCs w:val="22"/>
          <w:u w:val="single"/>
        </w:rPr>
      </w:pPr>
      <w:r w:rsidRPr="00F146F8">
        <w:rPr>
          <w:rFonts w:asciiTheme="minorHAnsi" w:hAnsiTheme="minorHAnsi" w:cs="Arial"/>
          <w:b/>
          <w:bCs/>
          <w:sz w:val="22"/>
          <w:szCs w:val="22"/>
          <w:u w:val="single"/>
        </w:rPr>
        <w:t>Respecting Children and Young People’s Rights in Wales</w:t>
      </w:r>
    </w:p>
    <w:p w14:paraId="4F26FE31" w14:textId="77777777" w:rsidR="00F26681" w:rsidRDefault="00F26681" w:rsidP="00F26681">
      <w:pPr>
        <w:spacing w:before="120" w:after="120"/>
        <w:rPr>
          <w:rFonts w:asciiTheme="minorHAnsi" w:hAnsiTheme="minorHAnsi" w:cs="Arial"/>
          <w:sz w:val="22"/>
          <w:szCs w:val="22"/>
        </w:rPr>
      </w:pPr>
    </w:p>
    <w:p w14:paraId="17AF5FD9" w14:textId="77777777" w:rsidR="006E05AB" w:rsidRDefault="006E05AB" w:rsidP="006E05AB">
      <w:pPr>
        <w:rPr>
          <w:rFonts w:asciiTheme="minorHAnsi" w:hAnsiTheme="minorHAnsi" w:cs="Arial"/>
          <w:sz w:val="22"/>
          <w:szCs w:val="22"/>
        </w:rPr>
      </w:pPr>
      <w:r w:rsidRPr="006E05AB">
        <w:rPr>
          <w:rFonts w:asciiTheme="minorHAnsi" w:hAnsiTheme="minorHAnsi" w:cs="Arial"/>
          <w:sz w:val="22"/>
          <w:szCs w:val="22"/>
        </w:rPr>
        <w:t>The global recognition of children's and young people's rights has led to significant efforts to protect and promote these rights. A cornerstone of these efforts is the United Nations Convention on the Rights of the Child (UNCRC), adopted in 1989. This landmark agreement outlines the essential rights of children and young people, including their right to education, healthcare, and protection from harm. The UNCRC serves as a vital framework for ensuring that the well-being and development of children are prioritized worldwide (UNICEF, 2025). International organizations such as UNICEF play a crucial role in advocating for these rights, providing expert assistance, and supporting governments in implementing policies that ensure the well-being and development of children (UNICEF, 2019b). These efforts underscore the urgency of safeguarding children's rights to create a better future for all.</w:t>
      </w:r>
    </w:p>
    <w:p w14:paraId="15267911" w14:textId="77777777" w:rsidR="006E05AB" w:rsidRPr="006E05AB" w:rsidRDefault="006E05AB" w:rsidP="006E05AB">
      <w:pPr>
        <w:rPr>
          <w:rFonts w:asciiTheme="minorHAnsi" w:hAnsiTheme="minorHAnsi" w:cs="Arial"/>
          <w:sz w:val="22"/>
          <w:szCs w:val="22"/>
        </w:rPr>
      </w:pPr>
    </w:p>
    <w:p w14:paraId="3DFCBB75" w14:textId="77777777" w:rsidR="006E05AB" w:rsidRDefault="006E05AB" w:rsidP="006E05AB">
      <w:pPr>
        <w:rPr>
          <w:rFonts w:asciiTheme="minorHAnsi" w:hAnsiTheme="minorHAnsi" w:cs="Arial"/>
          <w:sz w:val="22"/>
          <w:szCs w:val="22"/>
        </w:rPr>
      </w:pPr>
      <w:r w:rsidRPr="006E05AB">
        <w:rPr>
          <w:rFonts w:asciiTheme="minorHAnsi" w:hAnsiTheme="minorHAnsi" w:cs="Arial"/>
          <w:sz w:val="22"/>
          <w:szCs w:val="22"/>
        </w:rPr>
        <w:t>Children's and young people's rights are particularly crucial in educational settings as they ensure that all students have access to quality education, free from discrimination and inequality. Respecting and promoting these rights can lead to better educational outcomes by providing a supportive and inclusive environment where all learners can thrive (Steps4Kids, 2025). Education empowers individuals with knowledge and skills, fostering their overall development and well-being (UNICEF, 2024). By upholding these rights, educational institutions can help reduce poverty and inequality, promote social justice, and enable children and young people to reach their full potential (</w:t>
      </w:r>
      <w:proofErr w:type="spellStart"/>
      <w:r w:rsidRPr="006E05AB">
        <w:rPr>
          <w:rFonts w:asciiTheme="minorHAnsi" w:hAnsiTheme="minorHAnsi" w:cs="Arial"/>
          <w:sz w:val="22"/>
          <w:szCs w:val="22"/>
        </w:rPr>
        <w:t>Theirworld</w:t>
      </w:r>
      <w:proofErr w:type="spellEnd"/>
      <w:r w:rsidRPr="006E05AB">
        <w:rPr>
          <w:rFonts w:asciiTheme="minorHAnsi" w:hAnsiTheme="minorHAnsi" w:cs="Arial"/>
          <w:sz w:val="22"/>
          <w:szCs w:val="22"/>
        </w:rPr>
        <w:t>, n.d.).</w:t>
      </w:r>
    </w:p>
    <w:p w14:paraId="00AA0D45" w14:textId="77777777" w:rsidR="006E05AB" w:rsidRPr="006E05AB" w:rsidRDefault="006E05AB" w:rsidP="006E05AB">
      <w:pPr>
        <w:rPr>
          <w:rFonts w:asciiTheme="minorHAnsi" w:hAnsiTheme="minorHAnsi" w:cs="Arial"/>
          <w:sz w:val="22"/>
          <w:szCs w:val="22"/>
        </w:rPr>
      </w:pPr>
    </w:p>
    <w:p w14:paraId="23B0571D" w14:textId="4AEFC1DA" w:rsidR="006E05AB" w:rsidRDefault="006E05AB" w:rsidP="006E05AB">
      <w:pPr>
        <w:rPr>
          <w:rFonts w:asciiTheme="minorHAnsi" w:hAnsiTheme="minorHAnsi" w:cs="Arial"/>
          <w:sz w:val="22"/>
          <w:szCs w:val="22"/>
        </w:rPr>
      </w:pPr>
      <w:r>
        <w:rPr>
          <w:rFonts w:asciiTheme="minorHAnsi" w:hAnsiTheme="minorHAnsi" w:cs="Arial"/>
          <w:sz w:val="22"/>
          <w:szCs w:val="22"/>
        </w:rPr>
        <w:t xml:space="preserve"> </w:t>
      </w:r>
      <w:r w:rsidRPr="006E05AB">
        <w:rPr>
          <w:rFonts w:asciiTheme="minorHAnsi" w:hAnsiTheme="minorHAnsi" w:cs="Arial"/>
          <w:sz w:val="22"/>
          <w:szCs w:val="22"/>
        </w:rPr>
        <w:t>A rights-based approach in education integrates human rights principles into all aspects of educational policy and practice. This approach is guided by key principles such as non-discrimination and equality, ensuring that all children have access to quality education regardless of their background. Accountability and transparency are crucial, as they require educational authorities to be responsible for upholding children's rights and to operate openly. Participation and empowerment emphasize the active involvement of children and young people in decision-making processes that affect their education, fostering a sense of ownership and agency (INEE, 2010). By adopting a rights-based approach, educational institutions can create inclusive environments that support the holistic development of all learners (UNICEF, 2007).</w:t>
      </w:r>
    </w:p>
    <w:p w14:paraId="2172C4AC" w14:textId="77777777" w:rsidR="006E05AB" w:rsidRPr="006E05AB" w:rsidRDefault="006E05AB" w:rsidP="006E05AB">
      <w:pPr>
        <w:rPr>
          <w:rFonts w:asciiTheme="minorHAnsi" w:hAnsiTheme="minorHAnsi" w:cs="Arial"/>
          <w:sz w:val="22"/>
          <w:szCs w:val="22"/>
        </w:rPr>
      </w:pPr>
    </w:p>
    <w:p w14:paraId="3F0AC4AF" w14:textId="77777777" w:rsidR="006E05AB" w:rsidRDefault="006E05AB" w:rsidP="006E05AB">
      <w:pPr>
        <w:rPr>
          <w:rFonts w:asciiTheme="minorHAnsi" w:hAnsiTheme="minorHAnsi" w:cs="Arial"/>
          <w:sz w:val="22"/>
          <w:szCs w:val="22"/>
        </w:rPr>
      </w:pPr>
      <w:r w:rsidRPr="006E05AB">
        <w:rPr>
          <w:rFonts w:asciiTheme="minorHAnsi" w:hAnsiTheme="minorHAnsi" w:cs="Arial"/>
          <w:sz w:val="22"/>
          <w:szCs w:val="22"/>
        </w:rPr>
        <w:t xml:space="preserve">The purpose of this assignment is to evaluate children and young people's rights programs and explore how these initiatives enhance learners' understanding of a rights-based approach within educational contexts. By examining relevant legislation, policy, and practice, this assignment will highlight the significance of these programs in promoting children's rights and fostering inclusive educational environments. It will also identify potential barriers and challenges that may hinder the effective implementation of a rights-based approach, such as the lack of genuine consideration of children's voices, practical and logistical issues, and contextual challenges. The assignment will discuss key legislation, including the United Nations Convention on the Rights of the Child (UNCRC) and Welsh Government policies, while exploring policies and practices that support children's rights. Through this examination, the </w:t>
      </w:r>
      <w:r w:rsidRPr="006E05AB">
        <w:rPr>
          <w:rFonts w:asciiTheme="minorHAnsi" w:hAnsiTheme="minorHAnsi" w:cs="Arial"/>
          <w:sz w:val="22"/>
          <w:szCs w:val="22"/>
        </w:rPr>
        <w:lastRenderedPageBreak/>
        <w:t>assignment aims to provide a comprehensive understanding of both the importance and the challenges of implementing a rights-based approach in education.</w:t>
      </w:r>
    </w:p>
    <w:p w14:paraId="16039309" w14:textId="77777777" w:rsidR="006E05AB" w:rsidRPr="006E05AB" w:rsidRDefault="006E05AB" w:rsidP="006E05AB">
      <w:pPr>
        <w:rPr>
          <w:rFonts w:asciiTheme="minorHAnsi" w:hAnsiTheme="minorHAnsi" w:cs="Arial"/>
          <w:sz w:val="22"/>
          <w:szCs w:val="22"/>
        </w:rPr>
      </w:pPr>
    </w:p>
    <w:p w14:paraId="1B283C8D" w14:textId="77777777" w:rsidR="006E05AB" w:rsidRDefault="006E05AB" w:rsidP="006E05AB">
      <w:pPr>
        <w:rPr>
          <w:rFonts w:asciiTheme="minorHAnsi" w:hAnsiTheme="minorHAnsi" w:cs="Arial"/>
          <w:sz w:val="22"/>
          <w:szCs w:val="22"/>
        </w:rPr>
      </w:pPr>
      <w:r w:rsidRPr="006E05AB">
        <w:rPr>
          <w:rFonts w:asciiTheme="minorHAnsi" w:hAnsiTheme="minorHAnsi" w:cs="Arial"/>
          <w:sz w:val="22"/>
          <w:szCs w:val="22"/>
        </w:rPr>
        <w:t>Human rights theory provides a foundational framework for understanding children and young people's rights. This theory is based on the principles outlined in key international documents such as the Universal Declaration of Human Rights (UDHR) and the UNCRC. These documents assert that all individuals, including children, are entitled to fundamental rights and freedoms without discrimination (UNICEF, 2019a). The UNCRC emphasizes the unique needs and rights of children, recognizing their vulnerability and the necessity for special protection and care (UNICEF, 2024). Human rights theory underscores the importance of dignity, equality, and respect for all individuals, which are essential in promoting and safeguarding children's rights in various contexts (UNICEF, 2019a).</w:t>
      </w:r>
    </w:p>
    <w:p w14:paraId="1DB4BFD2" w14:textId="77777777" w:rsidR="006E05AB" w:rsidRPr="006E05AB" w:rsidRDefault="006E05AB" w:rsidP="006E05AB">
      <w:pPr>
        <w:rPr>
          <w:rFonts w:asciiTheme="minorHAnsi" w:hAnsiTheme="minorHAnsi" w:cs="Arial"/>
          <w:sz w:val="22"/>
          <w:szCs w:val="22"/>
        </w:rPr>
      </w:pPr>
    </w:p>
    <w:p w14:paraId="71A7B1EE" w14:textId="77777777" w:rsidR="006E05AB" w:rsidRDefault="006E05AB" w:rsidP="006E05AB">
      <w:pPr>
        <w:rPr>
          <w:rFonts w:asciiTheme="minorHAnsi" w:hAnsiTheme="minorHAnsi" w:cs="Arial"/>
          <w:sz w:val="22"/>
          <w:szCs w:val="22"/>
        </w:rPr>
      </w:pPr>
      <w:r w:rsidRPr="006E05AB">
        <w:rPr>
          <w:rFonts w:asciiTheme="minorHAnsi" w:hAnsiTheme="minorHAnsi" w:cs="Arial"/>
          <w:sz w:val="22"/>
          <w:szCs w:val="22"/>
        </w:rPr>
        <w:t>Jean Piaget's theory of cognitive development explains how children progress through stages of intellectual growth, from sensorimotor to formal operational stages (</w:t>
      </w:r>
      <w:proofErr w:type="spellStart"/>
      <w:r w:rsidRPr="006E05AB">
        <w:rPr>
          <w:rFonts w:asciiTheme="minorHAnsi" w:hAnsiTheme="minorHAnsi" w:cs="Arial"/>
          <w:sz w:val="22"/>
          <w:szCs w:val="22"/>
        </w:rPr>
        <w:t>Barrouillet</w:t>
      </w:r>
      <w:proofErr w:type="spellEnd"/>
      <w:r w:rsidRPr="006E05AB">
        <w:rPr>
          <w:rFonts w:asciiTheme="minorHAnsi" w:hAnsiTheme="minorHAnsi" w:cs="Arial"/>
          <w:sz w:val="22"/>
          <w:szCs w:val="22"/>
        </w:rPr>
        <w:t>, 2015). This helps educators tailor their teaching to children's developmental needs. Lev Vygotsky's sociocultural theory emphasizes the role of social interaction and cultural context in development, highlighting the "zone of proximal development," where appropriate support helps children reach their potential (</w:t>
      </w:r>
      <w:proofErr w:type="spellStart"/>
      <w:r w:rsidRPr="006E05AB">
        <w:rPr>
          <w:rFonts w:asciiTheme="minorHAnsi" w:hAnsiTheme="minorHAnsi" w:cs="Arial"/>
          <w:sz w:val="22"/>
          <w:szCs w:val="22"/>
        </w:rPr>
        <w:t>Clabaugh</w:t>
      </w:r>
      <w:proofErr w:type="spellEnd"/>
      <w:r w:rsidRPr="006E05AB">
        <w:rPr>
          <w:rFonts w:asciiTheme="minorHAnsi" w:hAnsiTheme="minorHAnsi" w:cs="Arial"/>
          <w:sz w:val="22"/>
          <w:szCs w:val="22"/>
        </w:rPr>
        <w:t>, 2010). John Dewey advocated for experiential learning, where students engage actively and learn through real-life experiences, fostering critical thinking and problem-solving skills (Miettinen, 2010).</w:t>
      </w:r>
    </w:p>
    <w:p w14:paraId="5002EA2A" w14:textId="77777777" w:rsidR="006E05AB" w:rsidRPr="006E05AB" w:rsidRDefault="006E05AB" w:rsidP="006E05AB">
      <w:pPr>
        <w:rPr>
          <w:rFonts w:asciiTheme="minorHAnsi" w:hAnsiTheme="minorHAnsi" w:cs="Arial"/>
          <w:sz w:val="22"/>
          <w:szCs w:val="22"/>
        </w:rPr>
      </w:pPr>
    </w:p>
    <w:p w14:paraId="4961E6F4" w14:textId="77777777" w:rsidR="006E05AB" w:rsidRDefault="006E05AB" w:rsidP="006E05AB">
      <w:pPr>
        <w:rPr>
          <w:rFonts w:asciiTheme="minorHAnsi" w:hAnsiTheme="minorHAnsi" w:cs="Arial"/>
          <w:sz w:val="22"/>
          <w:szCs w:val="22"/>
        </w:rPr>
      </w:pPr>
      <w:r w:rsidRPr="006E05AB">
        <w:rPr>
          <w:rFonts w:asciiTheme="minorHAnsi" w:hAnsiTheme="minorHAnsi" w:cs="Arial"/>
          <w:sz w:val="22"/>
          <w:szCs w:val="22"/>
        </w:rPr>
        <w:t>Incorporating Piaget’s theory of cognitive development, Vygotsky’s sociocultural theory, and Dewey’s experiential learning into a rights-based approach to education highlights the importance of adapting educational strategies to children's evolving developmental needs. Piaget’s stages of cognitive development emphasize that children’s capacity for understanding and participation grows over time, supporting the UNCRC’s right to participation (Article 12). Younger children may express basic preferences, while older children can take part in more complex decision-making, illustrating the importance of adjusting educational practices based on cognitive maturity.</w:t>
      </w:r>
    </w:p>
    <w:p w14:paraId="585DB271" w14:textId="77777777" w:rsidR="006E05AB" w:rsidRPr="006E05AB" w:rsidRDefault="006E05AB" w:rsidP="006E05AB">
      <w:pPr>
        <w:rPr>
          <w:rFonts w:asciiTheme="minorHAnsi" w:hAnsiTheme="minorHAnsi" w:cs="Arial"/>
          <w:sz w:val="22"/>
          <w:szCs w:val="22"/>
        </w:rPr>
      </w:pPr>
    </w:p>
    <w:p w14:paraId="4BE60345" w14:textId="77777777" w:rsidR="006E05AB" w:rsidRDefault="006E05AB" w:rsidP="006E05AB">
      <w:pPr>
        <w:rPr>
          <w:rFonts w:asciiTheme="minorHAnsi" w:hAnsiTheme="minorHAnsi" w:cs="Arial"/>
          <w:sz w:val="22"/>
          <w:szCs w:val="22"/>
        </w:rPr>
      </w:pPr>
      <w:r w:rsidRPr="006E05AB">
        <w:rPr>
          <w:rFonts w:asciiTheme="minorHAnsi" w:hAnsiTheme="minorHAnsi" w:cs="Arial"/>
          <w:sz w:val="22"/>
          <w:szCs w:val="22"/>
        </w:rPr>
        <w:t>Vygotsky’s focus on social interaction underscores the need for a collaborative learning environment, where children’s rights to express opinions and be heard can be fully realized. His Zone of Proximal Development shows that children thrive when supported by knowledgeable others, reinforcing the idea that educational environments should not only respect but actively encourage children’s participation in their learning. Dewey’s emphasis on experiential learning further complements this by advocating for education that is not just about knowledge acquisition but about empowering children to engage with real-world issues. A rights-based approach that fosters active participation ensures that children’s voices are integral to the educational process, thereby developing their sense of agency. Together, these theories underscore the necessity of an education system that is responsive to children’s developmental stages, cultural contexts, and active participation in decision-making, thus creating an inclusive and rights-respecting educational environment. This approach fosters a more holistic development of children, empowering them with both knowledge and the tools to actively shape their educational experiences and futures (</w:t>
      </w:r>
      <w:proofErr w:type="spellStart"/>
      <w:r w:rsidRPr="006E05AB">
        <w:rPr>
          <w:rFonts w:asciiTheme="minorHAnsi" w:hAnsiTheme="minorHAnsi" w:cs="Arial"/>
          <w:sz w:val="22"/>
          <w:szCs w:val="22"/>
        </w:rPr>
        <w:t>Pardjono</w:t>
      </w:r>
      <w:proofErr w:type="spellEnd"/>
      <w:r w:rsidRPr="006E05AB">
        <w:rPr>
          <w:rFonts w:asciiTheme="minorHAnsi" w:hAnsiTheme="minorHAnsi" w:cs="Arial"/>
          <w:sz w:val="22"/>
          <w:szCs w:val="22"/>
        </w:rPr>
        <w:t>, 2002).</w:t>
      </w:r>
    </w:p>
    <w:p w14:paraId="3E2115B0" w14:textId="77777777" w:rsidR="006E05AB" w:rsidRPr="006E05AB" w:rsidRDefault="006E05AB" w:rsidP="006E05AB">
      <w:pPr>
        <w:rPr>
          <w:rFonts w:asciiTheme="minorHAnsi" w:hAnsiTheme="minorHAnsi" w:cs="Arial"/>
          <w:sz w:val="22"/>
          <w:szCs w:val="22"/>
        </w:rPr>
      </w:pPr>
    </w:p>
    <w:p w14:paraId="521845BB" w14:textId="77777777" w:rsidR="006E05AB" w:rsidRDefault="006E05AB" w:rsidP="006E05AB">
      <w:pPr>
        <w:rPr>
          <w:rFonts w:asciiTheme="minorHAnsi" w:hAnsiTheme="minorHAnsi" w:cs="Arial"/>
          <w:sz w:val="22"/>
          <w:szCs w:val="22"/>
        </w:rPr>
      </w:pPr>
      <w:r w:rsidRPr="006E05AB">
        <w:rPr>
          <w:rFonts w:asciiTheme="minorHAnsi" w:hAnsiTheme="minorHAnsi" w:cs="Arial"/>
          <w:sz w:val="22"/>
          <w:szCs w:val="22"/>
        </w:rPr>
        <w:t xml:space="preserve">The UNCRC is a comprehensive international treaty that outlines the rights of children and young people under the age of 18. It was adopted by the United Nations General Assembly in 1989 and has been ratified by almost every country in the world. The UNCRC includes several key articles related to education, emphasizing the importance of inclusive, quality education that respects and promotes children's rights. Article 28 guarantees the right to free and </w:t>
      </w:r>
      <w:r w:rsidRPr="006E05AB">
        <w:rPr>
          <w:rFonts w:asciiTheme="minorHAnsi" w:hAnsiTheme="minorHAnsi" w:cs="Arial"/>
          <w:sz w:val="22"/>
          <w:szCs w:val="22"/>
        </w:rPr>
        <w:lastRenderedPageBreak/>
        <w:t>compulsory primary education and encourages accessible secondary education for all children. Article 29 focuses on the goals of education, aiming to develop the child's personality, talents, and abilities to their fullest potential. Article 2 ensures non-discrimination in education, advocating for equal access to educational opportunities for all children. Article 3 states that the best interests of the child must be a primary consideration in all actions concerning children. Together, these articles highlight the need for an educational system that guarantees access, fosters holistic development, and upholds the rights of every child (UNICEF, n.d.).</w:t>
      </w:r>
    </w:p>
    <w:p w14:paraId="2A7D546A" w14:textId="77777777" w:rsidR="006E05AB" w:rsidRPr="006E05AB" w:rsidRDefault="006E05AB" w:rsidP="006E05AB">
      <w:pPr>
        <w:rPr>
          <w:rFonts w:asciiTheme="minorHAnsi" w:hAnsiTheme="minorHAnsi" w:cs="Arial"/>
          <w:sz w:val="22"/>
          <w:szCs w:val="22"/>
        </w:rPr>
      </w:pPr>
    </w:p>
    <w:p w14:paraId="083804B5" w14:textId="77777777" w:rsidR="006E05AB" w:rsidRDefault="006E05AB" w:rsidP="006E05AB">
      <w:pPr>
        <w:rPr>
          <w:rFonts w:asciiTheme="minorHAnsi" w:hAnsiTheme="minorHAnsi" w:cs="Arial"/>
          <w:sz w:val="22"/>
          <w:szCs w:val="22"/>
        </w:rPr>
      </w:pPr>
      <w:r w:rsidRPr="006E05AB">
        <w:rPr>
          <w:rFonts w:asciiTheme="minorHAnsi" w:hAnsiTheme="minorHAnsi" w:cs="Arial"/>
          <w:sz w:val="22"/>
          <w:szCs w:val="22"/>
        </w:rPr>
        <w:t>The Welsh Government has been proactive in promoting children's rights, formally adopting the UNCRC as the basis for policymaking related to children and young people in 2004. Key legislation includes the Rights of Children and Young Persons (Wales) Measure 2011, which places a duty on Welsh Ministers to have due regard to the UNCRC when developing or reviewing legislation and policy. This measure ensures that children's rights are considered in all governmental decisions and actions. Additionally, the Children's Rights Impact Assessment (CRIA) was developed to support compliance with this duty, helping to evaluate the impact of policies on children's rights (Welsh Government, 2022). The Welsh Government's commitment to children's rights is reflected in various initiatives and plans, such as the Children and Young People's Plan, which outlines actions to support the well-being and development of children in Wales (Welsh Government, 2024).</w:t>
      </w:r>
    </w:p>
    <w:p w14:paraId="4622BBEC" w14:textId="77777777" w:rsidR="006E05AB" w:rsidRPr="006E05AB" w:rsidRDefault="006E05AB" w:rsidP="006E05AB">
      <w:pPr>
        <w:rPr>
          <w:rFonts w:asciiTheme="minorHAnsi" w:hAnsiTheme="minorHAnsi" w:cs="Arial"/>
          <w:sz w:val="22"/>
          <w:szCs w:val="22"/>
        </w:rPr>
      </w:pPr>
    </w:p>
    <w:p w14:paraId="68194B33" w14:textId="77777777" w:rsidR="006E05AB" w:rsidRDefault="006E05AB" w:rsidP="006E05AB">
      <w:pPr>
        <w:rPr>
          <w:rFonts w:asciiTheme="minorHAnsi" w:hAnsiTheme="minorHAnsi" w:cs="Arial"/>
          <w:sz w:val="22"/>
          <w:szCs w:val="22"/>
        </w:rPr>
      </w:pPr>
      <w:r w:rsidRPr="006E05AB">
        <w:rPr>
          <w:rFonts w:asciiTheme="minorHAnsi" w:hAnsiTheme="minorHAnsi" w:cs="Arial"/>
          <w:sz w:val="22"/>
          <w:szCs w:val="22"/>
        </w:rPr>
        <w:t>A case study by Johnson (2010) focused on excluded youth across the UK, managed from a non-governmental setting, aimed to address educational and social exclusion faced by marginalized young people. The program provided opportunities for meaningful activities and decision-making processes, illustrating the application of children's and young people's rights. It ensured access to educational opportunities, aligning with UNCRC principles, by offering alternative pathways and support to continue education despite exclusion from mainstream schools. The program emphasized involving young people in decision-making, promoting their right to participation and empowerment as stated in Article 12 of the UNCRC. It also addressed social exclusion and discrimination, ensuring equal access to opportunities for all young people, in line with Article 2 of the UNCRC. Comprehensive support services, including educational resources, mental health support, and community engagement activities, were provided, reflecting the holistic approach of the UNCRC to support children's overall well-being and development.</w:t>
      </w:r>
    </w:p>
    <w:p w14:paraId="5B72C61C" w14:textId="77777777" w:rsidR="006E05AB" w:rsidRPr="006E05AB" w:rsidRDefault="006E05AB" w:rsidP="006E05AB">
      <w:pPr>
        <w:rPr>
          <w:rFonts w:asciiTheme="minorHAnsi" w:hAnsiTheme="minorHAnsi" w:cs="Arial"/>
          <w:sz w:val="22"/>
          <w:szCs w:val="22"/>
        </w:rPr>
      </w:pPr>
    </w:p>
    <w:p w14:paraId="2D66CD41" w14:textId="5B50EA49" w:rsidR="006E05AB" w:rsidRDefault="006E05AB" w:rsidP="006E05AB">
      <w:pPr>
        <w:rPr>
          <w:rFonts w:asciiTheme="minorHAnsi" w:hAnsiTheme="minorHAnsi" w:cs="Arial"/>
          <w:sz w:val="22"/>
          <w:szCs w:val="22"/>
        </w:rPr>
      </w:pPr>
      <w:r w:rsidRPr="006E05AB">
        <w:rPr>
          <w:rFonts w:asciiTheme="minorHAnsi" w:hAnsiTheme="minorHAnsi" w:cs="Arial"/>
          <w:sz w:val="22"/>
          <w:szCs w:val="22"/>
        </w:rPr>
        <w:t>The evaluation of this UK case study analysed perspectives from various groups, including young people, researchers, mentors, staff, managers, and decision-makers. Key positive findings included improved educational outcomes, increased self-confidence, and enhanced social skills among participants. The active involvement of young people in the evaluation process was seen as a significant step towards promoting their rights and ensuring their voices were heard. However, challenges such as limited resources, logistical issues, and the need for more trained personnel were identified. Addressing these challenges is crucial for the successful implementation of similar initiatives in the future</w:t>
      </w:r>
      <w:r w:rsidR="00112A32">
        <w:rPr>
          <w:rFonts w:asciiTheme="minorHAnsi" w:hAnsiTheme="minorHAnsi" w:cs="Arial"/>
          <w:sz w:val="22"/>
          <w:szCs w:val="22"/>
        </w:rPr>
        <w:t xml:space="preserve"> </w:t>
      </w:r>
      <w:r w:rsidRPr="006E05AB">
        <w:rPr>
          <w:rFonts w:asciiTheme="minorHAnsi" w:hAnsiTheme="minorHAnsi" w:cs="Arial"/>
          <w:sz w:val="22"/>
          <w:szCs w:val="22"/>
        </w:rPr>
        <w:t>(Johnson, 2010).</w:t>
      </w:r>
    </w:p>
    <w:p w14:paraId="632EE58C" w14:textId="77777777" w:rsidR="006E05AB" w:rsidRPr="006E05AB" w:rsidRDefault="006E05AB" w:rsidP="006E05AB">
      <w:pPr>
        <w:rPr>
          <w:rFonts w:asciiTheme="minorHAnsi" w:hAnsiTheme="minorHAnsi" w:cs="Arial"/>
          <w:sz w:val="22"/>
          <w:szCs w:val="22"/>
        </w:rPr>
      </w:pPr>
    </w:p>
    <w:p w14:paraId="5BDCF567" w14:textId="77777777" w:rsidR="006E05AB" w:rsidRDefault="006E05AB" w:rsidP="006E05AB">
      <w:pPr>
        <w:rPr>
          <w:rFonts w:asciiTheme="minorHAnsi" w:hAnsiTheme="minorHAnsi" w:cs="Arial"/>
          <w:sz w:val="22"/>
          <w:szCs w:val="22"/>
        </w:rPr>
      </w:pPr>
      <w:r w:rsidRPr="006E05AB">
        <w:rPr>
          <w:rFonts w:asciiTheme="minorHAnsi" w:hAnsiTheme="minorHAnsi" w:cs="Arial"/>
          <w:sz w:val="22"/>
          <w:szCs w:val="22"/>
        </w:rPr>
        <w:t xml:space="preserve">The case study by Johnson (2010) provides valuable insights into the practical application of children's and young people's rights. The program aimed to address educational and social exclusion by providing marginalized young people with opportunities to engage in meaningful activities and decision-making processes. It successfully aligned with several articles of the UNCRC, including the right to education (Article 28), the right to express views freely (Article 12), and non-discrimination (Article 2). Positive outcomes included improved educational achievements, increased self-confidence, and enhanced social skills among the participants. The active involvement of young people in the evaluation process was a significant success, </w:t>
      </w:r>
      <w:r w:rsidRPr="006E05AB">
        <w:rPr>
          <w:rFonts w:asciiTheme="minorHAnsi" w:hAnsiTheme="minorHAnsi" w:cs="Arial"/>
          <w:sz w:val="22"/>
          <w:szCs w:val="22"/>
        </w:rPr>
        <w:lastRenderedPageBreak/>
        <w:t>promoting their rights and ensuring their voices were heard. However, the program faced challenges such as limited resources, logistical issues, and the need for more trained personnel. Addressing these challenges is crucial for the successful implementation of similar initiatives in the future. Overall, this case study demonstrates how rights-based approaches can be effectively implemented in practice, providing a model for supporting marginalized young people and upholding their rights in educational settings.</w:t>
      </w:r>
    </w:p>
    <w:p w14:paraId="587896EB" w14:textId="77777777" w:rsidR="006E05AB" w:rsidRPr="006E05AB" w:rsidRDefault="006E05AB" w:rsidP="006E05AB">
      <w:pPr>
        <w:rPr>
          <w:rFonts w:asciiTheme="minorHAnsi" w:hAnsiTheme="minorHAnsi" w:cs="Arial"/>
          <w:sz w:val="22"/>
          <w:szCs w:val="22"/>
        </w:rPr>
      </w:pPr>
    </w:p>
    <w:p w14:paraId="46BF5280" w14:textId="77777777" w:rsidR="006E05AB" w:rsidRDefault="006E05AB" w:rsidP="006E05AB">
      <w:pPr>
        <w:rPr>
          <w:rFonts w:asciiTheme="minorHAnsi" w:hAnsiTheme="minorHAnsi" w:cs="Arial"/>
          <w:sz w:val="22"/>
          <w:szCs w:val="22"/>
        </w:rPr>
      </w:pPr>
      <w:r w:rsidRPr="006E05AB">
        <w:rPr>
          <w:rFonts w:asciiTheme="minorHAnsi" w:hAnsiTheme="minorHAnsi" w:cs="Arial"/>
          <w:sz w:val="22"/>
          <w:szCs w:val="22"/>
        </w:rPr>
        <w:t>The Welsh Government (2023) discusses how human rights are a cross-cutting theme in the Curriculum for Wales. In 2021, the Senedd passed The Curriculum and Assessment (Wales) Act 2021. Section 64 places a duty on schools, settings, and providers of Education Other Than at School, including Pupil Referral Units, to promote knowledge and understanding of Part 1 of the UNCRC and the UNCRPD to people who provide teaching and learning in their settings. The Curriculum for Wales can be a starting point for making human rights real in everyday life. When adults who provide learning to children know about and understand children’s rights, they are better able to teach about them. This makes children more able to know what their rights are and how to claim them. Adults who better understand children’s rights can ensure children’s experiences of rights in school are better too, for example, in pastoral support or in feeling heard and valued as a learner.</w:t>
      </w:r>
    </w:p>
    <w:p w14:paraId="07E9C05C" w14:textId="77777777" w:rsidR="006E05AB" w:rsidRPr="006E05AB" w:rsidRDefault="006E05AB" w:rsidP="006E05AB">
      <w:pPr>
        <w:rPr>
          <w:rFonts w:asciiTheme="minorHAnsi" w:hAnsiTheme="minorHAnsi" w:cs="Arial"/>
          <w:sz w:val="22"/>
          <w:szCs w:val="22"/>
        </w:rPr>
      </w:pPr>
    </w:p>
    <w:p w14:paraId="34CCC96C" w14:textId="77777777" w:rsidR="006E05AB" w:rsidRDefault="006E05AB" w:rsidP="006E05AB">
      <w:pPr>
        <w:rPr>
          <w:rFonts w:asciiTheme="minorHAnsi" w:hAnsiTheme="minorHAnsi" w:cs="Arial"/>
          <w:sz w:val="22"/>
          <w:szCs w:val="22"/>
        </w:rPr>
      </w:pPr>
      <w:r w:rsidRPr="006E05AB">
        <w:rPr>
          <w:rFonts w:asciiTheme="minorHAnsi" w:hAnsiTheme="minorHAnsi" w:cs="Arial"/>
          <w:sz w:val="22"/>
          <w:szCs w:val="22"/>
        </w:rPr>
        <w:t>The Welsh Government (2023) believes that no child should be prevented from claiming their rights due to discrimination. They define equality as ensuring every child has an equal opportunity to be healthy, safe, and reach their full potential, regardless of their home life, ability, race, or gender. Non-discrimination, a right under the UNCRC (Article 2), requires adults to understand and address the barriers children face, including age-related discrimination. The Welsh Government promotes equality and tackles discrimination through clear policies and plans, ensuring staff are knowledgeable about the Equality Act 2010 and the needs of different child groups. This approach helps make better decisions and provides appropriate information to children based on their needs.</w:t>
      </w:r>
    </w:p>
    <w:p w14:paraId="6A41E373" w14:textId="77777777" w:rsidR="006E05AB" w:rsidRPr="006E05AB" w:rsidRDefault="006E05AB" w:rsidP="006E05AB">
      <w:pPr>
        <w:rPr>
          <w:rFonts w:asciiTheme="minorHAnsi" w:hAnsiTheme="minorHAnsi" w:cs="Arial"/>
          <w:sz w:val="22"/>
          <w:szCs w:val="22"/>
        </w:rPr>
      </w:pPr>
    </w:p>
    <w:p w14:paraId="2F5814AB" w14:textId="08D17E3B" w:rsidR="006E05AB" w:rsidRDefault="006E05AB" w:rsidP="006E05AB">
      <w:pPr>
        <w:rPr>
          <w:rFonts w:asciiTheme="minorHAnsi" w:hAnsiTheme="minorHAnsi" w:cs="Arial"/>
          <w:sz w:val="22"/>
          <w:szCs w:val="22"/>
        </w:rPr>
      </w:pPr>
      <w:r w:rsidRPr="006E05AB">
        <w:rPr>
          <w:rFonts w:asciiTheme="minorHAnsi" w:hAnsiTheme="minorHAnsi" w:cs="Arial"/>
          <w:sz w:val="22"/>
          <w:szCs w:val="22"/>
        </w:rPr>
        <w:t>To promote equality and non-discrimination, the Welsh Government has developed guidance so adults working with children must listen to children who do not have equal chances to be heard, such as the Additional Learning Needs Code for Wales 2021 and School Uniform and Appearance Guidance 2022. They have developed plans that promote equality and tackle discrimination against groups of children, including working with groups of children who have experienced poverty to develop a new draft Child Poverty Strategy for consultation, the Anti-racist Wales Action Plan 2022, and a plan to make Wales the most LGBTQ+ friendly nation in Europe. They have funded a 24/7 Wales Hate Support Centre to help victims of hate crime, including specific support for children and young people. They have piloted giving Baby Bundles to families with new babies, which include rights-based information to support new parents. They have set up Childcare hubs for children of key workers and vulnerable children during Covid-19 and set aside £225m to secure free school meals for children across Wales by 2024. They have put children’s rights at the centre of their systems and approaches to support mental health and wellbeing (NEST) and expanded the Flying Start program to reach around 2,500 more children aged 0 to 4 in every local authority in Wales, with plans to extend this in 2023-24 (Welsh Government, 2023).</w:t>
      </w:r>
    </w:p>
    <w:p w14:paraId="6022A5C9" w14:textId="77777777" w:rsidR="006E05AB" w:rsidRPr="006E05AB" w:rsidRDefault="006E05AB" w:rsidP="006E05AB">
      <w:pPr>
        <w:rPr>
          <w:rFonts w:asciiTheme="minorHAnsi" w:hAnsiTheme="minorHAnsi" w:cs="Arial"/>
          <w:sz w:val="22"/>
          <w:szCs w:val="22"/>
        </w:rPr>
      </w:pPr>
    </w:p>
    <w:p w14:paraId="611DB531" w14:textId="77777777" w:rsidR="006E05AB" w:rsidRPr="006E05AB" w:rsidRDefault="006E05AB" w:rsidP="006E05AB">
      <w:pPr>
        <w:rPr>
          <w:rFonts w:asciiTheme="minorHAnsi" w:hAnsiTheme="minorHAnsi" w:cs="Arial"/>
          <w:sz w:val="22"/>
          <w:szCs w:val="22"/>
        </w:rPr>
      </w:pPr>
      <w:r w:rsidRPr="006E05AB">
        <w:rPr>
          <w:rFonts w:asciiTheme="minorHAnsi" w:hAnsiTheme="minorHAnsi" w:cs="Arial"/>
          <w:sz w:val="22"/>
          <w:szCs w:val="22"/>
        </w:rPr>
        <w:t xml:space="preserve">This case study demonstrates a comprehensive approach to promoting children's rights in educational settings. By ensuring that educators understand and teach the principles of the UNCRC and UNCRPD, the policy aims to make human rights a tangible part of everyday life for students. Successes include improved awareness and understanding of children's rights among educators, leading to better pastoral support and a more inclusive learning </w:t>
      </w:r>
      <w:r w:rsidRPr="006E05AB">
        <w:rPr>
          <w:rFonts w:asciiTheme="minorHAnsi" w:hAnsiTheme="minorHAnsi" w:cs="Arial"/>
          <w:sz w:val="22"/>
          <w:szCs w:val="22"/>
        </w:rPr>
        <w:lastRenderedPageBreak/>
        <w:t>environment. Initiatives such as the Additional Learning Needs Code for Wales 2021 and the Anti-racist Wales Action Plan 2022 have been instrumental in promoting equality and tackling discrimination. However, challenges remain, including the need for ongoing training for educators, addressing socio-economic disparities, and ensuring adequate resources and infrastructure to support these initiatives. Despite these obstacles, the Welsh Government's commitment to embedding children's rights in education provides a valuable framework for fostering equality and non-discrimination in schools (Welsh Government, 2023).</w:t>
      </w:r>
    </w:p>
    <w:p w14:paraId="3228AD65" w14:textId="77777777" w:rsidR="006E05AB" w:rsidRDefault="006E05AB" w:rsidP="00DE3DC1">
      <w:pPr>
        <w:rPr>
          <w:rFonts w:asciiTheme="minorHAnsi" w:hAnsiTheme="minorHAnsi"/>
          <w:sz w:val="22"/>
          <w:szCs w:val="22"/>
        </w:rPr>
      </w:pPr>
    </w:p>
    <w:p w14:paraId="5F173758" w14:textId="4D1177AB" w:rsidR="00DE3DC1" w:rsidRPr="00DE3DC1" w:rsidRDefault="00E9504D" w:rsidP="00DE3DC1">
      <w:pPr>
        <w:rPr>
          <w:rFonts w:asciiTheme="minorHAnsi" w:hAnsiTheme="minorHAnsi"/>
          <w:sz w:val="22"/>
          <w:szCs w:val="22"/>
        </w:rPr>
      </w:pPr>
      <w:r w:rsidRPr="00E9504D">
        <w:rPr>
          <w:rFonts w:asciiTheme="minorHAnsi" w:hAnsiTheme="minorHAnsi"/>
          <w:sz w:val="22"/>
          <w:szCs w:val="22"/>
        </w:rPr>
        <w:t>McCafferty and García (2023)</w:t>
      </w:r>
      <w:r>
        <w:rPr>
          <w:rFonts w:asciiTheme="minorHAnsi" w:hAnsiTheme="minorHAnsi"/>
          <w:sz w:val="22"/>
          <w:szCs w:val="22"/>
        </w:rPr>
        <w:t xml:space="preserve"> talk about i</w:t>
      </w:r>
      <w:r w:rsidR="00DE3DC1" w:rsidRPr="00DE3DC1">
        <w:rPr>
          <w:rFonts w:asciiTheme="minorHAnsi" w:hAnsiTheme="minorHAnsi"/>
          <w:sz w:val="22"/>
          <w:szCs w:val="22"/>
        </w:rPr>
        <w:t xml:space="preserve">mplementing policies and practices related to children and young people's rights </w:t>
      </w:r>
      <w:r>
        <w:rPr>
          <w:rFonts w:asciiTheme="minorHAnsi" w:hAnsiTheme="minorHAnsi"/>
          <w:sz w:val="22"/>
          <w:szCs w:val="22"/>
        </w:rPr>
        <w:t xml:space="preserve">and how they </w:t>
      </w:r>
      <w:r w:rsidR="00DE3DC1" w:rsidRPr="00DE3DC1">
        <w:rPr>
          <w:rFonts w:asciiTheme="minorHAnsi" w:hAnsiTheme="minorHAnsi"/>
          <w:sz w:val="22"/>
          <w:szCs w:val="22"/>
        </w:rPr>
        <w:t>can encounter several significant barriers and issues. One major challenge is the lack of serious consideration given to children's voices in decision-making processes. Despite the mandates of the UNCRC, which emphasize the importance of involving children in decisions that affect them, there remains a persistent gap between policy and practice. This often results in tokenistic participation, where children's input is sought but not genuinely considered or acted upon. This undermines the principles of meaningful participation and empowerment that are central to children's rights.</w:t>
      </w:r>
      <w:r>
        <w:rPr>
          <w:rFonts w:asciiTheme="minorHAnsi" w:hAnsiTheme="minorHAnsi"/>
          <w:sz w:val="22"/>
          <w:szCs w:val="22"/>
        </w:rPr>
        <w:t xml:space="preserve"> </w:t>
      </w:r>
      <w:r w:rsidR="00DE3DC1" w:rsidRPr="00DE3DC1">
        <w:rPr>
          <w:rFonts w:asciiTheme="minorHAnsi" w:hAnsiTheme="minorHAnsi"/>
          <w:sz w:val="22"/>
          <w:szCs w:val="22"/>
        </w:rPr>
        <w:t>The dynamics of relationships between children and adults also play a crucial role in the success of children's participation in rights-based initiatives. Trust and mutual respect are essential for meaningful participation. However, power imbalances and a lack of training for adults on how to engage effectively with children can hinder the implementation of these rights. Adults may not always recognize the value of children's contributions or may feel uncomfortable relinquishing control, which can stifle genuine participation.</w:t>
      </w:r>
    </w:p>
    <w:p w14:paraId="18B313A5" w14:textId="77777777" w:rsidR="00DE3DC1" w:rsidRPr="00DE3DC1" w:rsidRDefault="00DE3DC1" w:rsidP="00DE3DC1">
      <w:pPr>
        <w:rPr>
          <w:rFonts w:asciiTheme="minorHAnsi" w:hAnsiTheme="minorHAnsi"/>
          <w:sz w:val="22"/>
          <w:szCs w:val="22"/>
        </w:rPr>
      </w:pPr>
    </w:p>
    <w:p w14:paraId="651113CA" w14:textId="0C4AC5C1" w:rsidR="00DE3DC1" w:rsidRPr="00DE3DC1" w:rsidRDefault="00E9504D" w:rsidP="00DE3DC1">
      <w:pPr>
        <w:rPr>
          <w:rFonts w:asciiTheme="minorHAnsi" w:hAnsiTheme="minorHAnsi"/>
          <w:sz w:val="22"/>
          <w:szCs w:val="22"/>
        </w:rPr>
      </w:pPr>
      <w:r w:rsidRPr="00E9504D">
        <w:rPr>
          <w:rFonts w:asciiTheme="minorHAnsi" w:hAnsiTheme="minorHAnsi"/>
          <w:sz w:val="22"/>
          <w:szCs w:val="22"/>
        </w:rPr>
        <w:t>McCafferty and García (2023)</w:t>
      </w:r>
      <w:r>
        <w:rPr>
          <w:rFonts w:asciiTheme="minorHAnsi" w:hAnsiTheme="minorHAnsi"/>
          <w:sz w:val="22"/>
          <w:szCs w:val="22"/>
        </w:rPr>
        <w:t xml:space="preserve"> express the c</w:t>
      </w:r>
      <w:r w:rsidR="00DE3DC1" w:rsidRPr="00DE3DC1">
        <w:rPr>
          <w:rFonts w:asciiTheme="minorHAnsi" w:hAnsiTheme="minorHAnsi"/>
          <w:sz w:val="22"/>
          <w:szCs w:val="22"/>
        </w:rPr>
        <w:t xml:space="preserve">ontextual challenges further complicate the implementation of children's rights. Cultural norms, socio-economic conditions, and institutional settings can either facilitate or impede the realization of these rights. In some cultures, children are not traditionally seen as active participants in decision-making, which can be a significant barrier to implementing rights-based approaches. Additionally, socio-economic disparities can limit access to resources and opportunities, exacerbating inequalities and hindering the </w:t>
      </w:r>
      <w:r w:rsidRPr="00DE3DC1">
        <w:rPr>
          <w:rFonts w:asciiTheme="minorHAnsi" w:hAnsiTheme="minorHAnsi"/>
          <w:sz w:val="22"/>
          <w:szCs w:val="22"/>
        </w:rPr>
        <w:t>fulfilment</w:t>
      </w:r>
      <w:r w:rsidR="00DE3DC1" w:rsidRPr="00DE3DC1">
        <w:rPr>
          <w:rFonts w:asciiTheme="minorHAnsi" w:hAnsiTheme="minorHAnsi"/>
          <w:sz w:val="22"/>
          <w:szCs w:val="22"/>
        </w:rPr>
        <w:t xml:space="preserve"> of children's rights.</w:t>
      </w:r>
      <w:r>
        <w:rPr>
          <w:rFonts w:asciiTheme="minorHAnsi" w:hAnsiTheme="minorHAnsi"/>
          <w:sz w:val="22"/>
          <w:szCs w:val="22"/>
        </w:rPr>
        <w:t xml:space="preserve"> </w:t>
      </w:r>
      <w:r w:rsidR="00DE3DC1" w:rsidRPr="00DE3DC1">
        <w:rPr>
          <w:rFonts w:asciiTheme="minorHAnsi" w:hAnsiTheme="minorHAnsi"/>
          <w:sz w:val="22"/>
          <w:szCs w:val="22"/>
        </w:rPr>
        <w:t>Practical and logistical issues also pose significant obstacles. Limited resources, inadequate infrastructure, and logistical constraints can impede the effective implementation of children's rights policies. Ensuring that there are sufficient funds, trained personnel, and appropriate facilities is essential for the successful realization of these rights. Without these resources, even the most well-intentioned policies can fall short of their goals.</w:t>
      </w:r>
    </w:p>
    <w:p w14:paraId="5B3117C1" w14:textId="77777777" w:rsidR="00DE3DC1" w:rsidRPr="00DE3DC1" w:rsidRDefault="00DE3DC1" w:rsidP="00DE3DC1">
      <w:pPr>
        <w:rPr>
          <w:rFonts w:asciiTheme="minorHAnsi" w:hAnsiTheme="minorHAnsi"/>
          <w:sz w:val="22"/>
          <w:szCs w:val="22"/>
        </w:rPr>
      </w:pPr>
    </w:p>
    <w:p w14:paraId="19A975F7" w14:textId="4550008E" w:rsidR="007B33E2" w:rsidRDefault="00DE3DC1" w:rsidP="00DE3DC1">
      <w:pPr>
        <w:rPr>
          <w:rFonts w:asciiTheme="minorHAnsi" w:hAnsiTheme="minorHAnsi"/>
          <w:sz w:val="22"/>
          <w:szCs w:val="22"/>
        </w:rPr>
      </w:pPr>
      <w:r w:rsidRPr="00DE3DC1">
        <w:rPr>
          <w:rFonts w:asciiTheme="minorHAnsi" w:hAnsiTheme="minorHAnsi"/>
          <w:sz w:val="22"/>
          <w:szCs w:val="22"/>
        </w:rPr>
        <w:t>Conceptual and theoretical gaps present another layer of complexity. The lack of a clear and consistent framework for understanding and implementing children's rights can lead to inconsistencies in practice. This can make it difficult to develop effective policies and practices that genuinely reflect the principles of the UNCRC. A coherent theoretical foundation is necessary to guide the implementation of children's rights and ensure that they are upheld in a meaningful and consistent manner.</w:t>
      </w:r>
      <w:r w:rsidR="00E9504D">
        <w:rPr>
          <w:rFonts w:asciiTheme="minorHAnsi" w:hAnsiTheme="minorHAnsi"/>
          <w:sz w:val="22"/>
          <w:szCs w:val="22"/>
        </w:rPr>
        <w:t xml:space="preserve"> </w:t>
      </w:r>
      <w:r w:rsidRPr="00DE3DC1">
        <w:rPr>
          <w:rFonts w:asciiTheme="minorHAnsi" w:hAnsiTheme="minorHAnsi"/>
          <w:sz w:val="22"/>
          <w:szCs w:val="22"/>
        </w:rPr>
        <w:t>Addressing these barriers requires a multifaceted approach. Raising awareness about children's rights and the importance of their participation is crucial. Building the capacity of adults to engage effectively with children and fostering supportive relationships based on trust and respect are also essential steps. Additionally, ensuring that children's voices are genuinely considered in decision-making processes is vital for the successful implementation of rights-based policies and practices. By tackling these challenges, we can work towards creating environments where all children can thrive and enjoy their rights fully</w:t>
      </w:r>
      <w:r w:rsidR="00F143BC">
        <w:rPr>
          <w:rFonts w:asciiTheme="minorHAnsi" w:hAnsiTheme="minorHAnsi"/>
          <w:sz w:val="22"/>
          <w:szCs w:val="22"/>
        </w:rPr>
        <w:t xml:space="preserve"> </w:t>
      </w:r>
      <w:r w:rsidR="00F143BC" w:rsidRPr="00F143BC">
        <w:rPr>
          <w:rFonts w:asciiTheme="minorHAnsi" w:hAnsiTheme="minorHAnsi"/>
          <w:sz w:val="22"/>
          <w:szCs w:val="22"/>
        </w:rPr>
        <w:t>(McCafferty and García, 2023)</w:t>
      </w:r>
      <w:r w:rsidR="00F143BC">
        <w:rPr>
          <w:rFonts w:asciiTheme="minorHAnsi" w:hAnsiTheme="minorHAnsi"/>
          <w:sz w:val="22"/>
          <w:szCs w:val="22"/>
        </w:rPr>
        <w:t>.</w:t>
      </w:r>
    </w:p>
    <w:p w14:paraId="4D98B3EC" w14:textId="46753FFE" w:rsidR="00D14FEB" w:rsidRDefault="00D14FEB" w:rsidP="00DE3DC1">
      <w:pPr>
        <w:rPr>
          <w:rFonts w:asciiTheme="minorHAnsi" w:hAnsiTheme="minorHAnsi"/>
          <w:sz w:val="22"/>
          <w:szCs w:val="22"/>
        </w:rPr>
      </w:pPr>
    </w:p>
    <w:p w14:paraId="025573F0" w14:textId="2F1E16FE" w:rsidR="00D14FEB" w:rsidRDefault="00D14FEB" w:rsidP="00D14FEB">
      <w:pPr>
        <w:rPr>
          <w:rFonts w:asciiTheme="minorHAnsi" w:hAnsiTheme="minorHAnsi"/>
          <w:sz w:val="22"/>
          <w:szCs w:val="22"/>
        </w:rPr>
      </w:pPr>
      <w:r w:rsidRPr="00D14FEB">
        <w:rPr>
          <w:rFonts w:asciiTheme="minorHAnsi" w:hAnsiTheme="minorHAnsi"/>
          <w:sz w:val="22"/>
          <w:szCs w:val="22"/>
        </w:rPr>
        <w:lastRenderedPageBreak/>
        <w:t>Promoting and protecting children and young people's rights in educational contexts can be effectively achieved through several key strategies. Participatory approaches empower students by involving them in decision-making processes related to their education and welfare</w:t>
      </w:r>
      <w:r>
        <w:rPr>
          <w:rFonts w:asciiTheme="minorHAnsi" w:hAnsiTheme="minorHAnsi"/>
          <w:sz w:val="22"/>
          <w:szCs w:val="22"/>
        </w:rPr>
        <w:t xml:space="preserve"> </w:t>
      </w:r>
      <w:r w:rsidRPr="00D14FEB">
        <w:rPr>
          <w:rFonts w:asciiTheme="minorHAnsi" w:hAnsiTheme="minorHAnsi"/>
          <w:sz w:val="22"/>
          <w:szCs w:val="22"/>
        </w:rPr>
        <w:t>(</w:t>
      </w:r>
      <w:proofErr w:type="spellStart"/>
      <w:r w:rsidRPr="00D14FEB">
        <w:rPr>
          <w:rFonts w:asciiTheme="minorHAnsi" w:hAnsiTheme="minorHAnsi"/>
          <w:sz w:val="22"/>
          <w:szCs w:val="22"/>
        </w:rPr>
        <w:t>Križ</w:t>
      </w:r>
      <w:proofErr w:type="spellEnd"/>
      <w:r w:rsidRPr="00D14FEB">
        <w:rPr>
          <w:rFonts w:asciiTheme="minorHAnsi" w:hAnsiTheme="minorHAnsi"/>
          <w:sz w:val="22"/>
          <w:szCs w:val="22"/>
        </w:rPr>
        <w:t xml:space="preserve"> and Petersen, 2023)</w:t>
      </w:r>
      <w:r>
        <w:rPr>
          <w:rFonts w:asciiTheme="minorHAnsi" w:hAnsiTheme="minorHAnsi"/>
          <w:sz w:val="22"/>
          <w:szCs w:val="22"/>
        </w:rPr>
        <w:t xml:space="preserve">. </w:t>
      </w:r>
      <w:r w:rsidRPr="00D14FEB">
        <w:rPr>
          <w:rFonts w:asciiTheme="minorHAnsi" w:hAnsiTheme="minorHAnsi"/>
          <w:sz w:val="22"/>
          <w:szCs w:val="22"/>
        </w:rPr>
        <w:t>Comprehensive training and awareness programs for educators and staff enhance their ability to recognize and respond to potential risks, ensuring they understand legal frameworks and best practices for safeguarding</w:t>
      </w:r>
      <w:r>
        <w:rPr>
          <w:rFonts w:asciiTheme="minorHAnsi" w:hAnsiTheme="minorHAnsi"/>
          <w:sz w:val="22"/>
          <w:szCs w:val="22"/>
        </w:rPr>
        <w:t xml:space="preserve">. </w:t>
      </w:r>
      <w:r w:rsidRPr="00D14FEB">
        <w:rPr>
          <w:rFonts w:asciiTheme="minorHAnsi" w:hAnsiTheme="minorHAnsi"/>
          <w:sz w:val="22"/>
          <w:szCs w:val="22"/>
        </w:rPr>
        <w:t>Creating safe and inclusive environments within schools, through anti-bullying policies and promoting diversity, ensures all students feel respected and supported</w:t>
      </w:r>
      <w:r>
        <w:rPr>
          <w:rFonts w:asciiTheme="minorHAnsi" w:hAnsiTheme="minorHAnsi"/>
          <w:sz w:val="22"/>
          <w:szCs w:val="22"/>
        </w:rPr>
        <w:t xml:space="preserve">. </w:t>
      </w:r>
      <w:r w:rsidRPr="00D14FEB">
        <w:rPr>
          <w:rFonts w:asciiTheme="minorHAnsi" w:hAnsiTheme="minorHAnsi"/>
          <w:sz w:val="22"/>
          <w:szCs w:val="22"/>
        </w:rPr>
        <w:t>Collaboration with external agencies, such as child protection services and community organizations, provides a holistic approach to safeguarding, extending support beyond the educational setting</w:t>
      </w:r>
      <w:r>
        <w:rPr>
          <w:rFonts w:asciiTheme="minorHAnsi" w:hAnsiTheme="minorHAnsi"/>
          <w:sz w:val="22"/>
          <w:szCs w:val="22"/>
        </w:rPr>
        <w:t xml:space="preserve">. </w:t>
      </w:r>
      <w:r w:rsidRPr="00D14FEB">
        <w:rPr>
          <w:rFonts w:asciiTheme="minorHAnsi" w:hAnsiTheme="minorHAnsi"/>
          <w:sz w:val="22"/>
          <w:szCs w:val="22"/>
        </w:rPr>
        <w:t>Additionally, utilizing data and technology to monitor and identify at-risk students allows for early intervention, ensuring prompt reporting and addressing of issues</w:t>
      </w:r>
      <w:r>
        <w:rPr>
          <w:rFonts w:asciiTheme="minorHAnsi" w:hAnsiTheme="minorHAnsi"/>
          <w:sz w:val="22"/>
          <w:szCs w:val="22"/>
        </w:rPr>
        <w:t xml:space="preserve">. </w:t>
      </w:r>
      <w:r w:rsidRPr="00D14FEB">
        <w:rPr>
          <w:rFonts w:asciiTheme="minorHAnsi" w:hAnsiTheme="minorHAnsi"/>
          <w:sz w:val="22"/>
          <w:szCs w:val="22"/>
        </w:rPr>
        <w:t>These strategies collectively contribute to the effective promotion and protection of children and young people's rights in educational contexts</w:t>
      </w:r>
      <w:r>
        <w:rPr>
          <w:rFonts w:asciiTheme="minorHAnsi" w:hAnsiTheme="minorHAnsi"/>
          <w:sz w:val="22"/>
          <w:szCs w:val="22"/>
        </w:rPr>
        <w:t xml:space="preserve"> </w:t>
      </w:r>
      <w:r w:rsidRPr="00D14FEB">
        <w:rPr>
          <w:rFonts w:asciiTheme="minorHAnsi" w:hAnsiTheme="minorHAnsi"/>
          <w:sz w:val="22"/>
          <w:szCs w:val="22"/>
        </w:rPr>
        <w:t>(Cross and Barnes, 2015)</w:t>
      </w:r>
      <w:r>
        <w:rPr>
          <w:rFonts w:asciiTheme="minorHAnsi" w:hAnsiTheme="minorHAnsi"/>
          <w:sz w:val="22"/>
          <w:szCs w:val="22"/>
        </w:rPr>
        <w:t>.</w:t>
      </w:r>
    </w:p>
    <w:p w14:paraId="0084E54C" w14:textId="77777777" w:rsidR="0021034D" w:rsidRDefault="0021034D" w:rsidP="00D14FEB">
      <w:pPr>
        <w:rPr>
          <w:rFonts w:asciiTheme="minorHAnsi" w:hAnsiTheme="minorHAnsi"/>
          <w:sz w:val="22"/>
          <w:szCs w:val="22"/>
        </w:rPr>
      </w:pPr>
    </w:p>
    <w:p w14:paraId="4AB5CA49" w14:textId="5328CDE4" w:rsidR="0021034D" w:rsidRDefault="0021034D" w:rsidP="00D14FEB">
      <w:pPr>
        <w:rPr>
          <w:rFonts w:asciiTheme="minorHAnsi" w:hAnsiTheme="minorHAnsi"/>
          <w:sz w:val="22"/>
          <w:szCs w:val="22"/>
        </w:rPr>
      </w:pPr>
      <w:r w:rsidRPr="0021034D">
        <w:rPr>
          <w:rFonts w:asciiTheme="minorHAnsi" w:hAnsiTheme="minorHAnsi"/>
          <w:sz w:val="22"/>
          <w:szCs w:val="22"/>
        </w:rPr>
        <w:t>In conclusion, the implementation of a rights-based approach to education is critical to ensuring that children and young people receive an inclusive and equitable education. The United Nations Convention on the Rights of the Child (UNCRC) provides a comprehensive framework for safeguarding children’s rights, and its principles underpin educational policies globally (UNICEF, 2024). Adopting a rights-based approach to education, which emphasizes participation, non-discrimination, and the right to quality education, is key to fostering a learning environment that nurtures the development of all students (Steps4Kids, 2025). By promoting principles of accountability, transparency, and empowerment, schools can create spaces that support students’ well-being, thereby allowing them to thrive (</w:t>
      </w:r>
      <w:proofErr w:type="spellStart"/>
      <w:r w:rsidRPr="0021034D">
        <w:rPr>
          <w:rFonts w:asciiTheme="minorHAnsi" w:hAnsiTheme="minorHAnsi"/>
          <w:sz w:val="22"/>
          <w:szCs w:val="22"/>
        </w:rPr>
        <w:t>Križ</w:t>
      </w:r>
      <w:proofErr w:type="spellEnd"/>
      <w:r w:rsidRPr="0021034D">
        <w:rPr>
          <w:rFonts w:asciiTheme="minorHAnsi" w:hAnsiTheme="minorHAnsi"/>
          <w:sz w:val="22"/>
          <w:szCs w:val="22"/>
        </w:rPr>
        <w:t xml:space="preserve"> &amp; Petersen, 2023). However, as highlighted by McCafferty and García (2023), significant barriers such as logistical constraints, cultural challenges, and tokenistic participation continue to hinder the realization of these rights. Overcoming these barriers is essential for ensuring that children’s rights are meaningfully implemented. The theoretical contributions of Piaget, Vygotsky, and Dewey further reinforce the importance of adapting educational practices to the developmental needs of children. These theories highlight the need for an education system that supports cognitive, social, and emotional growth by actively involving children in the learning process </w:t>
      </w:r>
      <w:r w:rsidRPr="0021034D">
        <w:rPr>
          <w:rFonts w:asciiTheme="minorHAnsi" w:hAnsiTheme="minorHAnsi"/>
          <w:color w:val="000000"/>
          <w:sz w:val="22"/>
          <w:szCs w:val="22"/>
        </w:rPr>
        <w:t>(</w:t>
      </w:r>
      <w:proofErr w:type="spellStart"/>
      <w:r w:rsidRPr="0021034D">
        <w:rPr>
          <w:rFonts w:asciiTheme="minorHAnsi" w:hAnsiTheme="minorHAnsi"/>
          <w:color w:val="000000"/>
          <w:sz w:val="22"/>
          <w:szCs w:val="22"/>
        </w:rPr>
        <w:t>Pardjono</w:t>
      </w:r>
      <w:proofErr w:type="spellEnd"/>
      <w:r w:rsidRPr="0021034D">
        <w:rPr>
          <w:rFonts w:asciiTheme="minorHAnsi" w:hAnsiTheme="minorHAnsi"/>
          <w:color w:val="000000"/>
          <w:sz w:val="22"/>
          <w:szCs w:val="22"/>
        </w:rPr>
        <w:t>, 2002)</w:t>
      </w:r>
      <w:r>
        <w:rPr>
          <w:rFonts w:asciiTheme="minorHAnsi" w:hAnsiTheme="minorHAnsi"/>
          <w:color w:val="000000"/>
          <w:sz w:val="22"/>
          <w:szCs w:val="22"/>
        </w:rPr>
        <w:t xml:space="preserve">. </w:t>
      </w:r>
      <w:r w:rsidRPr="0021034D">
        <w:rPr>
          <w:rFonts w:asciiTheme="minorHAnsi" w:hAnsiTheme="minorHAnsi"/>
          <w:sz w:val="22"/>
          <w:szCs w:val="22"/>
        </w:rPr>
        <w:t>Ultimately, promoting children’s rights in education requires a multi-dimensional approach, involving not only legislation and policies but also the active participation of children in decision-making processes that affect them, as emphasized by the UNCRC and supported by current educational practices (Cross &amp; Barnes, 2015). By addressing implementation challenges and adhering to a rights-based framework, we can ensure that all children and young people can reach their full potential in an inclusive and equitable educational environment.</w:t>
      </w:r>
    </w:p>
    <w:p w14:paraId="6021302C" w14:textId="77777777" w:rsidR="00453B96" w:rsidRDefault="00453B96" w:rsidP="00D14FEB">
      <w:pPr>
        <w:rPr>
          <w:rFonts w:asciiTheme="minorHAnsi" w:hAnsiTheme="minorHAnsi"/>
          <w:sz w:val="22"/>
          <w:szCs w:val="22"/>
        </w:rPr>
      </w:pPr>
    </w:p>
    <w:p w14:paraId="1E11125F" w14:textId="77777777" w:rsidR="00453B96" w:rsidRDefault="00453B96" w:rsidP="00D14FEB">
      <w:pPr>
        <w:rPr>
          <w:rFonts w:asciiTheme="minorHAnsi" w:hAnsiTheme="minorHAnsi"/>
          <w:sz w:val="22"/>
          <w:szCs w:val="22"/>
        </w:rPr>
      </w:pPr>
    </w:p>
    <w:p w14:paraId="182F24B0" w14:textId="77777777" w:rsidR="00453B96" w:rsidRDefault="00453B96" w:rsidP="00D14FEB">
      <w:pPr>
        <w:rPr>
          <w:rFonts w:asciiTheme="minorHAnsi" w:hAnsiTheme="minorHAnsi"/>
          <w:sz w:val="22"/>
          <w:szCs w:val="22"/>
        </w:rPr>
      </w:pPr>
    </w:p>
    <w:p w14:paraId="6C531832" w14:textId="77777777" w:rsidR="00453B96" w:rsidRDefault="00453B96" w:rsidP="00D14FEB">
      <w:pPr>
        <w:rPr>
          <w:rFonts w:asciiTheme="minorHAnsi" w:hAnsiTheme="minorHAnsi"/>
          <w:sz w:val="22"/>
          <w:szCs w:val="22"/>
        </w:rPr>
      </w:pPr>
    </w:p>
    <w:p w14:paraId="458ABBB2" w14:textId="77777777" w:rsidR="00453B96" w:rsidRDefault="00453B96" w:rsidP="00D14FEB">
      <w:pPr>
        <w:rPr>
          <w:rFonts w:asciiTheme="minorHAnsi" w:hAnsiTheme="minorHAnsi"/>
          <w:sz w:val="22"/>
          <w:szCs w:val="22"/>
        </w:rPr>
      </w:pPr>
    </w:p>
    <w:p w14:paraId="6089D0F9" w14:textId="77777777" w:rsidR="00453B96" w:rsidRDefault="00453B96" w:rsidP="00D14FEB">
      <w:pPr>
        <w:rPr>
          <w:rFonts w:asciiTheme="minorHAnsi" w:hAnsiTheme="minorHAnsi"/>
          <w:sz w:val="22"/>
          <w:szCs w:val="22"/>
        </w:rPr>
      </w:pPr>
    </w:p>
    <w:p w14:paraId="2E1A5031" w14:textId="77777777" w:rsidR="00453B96" w:rsidRDefault="00453B96" w:rsidP="00D14FEB">
      <w:pPr>
        <w:rPr>
          <w:rFonts w:asciiTheme="minorHAnsi" w:hAnsiTheme="minorHAnsi"/>
          <w:sz w:val="22"/>
          <w:szCs w:val="22"/>
        </w:rPr>
      </w:pPr>
    </w:p>
    <w:p w14:paraId="3C07B577" w14:textId="77777777" w:rsidR="00453B96" w:rsidRDefault="00453B96" w:rsidP="00D14FEB">
      <w:pPr>
        <w:rPr>
          <w:rFonts w:asciiTheme="minorHAnsi" w:hAnsiTheme="minorHAnsi"/>
          <w:sz w:val="22"/>
          <w:szCs w:val="22"/>
        </w:rPr>
      </w:pPr>
    </w:p>
    <w:p w14:paraId="5E259382" w14:textId="77777777" w:rsidR="00453B96" w:rsidRDefault="00453B96" w:rsidP="00D14FEB">
      <w:pPr>
        <w:rPr>
          <w:rFonts w:asciiTheme="minorHAnsi" w:hAnsiTheme="minorHAnsi"/>
          <w:sz w:val="22"/>
          <w:szCs w:val="22"/>
        </w:rPr>
      </w:pPr>
    </w:p>
    <w:p w14:paraId="185CAAE3" w14:textId="77777777" w:rsidR="00453B96" w:rsidRDefault="00453B96" w:rsidP="00D14FEB">
      <w:pPr>
        <w:rPr>
          <w:rFonts w:asciiTheme="minorHAnsi" w:hAnsiTheme="minorHAnsi"/>
          <w:sz w:val="22"/>
          <w:szCs w:val="22"/>
        </w:rPr>
      </w:pPr>
    </w:p>
    <w:p w14:paraId="49B6AE4F" w14:textId="77777777" w:rsidR="00453B96" w:rsidRDefault="00453B96" w:rsidP="00D14FEB">
      <w:pPr>
        <w:rPr>
          <w:rFonts w:asciiTheme="minorHAnsi" w:hAnsiTheme="minorHAnsi"/>
          <w:sz w:val="22"/>
          <w:szCs w:val="22"/>
        </w:rPr>
      </w:pPr>
    </w:p>
    <w:p w14:paraId="303A757E" w14:textId="77777777" w:rsidR="00453B96" w:rsidRDefault="00453B96" w:rsidP="00D14FEB">
      <w:pPr>
        <w:rPr>
          <w:rFonts w:asciiTheme="minorHAnsi" w:hAnsiTheme="minorHAnsi"/>
          <w:sz w:val="22"/>
          <w:szCs w:val="22"/>
        </w:rPr>
      </w:pPr>
    </w:p>
    <w:p w14:paraId="7B8380CC" w14:textId="77777777" w:rsidR="00453B96" w:rsidRDefault="00453B96" w:rsidP="00D14FEB">
      <w:pPr>
        <w:rPr>
          <w:rFonts w:asciiTheme="minorHAnsi" w:hAnsiTheme="minorHAnsi"/>
          <w:sz w:val="22"/>
          <w:szCs w:val="22"/>
        </w:rPr>
      </w:pPr>
    </w:p>
    <w:p w14:paraId="2F76A3EF" w14:textId="77777777" w:rsidR="00AA7B80" w:rsidRDefault="00AA7B80" w:rsidP="00D14FEB">
      <w:pPr>
        <w:rPr>
          <w:rFonts w:asciiTheme="minorHAnsi" w:hAnsiTheme="minorHAnsi"/>
          <w:sz w:val="22"/>
          <w:szCs w:val="22"/>
        </w:rPr>
      </w:pPr>
    </w:p>
    <w:p w14:paraId="29E3C715" w14:textId="77777777" w:rsidR="00AA7B80" w:rsidRDefault="00AA7B80" w:rsidP="00D14FEB">
      <w:pPr>
        <w:rPr>
          <w:rFonts w:asciiTheme="minorHAnsi" w:hAnsiTheme="minorHAnsi"/>
          <w:sz w:val="22"/>
          <w:szCs w:val="22"/>
        </w:rPr>
      </w:pPr>
    </w:p>
    <w:p w14:paraId="536013BC" w14:textId="77777777" w:rsidR="00AA7B80" w:rsidRDefault="00AA7B80" w:rsidP="00D14FEB">
      <w:pPr>
        <w:rPr>
          <w:rFonts w:asciiTheme="minorHAnsi" w:hAnsiTheme="minorHAnsi"/>
          <w:sz w:val="22"/>
          <w:szCs w:val="22"/>
        </w:rPr>
      </w:pPr>
    </w:p>
    <w:p w14:paraId="02C84842" w14:textId="77777777" w:rsidR="00453B96" w:rsidRDefault="00453B96" w:rsidP="00D14FEB">
      <w:pPr>
        <w:rPr>
          <w:rFonts w:asciiTheme="minorHAnsi" w:hAnsiTheme="minorHAnsi"/>
          <w:sz w:val="22"/>
          <w:szCs w:val="22"/>
        </w:rPr>
      </w:pPr>
    </w:p>
    <w:p w14:paraId="13927AE2" w14:textId="77777777" w:rsidR="00453B96" w:rsidRDefault="00453B96" w:rsidP="00D14FEB">
      <w:pPr>
        <w:rPr>
          <w:rFonts w:asciiTheme="minorHAnsi" w:hAnsiTheme="minorHAnsi"/>
          <w:sz w:val="22"/>
          <w:szCs w:val="22"/>
        </w:rPr>
      </w:pPr>
    </w:p>
    <w:p w14:paraId="6EDDBCF5" w14:textId="77777777" w:rsidR="00453B96" w:rsidRDefault="00453B96" w:rsidP="00D14FEB">
      <w:pPr>
        <w:rPr>
          <w:rFonts w:asciiTheme="minorHAnsi" w:hAnsiTheme="minorHAnsi"/>
          <w:sz w:val="22"/>
          <w:szCs w:val="22"/>
        </w:rPr>
      </w:pPr>
    </w:p>
    <w:p w14:paraId="6035E561" w14:textId="77777777" w:rsidR="00453B96" w:rsidRDefault="00453B96" w:rsidP="00D14FEB">
      <w:pPr>
        <w:rPr>
          <w:rFonts w:asciiTheme="minorHAnsi" w:hAnsiTheme="minorHAnsi"/>
          <w:sz w:val="22"/>
          <w:szCs w:val="22"/>
        </w:rPr>
      </w:pPr>
    </w:p>
    <w:p w14:paraId="6567F984" w14:textId="77777777" w:rsidR="00453B96" w:rsidRDefault="00453B96" w:rsidP="00D14FEB">
      <w:pPr>
        <w:rPr>
          <w:rFonts w:asciiTheme="minorHAnsi" w:hAnsiTheme="minorHAnsi"/>
          <w:sz w:val="22"/>
          <w:szCs w:val="22"/>
        </w:rPr>
      </w:pPr>
    </w:p>
    <w:p w14:paraId="33EB7104" w14:textId="7005A67C" w:rsidR="00314255" w:rsidRPr="00314255" w:rsidRDefault="00314255" w:rsidP="00314255">
      <w:pPr>
        <w:jc w:val="center"/>
        <w:rPr>
          <w:rFonts w:asciiTheme="minorHAnsi" w:hAnsiTheme="minorHAnsi"/>
          <w:sz w:val="28"/>
          <w:szCs w:val="28"/>
          <w:u w:val="single"/>
        </w:rPr>
      </w:pPr>
      <w:r w:rsidRPr="00314255">
        <w:rPr>
          <w:rFonts w:asciiTheme="minorHAnsi" w:hAnsiTheme="minorHAnsi"/>
          <w:sz w:val="28"/>
          <w:szCs w:val="28"/>
          <w:u w:val="single"/>
        </w:rPr>
        <w:t>Reference list</w:t>
      </w:r>
    </w:p>
    <w:p w14:paraId="6DA1DCEF" w14:textId="77777777" w:rsidR="00314255" w:rsidRPr="00314255" w:rsidRDefault="00314255" w:rsidP="00314255">
      <w:pPr>
        <w:jc w:val="center"/>
        <w:rPr>
          <w:rFonts w:asciiTheme="minorHAnsi" w:hAnsiTheme="minorHAnsi"/>
          <w:sz w:val="28"/>
          <w:szCs w:val="28"/>
        </w:rPr>
      </w:pPr>
    </w:p>
    <w:p w14:paraId="6183424C" w14:textId="40F5E1FD" w:rsidR="00453B96" w:rsidRDefault="00453B96" w:rsidP="00453B96">
      <w:pPr>
        <w:rPr>
          <w:rFonts w:asciiTheme="minorHAnsi" w:hAnsiTheme="minorHAnsi"/>
          <w:sz w:val="22"/>
          <w:szCs w:val="22"/>
        </w:rPr>
      </w:pPr>
      <w:proofErr w:type="spellStart"/>
      <w:r w:rsidRPr="00453B96">
        <w:rPr>
          <w:rFonts w:asciiTheme="minorHAnsi" w:hAnsiTheme="minorHAnsi"/>
          <w:sz w:val="22"/>
          <w:szCs w:val="22"/>
        </w:rPr>
        <w:t>Barrouillet</w:t>
      </w:r>
      <w:proofErr w:type="spellEnd"/>
      <w:r w:rsidRPr="00453B96">
        <w:rPr>
          <w:rFonts w:asciiTheme="minorHAnsi" w:hAnsiTheme="minorHAnsi"/>
          <w:sz w:val="22"/>
          <w:szCs w:val="22"/>
        </w:rPr>
        <w:t>, P. (2015). Theories of Cognitive development: from Piaget to Today. </w:t>
      </w:r>
      <w:r w:rsidRPr="00453B96">
        <w:rPr>
          <w:rFonts w:asciiTheme="minorHAnsi" w:hAnsiTheme="minorHAnsi"/>
          <w:i/>
          <w:iCs/>
          <w:sz w:val="22"/>
          <w:szCs w:val="22"/>
        </w:rPr>
        <w:t>Developmental Review</w:t>
      </w:r>
      <w:r w:rsidRPr="00453B96">
        <w:rPr>
          <w:rFonts w:asciiTheme="minorHAnsi" w:hAnsiTheme="minorHAnsi"/>
          <w:sz w:val="22"/>
          <w:szCs w:val="22"/>
        </w:rPr>
        <w:t xml:space="preserve">, 38(38), pp.1–12. </w:t>
      </w:r>
      <w:proofErr w:type="spellStart"/>
      <w:proofErr w:type="gramStart"/>
      <w:r w:rsidRPr="00453B96">
        <w:rPr>
          <w:rFonts w:asciiTheme="minorHAnsi" w:hAnsiTheme="minorHAnsi"/>
          <w:sz w:val="22"/>
          <w:szCs w:val="22"/>
        </w:rPr>
        <w:t>doi:https</w:t>
      </w:r>
      <w:proofErr w:type="spellEnd"/>
      <w:r w:rsidRPr="00453B96">
        <w:rPr>
          <w:rFonts w:asciiTheme="minorHAnsi" w:hAnsiTheme="minorHAnsi"/>
          <w:sz w:val="22"/>
          <w:szCs w:val="22"/>
        </w:rPr>
        <w:t>://doi.org/10.1016/j.dr.2015.07.004</w:t>
      </w:r>
      <w:proofErr w:type="gramEnd"/>
      <w:r w:rsidRPr="00453B96">
        <w:rPr>
          <w:rFonts w:asciiTheme="minorHAnsi" w:hAnsiTheme="minorHAnsi"/>
          <w:sz w:val="22"/>
          <w:szCs w:val="22"/>
        </w:rPr>
        <w:t>.</w:t>
      </w:r>
    </w:p>
    <w:p w14:paraId="5DAE94CB" w14:textId="77777777" w:rsidR="00453B96" w:rsidRPr="00453B96" w:rsidRDefault="00453B96" w:rsidP="00453B96">
      <w:pPr>
        <w:rPr>
          <w:rFonts w:asciiTheme="minorHAnsi" w:hAnsiTheme="minorHAnsi"/>
          <w:sz w:val="22"/>
          <w:szCs w:val="22"/>
        </w:rPr>
      </w:pPr>
    </w:p>
    <w:p w14:paraId="03934C95" w14:textId="77777777" w:rsidR="00453B96" w:rsidRDefault="00453B96" w:rsidP="00453B96">
      <w:pPr>
        <w:rPr>
          <w:rFonts w:asciiTheme="minorHAnsi" w:hAnsiTheme="minorHAnsi"/>
          <w:sz w:val="22"/>
          <w:szCs w:val="22"/>
        </w:rPr>
      </w:pPr>
      <w:proofErr w:type="spellStart"/>
      <w:r w:rsidRPr="00453B96">
        <w:rPr>
          <w:rFonts w:asciiTheme="minorHAnsi" w:hAnsiTheme="minorHAnsi"/>
          <w:sz w:val="22"/>
          <w:szCs w:val="22"/>
        </w:rPr>
        <w:t>Clabaugh</w:t>
      </w:r>
      <w:proofErr w:type="spellEnd"/>
      <w:r w:rsidRPr="00453B96">
        <w:rPr>
          <w:rFonts w:asciiTheme="minorHAnsi" w:hAnsiTheme="minorHAnsi"/>
          <w:sz w:val="22"/>
          <w:szCs w:val="22"/>
        </w:rPr>
        <w:t>, G. (2010). The Educational Theory of Lev Vygotsky: a multi-dimensional Analysis. </w:t>
      </w:r>
      <w:proofErr w:type="spellStart"/>
      <w:r w:rsidRPr="00453B96">
        <w:rPr>
          <w:rFonts w:asciiTheme="minorHAnsi" w:hAnsiTheme="minorHAnsi"/>
          <w:i/>
          <w:iCs/>
          <w:sz w:val="22"/>
          <w:szCs w:val="22"/>
        </w:rPr>
        <w:t>NewFoundations</w:t>
      </w:r>
      <w:proofErr w:type="spellEnd"/>
      <w:r w:rsidRPr="00453B96">
        <w:rPr>
          <w:rFonts w:asciiTheme="minorHAnsi" w:hAnsiTheme="minorHAnsi"/>
          <w:sz w:val="22"/>
          <w:szCs w:val="22"/>
        </w:rPr>
        <w:t>.</w:t>
      </w:r>
    </w:p>
    <w:p w14:paraId="483DD9D0" w14:textId="77777777" w:rsidR="00453B96" w:rsidRPr="00453B96" w:rsidRDefault="00453B96" w:rsidP="00453B96">
      <w:pPr>
        <w:rPr>
          <w:rFonts w:asciiTheme="minorHAnsi" w:hAnsiTheme="minorHAnsi"/>
          <w:sz w:val="22"/>
          <w:szCs w:val="22"/>
        </w:rPr>
      </w:pPr>
    </w:p>
    <w:p w14:paraId="44EDA3FB" w14:textId="77777777" w:rsidR="00453B96" w:rsidRDefault="00453B96" w:rsidP="00453B96">
      <w:pPr>
        <w:rPr>
          <w:rFonts w:asciiTheme="minorHAnsi" w:hAnsiTheme="minorHAnsi"/>
          <w:sz w:val="22"/>
          <w:szCs w:val="22"/>
        </w:rPr>
      </w:pPr>
      <w:r w:rsidRPr="00453B96">
        <w:rPr>
          <w:rFonts w:asciiTheme="minorHAnsi" w:hAnsiTheme="minorHAnsi"/>
          <w:sz w:val="22"/>
          <w:szCs w:val="22"/>
        </w:rPr>
        <w:t>Cross, D. and Barnes, A. (2015). Protecting and Promoting Young People’s Social and Emotional Health in Online and Offline Contexts. </w:t>
      </w:r>
      <w:r w:rsidRPr="00453B96">
        <w:rPr>
          <w:rFonts w:asciiTheme="minorHAnsi" w:hAnsiTheme="minorHAnsi"/>
          <w:i/>
          <w:iCs/>
          <w:sz w:val="22"/>
          <w:szCs w:val="22"/>
        </w:rPr>
        <w:t>Springer eBooks</w:t>
      </w:r>
      <w:r w:rsidRPr="00453B96">
        <w:rPr>
          <w:rFonts w:asciiTheme="minorHAnsi" w:hAnsiTheme="minorHAnsi"/>
          <w:sz w:val="22"/>
          <w:szCs w:val="22"/>
        </w:rPr>
        <w:t xml:space="preserve">, pp.115–126. </w:t>
      </w:r>
      <w:proofErr w:type="spellStart"/>
      <w:proofErr w:type="gramStart"/>
      <w:r w:rsidRPr="00453B96">
        <w:rPr>
          <w:rFonts w:asciiTheme="minorHAnsi" w:hAnsiTheme="minorHAnsi"/>
          <w:sz w:val="22"/>
          <w:szCs w:val="22"/>
        </w:rPr>
        <w:t>doi:https</w:t>
      </w:r>
      <w:proofErr w:type="spellEnd"/>
      <w:r w:rsidRPr="00453B96">
        <w:rPr>
          <w:rFonts w:asciiTheme="minorHAnsi" w:hAnsiTheme="minorHAnsi"/>
          <w:sz w:val="22"/>
          <w:szCs w:val="22"/>
        </w:rPr>
        <w:t>://doi.org/10.1007/978-981-4451-15-4_14</w:t>
      </w:r>
      <w:proofErr w:type="gramEnd"/>
      <w:r w:rsidRPr="00453B96">
        <w:rPr>
          <w:rFonts w:asciiTheme="minorHAnsi" w:hAnsiTheme="minorHAnsi"/>
          <w:sz w:val="22"/>
          <w:szCs w:val="22"/>
        </w:rPr>
        <w:t>.</w:t>
      </w:r>
    </w:p>
    <w:p w14:paraId="4BADB250" w14:textId="77777777" w:rsidR="00453B96" w:rsidRPr="00453B96" w:rsidRDefault="00453B96" w:rsidP="00453B96">
      <w:pPr>
        <w:rPr>
          <w:rFonts w:asciiTheme="minorHAnsi" w:hAnsiTheme="minorHAnsi"/>
          <w:sz w:val="22"/>
          <w:szCs w:val="22"/>
        </w:rPr>
      </w:pPr>
    </w:p>
    <w:p w14:paraId="6BB8A255" w14:textId="77777777" w:rsidR="00453B96" w:rsidRDefault="00453B96" w:rsidP="00453B96">
      <w:pPr>
        <w:rPr>
          <w:rFonts w:asciiTheme="minorHAnsi" w:hAnsiTheme="minorHAnsi"/>
          <w:sz w:val="22"/>
          <w:szCs w:val="22"/>
        </w:rPr>
      </w:pPr>
      <w:r w:rsidRPr="00453B96">
        <w:rPr>
          <w:rFonts w:asciiTheme="minorHAnsi" w:hAnsiTheme="minorHAnsi"/>
          <w:sz w:val="22"/>
          <w:szCs w:val="22"/>
        </w:rPr>
        <w:t>INEE (2010). </w:t>
      </w:r>
      <w:r w:rsidRPr="00453B96">
        <w:rPr>
          <w:rFonts w:asciiTheme="minorHAnsi" w:hAnsiTheme="minorHAnsi"/>
          <w:i/>
          <w:iCs/>
          <w:sz w:val="22"/>
          <w:szCs w:val="22"/>
        </w:rPr>
        <w:t>Rights-based Approach to Education | INEE</w:t>
      </w:r>
      <w:r w:rsidRPr="00453B96">
        <w:rPr>
          <w:rFonts w:asciiTheme="minorHAnsi" w:hAnsiTheme="minorHAnsi"/>
          <w:sz w:val="22"/>
          <w:szCs w:val="22"/>
        </w:rPr>
        <w:t>. [online] inee.org. Available at: https://inee.org/eie-glossary/rights-based-approach-education [Accessed 28 Mar. 2025].</w:t>
      </w:r>
    </w:p>
    <w:p w14:paraId="1ABDD8D5" w14:textId="77777777" w:rsidR="00453B96" w:rsidRPr="00453B96" w:rsidRDefault="00453B96" w:rsidP="00453B96">
      <w:pPr>
        <w:rPr>
          <w:rFonts w:asciiTheme="minorHAnsi" w:hAnsiTheme="minorHAnsi"/>
          <w:sz w:val="22"/>
          <w:szCs w:val="22"/>
        </w:rPr>
      </w:pPr>
    </w:p>
    <w:p w14:paraId="25388207" w14:textId="77777777" w:rsidR="00453B96" w:rsidRDefault="00453B96" w:rsidP="00453B96">
      <w:pPr>
        <w:rPr>
          <w:rFonts w:asciiTheme="minorHAnsi" w:hAnsiTheme="minorHAnsi"/>
          <w:sz w:val="22"/>
          <w:szCs w:val="22"/>
        </w:rPr>
      </w:pPr>
      <w:r w:rsidRPr="00453B96">
        <w:rPr>
          <w:rFonts w:asciiTheme="minorHAnsi" w:hAnsiTheme="minorHAnsi"/>
          <w:sz w:val="22"/>
          <w:szCs w:val="22"/>
        </w:rPr>
        <w:t>Johnson, V. (2010). Changing Contexts of Children and Young People’s Participation in Evaluation: Case Studies in Nepal and the UK.</w:t>
      </w:r>
    </w:p>
    <w:p w14:paraId="69D65BCC" w14:textId="77777777" w:rsidR="00453B96" w:rsidRPr="00453B96" w:rsidRDefault="00453B96" w:rsidP="00453B96">
      <w:pPr>
        <w:rPr>
          <w:rFonts w:asciiTheme="minorHAnsi" w:hAnsiTheme="minorHAnsi"/>
          <w:sz w:val="22"/>
          <w:szCs w:val="22"/>
        </w:rPr>
      </w:pPr>
    </w:p>
    <w:p w14:paraId="03E116A5" w14:textId="11E5E10E" w:rsidR="00453B96" w:rsidRDefault="00453B96" w:rsidP="00453B96">
      <w:pPr>
        <w:rPr>
          <w:rFonts w:asciiTheme="minorHAnsi" w:hAnsiTheme="minorHAnsi"/>
          <w:sz w:val="22"/>
          <w:szCs w:val="22"/>
        </w:rPr>
      </w:pPr>
      <w:proofErr w:type="spellStart"/>
      <w:r w:rsidRPr="00453B96">
        <w:rPr>
          <w:rFonts w:asciiTheme="minorHAnsi" w:hAnsiTheme="minorHAnsi"/>
          <w:sz w:val="22"/>
          <w:szCs w:val="22"/>
        </w:rPr>
        <w:t>Križ</w:t>
      </w:r>
      <w:proofErr w:type="spellEnd"/>
      <w:r w:rsidRPr="00453B96">
        <w:rPr>
          <w:rFonts w:asciiTheme="minorHAnsi" w:hAnsiTheme="minorHAnsi"/>
          <w:sz w:val="22"/>
          <w:szCs w:val="22"/>
        </w:rPr>
        <w:t>, K. and Petersen, M. eds., (2023). </w:t>
      </w:r>
      <w:r w:rsidRPr="00453B96">
        <w:rPr>
          <w:rFonts w:asciiTheme="minorHAnsi" w:hAnsiTheme="minorHAnsi"/>
          <w:i/>
          <w:iCs/>
          <w:sz w:val="22"/>
          <w:szCs w:val="22"/>
        </w:rPr>
        <w:t>Children and Young People’s Participation in Child Protection</w:t>
      </w:r>
      <w:r w:rsidRPr="00453B96">
        <w:rPr>
          <w:rFonts w:asciiTheme="minorHAnsi" w:hAnsiTheme="minorHAnsi"/>
          <w:sz w:val="22"/>
          <w:szCs w:val="22"/>
        </w:rPr>
        <w:t xml:space="preserve">. [online] Oxford University </w:t>
      </w:r>
      <w:proofErr w:type="spellStart"/>
      <w:r w:rsidRPr="00453B96">
        <w:rPr>
          <w:rFonts w:asciiTheme="minorHAnsi" w:hAnsiTheme="minorHAnsi"/>
          <w:sz w:val="22"/>
          <w:szCs w:val="22"/>
        </w:rPr>
        <w:t>PressNew</w:t>
      </w:r>
      <w:proofErr w:type="spellEnd"/>
      <w:r w:rsidRPr="00453B96">
        <w:rPr>
          <w:rFonts w:asciiTheme="minorHAnsi" w:hAnsiTheme="minorHAnsi"/>
          <w:sz w:val="22"/>
          <w:szCs w:val="22"/>
        </w:rPr>
        <w:t xml:space="preserve"> York. </w:t>
      </w:r>
      <w:proofErr w:type="spellStart"/>
      <w:proofErr w:type="gramStart"/>
      <w:r w:rsidRPr="00453B96">
        <w:rPr>
          <w:rFonts w:asciiTheme="minorHAnsi" w:hAnsiTheme="minorHAnsi"/>
          <w:sz w:val="22"/>
          <w:szCs w:val="22"/>
        </w:rPr>
        <w:t>doi:https</w:t>
      </w:r>
      <w:proofErr w:type="spellEnd"/>
      <w:r w:rsidRPr="00453B96">
        <w:rPr>
          <w:rFonts w:asciiTheme="minorHAnsi" w:hAnsiTheme="minorHAnsi"/>
          <w:sz w:val="22"/>
          <w:szCs w:val="22"/>
        </w:rPr>
        <w:t>://doi.org/10.1093/</w:t>
      </w:r>
      <w:proofErr w:type="spellStart"/>
      <w:r w:rsidRPr="00453B96">
        <w:rPr>
          <w:rFonts w:asciiTheme="minorHAnsi" w:hAnsiTheme="minorHAnsi"/>
          <w:sz w:val="22"/>
          <w:szCs w:val="22"/>
        </w:rPr>
        <w:t>oso</w:t>
      </w:r>
      <w:proofErr w:type="spellEnd"/>
      <w:r w:rsidRPr="00453B96">
        <w:rPr>
          <w:rFonts w:asciiTheme="minorHAnsi" w:hAnsiTheme="minorHAnsi"/>
          <w:sz w:val="22"/>
          <w:szCs w:val="22"/>
        </w:rPr>
        <w:t>/9780197622322.001.0001</w:t>
      </w:r>
      <w:proofErr w:type="gramEnd"/>
      <w:r w:rsidRPr="00453B96">
        <w:rPr>
          <w:rFonts w:asciiTheme="minorHAnsi" w:hAnsiTheme="minorHAnsi"/>
          <w:sz w:val="22"/>
          <w:szCs w:val="22"/>
        </w:rPr>
        <w:t>.</w:t>
      </w:r>
    </w:p>
    <w:p w14:paraId="4528CDB3" w14:textId="77777777" w:rsidR="00453B96" w:rsidRPr="00453B96" w:rsidRDefault="00453B96" w:rsidP="00453B96">
      <w:pPr>
        <w:rPr>
          <w:rFonts w:asciiTheme="minorHAnsi" w:hAnsiTheme="minorHAnsi"/>
          <w:sz w:val="22"/>
          <w:szCs w:val="22"/>
        </w:rPr>
      </w:pPr>
    </w:p>
    <w:p w14:paraId="6D2E7215" w14:textId="77777777" w:rsidR="00453B96" w:rsidRDefault="00453B96" w:rsidP="00453B96">
      <w:pPr>
        <w:rPr>
          <w:rFonts w:asciiTheme="minorHAnsi" w:hAnsiTheme="minorHAnsi"/>
          <w:sz w:val="22"/>
          <w:szCs w:val="22"/>
        </w:rPr>
      </w:pPr>
      <w:r w:rsidRPr="00453B96">
        <w:rPr>
          <w:rFonts w:asciiTheme="minorHAnsi" w:hAnsiTheme="minorHAnsi"/>
          <w:sz w:val="22"/>
          <w:szCs w:val="22"/>
        </w:rPr>
        <w:t xml:space="preserve">McCafferty, P. and García, E. (2023). Children’s Participation in Child Welfare: </w:t>
      </w:r>
      <w:proofErr w:type="gramStart"/>
      <w:r w:rsidRPr="00453B96">
        <w:rPr>
          <w:rFonts w:asciiTheme="minorHAnsi" w:hAnsiTheme="minorHAnsi"/>
          <w:sz w:val="22"/>
          <w:szCs w:val="22"/>
        </w:rPr>
        <w:t>a</w:t>
      </w:r>
      <w:proofErr w:type="gramEnd"/>
      <w:r w:rsidRPr="00453B96">
        <w:rPr>
          <w:rFonts w:asciiTheme="minorHAnsi" w:hAnsiTheme="minorHAnsi"/>
          <w:sz w:val="22"/>
          <w:szCs w:val="22"/>
        </w:rPr>
        <w:t xml:space="preserve"> Systematic Review of Systematic Reviews. </w:t>
      </w:r>
      <w:r w:rsidRPr="00453B96">
        <w:rPr>
          <w:rFonts w:asciiTheme="minorHAnsi" w:hAnsiTheme="minorHAnsi"/>
          <w:i/>
          <w:iCs/>
          <w:sz w:val="22"/>
          <w:szCs w:val="22"/>
        </w:rPr>
        <w:t>The British Journal of Social Work</w:t>
      </w:r>
      <w:r w:rsidRPr="00453B96">
        <w:rPr>
          <w:rFonts w:asciiTheme="minorHAnsi" w:hAnsiTheme="minorHAnsi"/>
          <w:sz w:val="22"/>
          <w:szCs w:val="22"/>
        </w:rPr>
        <w:t xml:space="preserve">, 54(3). </w:t>
      </w:r>
      <w:proofErr w:type="spellStart"/>
      <w:proofErr w:type="gramStart"/>
      <w:r w:rsidRPr="00453B96">
        <w:rPr>
          <w:rFonts w:asciiTheme="minorHAnsi" w:hAnsiTheme="minorHAnsi"/>
          <w:sz w:val="22"/>
          <w:szCs w:val="22"/>
        </w:rPr>
        <w:t>doi:https</w:t>
      </w:r>
      <w:proofErr w:type="spellEnd"/>
      <w:r w:rsidRPr="00453B96">
        <w:rPr>
          <w:rFonts w:asciiTheme="minorHAnsi" w:hAnsiTheme="minorHAnsi"/>
          <w:sz w:val="22"/>
          <w:szCs w:val="22"/>
        </w:rPr>
        <w:t>://doi.org/10.1093/</w:t>
      </w:r>
      <w:proofErr w:type="spellStart"/>
      <w:r w:rsidRPr="00453B96">
        <w:rPr>
          <w:rFonts w:asciiTheme="minorHAnsi" w:hAnsiTheme="minorHAnsi"/>
          <w:sz w:val="22"/>
          <w:szCs w:val="22"/>
        </w:rPr>
        <w:t>bjsw</w:t>
      </w:r>
      <w:proofErr w:type="spellEnd"/>
      <w:r w:rsidRPr="00453B96">
        <w:rPr>
          <w:rFonts w:asciiTheme="minorHAnsi" w:hAnsiTheme="minorHAnsi"/>
          <w:sz w:val="22"/>
          <w:szCs w:val="22"/>
        </w:rPr>
        <w:t>/bcad167</w:t>
      </w:r>
      <w:proofErr w:type="gramEnd"/>
      <w:r w:rsidRPr="00453B96">
        <w:rPr>
          <w:rFonts w:asciiTheme="minorHAnsi" w:hAnsiTheme="minorHAnsi"/>
          <w:sz w:val="22"/>
          <w:szCs w:val="22"/>
        </w:rPr>
        <w:t>.</w:t>
      </w:r>
    </w:p>
    <w:p w14:paraId="3CE8D728" w14:textId="77777777" w:rsidR="00453B96" w:rsidRPr="00453B96" w:rsidRDefault="00453B96" w:rsidP="00453B96">
      <w:pPr>
        <w:rPr>
          <w:rFonts w:asciiTheme="minorHAnsi" w:hAnsiTheme="minorHAnsi"/>
          <w:sz w:val="22"/>
          <w:szCs w:val="22"/>
        </w:rPr>
      </w:pPr>
    </w:p>
    <w:p w14:paraId="29DB8E09" w14:textId="77777777" w:rsidR="00453B96" w:rsidRDefault="00453B96" w:rsidP="00453B96">
      <w:pPr>
        <w:rPr>
          <w:rFonts w:asciiTheme="minorHAnsi" w:hAnsiTheme="minorHAnsi"/>
          <w:sz w:val="22"/>
          <w:szCs w:val="22"/>
        </w:rPr>
      </w:pPr>
      <w:r w:rsidRPr="00453B96">
        <w:rPr>
          <w:rFonts w:asciiTheme="minorHAnsi" w:hAnsiTheme="minorHAnsi"/>
          <w:sz w:val="22"/>
          <w:szCs w:val="22"/>
        </w:rPr>
        <w:t>Miettinen, R. (2010). The Concept of Experiential Learning and John Dewey’s Theory of Reflective Thought and Action. </w:t>
      </w:r>
      <w:r w:rsidRPr="00453B96">
        <w:rPr>
          <w:rFonts w:asciiTheme="minorHAnsi" w:hAnsiTheme="minorHAnsi"/>
          <w:i/>
          <w:iCs/>
          <w:sz w:val="22"/>
          <w:szCs w:val="22"/>
        </w:rPr>
        <w:t>International Journal of Lifelong Education</w:t>
      </w:r>
      <w:r w:rsidRPr="00453B96">
        <w:rPr>
          <w:rFonts w:asciiTheme="minorHAnsi" w:hAnsiTheme="minorHAnsi"/>
          <w:sz w:val="22"/>
          <w:szCs w:val="22"/>
        </w:rPr>
        <w:t xml:space="preserve">, 19(1), pp.54–72. </w:t>
      </w:r>
      <w:proofErr w:type="spellStart"/>
      <w:proofErr w:type="gramStart"/>
      <w:r w:rsidRPr="00453B96">
        <w:rPr>
          <w:rFonts w:asciiTheme="minorHAnsi" w:hAnsiTheme="minorHAnsi"/>
          <w:sz w:val="22"/>
          <w:szCs w:val="22"/>
        </w:rPr>
        <w:t>doi:https</w:t>
      </w:r>
      <w:proofErr w:type="spellEnd"/>
      <w:r w:rsidRPr="00453B96">
        <w:rPr>
          <w:rFonts w:asciiTheme="minorHAnsi" w:hAnsiTheme="minorHAnsi"/>
          <w:sz w:val="22"/>
          <w:szCs w:val="22"/>
        </w:rPr>
        <w:t>://doi.org/10.1080/026013700293458</w:t>
      </w:r>
      <w:proofErr w:type="gramEnd"/>
      <w:r w:rsidRPr="00453B96">
        <w:rPr>
          <w:rFonts w:asciiTheme="minorHAnsi" w:hAnsiTheme="minorHAnsi"/>
          <w:sz w:val="22"/>
          <w:szCs w:val="22"/>
        </w:rPr>
        <w:t>.</w:t>
      </w:r>
    </w:p>
    <w:p w14:paraId="5D089248" w14:textId="77777777" w:rsidR="00453B96" w:rsidRPr="00453B96" w:rsidRDefault="00453B96" w:rsidP="00453B96">
      <w:pPr>
        <w:rPr>
          <w:rFonts w:asciiTheme="minorHAnsi" w:hAnsiTheme="minorHAnsi"/>
          <w:sz w:val="22"/>
          <w:szCs w:val="22"/>
        </w:rPr>
      </w:pPr>
    </w:p>
    <w:p w14:paraId="66E4B33A" w14:textId="77777777" w:rsidR="00453B96" w:rsidRDefault="00453B96" w:rsidP="00453B96">
      <w:pPr>
        <w:rPr>
          <w:rFonts w:asciiTheme="minorHAnsi" w:hAnsiTheme="minorHAnsi"/>
          <w:sz w:val="22"/>
          <w:szCs w:val="22"/>
        </w:rPr>
      </w:pPr>
      <w:proofErr w:type="spellStart"/>
      <w:r w:rsidRPr="00453B96">
        <w:rPr>
          <w:rFonts w:asciiTheme="minorHAnsi" w:hAnsiTheme="minorHAnsi"/>
          <w:sz w:val="22"/>
          <w:szCs w:val="22"/>
        </w:rPr>
        <w:t>Pardjono</w:t>
      </w:r>
      <w:proofErr w:type="spellEnd"/>
      <w:r w:rsidRPr="00453B96">
        <w:rPr>
          <w:rFonts w:asciiTheme="minorHAnsi" w:hAnsiTheme="minorHAnsi"/>
          <w:sz w:val="22"/>
          <w:szCs w:val="22"/>
        </w:rPr>
        <w:t>, P. (2002). Active Learning: the Dewey, Piaget, Vygotsky, and Constructivist Theory Perspectives. </w:t>
      </w:r>
      <w:proofErr w:type="spellStart"/>
      <w:r w:rsidRPr="00453B96">
        <w:rPr>
          <w:rFonts w:asciiTheme="minorHAnsi" w:hAnsiTheme="minorHAnsi"/>
          <w:i/>
          <w:iCs/>
          <w:sz w:val="22"/>
          <w:szCs w:val="22"/>
        </w:rPr>
        <w:t>Jurnal</w:t>
      </w:r>
      <w:proofErr w:type="spellEnd"/>
      <w:r w:rsidRPr="00453B96">
        <w:rPr>
          <w:rFonts w:asciiTheme="minorHAnsi" w:hAnsiTheme="minorHAnsi"/>
          <w:i/>
          <w:iCs/>
          <w:sz w:val="22"/>
          <w:szCs w:val="22"/>
        </w:rPr>
        <w:t xml:space="preserve"> </w:t>
      </w:r>
      <w:proofErr w:type="spellStart"/>
      <w:r w:rsidRPr="00453B96">
        <w:rPr>
          <w:rFonts w:asciiTheme="minorHAnsi" w:hAnsiTheme="minorHAnsi"/>
          <w:i/>
          <w:iCs/>
          <w:sz w:val="22"/>
          <w:szCs w:val="22"/>
        </w:rPr>
        <w:t>Ilmu</w:t>
      </w:r>
      <w:proofErr w:type="spellEnd"/>
      <w:r w:rsidRPr="00453B96">
        <w:rPr>
          <w:rFonts w:asciiTheme="minorHAnsi" w:hAnsiTheme="minorHAnsi"/>
          <w:i/>
          <w:iCs/>
          <w:sz w:val="22"/>
          <w:szCs w:val="22"/>
        </w:rPr>
        <w:t xml:space="preserve"> Pendidikan</w:t>
      </w:r>
      <w:r w:rsidRPr="00453B96">
        <w:rPr>
          <w:rFonts w:asciiTheme="minorHAnsi" w:hAnsiTheme="minorHAnsi"/>
          <w:sz w:val="22"/>
          <w:szCs w:val="22"/>
        </w:rPr>
        <w:t xml:space="preserve">, [online] 9(3). </w:t>
      </w:r>
      <w:proofErr w:type="spellStart"/>
      <w:proofErr w:type="gramStart"/>
      <w:r w:rsidRPr="00453B96">
        <w:rPr>
          <w:rFonts w:asciiTheme="minorHAnsi" w:hAnsiTheme="minorHAnsi"/>
          <w:sz w:val="22"/>
          <w:szCs w:val="22"/>
        </w:rPr>
        <w:t>doi:https</w:t>
      </w:r>
      <w:proofErr w:type="spellEnd"/>
      <w:r w:rsidRPr="00453B96">
        <w:rPr>
          <w:rFonts w:asciiTheme="minorHAnsi" w:hAnsiTheme="minorHAnsi"/>
          <w:sz w:val="22"/>
          <w:szCs w:val="22"/>
        </w:rPr>
        <w:t>://doi.org/10.17977/jip.v9i3.487</w:t>
      </w:r>
      <w:proofErr w:type="gramEnd"/>
      <w:r w:rsidRPr="00453B96">
        <w:rPr>
          <w:rFonts w:asciiTheme="minorHAnsi" w:hAnsiTheme="minorHAnsi"/>
          <w:sz w:val="22"/>
          <w:szCs w:val="22"/>
        </w:rPr>
        <w:t>.</w:t>
      </w:r>
    </w:p>
    <w:p w14:paraId="4368B6D5" w14:textId="77777777" w:rsidR="00453B96" w:rsidRPr="00453B96" w:rsidRDefault="00453B96" w:rsidP="00453B96">
      <w:pPr>
        <w:rPr>
          <w:rFonts w:asciiTheme="minorHAnsi" w:hAnsiTheme="minorHAnsi"/>
          <w:sz w:val="22"/>
          <w:szCs w:val="22"/>
        </w:rPr>
      </w:pPr>
    </w:p>
    <w:p w14:paraId="6EBCAE9B" w14:textId="77777777" w:rsidR="00453B96" w:rsidRDefault="00453B96" w:rsidP="00453B96">
      <w:pPr>
        <w:rPr>
          <w:rFonts w:asciiTheme="minorHAnsi" w:hAnsiTheme="minorHAnsi"/>
          <w:sz w:val="22"/>
          <w:szCs w:val="22"/>
        </w:rPr>
      </w:pPr>
      <w:r w:rsidRPr="00453B96">
        <w:rPr>
          <w:rFonts w:asciiTheme="minorHAnsi" w:hAnsiTheme="minorHAnsi"/>
          <w:sz w:val="22"/>
          <w:szCs w:val="22"/>
        </w:rPr>
        <w:t>Steps4Kids (2025). </w:t>
      </w:r>
      <w:r w:rsidRPr="00453B96">
        <w:rPr>
          <w:rFonts w:asciiTheme="minorHAnsi" w:hAnsiTheme="minorHAnsi"/>
          <w:i/>
          <w:iCs/>
          <w:sz w:val="22"/>
          <w:szCs w:val="22"/>
        </w:rPr>
        <w:t>7 Key Reasons: Why Is the Right to Education Important?</w:t>
      </w:r>
      <w:r w:rsidRPr="00453B96">
        <w:rPr>
          <w:rFonts w:asciiTheme="minorHAnsi" w:hAnsiTheme="minorHAnsi"/>
          <w:sz w:val="22"/>
          <w:szCs w:val="22"/>
        </w:rPr>
        <w:t> [online] Steps4Kids.com. Available at: https://steps4kids.com/why-is-the-right-to-education-important/ [Accessed 28 Mar. 2025].</w:t>
      </w:r>
    </w:p>
    <w:p w14:paraId="50EA07AE" w14:textId="77777777" w:rsidR="00314255" w:rsidRPr="00453B96" w:rsidRDefault="00314255" w:rsidP="00453B96">
      <w:pPr>
        <w:rPr>
          <w:rFonts w:asciiTheme="minorHAnsi" w:hAnsiTheme="minorHAnsi"/>
          <w:sz w:val="22"/>
          <w:szCs w:val="22"/>
        </w:rPr>
      </w:pPr>
    </w:p>
    <w:p w14:paraId="578357C9" w14:textId="77777777" w:rsidR="00453B96" w:rsidRDefault="00453B96" w:rsidP="00453B96">
      <w:pPr>
        <w:rPr>
          <w:rFonts w:asciiTheme="minorHAnsi" w:hAnsiTheme="minorHAnsi"/>
          <w:sz w:val="22"/>
          <w:szCs w:val="22"/>
        </w:rPr>
      </w:pPr>
      <w:proofErr w:type="spellStart"/>
      <w:r w:rsidRPr="00453B96">
        <w:rPr>
          <w:rFonts w:asciiTheme="minorHAnsi" w:hAnsiTheme="minorHAnsi"/>
          <w:sz w:val="22"/>
          <w:szCs w:val="22"/>
        </w:rPr>
        <w:t>Theirworld</w:t>
      </w:r>
      <w:proofErr w:type="spellEnd"/>
      <w:r w:rsidRPr="00453B96">
        <w:rPr>
          <w:rFonts w:asciiTheme="minorHAnsi" w:hAnsiTheme="minorHAnsi"/>
          <w:sz w:val="22"/>
          <w:szCs w:val="22"/>
        </w:rPr>
        <w:t xml:space="preserve"> (n.d.). </w:t>
      </w:r>
      <w:r w:rsidRPr="00453B96">
        <w:rPr>
          <w:rFonts w:asciiTheme="minorHAnsi" w:hAnsiTheme="minorHAnsi"/>
          <w:i/>
          <w:iCs/>
          <w:sz w:val="22"/>
          <w:szCs w:val="22"/>
        </w:rPr>
        <w:t>Right to Education</w:t>
      </w:r>
      <w:r w:rsidRPr="00453B96">
        <w:rPr>
          <w:rFonts w:asciiTheme="minorHAnsi" w:hAnsiTheme="minorHAnsi"/>
          <w:sz w:val="22"/>
          <w:szCs w:val="22"/>
        </w:rPr>
        <w:t xml:space="preserve">. [online] </w:t>
      </w:r>
      <w:proofErr w:type="spellStart"/>
      <w:r w:rsidRPr="00453B96">
        <w:rPr>
          <w:rFonts w:asciiTheme="minorHAnsi" w:hAnsiTheme="minorHAnsi"/>
          <w:sz w:val="22"/>
          <w:szCs w:val="22"/>
        </w:rPr>
        <w:t>Theirworld</w:t>
      </w:r>
      <w:proofErr w:type="spellEnd"/>
      <w:r w:rsidRPr="00453B96">
        <w:rPr>
          <w:rFonts w:asciiTheme="minorHAnsi" w:hAnsiTheme="minorHAnsi"/>
          <w:sz w:val="22"/>
          <w:szCs w:val="22"/>
        </w:rPr>
        <w:t>. Available at: https://theirworld.org/resources/right-to-education/ [Accessed 28 Mar. 2025].</w:t>
      </w:r>
    </w:p>
    <w:p w14:paraId="48EF2084" w14:textId="77777777" w:rsidR="00314255" w:rsidRPr="00453B96" w:rsidRDefault="00314255" w:rsidP="00453B96">
      <w:pPr>
        <w:rPr>
          <w:rFonts w:asciiTheme="minorHAnsi" w:hAnsiTheme="minorHAnsi"/>
          <w:sz w:val="22"/>
          <w:szCs w:val="22"/>
        </w:rPr>
      </w:pPr>
    </w:p>
    <w:p w14:paraId="64CB8E03" w14:textId="77777777" w:rsidR="00453B96" w:rsidRDefault="00453B96" w:rsidP="00453B96">
      <w:pPr>
        <w:rPr>
          <w:rFonts w:asciiTheme="minorHAnsi" w:hAnsiTheme="minorHAnsi"/>
          <w:sz w:val="22"/>
          <w:szCs w:val="22"/>
        </w:rPr>
      </w:pPr>
      <w:r w:rsidRPr="00453B96">
        <w:rPr>
          <w:rFonts w:asciiTheme="minorHAnsi" w:hAnsiTheme="minorHAnsi"/>
          <w:sz w:val="22"/>
          <w:szCs w:val="22"/>
        </w:rPr>
        <w:t>UNICEF (2007). </w:t>
      </w:r>
      <w:r w:rsidRPr="00453B96">
        <w:rPr>
          <w:rFonts w:asciiTheme="minorHAnsi" w:hAnsiTheme="minorHAnsi"/>
          <w:i/>
          <w:iCs/>
          <w:sz w:val="22"/>
          <w:szCs w:val="22"/>
        </w:rPr>
        <w:t>A Human Rights-Based Approach to EDUCATION FOR ALL</w:t>
      </w:r>
      <w:r w:rsidRPr="00453B96">
        <w:rPr>
          <w:rFonts w:asciiTheme="minorHAnsi" w:hAnsiTheme="minorHAnsi"/>
          <w:sz w:val="22"/>
          <w:szCs w:val="22"/>
        </w:rPr>
        <w:t>. [online] Available at: https://www.right-to-education.org/sites/right-to-education.org/files/resource-</w:t>
      </w:r>
      <w:r w:rsidRPr="00453B96">
        <w:rPr>
          <w:rFonts w:asciiTheme="minorHAnsi" w:hAnsiTheme="minorHAnsi"/>
          <w:sz w:val="22"/>
          <w:szCs w:val="22"/>
        </w:rPr>
        <w:lastRenderedPageBreak/>
        <w:t>attachments/A%20Human%20Rights-based%20Approach%20to%20Education%20for%20All_0.pdf [Accessed 28 Mar. 2025].</w:t>
      </w:r>
    </w:p>
    <w:p w14:paraId="7CB075E3" w14:textId="77777777" w:rsidR="00314255" w:rsidRPr="00453B96" w:rsidRDefault="00314255" w:rsidP="00453B96">
      <w:pPr>
        <w:rPr>
          <w:rFonts w:asciiTheme="minorHAnsi" w:hAnsiTheme="minorHAnsi"/>
          <w:sz w:val="22"/>
          <w:szCs w:val="22"/>
        </w:rPr>
      </w:pPr>
    </w:p>
    <w:p w14:paraId="7013FAAE" w14:textId="77777777" w:rsidR="00453B96" w:rsidRDefault="00453B96" w:rsidP="00453B96">
      <w:pPr>
        <w:rPr>
          <w:rFonts w:asciiTheme="minorHAnsi" w:hAnsiTheme="minorHAnsi"/>
          <w:sz w:val="22"/>
          <w:szCs w:val="22"/>
        </w:rPr>
      </w:pPr>
      <w:r w:rsidRPr="00453B96">
        <w:rPr>
          <w:rFonts w:asciiTheme="minorHAnsi" w:hAnsiTheme="minorHAnsi"/>
          <w:sz w:val="22"/>
          <w:szCs w:val="22"/>
        </w:rPr>
        <w:t>UNICEF (2019a). </w:t>
      </w:r>
      <w:r w:rsidRPr="00453B96">
        <w:rPr>
          <w:rFonts w:asciiTheme="minorHAnsi" w:hAnsiTheme="minorHAnsi"/>
          <w:i/>
          <w:iCs/>
          <w:sz w:val="22"/>
          <w:szCs w:val="22"/>
        </w:rPr>
        <w:t>Child Rights and Human Rights Explained</w:t>
      </w:r>
      <w:r w:rsidRPr="00453B96">
        <w:rPr>
          <w:rFonts w:asciiTheme="minorHAnsi" w:hAnsiTheme="minorHAnsi"/>
          <w:sz w:val="22"/>
          <w:szCs w:val="22"/>
        </w:rPr>
        <w:t>. [online] Unicef.org. Available at: https://www.unicef.org/child-rights-convention/children-human-rights-explained [Accessed 28 Mar. 2025].</w:t>
      </w:r>
    </w:p>
    <w:p w14:paraId="6F1013A9" w14:textId="77777777" w:rsidR="00314255" w:rsidRPr="00453B96" w:rsidRDefault="00314255" w:rsidP="00453B96">
      <w:pPr>
        <w:rPr>
          <w:rFonts w:asciiTheme="minorHAnsi" w:hAnsiTheme="minorHAnsi"/>
          <w:sz w:val="22"/>
          <w:szCs w:val="22"/>
        </w:rPr>
      </w:pPr>
    </w:p>
    <w:p w14:paraId="4984CD23" w14:textId="7072963A" w:rsidR="00453B96" w:rsidRDefault="00453B96" w:rsidP="00453B96">
      <w:pPr>
        <w:rPr>
          <w:rFonts w:asciiTheme="minorHAnsi" w:hAnsiTheme="minorHAnsi"/>
          <w:sz w:val="22"/>
          <w:szCs w:val="22"/>
        </w:rPr>
      </w:pPr>
      <w:r w:rsidRPr="00453B96">
        <w:rPr>
          <w:rFonts w:asciiTheme="minorHAnsi" w:hAnsiTheme="minorHAnsi"/>
          <w:sz w:val="22"/>
          <w:szCs w:val="22"/>
        </w:rPr>
        <w:t>UNICEF (2019b). </w:t>
      </w:r>
      <w:r w:rsidRPr="00453B96">
        <w:rPr>
          <w:rFonts w:asciiTheme="minorHAnsi" w:hAnsiTheme="minorHAnsi"/>
          <w:i/>
          <w:iCs/>
          <w:sz w:val="22"/>
          <w:szCs w:val="22"/>
        </w:rPr>
        <w:t>UNICEF’s Role in Promoting and Supporting the Convention on the Rights of the Child</w:t>
      </w:r>
      <w:r w:rsidRPr="00453B96">
        <w:rPr>
          <w:rFonts w:asciiTheme="minorHAnsi" w:hAnsiTheme="minorHAnsi"/>
          <w:sz w:val="22"/>
          <w:szCs w:val="22"/>
        </w:rPr>
        <w:t xml:space="preserve">. [online] Unicef.org. Available at: </w:t>
      </w:r>
      <w:hyperlink r:id="rId5" w:history="1">
        <w:r w:rsidR="00314255" w:rsidRPr="00453B96">
          <w:rPr>
            <w:rStyle w:val="Hyperlink"/>
            <w:rFonts w:asciiTheme="minorHAnsi" w:hAnsiTheme="minorHAnsi"/>
            <w:sz w:val="22"/>
            <w:szCs w:val="22"/>
          </w:rPr>
          <w:t>https://www.unicef.org/child-rights-convention/unicef-role</w:t>
        </w:r>
      </w:hyperlink>
      <w:r w:rsidRPr="00453B96">
        <w:rPr>
          <w:rFonts w:asciiTheme="minorHAnsi" w:hAnsiTheme="minorHAnsi"/>
          <w:sz w:val="22"/>
          <w:szCs w:val="22"/>
        </w:rPr>
        <w:t>.</w:t>
      </w:r>
    </w:p>
    <w:p w14:paraId="63B217A9" w14:textId="77777777" w:rsidR="00314255" w:rsidRPr="00453B96" w:rsidRDefault="00314255" w:rsidP="00453B96">
      <w:pPr>
        <w:rPr>
          <w:rFonts w:asciiTheme="minorHAnsi" w:hAnsiTheme="minorHAnsi"/>
          <w:sz w:val="22"/>
          <w:szCs w:val="22"/>
        </w:rPr>
      </w:pPr>
    </w:p>
    <w:p w14:paraId="06BE8F29" w14:textId="0ABCFA0A" w:rsidR="00453B96" w:rsidRDefault="00453B96" w:rsidP="00453B96">
      <w:pPr>
        <w:rPr>
          <w:rFonts w:asciiTheme="minorHAnsi" w:hAnsiTheme="minorHAnsi"/>
          <w:sz w:val="22"/>
          <w:szCs w:val="22"/>
        </w:rPr>
      </w:pPr>
      <w:r w:rsidRPr="00453B96">
        <w:rPr>
          <w:rFonts w:asciiTheme="minorHAnsi" w:hAnsiTheme="minorHAnsi"/>
          <w:sz w:val="22"/>
          <w:szCs w:val="22"/>
        </w:rPr>
        <w:t>UNICEF (2024). </w:t>
      </w:r>
      <w:r w:rsidRPr="00453B96">
        <w:rPr>
          <w:rFonts w:asciiTheme="minorHAnsi" w:hAnsiTheme="minorHAnsi"/>
          <w:i/>
          <w:iCs/>
          <w:sz w:val="22"/>
          <w:szCs w:val="22"/>
        </w:rPr>
        <w:t>Child Rights and Why They Matter</w:t>
      </w:r>
      <w:r w:rsidRPr="00453B96">
        <w:rPr>
          <w:rFonts w:asciiTheme="minorHAnsi" w:hAnsiTheme="minorHAnsi"/>
          <w:sz w:val="22"/>
          <w:szCs w:val="22"/>
        </w:rPr>
        <w:t xml:space="preserve">. [online] UNICEF. Available at: </w:t>
      </w:r>
      <w:hyperlink r:id="rId6" w:history="1">
        <w:r w:rsidR="00314255" w:rsidRPr="00453B96">
          <w:rPr>
            <w:rStyle w:val="Hyperlink"/>
            <w:rFonts w:asciiTheme="minorHAnsi" w:hAnsiTheme="minorHAnsi"/>
            <w:sz w:val="22"/>
            <w:szCs w:val="22"/>
          </w:rPr>
          <w:t>https://www.unicef.org/child-rights-convention/child-rights-why-they-matter</w:t>
        </w:r>
      </w:hyperlink>
      <w:r w:rsidRPr="00453B96">
        <w:rPr>
          <w:rFonts w:asciiTheme="minorHAnsi" w:hAnsiTheme="minorHAnsi"/>
          <w:sz w:val="22"/>
          <w:szCs w:val="22"/>
        </w:rPr>
        <w:t>.</w:t>
      </w:r>
    </w:p>
    <w:p w14:paraId="6EC886CE" w14:textId="77777777" w:rsidR="00314255" w:rsidRPr="00453B96" w:rsidRDefault="00314255" w:rsidP="00453B96">
      <w:pPr>
        <w:rPr>
          <w:rFonts w:asciiTheme="minorHAnsi" w:hAnsiTheme="minorHAnsi"/>
          <w:sz w:val="22"/>
          <w:szCs w:val="22"/>
        </w:rPr>
      </w:pPr>
    </w:p>
    <w:p w14:paraId="5786CA65" w14:textId="0FE78C16" w:rsidR="00453B96" w:rsidRDefault="00453B96" w:rsidP="00453B96">
      <w:pPr>
        <w:rPr>
          <w:rFonts w:asciiTheme="minorHAnsi" w:hAnsiTheme="minorHAnsi"/>
          <w:sz w:val="22"/>
          <w:szCs w:val="22"/>
        </w:rPr>
      </w:pPr>
      <w:r w:rsidRPr="00453B96">
        <w:rPr>
          <w:rFonts w:asciiTheme="minorHAnsi" w:hAnsiTheme="minorHAnsi"/>
          <w:sz w:val="22"/>
          <w:szCs w:val="22"/>
        </w:rPr>
        <w:t>UNICEF (2025). </w:t>
      </w:r>
      <w:r w:rsidRPr="00453B96">
        <w:rPr>
          <w:rFonts w:asciiTheme="minorHAnsi" w:hAnsiTheme="minorHAnsi"/>
          <w:i/>
          <w:iCs/>
          <w:sz w:val="22"/>
          <w:szCs w:val="22"/>
        </w:rPr>
        <w:t>The Convention on the Rights of the Child: the Children’s Version</w:t>
      </w:r>
      <w:r w:rsidRPr="00453B96">
        <w:rPr>
          <w:rFonts w:asciiTheme="minorHAnsi" w:hAnsiTheme="minorHAnsi"/>
          <w:sz w:val="22"/>
          <w:szCs w:val="22"/>
        </w:rPr>
        <w:t xml:space="preserve">. [online] UNICEF. Available at: </w:t>
      </w:r>
      <w:hyperlink r:id="rId7" w:history="1">
        <w:r w:rsidR="00314255" w:rsidRPr="00453B96">
          <w:rPr>
            <w:rStyle w:val="Hyperlink"/>
            <w:rFonts w:asciiTheme="minorHAnsi" w:hAnsiTheme="minorHAnsi"/>
            <w:sz w:val="22"/>
            <w:szCs w:val="22"/>
          </w:rPr>
          <w:t>https://www.unicef.org/child-rights-convention/convention-text-childrens-version</w:t>
        </w:r>
      </w:hyperlink>
      <w:r w:rsidRPr="00453B96">
        <w:rPr>
          <w:rFonts w:asciiTheme="minorHAnsi" w:hAnsiTheme="minorHAnsi"/>
          <w:sz w:val="22"/>
          <w:szCs w:val="22"/>
        </w:rPr>
        <w:t>.</w:t>
      </w:r>
    </w:p>
    <w:p w14:paraId="7EEAA0C7" w14:textId="77777777" w:rsidR="00314255" w:rsidRPr="00453B96" w:rsidRDefault="00314255" w:rsidP="00453B96">
      <w:pPr>
        <w:rPr>
          <w:rFonts w:asciiTheme="minorHAnsi" w:hAnsiTheme="minorHAnsi"/>
          <w:sz w:val="22"/>
          <w:szCs w:val="22"/>
        </w:rPr>
      </w:pPr>
    </w:p>
    <w:p w14:paraId="690F6EDD" w14:textId="494E5ED2" w:rsidR="00453B96" w:rsidRDefault="00453B96" w:rsidP="00453B96">
      <w:pPr>
        <w:rPr>
          <w:rFonts w:asciiTheme="minorHAnsi" w:hAnsiTheme="minorHAnsi"/>
          <w:sz w:val="22"/>
          <w:szCs w:val="22"/>
        </w:rPr>
      </w:pPr>
      <w:r w:rsidRPr="00453B96">
        <w:rPr>
          <w:rFonts w:asciiTheme="minorHAnsi" w:hAnsiTheme="minorHAnsi"/>
          <w:sz w:val="22"/>
          <w:szCs w:val="22"/>
        </w:rPr>
        <w:t>UNICEF (n.d.). </w:t>
      </w:r>
      <w:r w:rsidRPr="00453B96">
        <w:rPr>
          <w:rFonts w:asciiTheme="minorHAnsi" w:hAnsiTheme="minorHAnsi"/>
          <w:i/>
          <w:iCs/>
          <w:sz w:val="22"/>
          <w:szCs w:val="22"/>
        </w:rPr>
        <w:t>UN Convention on the Rights of the Child (UNCRC)</w:t>
      </w:r>
      <w:r w:rsidRPr="00453B96">
        <w:rPr>
          <w:rFonts w:asciiTheme="minorHAnsi" w:hAnsiTheme="minorHAnsi"/>
          <w:sz w:val="22"/>
          <w:szCs w:val="22"/>
        </w:rPr>
        <w:t xml:space="preserve">. [online] UNICEF. Available at: </w:t>
      </w:r>
      <w:hyperlink r:id="rId8" w:history="1">
        <w:r w:rsidR="00314255" w:rsidRPr="00453B96">
          <w:rPr>
            <w:rStyle w:val="Hyperlink"/>
            <w:rFonts w:asciiTheme="minorHAnsi" w:hAnsiTheme="minorHAnsi"/>
            <w:sz w:val="22"/>
            <w:szCs w:val="22"/>
          </w:rPr>
          <w:t>https://www.unicef.org.uk/what-we-do/un-convention-child-rights/</w:t>
        </w:r>
      </w:hyperlink>
      <w:r w:rsidRPr="00453B96">
        <w:rPr>
          <w:rFonts w:asciiTheme="minorHAnsi" w:hAnsiTheme="minorHAnsi"/>
          <w:sz w:val="22"/>
          <w:szCs w:val="22"/>
        </w:rPr>
        <w:t>.</w:t>
      </w:r>
    </w:p>
    <w:p w14:paraId="5C1B98EF" w14:textId="77777777" w:rsidR="00314255" w:rsidRPr="00453B96" w:rsidRDefault="00314255" w:rsidP="00453B96">
      <w:pPr>
        <w:rPr>
          <w:rFonts w:asciiTheme="minorHAnsi" w:hAnsiTheme="minorHAnsi"/>
          <w:sz w:val="22"/>
          <w:szCs w:val="22"/>
        </w:rPr>
      </w:pPr>
    </w:p>
    <w:p w14:paraId="101CFCE3" w14:textId="77777777" w:rsidR="00453B96" w:rsidRDefault="00453B96" w:rsidP="00453B96">
      <w:pPr>
        <w:rPr>
          <w:rFonts w:asciiTheme="minorHAnsi" w:hAnsiTheme="minorHAnsi"/>
          <w:sz w:val="22"/>
          <w:szCs w:val="22"/>
        </w:rPr>
      </w:pPr>
      <w:r w:rsidRPr="00453B96">
        <w:rPr>
          <w:rFonts w:asciiTheme="minorHAnsi" w:hAnsiTheme="minorHAnsi"/>
          <w:sz w:val="22"/>
          <w:szCs w:val="22"/>
        </w:rPr>
        <w:t>Welsh Government (2022). </w:t>
      </w:r>
      <w:r w:rsidRPr="00453B96">
        <w:rPr>
          <w:rFonts w:asciiTheme="minorHAnsi" w:hAnsiTheme="minorHAnsi"/>
          <w:i/>
          <w:iCs/>
          <w:sz w:val="22"/>
          <w:szCs w:val="22"/>
        </w:rPr>
        <w:t>Children’s Rights in Wales</w:t>
      </w:r>
      <w:r w:rsidRPr="00453B96">
        <w:rPr>
          <w:rFonts w:asciiTheme="minorHAnsi" w:hAnsiTheme="minorHAnsi"/>
          <w:sz w:val="22"/>
          <w:szCs w:val="22"/>
        </w:rPr>
        <w:t>. [online] GOV.WALES. Available at: https://www.gov.wales/childrens-rights-in-wales [Accessed 28 Mar. 2025].</w:t>
      </w:r>
    </w:p>
    <w:p w14:paraId="46C8DA00" w14:textId="77777777" w:rsidR="00314255" w:rsidRPr="00453B96" w:rsidRDefault="00314255" w:rsidP="00453B96">
      <w:pPr>
        <w:rPr>
          <w:rFonts w:asciiTheme="minorHAnsi" w:hAnsiTheme="minorHAnsi"/>
          <w:sz w:val="22"/>
          <w:szCs w:val="22"/>
        </w:rPr>
      </w:pPr>
    </w:p>
    <w:p w14:paraId="431E59D2" w14:textId="77777777" w:rsidR="00453B96" w:rsidRDefault="00453B96" w:rsidP="00453B96">
      <w:pPr>
        <w:rPr>
          <w:rFonts w:asciiTheme="minorHAnsi" w:hAnsiTheme="minorHAnsi"/>
          <w:sz w:val="22"/>
          <w:szCs w:val="22"/>
        </w:rPr>
      </w:pPr>
      <w:r w:rsidRPr="00453B96">
        <w:rPr>
          <w:rFonts w:asciiTheme="minorHAnsi" w:hAnsiTheme="minorHAnsi"/>
          <w:sz w:val="22"/>
          <w:szCs w:val="22"/>
        </w:rPr>
        <w:t>Welsh Government (2023). </w:t>
      </w:r>
      <w:r w:rsidRPr="00453B96">
        <w:rPr>
          <w:rFonts w:asciiTheme="minorHAnsi" w:hAnsiTheme="minorHAnsi"/>
          <w:i/>
          <w:iCs/>
          <w:sz w:val="22"/>
          <w:szCs w:val="22"/>
        </w:rPr>
        <w:t>Rights of Children and Young persons: Compliance Report (October 2020 to March 2023) [HTML] | GOV.WALES</w:t>
      </w:r>
      <w:r w:rsidRPr="00453B96">
        <w:rPr>
          <w:rFonts w:asciiTheme="minorHAnsi" w:hAnsiTheme="minorHAnsi"/>
          <w:sz w:val="22"/>
          <w:szCs w:val="22"/>
        </w:rPr>
        <w:t>. [online] www.gov.wales. Available at: https://www.gov.wales/rights-children-and-young-persons-compliance-report-october-2020-march-2023-html [Accessed 28 Mar. 2025].</w:t>
      </w:r>
    </w:p>
    <w:p w14:paraId="583A79B8" w14:textId="77777777" w:rsidR="00314255" w:rsidRPr="00453B96" w:rsidRDefault="00314255" w:rsidP="00453B96">
      <w:pPr>
        <w:rPr>
          <w:rFonts w:asciiTheme="minorHAnsi" w:hAnsiTheme="minorHAnsi"/>
          <w:sz w:val="22"/>
          <w:szCs w:val="22"/>
        </w:rPr>
      </w:pPr>
    </w:p>
    <w:p w14:paraId="7E68A075" w14:textId="77777777" w:rsidR="00453B96" w:rsidRPr="00453B96" w:rsidRDefault="00453B96" w:rsidP="00453B96">
      <w:pPr>
        <w:rPr>
          <w:rFonts w:asciiTheme="minorHAnsi" w:hAnsiTheme="minorHAnsi"/>
          <w:sz w:val="22"/>
          <w:szCs w:val="22"/>
        </w:rPr>
      </w:pPr>
      <w:r w:rsidRPr="00453B96">
        <w:rPr>
          <w:rFonts w:asciiTheme="minorHAnsi" w:hAnsiTheme="minorHAnsi"/>
          <w:sz w:val="22"/>
          <w:szCs w:val="22"/>
        </w:rPr>
        <w:t>Welsh Government (2024). </w:t>
      </w:r>
      <w:r w:rsidRPr="00453B96">
        <w:rPr>
          <w:rFonts w:asciiTheme="minorHAnsi" w:hAnsiTheme="minorHAnsi"/>
          <w:i/>
          <w:iCs/>
          <w:sz w:val="22"/>
          <w:szCs w:val="22"/>
        </w:rPr>
        <w:t>Update on the Children and Young people’s plan: January 2024 [HTML] | GOV.WALES</w:t>
      </w:r>
      <w:r w:rsidRPr="00453B96">
        <w:rPr>
          <w:rFonts w:asciiTheme="minorHAnsi" w:hAnsiTheme="minorHAnsi"/>
          <w:sz w:val="22"/>
          <w:szCs w:val="22"/>
        </w:rPr>
        <w:t>. [online] www.gov.wales. Available at: https://www.gov.wales/update-children-and-young-peoples-plan-january-2024-html.</w:t>
      </w:r>
    </w:p>
    <w:p w14:paraId="02343922" w14:textId="77777777" w:rsidR="00453B96" w:rsidRPr="00DE3DC1" w:rsidRDefault="00453B96" w:rsidP="00D14FEB">
      <w:pPr>
        <w:rPr>
          <w:rFonts w:asciiTheme="minorHAnsi" w:hAnsiTheme="minorHAnsi"/>
          <w:sz w:val="22"/>
          <w:szCs w:val="22"/>
        </w:rPr>
      </w:pPr>
    </w:p>
    <w:sectPr w:rsidR="00453B96" w:rsidRPr="00DE3DC1">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7A85D08"/>
    <w:multiLevelType w:val="multilevel"/>
    <w:tmpl w:val="5268D3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6FC6A7D"/>
    <w:multiLevelType w:val="multilevel"/>
    <w:tmpl w:val="5268D3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3F1954BF"/>
    <w:multiLevelType w:val="multilevel"/>
    <w:tmpl w:val="5268D3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3F630CC3"/>
    <w:multiLevelType w:val="multilevel"/>
    <w:tmpl w:val="6E96CC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62646A76"/>
    <w:multiLevelType w:val="multilevel"/>
    <w:tmpl w:val="F5DE042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78D0215D"/>
    <w:multiLevelType w:val="multilevel"/>
    <w:tmpl w:val="5268D3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521746911">
    <w:abstractNumId w:val="3"/>
  </w:num>
  <w:num w:numId="2" w16cid:durableId="805511298">
    <w:abstractNumId w:val="5"/>
  </w:num>
  <w:num w:numId="3" w16cid:durableId="1714232928">
    <w:abstractNumId w:val="2"/>
  </w:num>
  <w:num w:numId="4" w16cid:durableId="1228416417">
    <w:abstractNumId w:val="0"/>
  </w:num>
  <w:num w:numId="5" w16cid:durableId="989673600">
    <w:abstractNumId w:val="4"/>
  </w:num>
  <w:num w:numId="6" w16cid:durableId="651873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65"/>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1242B"/>
    <w:rsid w:val="0008378B"/>
    <w:rsid w:val="000E7DA2"/>
    <w:rsid w:val="000F0A0B"/>
    <w:rsid w:val="00112A32"/>
    <w:rsid w:val="00167FB5"/>
    <w:rsid w:val="00195A12"/>
    <w:rsid w:val="00206048"/>
    <w:rsid w:val="0021034D"/>
    <w:rsid w:val="00270E01"/>
    <w:rsid w:val="00314255"/>
    <w:rsid w:val="00325776"/>
    <w:rsid w:val="00332FC8"/>
    <w:rsid w:val="003E5940"/>
    <w:rsid w:val="00404A21"/>
    <w:rsid w:val="00453B96"/>
    <w:rsid w:val="004D1D48"/>
    <w:rsid w:val="0051242B"/>
    <w:rsid w:val="00557389"/>
    <w:rsid w:val="005768C3"/>
    <w:rsid w:val="005942EE"/>
    <w:rsid w:val="005E59BD"/>
    <w:rsid w:val="005E70B9"/>
    <w:rsid w:val="006C56D8"/>
    <w:rsid w:val="006E05AB"/>
    <w:rsid w:val="007475E7"/>
    <w:rsid w:val="00763696"/>
    <w:rsid w:val="007B33E2"/>
    <w:rsid w:val="008618D5"/>
    <w:rsid w:val="00886222"/>
    <w:rsid w:val="00AA7B80"/>
    <w:rsid w:val="00B853AA"/>
    <w:rsid w:val="00C1285D"/>
    <w:rsid w:val="00C41F6E"/>
    <w:rsid w:val="00C65C8A"/>
    <w:rsid w:val="00CC4186"/>
    <w:rsid w:val="00D125D8"/>
    <w:rsid w:val="00D14FEB"/>
    <w:rsid w:val="00D953F6"/>
    <w:rsid w:val="00DE3DC1"/>
    <w:rsid w:val="00E023C6"/>
    <w:rsid w:val="00E517D1"/>
    <w:rsid w:val="00E9504D"/>
    <w:rsid w:val="00EF7D6F"/>
    <w:rsid w:val="00F143BC"/>
    <w:rsid w:val="00F146F8"/>
    <w:rsid w:val="00F26681"/>
    <w:rsid w:val="00F405B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1D0D0FDA"/>
  <w15:chartTrackingRefBased/>
  <w15:docId w15:val="{A24E48DB-02FB-0745-9AD9-5F8E40955E9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B33E2"/>
    <w:rPr>
      <w:rFonts w:ascii="Times New Roman" w:eastAsia="Times New Roman" w:hAnsi="Times New Roman" w:cs="Times New Roman"/>
      <w:kern w:val="0"/>
      <w:lang w:eastAsia="en-GB"/>
      <w14:ligatures w14:val="none"/>
    </w:rPr>
  </w:style>
  <w:style w:type="paragraph" w:styleId="Heading1">
    <w:name w:val="heading 1"/>
    <w:basedOn w:val="Normal"/>
    <w:next w:val="Normal"/>
    <w:link w:val="Heading1Char"/>
    <w:uiPriority w:val="9"/>
    <w:qFormat/>
    <w:rsid w:val="0051242B"/>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51242B"/>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51242B"/>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51242B"/>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51242B"/>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51242B"/>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51242B"/>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51242B"/>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51242B"/>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1242B"/>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51242B"/>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51242B"/>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51242B"/>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51242B"/>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51242B"/>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51242B"/>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51242B"/>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51242B"/>
    <w:rPr>
      <w:rFonts w:eastAsiaTheme="majorEastAsia" w:cstheme="majorBidi"/>
      <w:color w:val="272727" w:themeColor="text1" w:themeTint="D8"/>
    </w:rPr>
  </w:style>
  <w:style w:type="paragraph" w:styleId="Title">
    <w:name w:val="Title"/>
    <w:basedOn w:val="Normal"/>
    <w:next w:val="Normal"/>
    <w:link w:val="TitleChar"/>
    <w:uiPriority w:val="10"/>
    <w:qFormat/>
    <w:rsid w:val="0051242B"/>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51242B"/>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51242B"/>
    <w:pPr>
      <w:numPr>
        <w:ilvl w:val="1"/>
      </w:numPr>
      <w:spacing w:after="16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51242B"/>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51242B"/>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51242B"/>
    <w:rPr>
      <w:i/>
      <w:iCs/>
      <w:color w:val="404040" w:themeColor="text1" w:themeTint="BF"/>
    </w:rPr>
  </w:style>
  <w:style w:type="paragraph" w:styleId="ListParagraph">
    <w:name w:val="List Paragraph"/>
    <w:basedOn w:val="Normal"/>
    <w:uiPriority w:val="34"/>
    <w:qFormat/>
    <w:rsid w:val="0051242B"/>
    <w:pPr>
      <w:ind w:left="720"/>
      <w:contextualSpacing/>
    </w:pPr>
  </w:style>
  <w:style w:type="character" w:styleId="IntenseEmphasis">
    <w:name w:val="Intense Emphasis"/>
    <w:basedOn w:val="DefaultParagraphFont"/>
    <w:uiPriority w:val="21"/>
    <w:qFormat/>
    <w:rsid w:val="0051242B"/>
    <w:rPr>
      <w:i/>
      <w:iCs/>
      <w:color w:val="0F4761" w:themeColor="accent1" w:themeShade="BF"/>
    </w:rPr>
  </w:style>
  <w:style w:type="paragraph" w:styleId="IntenseQuote">
    <w:name w:val="Intense Quote"/>
    <w:basedOn w:val="Normal"/>
    <w:next w:val="Normal"/>
    <w:link w:val="IntenseQuoteChar"/>
    <w:uiPriority w:val="30"/>
    <w:qFormat/>
    <w:rsid w:val="0051242B"/>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51242B"/>
    <w:rPr>
      <w:i/>
      <w:iCs/>
      <w:color w:val="0F4761" w:themeColor="accent1" w:themeShade="BF"/>
    </w:rPr>
  </w:style>
  <w:style w:type="character" w:styleId="IntenseReference">
    <w:name w:val="Intense Reference"/>
    <w:basedOn w:val="DefaultParagraphFont"/>
    <w:uiPriority w:val="32"/>
    <w:qFormat/>
    <w:rsid w:val="0051242B"/>
    <w:rPr>
      <w:b/>
      <w:bCs/>
      <w:smallCaps/>
      <w:color w:val="0F4761" w:themeColor="accent1" w:themeShade="BF"/>
      <w:spacing w:val="5"/>
    </w:rPr>
  </w:style>
  <w:style w:type="character" w:styleId="Hyperlink">
    <w:name w:val="Hyperlink"/>
    <w:basedOn w:val="DefaultParagraphFont"/>
    <w:uiPriority w:val="99"/>
    <w:unhideWhenUsed/>
    <w:rsid w:val="00E517D1"/>
    <w:rPr>
      <w:color w:val="467886" w:themeColor="hyperlink"/>
      <w:u w:val="single"/>
    </w:rPr>
  </w:style>
  <w:style w:type="character" w:styleId="UnresolvedMention">
    <w:name w:val="Unresolved Mention"/>
    <w:basedOn w:val="DefaultParagraphFont"/>
    <w:uiPriority w:val="99"/>
    <w:semiHidden/>
    <w:unhideWhenUsed/>
    <w:rsid w:val="00E517D1"/>
    <w:rPr>
      <w:color w:val="605E5C"/>
      <w:shd w:val="clear" w:color="auto" w:fill="E1DFDD"/>
    </w:rPr>
  </w:style>
  <w:style w:type="paragraph" w:styleId="NormalWeb">
    <w:name w:val="Normal (Web)"/>
    <w:basedOn w:val="Normal"/>
    <w:uiPriority w:val="99"/>
    <w:unhideWhenUsed/>
    <w:rsid w:val="007B33E2"/>
    <w:pPr>
      <w:spacing w:before="100" w:beforeAutospacing="1" w:after="100" w:afterAutospacing="1"/>
    </w:pPr>
  </w:style>
  <w:style w:type="character" w:styleId="Strong">
    <w:name w:val="Strong"/>
    <w:basedOn w:val="DefaultParagraphFont"/>
    <w:uiPriority w:val="22"/>
    <w:qFormat/>
    <w:rsid w:val="007B33E2"/>
    <w:rPr>
      <w:b/>
      <w:bCs/>
    </w:rPr>
  </w:style>
  <w:style w:type="character" w:styleId="FollowedHyperlink">
    <w:name w:val="FollowedHyperlink"/>
    <w:basedOn w:val="DefaultParagraphFont"/>
    <w:uiPriority w:val="99"/>
    <w:semiHidden/>
    <w:unhideWhenUsed/>
    <w:rsid w:val="00D125D8"/>
    <w:rPr>
      <w:color w:val="96607D"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5717828">
      <w:bodyDiv w:val="1"/>
      <w:marLeft w:val="0"/>
      <w:marRight w:val="0"/>
      <w:marTop w:val="0"/>
      <w:marBottom w:val="0"/>
      <w:divBdr>
        <w:top w:val="none" w:sz="0" w:space="0" w:color="auto"/>
        <w:left w:val="none" w:sz="0" w:space="0" w:color="auto"/>
        <w:bottom w:val="none" w:sz="0" w:space="0" w:color="auto"/>
        <w:right w:val="none" w:sz="0" w:space="0" w:color="auto"/>
      </w:divBdr>
    </w:div>
    <w:div w:id="60712966">
      <w:bodyDiv w:val="1"/>
      <w:marLeft w:val="0"/>
      <w:marRight w:val="0"/>
      <w:marTop w:val="0"/>
      <w:marBottom w:val="0"/>
      <w:divBdr>
        <w:top w:val="none" w:sz="0" w:space="0" w:color="auto"/>
        <w:left w:val="none" w:sz="0" w:space="0" w:color="auto"/>
        <w:bottom w:val="none" w:sz="0" w:space="0" w:color="auto"/>
        <w:right w:val="none" w:sz="0" w:space="0" w:color="auto"/>
      </w:divBdr>
    </w:div>
    <w:div w:id="100226009">
      <w:bodyDiv w:val="1"/>
      <w:marLeft w:val="0"/>
      <w:marRight w:val="0"/>
      <w:marTop w:val="0"/>
      <w:marBottom w:val="0"/>
      <w:divBdr>
        <w:top w:val="none" w:sz="0" w:space="0" w:color="auto"/>
        <w:left w:val="none" w:sz="0" w:space="0" w:color="auto"/>
        <w:bottom w:val="none" w:sz="0" w:space="0" w:color="auto"/>
        <w:right w:val="none" w:sz="0" w:space="0" w:color="auto"/>
      </w:divBdr>
    </w:div>
    <w:div w:id="164324322">
      <w:bodyDiv w:val="1"/>
      <w:marLeft w:val="0"/>
      <w:marRight w:val="0"/>
      <w:marTop w:val="0"/>
      <w:marBottom w:val="0"/>
      <w:divBdr>
        <w:top w:val="none" w:sz="0" w:space="0" w:color="auto"/>
        <w:left w:val="none" w:sz="0" w:space="0" w:color="auto"/>
        <w:bottom w:val="none" w:sz="0" w:space="0" w:color="auto"/>
        <w:right w:val="none" w:sz="0" w:space="0" w:color="auto"/>
      </w:divBdr>
      <w:divsChild>
        <w:div w:id="1235319355">
          <w:marLeft w:val="0"/>
          <w:marRight w:val="0"/>
          <w:marTop w:val="0"/>
          <w:marBottom w:val="0"/>
          <w:divBdr>
            <w:top w:val="none" w:sz="0" w:space="0" w:color="auto"/>
            <w:left w:val="none" w:sz="0" w:space="0" w:color="auto"/>
            <w:bottom w:val="none" w:sz="0" w:space="0" w:color="auto"/>
            <w:right w:val="none" w:sz="0" w:space="0" w:color="auto"/>
          </w:divBdr>
        </w:div>
        <w:div w:id="1417941955">
          <w:marLeft w:val="0"/>
          <w:marRight w:val="0"/>
          <w:marTop w:val="0"/>
          <w:marBottom w:val="0"/>
          <w:divBdr>
            <w:top w:val="none" w:sz="0" w:space="0" w:color="auto"/>
            <w:left w:val="none" w:sz="0" w:space="0" w:color="auto"/>
            <w:bottom w:val="none" w:sz="0" w:space="0" w:color="auto"/>
            <w:right w:val="none" w:sz="0" w:space="0" w:color="auto"/>
          </w:divBdr>
        </w:div>
        <w:div w:id="498543666">
          <w:marLeft w:val="0"/>
          <w:marRight w:val="0"/>
          <w:marTop w:val="0"/>
          <w:marBottom w:val="0"/>
          <w:divBdr>
            <w:top w:val="none" w:sz="0" w:space="0" w:color="auto"/>
            <w:left w:val="none" w:sz="0" w:space="0" w:color="auto"/>
            <w:bottom w:val="none" w:sz="0" w:space="0" w:color="auto"/>
            <w:right w:val="none" w:sz="0" w:space="0" w:color="auto"/>
          </w:divBdr>
        </w:div>
      </w:divsChild>
    </w:div>
    <w:div w:id="267782262">
      <w:bodyDiv w:val="1"/>
      <w:marLeft w:val="0"/>
      <w:marRight w:val="0"/>
      <w:marTop w:val="0"/>
      <w:marBottom w:val="0"/>
      <w:divBdr>
        <w:top w:val="none" w:sz="0" w:space="0" w:color="auto"/>
        <w:left w:val="none" w:sz="0" w:space="0" w:color="auto"/>
        <w:bottom w:val="none" w:sz="0" w:space="0" w:color="auto"/>
        <w:right w:val="none" w:sz="0" w:space="0" w:color="auto"/>
      </w:divBdr>
    </w:div>
    <w:div w:id="304550364">
      <w:bodyDiv w:val="1"/>
      <w:marLeft w:val="0"/>
      <w:marRight w:val="0"/>
      <w:marTop w:val="0"/>
      <w:marBottom w:val="0"/>
      <w:divBdr>
        <w:top w:val="none" w:sz="0" w:space="0" w:color="auto"/>
        <w:left w:val="none" w:sz="0" w:space="0" w:color="auto"/>
        <w:bottom w:val="none" w:sz="0" w:space="0" w:color="auto"/>
        <w:right w:val="none" w:sz="0" w:space="0" w:color="auto"/>
      </w:divBdr>
      <w:divsChild>
        <w:div w:id="1857764613">
          <w:marLeft w:val="0"/>
          <w:marRight w:val="0"/>
          <w:marTop w:val="0"/>
          <w:marBottom w:val="0"/>
          <w:divBdr>
            <w:top w:val="none" w:sz="0" w:space="0" w:color="auto"/>
            <w:left w:val="none" w:sz="0" w:space="0" w:color="auto"/>
            <w:bottom w:val="none" w:sz="0" w:space="0" w:color="auto"/>
            <w:right w:val="none" w:sz="0" w:space="0" w:color="auto"/>
          </w:divBdr>
        </w:div>
        <w:div w:id="173158237">
          <w:marLeft w:val="0"/>
          <w:marRight w:val="0"/>
          <w:marTop w:val="0"/>
          <w:marBottom w:val="0"/>
          <w:divBdr>
            <w:top w:val="none" w:sz="0" w:space="0" w:color="auto"/>
            <w:left w:val="none" w:sz="0" w:space="0" w:color="auto"/>
            <w:bottom w:val="none" w:sz="0" w:space="0" w:color="auto"/>
            <w:right w:val="none" w:sz="0" w:space="0" w:color="auto"/>
          </w:divBdr>
        </w:div>
      </w:divsChild>
    </w:div>
    <w:div w:id="421032939">
      <w:bodyDiv w:val="1"/>
      <w:marLeft w:val="0"/>
      <w:marRight w:val="0"/>
      <w:marTop w:val="0"/>
      <w:marBottom w:val="0"/>
      <w:divBdr>
        <w:top w:val="none" w:sz="0" w:space="0" w:color="auto"/>
        <w:left w:val="none" w:sz="0" w:space="0" w:color="auto"/>
        <w:bottom w:val="none" w:sz="0" w:space="0" w:color="auto"/>
        <w:right w:val="none" w:sz="0" w:space="0" w:color="auto"/>
      </w:divBdr>
      <w:divsChild>
        <w:div w:id="1863788220">
          <w:marLeft w:val="0"/>
          <w:marRight w:val="0"/>
          <w:marTop w:val="0"/>
          <w:marBottom w:val="0"/>
          <w:divBdr>
            <w:top w:val="none" w:sz="0" w:space="0" w:color="auto"/>
            <w:left w:val="none" w:sz="0" w:space="0" w:color="auto"/>
            <w:bottom w:val="none" w:sz="0" w:space="0" w:color="auto"/>
            <w:right w:val="none" w:sz="0" w:space="0" w:color="auto"/>
          </w:divBdr>
        </w:div>
      </w:divsChild>
    </w:div>
    <w:div w:id="430007406">
      <w:bodyDiv w:val="1"/>
      <w:marLeft w:val="0"/>
      <w:marRight w:val="0"/>
      <w:marTop w:val="0"/>
      <w:marBottom w:val="0"/>
      <w:divBdr>
        <w:top w:val="none" w:sz="0" w:space="0" w:color="auto"/>
        <w:left w:val="none" w:sz="0" w:space="0" w:color="auto"/>
        <w:bottom w:val="none" w:sz="0" w:space="0" w:color="auto"/>
        <w:right w:val="none" w:sz="0" w:space="0" w:color="auto"/>
      </w:divBdr>
    </w:div>
    <w:div w:id="448622626">
      <w:bodyDiv w:val="1"/>
      <w:marLeft w:val="0"/>
      <w:marRight w:val="0"/>
      <w:marTop w:val="0"/>
      <w:marBottom w:val="0"/>
      <w:divBdr>
        <w:top w:val="none" w:sz="0" w:space="0" w:color="auto"/>
        <w:left w:val="none" w:sz="0" w:space="0" w:color="auto"/>
        <w:bottom w:val="none" w:sz="0" w:space="0" w:color="auto"/>
        <w:right w:val="none" w:sz="0" w:space="0" w:color="auto"/>
      </w:divBdr>
      <w:divsChild>
        <w:div w:id="1478301705">
          <w:marLeft w:val="0"/>
          <w:marRight w:val="0"/>
          <w:marTop w:val="0"/>
          <w:marBottom w:val="0"/>
          <w:divBdr>
            <w:top w:val="none" w:sz="0" w:space="0" w:color="auto"/>
            <w:left w:val="none" w:sz="0" w:space="0" w:color="auto"/>
            <w:bottom w:val="none" w:sz="0" w:space="0" w:color="auto"/>
            <w:right w:val="none" w:sz="0" w:space="0" w:color="auto"/>
          </w:divBdr>
        </w:div>
      </w:divsChild>
    </w:div>
    <w:div w:id="494997930">
      <w:bodyDiv w:val="1"/>
      <w:marLeft w:val="0"/>
      <w:marRight w:val="0"/>
      <w:marTop w:val="0"/>
      <w:marBottom w:val="0"/>
      <w:divBdr>
        <w:top w:val="none" w:sz="0" w:space="0" w:color="auto"/>
        <w:left w:val="none" w:sz="0" w:space="0" w:color="auto"/>
        <w:bottom w:val="none" w:sz="0" w:space="0" w:color="auto"/>
        <w:right w:val="none" w:sz="0" w:space="0" w:color="auto"/>
      </w:divBdr>
    </w:div>
    <w:div w:id="528564059">
      <w:bodyDiv w:val="1"/>
      <w:marLeft w:val="0"/>
      <w:marRight w:val="0"/>
      <w:marTop w:val="0"/>
      <w:marBottom w:val="0"/>
      <w:divBdr>
        <w:top w:val="none" w:sz="0" w:space="0" w:color="auto"/>
        <w:left w:val="none" w:sz="0" w:space="0" w:color="auto"/>
        <w:bottom w:val="none" w:sz="0" w:space="0" w:color="auto"/>
        <w:right w:val="none" w:sz="0" w:space="0" w:color="auto"/>
      </w:divBdr>
      <w:divsChild>
        <w:div w:id="335111633">
          <w:marLeft w:val="-720"/>
          <w:marRight w:val="0"/>
          <w:marTop w:val="0"/>
          <w:marBottom w:val="0"/>
          <w:divBdr>
            <w:top w:val="none" w:sz="0" w:space="0" w:color="auto"/>
            <w:left w:val="none" w:sz="0" w:space="0" w:color="auto"/>
            <w:bottom w:val="none" w:sz="0" w:space="0" w:color="auto"/>
            <w:right w:val="none" w:sz="0" w:space="0" w:color="auto"/>
          </w:divBdr>
        </w:div>
      </w:divsChild>
    </w:div>
    <w:div w:id="639575984">
      <w:bodyDiv w:val="1"/>
      <w:marLeft w:val="0"/>
      <w:marRight w:val="0"/>
      <w:marTop w:val="0"/>
      <w:marBottom w:val="0"/>
      <w:divBdr>
        <w:top w:val="none" w:sz="0" w:space="0" w:color="auto"/>
        <w:left w:val="none" w:sz="0" w:space="0" w:color="auto"/>
        <w:bottom w:val="none" w:sz="0" w:space="0" w:color="auto"/>
        <w:right w:val="none" w:sz="0" w:space="0" w:color="auto"/>
      </w:divBdr>
      <w:divsChild>
        <w:div w:id="350649674">
          <w:marLeft w:val="0"/>
          <w:marRight w:val="0"/>
          <w:marTop w:val="0"/>
          <w:marBottom w:val="0"/>
          <w:divBdr>
            <w:top w:val="none" w:sz="0" w:space="0" w:color="auto"/>
            <w:left w:val="none" w:sz="0" w:space="0" w:color="auto"/>
            <w:bottom w:val="none" w:sz="0" w:space="0" w:color="auto"/>
            <w:right w:val="none" w:sz="0" w:space="0" w:color="auto"/>
          </w:divBdr>
        </w:div>
        <w:div w:id="2002193383">
          <w:marLeft w:val="0"/>
          <w:marRight w:val="0"/>
          <w:marTop w:val="0"/>
          <w:marBottom w:val="0"/>
          <w:divBdr>
            <w:top w:val="none" w:sz="0" w:space="0" w:color="auto"/>
            <w:left w:val="none" w:sz="0" w:space="0" w:color="auto"/>
            <w:bottom w:val="none" w:sz="0" w:space="0" w:color="auto"/>
            <w:right w:val="none" w:sz="0" w:space="0" w:color="auto"/>
          </w:divBdr>
        </w:div>
        <w:div w:id="406341728">
          <w:marLeft w:val="0"/>
          <w:marRight w:val="0"/>
          <w:marTop w:val="0"/>
          <w:marBottom w:val="0"/>
          <w:divBdr>
            <w:top w:val="none" w:sz="0" w:space="0" w:color="auto"/>
            <w:left w:val="none" w:sz="0" w:space="0" w:color="auto"/>
            <w:bottom w:val="none" w:sz="0" w:space="0" w:color="auto"/>
            <w:right w:val="none" w:sz="0" w:space="0" w:color="auto"/>
          </w:divBdr>
        </w:div>
        <w:div w:id="629091179">
          <w:marLeft w:val="0"/>
          <w:marRight w:val="0"/>
          <w:marTop w:val="0"/>
          <w:marBottom w:val="0"/>
          <w:divBdr>
            <w:top w:val="none" w:sz="0" w:space="0" w:color="auto"/>
            <w:left w:val="none" w:sz="0" w:space="0" w:color="auto"/>
            <w:bottom w:val="none" w:sz="0" w:space="0" w:color="auto"/>
            <w:right w:val="none" w:sz="0" w:space="0" w:color="auto"/>
          </w:divBdr>
        </w:div>
        <w:div w:id="754130283">
          <w:marLeft w:val="0"/>
          <w:marRight w:val="0"/>
          <w:marTop w:val="0"/>
          <w:marBottom w:val="0"/>
          <w:divBdr>
            <w:top w:val="none" w:sz="0" w:space="0" w:color="auto"/>
            <w:left w:val="none" w:sz="0" w:space="0" w:color="auto"/>
            <w:bottom w:val="none" w:sz="0" w:space="0" w:color="auto"/>
            <w:right w:val="none" w:sz="0" w:space="0" w:color="auto"/>
          </w:divBdr>
        </w:div>
      </w:divsChild>
    </w:div>
    <w:div w:id="719472804">
      <w:bodyDiv w:val="1"/>
      <w:marLeft w:val="0"/>
      <w:marRight w:val="0"/>
      <w:marTop w:val="0"/>
      <w:marBottom w:val="0"/>
      <w:divBdr>
        <w:top w:val="none" w:sz="0" w:space="0" w:color="auto"/>
        <w:left w:val="none" w:sz="0" w:space="0" w:color="auto"/>
        <w:bottom w:val="none" w:sz="0" w:space="0" w:color="auto"/>
        <w:right w:val="none" w:sz="0" w:space="0" w:color="auto"/>
      </w:divBdr>
      <w:divsChild>
        <w:div w:id="1032220701">
          <w:marLeft w:val="0"/>
          <w:marRight w:val="0"/>
          <w:marTop w:val="0"/>
          <w:marBottom w:val="0"/>
          <w:divBdr>
            <w:top w:val="none" w:sz="0" w:space="0" w:color="auto"/>
            <w:left w:val="none" w:sz="0" w:space="0" w:color="auto"/>
            <w:bottom w:val="none" w:sz="0" w:space="0" w:color="auto"/>
            <w:right w:val="none" w:sz="0" w:space="0" w:color="auto"/>
          </w:divBdr>
        </w:div>
      </w:divsChild>
    </w:div>
    <w:div w:id="730005983">
      <w:bodyDiv w:val="1"/>
      <w:marLeft w:val="0"/>
      <w:marRight w:val="0"/>
      <w:marTop w:val="0"/>
      <w:marBottom w:val="0"/>
      <w:divBdr>
        <w:top w:val="none" w:sz="0" w:space="0" w:color="auto"/>
        <w:left w:val="none" w:sz="0" w:space="0" w:color="auto"/>
        <w:bottom w:val="none" w:sz="0" w:space="0" w:color="auto"/>
        <w:right w:val="none" w:sz="0" w:space="0" w:color="auto"/>
      </w:divBdr>
      <w:divsChild>
        <w:div w:id="1859272843">
          <w:marLeft w:val="0"/>
          <w:marRight w:val="0"/>
          <w:marTop w:val="0"/>
          <w:marBottom w:val="0"/>
          <w:divBdr>
            <w:top w:val="none" w:sz="0" w:space="0" w:color="auto"/>
            <w:left w:val="none" w:sz="0" w:space="0" w:color="auto"/>
            <w:bottom w:val="none" w:sz="0" w:space="0" w:color="auto"/>
            <w:right w:val="none" w:sz="0" w:space="0" w:color="auto"/>
          </w:divBdr>
        </w:div>
        <w:div w:id="760102699">
          <w:marLeft w:val="0"/>
          <w:marRight w:val="0"/>
          <w:marTop w:val="0"/>
          <w:marBottom w:val="0"/>
          <w:divBdr>
            <w:top w:val="none" w:sz="0" w:space="0" w:color="auto"/>
            <w:left w:val="none" w:sz="0" w:space="0" w:color="auto"/>
            <w:bottom w:val="none" w:sz="0" w:space="0" w:color="auto"/>
            <w:right w:val="none" w:sz="0" w:space="0" w:color="auto"/>
          </w:divBdr>
        </w:div>
        <w:div w:id="2117555482">
          <w:marLeft w:val="0"/>
          <w:marRight w:val="0"/>
          <w:marTop w:val="0"/>
          <w:marBottom w:val="0"/>
          <w:divBdr>
            <w:top w:val="none" w:sz="0" w:space="0" w:color="auto"/>
            <w:left w:val="none" w:sz="0" w:space="0" w:color="auto"/>
            <w:bottom w:val="none" w:sz="0" w:space="0" w:color="auto"/>
            <w:right w:val="none" w:sz="0" w:space="0" w:color="auto"/>
          </w:divBdr>
        </w:div>
        <w:div w:id="1828475877">
          <w:marLeft w:val="0"/>
          <w:marRight w:val="0"/>
          <w:marTop w:val="0"/>
          <w:marBottom w:val="0"/>
          <w:divBdr>
            <w:top w:val="none" w:sz="0" w:space="0" w:color="auto"/>
            <w:left w:val="none" w:sz="0" w:space="0" w:color="auto"/>
            <w:bottom w:val="none" w:sz="0" w:space="0" w:color="auto"/>
            <w:right w:val="none" w:sz="0" w:space="0" w:color="auto"/>
          </w:divBdr>
        </w:div>
      </w:divsChild>
    </w:div>
    <w:div w:id="748892867">
      <w:bodyDiv w:val="1"/>
      <w:marLeft w:val="0"/>
      <w:marRight w:val="0"/>
      <w:marTop w:val="0"/>
      <w:marBottom w:val="0"/>
      <w:divBdr>
        <w:top w:val="none" w:sz="0" w:space="0" w:color="auto"/>
        <w:left w:val="none" w:sz="0" w:space="0" w:color="auto"/>
        <w:bottom w:val="none" w:sz="0" w:space="0" w:color="auto"/>
        <w:right w:val="none" w:sz="0" w:space="0" w:color="auto"/>
      </w:divBdr>
      <w:divsChild>
        <w:div w:id="694620749">
          <w:marLeft w:val="0"/>
          <w:marRight w:val="0"/>
          <w:marTop w:val="0"/>
          <w:marBottom w:val="0"/>
          <w:divBdr>
            <w:top w:val="none" w:sz="0" w:space="0" w:color="auto"/>
            <w:left w:val="none" w:sz="0" w:space="0" w:color="auto"/>
            <w:bottom w:val="none" w:sz="0" w:space="0" w:color="auto"/>
            <w:right w:val="none" w:sz="0" w:space="0" w:color="auto"/>
          </w:divBdr>
        </w:div>
        <w:div w:id="629015683">
          <w:marLeft w:val="0"/>
          <w:marRight w:val="0"/>
          <w:marTop w:val="0"/>
          <w:marBottom w:val="0"/>
          <w:divBdr>
            <w:top w:val="none" w:sz="0" w:space="0" w:color="auto"/>
            <w:left w:val="none" w:sz="0" w:space="0" w:color="auto"/>
            <w:bottom w:val="none" w:sz="0" w:space="0" w:color="auto"/>
            <w:right w:val="none" w:sz="0" w:space="0" w:color="auto"/>
          </w:divBdr>
        </w:div>
      </w:divsChild>
    </w:div>
    <w:div w:id="791750223">
      <w:bodyDiv w:val="1"/>
      <w:marLeft w:val="0"/>
      <w:marRight w:val="0"/>
      <w:marTop w:val="0"/>
      <w:marBottom w:val="0"/>
      <w:divBdr>
        <w:top w:val="none" w:sz="0" w:space="0" w:color="auto"/>
        <w:left w:val="none" w:sz="0" w:space="0" w:color="auto"/>
        <w:bottom w:val="none" w:sz="0" w:space="0" w:color="auto"/>
        <w:right w:val="none" w:sz="0" w:space="0" w:color="auto"/>
      </w:divBdr>
      <w:divsChild>
        <w:div w:id="1758165075">
          <w:marLeft w:val="0"/>
          <w:marRight w:val="0"/>
          <w:marTop w:val="0"/>
          <w:marBottom w:val="0"/>
          <w:divBdr>
            <w:top w:val="none" w:sz="0" w:space="0" w:color="auto"/>
            <w:left w:val="none" w:sz="0" w:space="0" w:color="auto"/>
            <w:bottom w:val="none" w:sz="0" w:space="0" w:color="auto"/>
            <w:right w:val="none" w:sz="0" w:space="0" w:color="auto"/>
          </w:divBdr>
        </w:div>
        <w:div w:id="938023084">
          <w:marLeft w:val="0"/>
          <w:marRight w:val="0"/>
          <w:marTop w:val="0"/>
          <w:marBottom w:val="0"/>
          <w:divBdr>
            <w:top w:val="none" w:sz="0" w:space="0" w:color="auto"/>
            <w:left w:val="none" w:sz="0" w:space="0" w:color="auto"/>
            <w:bottom w:val="none" w:sz="0" w:space="0" w:color="auto"/>
            <w:right w:val="none" w:sz="0" w:space="0" w:color="auto"/>
          </w:divBdr>
        </w:div>
        <w:div w:id="208304131">
          <w:marLeft w:val="0"/>
          <w:marRight w:val="0"/>
          <w:marTop w:val="0"/>
          <w:marBottom w:val="0"/>
          <w:divBdr>
            <w:top w:val="none" w:sz="0" w:space="0" w:color="auto"/>
            <w:left w:val="none" w:sz="0" w:space="0" w:color="auto"/>
            <w:bottom w:val="none" w:sz="0" w:space="0" w:color="auto"/>
            <w:right w:val="none" w:sz="0" w:space="0" w:color="auto"/>
          </w:divBdr>
        </w:div>
      </w:divsChild>
    </w:div>
    <w:div w:id="854342224">
      <w:bodyDiv w:val="1"/>
      <w:marLeft w:val="0"/>
      <w:marRight w:val="0"/>
      <w:marTop w:val="0"/>
      <w:marBottom w:val="0"/>
      <w:divBdr>
        <w:top w:val="none" w:sz="0" w:space="0" w:color="auto"/>
        <w:left w:val="none" w:sz="0" w:space="0" w:color="auto"/>
        <w:bottom w:val="none" w:sz="0" w:space="0" w:color="auto"/>
        <w:right w:val="none" w:sz="0" w:space="0" w:color="auto"/>
      </w:divBdr>
    </w:div>
    <w:div w:id="859322603">
      <w:bodyDiv w:val="1"/>
      <w:marLeft w:val="0"/>
      <w:marRight w:val="0"/>
      <w:marTop w:val="0"/>
      <w:marBottom w:val="0"/>
      <w:divBdr>
        <w:top w:val="none" w:sz="0" w:space="0" w:color="auto"/>
        <w:left w:val="none" w:sz="0" w:space="0" w:color="auto"/>
        <w:bottom w:val="none" w:sz="0" w:space="0" w:color="auto"/>
        <w:right w:val="none" w:sz="0" w:space="0" w:color="auto"/>
      </w:divBdr>
      <w:divsChild>
        <w:div w:id="932394394">
          <w:marLeft w:val="0"/>
          <w:marRight w:val="0"/>
          <w:marTop w:val="0"/>
          <w:marBottom w:val="0"/>
          <w:divBdr>
            <w:top w:val="none" w:sz="0" w:space="0" w:color="auto"/>
            <w:left w:val="none" w:sz="0" w:space="0" w:color="auto"/>
            <w:bottom w:val="none" w:sz="0" w:space="0" w:color="auto"/>
            <w:right w:val="none" w:sz="0" w:space="0" w:color="auto"/>
          </w:divBdr>
        </w:div>
        <w:div w:id="1634093327">
          <w:marLeft w:val="0"/>
          <w:marRight w:val="0"/>
          <w:marTop w:val="0"/>
          <w:marBottom w:val="0"/>
          <w:divBdr>
            <w:top w:val="none" w:sz="0" w:space="0" w:color="auto"/>
            <w:left w:val="none" w:sz="0" w:space="0" w:color="auto"/>
            <w:bottom w:val="none" w:sz="0" w:space="0" w:color="auto"/>
            <w:right w:val="none" w:sz="0" w:space="0" w:color="auto"/>
          </w:divBdr>
        </w:div>
        <w:div w:id="1511987370">
          <w:marLeft w:val="0"/>
          <w:marRight w:val="0"/>
          <w:marTop w:val="0"/>
          <w:marBottom w:val="0"/>
          <w:divBdr>
            <w:top w:val="none" w:sz="0" w:space="0" w:color="auto"/>
            <w:left w:val="none" w:sz="0" w:space="0" w:color="auto"/>
            <w:bottom w:val="none" w:sz="0" w:space="0" w:color="auto"/>
            <w:right w:val="none" w:sz="0" w:space="0" w:color="auto"/>
          </w:divBdr>
        </w:div>
      </w:divsChild>
    </w:div>
    <w:div w:id="900336013">
      <w:bodyDiv w:val="1"/>
      <w:marLeft w:val="0"/>
      <w:marRight w:val="0"/>
      <w:marTop w:val="0"/>
      <w:marBottom w:val="0"/>
      <w:divBdr>
        <w:top w:val="none" w:sz="0" w:space="0" w:color="auto"/>
        <w:left w:val="none" w:sz="0" w:space="0" w:color="auto"/>
        <w:bottom w:val="none" w:sz="0" w:space="0" w:color="auto"/>
        <w:right w:val="none" w:sz="0" w:space="0" w:color="auto"/>
      </w:divBdr>
    </w:div>
    <w:div w:id="902182924">
      <w:bodyDiv w:val="1"/>
      <w:marLeft w:val="0"/>
      <w:marRight w:val="0"/>
      <w:marTop w:val="0"/>
      <w:marBottom w:val="0"/>
      <w:divBdr>
        <w:top w:val="none" w:sz="0" w:space="0" w:color="auto"/>
        <w:left w:val="none" w:sz="0" w:space="0" w:color="auto"/>
        <w:bottom w:val="none" w:sz="0" w:space="0" w:color="auto"/>
        <w:right w:val="none" w:sz="0" w:space="0" w:color="auto"/>
      </w:divBdr>
    </w:div>
    <w:div w:id="926577083">
      <w:bodyDiv w:val="1"/>
      <w:marLeft w:val="0"/>
      <w:marRight w:val="0"/>
      <w:marTop w:val="0"/>
      <w:marBottom w:val="0"/>
      <w:divBdr>
        <w:top w:val="none" w:sz="0" w:space="0" w:color="auto"/>
        <w:left w:val="none" w:sz="0" w:space="0" w:color="auto"/>
        <w:bottom w:val="none" w:sz="0" w:space="0" w:color="auto"/>
        <w:right w:val="none" w:sz="0" w:space="0" w:color="auto"/>
      </w:divBdr>
    </w:div>
    <w:div w:id="940643138">
      <w:bodyDiv w:val="1"/>
      <w:marLeft w:val="0"/>
      <w:marRight w:val="0"/>
      <w:marTop w:val="0"/>
      <w:marBottom w:val="0"/>
      <w:divBdr>
        <w:top w:val="none" w:sz="0" w:space="0" w:color="auto"/>
        <w:left w:val="none" w:sz="0" w:space="0" w:color="auto"/>
        <w:bottom w:val="none" w:sz="0" w:space="0" w:color="auto"/>
        <w:right w:val="none" w:sz="0" w:space="0" w:color="auto"/>
      </w:divBdr>
      <w:divsChild>
        <w:div w:id="327447071">
          <w:marLeft w:val="0"/>
          <w:marRight w:val="0"/>
          <w:marTop w:val="0"/>
          <w:marBottom w:val="0"/>
          <w:divBdr>
            <w:top w:val="none" w:sz="0" w:space="0" w:color="auto"/>
            <w:left w:val="none" w:sz="0" w:space="0" w:color="auto"/>
            <w:bottom w:val="none" w:sz="0" w:space="0" w:color="auto"/>
            <w:right w:val="none" w:sz="0" w:space="0" w:color="auto"/>
          </w:divBdr>
        </w:div>
      </w:divsChild>
    </w:div>
    <w:div w:id="1006401214">
      <w:bodyDiv w:val="1"/>
      <w:marLeft w:val="0"/>
      <w:marRight w:val="0"/>
      <w:marTop w:val="0"/>
      <w:marBottom w:val="0"/>
      <w:divBdr>
        <w:top w:val="none" w:sz="0" w:space="0" w:color="auto"/>
        <w:left w:val="none" w:sz="0" w:space="0" w:color="auto"/>
        <w:bottom w:val="none" w:sz="0" w:space="0" w:color="auto"/>
        <w:right w:val="none" w:sz="0" w:space="0" w:color="auto"/>
      </w:divBdr>
      <w:divsChild>
        <w:div w:id="1205561973">
          <w:marLeft w:val="-720"/>
          <w:marRight w:val="0"/>
          <w:marTop w:val="0"/>
          <w:marBottom w:val="0"/>
          <w:divBdr>
            <w:top w:val="none" w:sz="0" w:space="0" w:color="auto"/>
            <w:left w:val="none" w:sz="0" w:space="0" w:color="auto"/>
            <w:bottom w:val="none" w:sz="0" w:space="0" w:color="auto"/>
            <w:right w:val="none" w:sz="0" w:space="0" w:color="auto"/>
          </w:divBdr>
        </w:div>
      </w:divsChild>
    </w:div>
    <w:div w:id="1011564130">
      <w:bodyDiv w:val="1"/>
      <w:marLeft w:val="0"/>
      <w:marRight w:val="0"/>
      <w:marTop w:val="0"/>
      <w:marBottom w:val="0"/>
      <w:divBdr>
        <w:top w:val="none" w:sz="0" w:space="0" w:color="auto"/>
        <w:left w:val="none" w:sz="0" w:space="0" w:color="auto"/>
        <w:bottom w:val="none" w:sz="0" w:space="0" w:color="auto"/>
        <w:right w:val="none" w:sz="0" w:space="0" w:color="auto"/>
      </w:divBdr>
      <w:divsChild>
        <w:div w:id="2019848422">
          <w:marLeft w:val="0"/>
          <w:marRight w:val="0"/>
          <w:marTop w:val="0"/>
          <w:marBottom w:val="0"/>
          <w:divBdr>
            <w:top w:val="none" w:sz="0" w:space="0" w:color="auto"/>
            <w:left w:val="none" w:sz="0" w:space="0" w:color="auto"/>
            <w:bottom w:val="none" w:sz="0" w:space="0" w:color="auto"/>
            <w:right w:val="none" w:sz="0" w:space="0" w:color="auto"/>
          </w:divBdr>
        </w:div>
        <w:div w:id="1185052840">
          <w:marLeft w:val="0"/>
          <w:marRight w:val="0"/>
          <w:marTop w:val="0"/>
          <w:marBottom w:val="0"/>
          <w:divBdr>
            <w:top w:val="none" w:sz="0" w:space="0" w:color="auto"/>
            <w:left w:val="none" w:sz="0" w:space="0" w:color="auto"/>
            <w:bottom w:val="none" w:sz="0" w:space="0" w:color="auto"/>
            <w:right w:val="none" w:sz="0" w:space="0" w:color="auto"/>
          </w:divBdr>
        </w:div>
        <w:div w:id="1952006448">
          <w:marLeft w:val="0"/>
          <w:marRight w:val="0"/>
          <w:marTop w:val="0"/>
          <w:marBottom w:val="0"/>
          <w:divBdr>
            <w:top w:val="none" w:sz="0" w:space="0" w:color="auto"/>
            <w:left w:val="none" w:sz="0" w:space="0" w:color="auto"/>
            <w:bottom w:val="none" w:sz="0" w:space="0" w:color="auto"/>
            <w:right w:val="none" w:sz="0" w:space="0" w:color="auto"/>
          </w:divBdr>
        </w:div>
        <w:div w:id="1482312722">
          <w:marLeft w:val="0"/>
          <w:marRight w:val="0"/>
          <w:marTop w:val="0"/>
          <w:marBottom w:val="0"/>
          <w:divBdr>
            <w:top w:val="none" w:sz="0" w:space="0" w:color="auto"/>
            <w:left w:val="none" w:sz="0" w:space="0" w:color="auto"/>
            <w:bottom w:val="none" w:sz="0" w:space="0" w:color="auto"/>
            <w:right w:val="none" w:sz="0" w:space="0" w:color="auto"/>
          </w:divBdr>
        </w:div>
        <w:div w:id="700671570">
          <w:marLeft w:val="0"/>
          <w:marRight w:val="0"/>
          <w:marTop w:val="0"/>
          <w:marBottom w:val="0"/>
          <w:divBdr>
            <w:top w:val="none" w:sz="0" w:space="0" w:color="auto"/>
            <w:left w:val="none" w:sz="0" w:space="0" w:color="auto"/>
            <w:bottom w:val="none" w:sz="0" w:space="0" w:color="auto"/>
            <w:right w:val="none" w:sz="0" w:space="0" w:color="auto"/>
          </w:divBdr>
        </w:div>
        <w:div w:id="40981955">
          <w:marLeft w:val="0"/>
          <w:marRight w:val="0"/>
          <w:marTop w:val="0"/>
          <w:marBottom w:val="0"/>
          <w:divBdr>
            <w:top w:val="none" w:sz="0" w:space="0" w:color="auto"/>
            <w:left w:val="none" w:sz="0" w:space="0" w:color="auto"/>
            <w:bottom w:val="none" w:sz="0" w:space="0" w:color="auto"/>
            <w:right w:val="none" w:sz="0" w:space="0" w:color="auto"/>
          </w:divBdr>
        </w:div>
      </w:divsChild>
    </w:div>
    <w:div w:id="1016804303">
      <w:bodyDiv w:val="1"/>
      <w:marLeft w:val="0"/>
      <w:marRight w:val="0"/>
      <w:marTop w:val="0"/>
      <w:marBottom w:val="0"/>
      <w:divBdr>
        <w:top w:val="none" w:sz="0" w:space="0" w:color="auto"/>
        <w:left w:val="none" w:sz="0" w:space="0" w:color="auto"/>
        <w:bottom w:val="none" w:sz="0" w:space="0" w:color="auto"/>
        <w:right w:val="none" w:sz="0" w:space="0" w:color="auto"/>
      </w:divBdr>
      <w:divsChild>
        <w:div w:id="1276330703">
          <w:marLeft w:val="0"/>
          <w:marRight w:val="0"/>
          <w:marTop w:val="0"/>
          <w:marBottom w:val="0"/>
          <w:divBdr>
            <w:top w:val="none" w:sz="0" w:space="0" w:color="auto"/>
            <w:left w:val="none" w:sz="0" w:space="0" w:color="auto"/>
            <w:bottom w:val="none" w:sz="0" w:space="0" w:color="auto"/>
            <w:right w:val="none" w:sz="0" w:space="0" w:color="auto"/>
          </w:divBdr>
        </w:div>
        <w:div w:id="562984885">
          <w:marLeft w:val="0"/>
          <w:marRight w:val="0"/>
          <w:marTop w:val="0"/>
          <w:marBottom w:val="0"/>
          <w:divBdr>
            <w:top w:val="none" w:sz="0" w:space="0" w:color="auto"/>
            <w:left w:val="none" w:sz="0" w:space="0" w:color="auto"/>
            <w:bottom w:val="none" w:sz="0" w:space="0" w:color="auto"/>
            <w:right w:val="none" w:sz="0" w:space="0" w:color="auto"/>
          </w:divBdr>
        </w:div>
        <w:div w:id="291639583">
          <w:marLeft w:val="0"/>
          <w:marRight w:val="0"/>
          <w:marTop w:val="0"/>
          <w:marBottom w:val="0"/>
          <w:divBdr>
            <w:top w:val="none" w:sz="0" w:space="0" w:color="auto"/>
            <w:left w:val="none" w:sz="0" w:space="0" w:color="auto"/>
            <w:bottom w:val="none" w:sz="0" w:space="0" w:color="auto"/>
            <w:right w:val="none" w:sz="0" w:space="0" w:color="auto"/>
          </w:divBdr>
        </w:div>
        <w:div w:id="1795521559">
          <w:marLeft w:val="0"/>
          <w:marRight w:val="0"/>
          <w:marTop w:val="0"/>
          <w:marBottom w:val="0"/>
          <w:divBdr>
            <w:top w:val="none" w:sz="0" w:space="0" w:color="auto"/>
            <w:left w:val="none" w:sz="0" w:space="0" w:color="auto"/>
            <w:bottom w:val="none" w:sz="0" w:space="0" w:color="auto"/>
            <w:right w:val="none" w:sz="0" w:space="0" w:color="auto"/>
          </w:divBdr>
        </w:div>
      </w:divsChild>
    </w:div>
    <w:div w:id="1197234985">
      <w:bodyDiv w:val="1"/>
      <w:marLeft w:val="0"/>
      <w:marRight w:val="0"/>
      <w:marTop w:val="0"/>
      <w:marBottom w:val="0"/>
      <w:divBdr>
        <w:top w:val="none" w:sz="0" w:space="0" w:color="auto"/>
        <w:left w:val="none" w:sz="0" w:space="0" w:color="auto"/>
        <w:bottom w:val="none" w:sz="0" w:space="0" w:color="auto"/>
        <w:right w:val="none" w:sz="0" w:space="0" w:color="auto"/>
      </w:divBdr>
      <w:divsChild>
        <w:div w:id="1103300507">
          <w:marLeft w:val="0"/>
          <w:marRight w:val="0"/>
          <w:marTop w:val="0"/>
          <w:marBottom w:val="0"/>
          <w:divBdr>
            <w:top w:val="none" w:sz="0" w:space="0" w:color="auto"/>
            <w:left w:val="none" w:sz="0" w:space="0" w:color="auto"/>
            <w:bottom w:val="none" w:sz="0" w:space="0" w:color="auto"/>
            <w:right w:val="none" w:sz="0" w:space="0" w:color="auto"/>
          </w:divBdr>
        </w:div>
        <w:div w:id="1604806438">
          <w:marLeft w:val="0"/>
          <w:marRight w:val="0"/>
          <w:marTop w:val="0"/>
          <w:marBottom w:val="0"/>
          <w:divBdr>
            <w:top w:val="none" w:sz="0" w:space="0" w:color="auto"/>
            <w:left w:val="none" w:sz="0" w:space="0" w:color="auto"/>
            <w:bottom w:val="none" w:sz="0" w:space="0" w:color="auto"/>
            <w:right w:val="none" w:sz="0" w:space="0" w:color="auto"/>
          </w:divBdr>
        </w:div>
      </w:divsChild>
    </w:div>
    <w:div w:id="1288466206">
      <w:bodyDiv w:val="1"/>
      <w:marLeft w:val="0"/>
      <w:marRight w:val="0"/>
      <w:marTop w:val="0"/>
      <w:marBottom w:val="0"/>
      <w:divBdr>
        <w:top w:val="none" w:sz="0" w:space="0" w:color="auto"/>
        <w:left w:val="none" w:sz="0" w:space="0" w:color="auto"/>
        <w:bottom w:val="none" w:sz="0" w:space="0" w:color="auto"/>
        <w:right w:val="none" w:sz="0" w:space="0" w:color="auto"/>
      </w:divBdr>
      <w:divsChild>
        <w:div w:id="1601915167">
          <w:marLeft w:val="0"/>
          <w:marRight w:val="0"/>
          <w:marTop w:val="0"/>
          <w:marBottom w:val="0"/>
          <w:divBdr>
            <w:top w:val="none" w:sz="0" w:space="0" w:color="auto"/>
            <w:left w:val="none" w:sz="0" w:space="0" w:color="auto"/>
            <w:bottom w:val="none" w:sz="0" w:space="0" w:color="auto"/>
            <w:right w:val="none" w:sz="0" w:space="0" w:color="auto"/>
          </w:divBdr>
        </w:div>
      </w:divsChild>
    </w:div>
    <w:div w:id="1325547837">
      <w:bodyDiv w:val="1"/>
      <w:marLeft w:val="0"/>
      <w:marRight w:val="0"/>
      <w:marTop w:val="0"/>
      <w:marBottom w:val="0"/>
      <w:divBdr>
        <w:top w:val="none" w:sz="0" w:space="0" w:color="auto"/>
        <w:left w:val="none" w:sz="0" w:space="0" w:color="auto"/>
        <w:bottom w:val="none" w:sz="0" w:space="0" w:color="auto"/>
        <w:right w:val="none" w:sz="0" w:space="0" w:color="auto"/>
      </w:divBdr>
    </w:div>
    <w:div w:id="1384518431">
      <w:bodyDiv w:val="1"/>
      <w:marLeft w:val="0"/>
      <w:marRight w:val="0"/>
      <w:marTop w:val="0"/>
      <w:marBottom w:val="0"/>
      <w:divBdr>
        <w:top w:val="none" w:sz="0" w:space="0" w:color="auto"/>
        <w:left w:val="none" w:sz="0" w:space="0" w:color="auto"/>
        <w:bottom w:val="none" w:sz="0" w:space="0" w:color="auto"/>
        <w:right w:val="none" w:sz="0" w:space="0" w:color="auto"/>
      </w:divBdr>
      <w:divsChild>
        <w:div w:id="2054038137">
          <w:marLeft w:val="0"/>
          <w:marRight w:val="0"/>
          <w:marTop w:val="0"/>
          <w:marBottom w:val="0"/>
          <w:divBdr>
            <w:top w:val="none" w:sz="0" w:space="0" w:color="auto"/>
            <w:left w:val="none" w:sz="0" w:space="0" w:color="auto"/>
            <w:bottom w:val="none" w:sz="0" w:space="0" w:color="auto"/>
            <w:right w:val="none" w:sz="0" w:space="0" w:color="auto"/>
          </w:divBdr>
        </w:div>
        <w:div w:id="970286027">
          <w:marLeft w:val="0"/>
          <w:marRight w:val="0"/>
          <w:marTop w:val="0"/>
          <w:marBottom w:val="0"/>
          <w:divBdr>
            <w:top w:val="none" w:sz="0" w:space="0" w:color="auto"/>
            <w:left w:val="none" w:sz="0" w:space="0" w:color="auto"/>
            <w:bottom w:val="none" w:sz="0" w:space="0" w:color="auto"/>
            <w:right w:val="none" w:sz="0" w:space="0" w:color="auto"/>
          </w:divBdr>
        </w:div>
        <w:div w:id="93281299">
          <w:marLeft w:val="0"/>
          <w:marRight w:val="0"/>
          <w:marTop w:val="0"/>
          <w:marBottom w:val="0"/>
          <w:divBdr>
            <w:top w:val="none" w:sz="0" w:space="0" w:color="auto"/>
            <w:left w:val="none" w:sz="0" w:space="0" w:color="auto"/>
            <w:bottom w:val="none" w:sz="0" w:space="0" w:color="auto"/>
            <w:right w:val="none" w:sz="0" w:space="0" w:color="auto"/>
          </w:divBdr>
        </w:div>
        <w:div w:id="1668899347">
          <w:marLeft w:val="0"/>
          <w:marRight w:val="0"/>
          <w:marTop w:val="0"/>
          <w:marBottom w:val="0"/>
          <w:divBdr>
            <w:top w:val="none" w:sz="0" w:space="0" w:color="auto"/>
            <w:left w:val="none" w:sz="0" w:space="0" w:color="auto"/>
            <w:bottom w:val="none" w:sz="0" w:space="0" w:color="auto"/>
            <w:right w:val="none" w:sz="0" w:space="0" w:color="auto"/>
          </w:divBdr>
        </w:div>
        <w:div w:id="422992047">
          <w:marLeft w:val="0"/>
          <w:marRight w:val="0"/>
          <w:marTop w:val="0"/>
          <w:marBottom w:val="0"/>
          <w:divBdr>
            <w:top w:val="none" w:sz="0" w:space="0" w:color="auto"/>
            <w:left w:val="none" w:sz="0" w:space="0" w:color="auto"/>
            <w:bottom w:val="none" w:sz="0" w:space="0" w:color="auto"/>
            <w:right w:val="none" w:sz="0" w:space="0" w:color="auto"/>
          </w:divBdr>
        </w:div>
      </w:divsChild>
    </w:div>
    <w:div w:id="1441758974">
      <w:bodyDiv w:val="1"/>
      <w:marLeft w:val="0"/>
      <w:marRight w:val="0"/>
      <w:marTop w:val="0"/>
      <w:marBottom w:val="0"/>
      <w:divBdr>
        <w:top w:val="none" w:sz="0" w:space="0" w:color="auto"/>
        <w:left w:val="none" w:sz="0" w:space="0" w:color="auto"/>
        <w:bottom w:val="none" w:sz="0" w:space="0" w:color="auto"/>
        <w:right w:val="none" w:sz="0" w:space="0" w:color="auto"/>
      </w:divBdr>
      <w:divsChild>
        <w:div w:id="95951729">
          <w:marLeft w:val="0"/>
          <w:marRight w:val="0"/>
          <w:marTop w:val="0"/>
          <w:marBottom w:val="0"/>
          <w:divBdr>
            <w:top w:val="none" w:sz="0" w:space="0" w:color="auto"/>
            <w:left w:val="none" w:sz="0" w:space="0" w:color="auto"/>
            <w:bottom w:val="none" w:sz="0" w:space="0" w:color="auto"/>
            <w:right w:val="none" w:sz="0" w:space="0" w:color="auto"/>
          </w:divBdr>
        </w:div>
      </w:divsChild>
    </w:div>
    <w:div w:id="1450006638">
      <w:bodyDiv w:val="1"/>
      <w:marLeft w:val="0"/>
      <w:marRight w:val="0"/>
      <w:marTop w:val="0"/>
      <w:marBottom w:val="0"/>
      <w:divBdr>
        <w:top w:val="none" w:sz="0" w:space="0" w:color="auto"/>
        <w:left w:val="none" w:sz="0" w:space="0" w:color="auto"/>
        <w:bottom w:val="none" w:sz="0" w:space="0" w:color="auto"/>
        <w:right w:val="none" w:sz="0" w:space="0" w:color="auto"/>
      </w:divBdr>
    </w:div>
    <w:div w:id="1548682476">
      <w:bodyDiv w:val="1"/>
      <w:marLeft w:val="0"/>
      <w:marRight w:val="0"/>
      <w:marTop w:val="0"/>
      <w:marBottom w:val="0"/>
      <w:divBdr>
        <w:top w:val="none" w:sz="0" w:space="0" w:color="auto"/>
        <w:left w:val="none" w:sz="0" w:space="0" w:color="auto"/>
        <w:bottom w:val="none" w:sz="0" w:space="0" w:color="auto"/>
        <w:right w:val="none" w:sz="0" w:space="0" w:color="auto"/>
      </w:divBdr>
      <w:divsChild>
        <w:div w:id="1429161158">
          <w:marLeft w:val="0"/>
          <w:marRight w:val="0"/>
          <w:marTop w:val="0"/>
          <w:marBottom w:val="0"/>
          <w:divBdr>
            <w:top w:val="none" w:sz="0" w:space="0" w:color="auto"/>
            <w:left w:val="none" w:sz="0" w:space="0" w:color="auto"/>
            <w:bottom w:val="none" w:sz="0" w:space="0" w:color="auto"/>
            <w:right w:val="none" w:sz="0" w:space="0" w:color="auto"/>
          </w:divBdr>
        </w:div>
        <w:div w:id="1059867398">
          <w:marLeft w:val="0"/>
          <w:marRight w:val="0"/>
          <w:marTop w:val="0"/>
          <w:marBottom w:val="0"/>
          <w:divBdr>
            <w:top w:val="none" w:sz="0" w:space="0" w:color="auto"/>
            <w:left w:val="none" w:sz="0" w:space="0" w:color="auto"/>
            <w:bottom w:val="none" w:sz="0" w:space="0" w:color="auto"/>
            <w:right w:val="none" w:sz="0" w:space="0" w:color="auto"/>
          </w:divBdr>
        </w:div>
        <w:div w:id="904608940">
          <w:marLeft w:val="0"/>
          <w:marRight w:val="0"/>
          <w:marTop w:val="0"/>
          <w:marBottom w:val="0"/>
          <w:divBdr>
            <w:top w:val="none" w:sz="0" w:space="0" w:color="auto"/>
            <w:left w:val="none" w:sz="0" w:space="0" w:color="auto"/>
            <w:bottom w:val="none" w:sz="0" w:space="0" w:color="auto"/>
            <w:right w:val="none" w:sz="0" w:space="0" w:color="auto"/>
          </w:divBdr>
        </w:div>
        <w:div w:id="528835503">
          <w:marLeft w:val="0"/>
          <w:marRight w:val="0"/>
          <w:marTop w:val="0"/>
          <w:marBottom w:val="0"/>
          <w:divBdr>
            <w:top w:val="none" w:sz="0" w:space="0" w:color="auto"/>
            <w:left w:val="none" w:sz="0" w:space="0" w:color="auto"/>
            <w:bottom w:val="none" w:sz="0" w:space="0" w:color="auto"/>
            <w:right w:val="none" w:sz="0" w:space="0" w:color="auto"/>
          </w:divBdr>
        </w:div>
      </w:divsChild>
    </w:div>
    <w:div w:id="1582325090">
      <w:bodyDiv w:val="1"/>
      <w:marLeft w:val="0"/>
      <w:marRight w:val="0"/>
      <w:marTop w:val="0"/>
      <w:marBottom w:val="0"/>
      <w:divBdr>
        <w:top w:val="none" w:sz="0" w:space="0" w:color="auto"/>
        <w:left w:val="none" w:sz="0" w:space="0" w:color="auto"/>
        <w:bottom w:val="none" w:sz="0" w:space="0" w:color="auto"/>
        <w:right w:val="none" w:sz="0" w:space="0" w:color="auto"/>
      </w:divBdr>
      <w:divsChild>
        <w:div w:id="423690590">
          <w:marLeft w:val="0"/>
          <w:marRight w:val="0"/>
          <w:marTop w:val="0"/>
          <w:marBottom w:val="0"/>
          <w:divBdr>
            <w:top w:val="none" w:sz="0" w:space="0" w:color="auto"/>
            <w:left w:val="none" w:sz="0" w:space="0" w:color="auto"/>
            <w:bottom w:val="none" w:sz="0" w:space="0" w:color="auto"/>
            <w:right w:val="none" w:sz="0" w:space="0" w:color="auto"/>
          </w:divBdr>
        </w:div>
        <w:div w:id="135101997">
          <w:marLeft w:val="0"/>
          <w:marRight w:val="0"/>
          <w:marTop w:val="0"/>
          <w:marBottom w:val="0"/>
          <w:divBdr>
            <w:top w:val="none" w:sz="0" w:space="0" w:color="auto"/>
            <w:left w:val="none" w:sz="0" w:space="0" w:color="auto"/>
            <w:bottom w:val="none" w:sz="0" w:space="0" w:color="auto"/>
            <w:right w:val="none" w:sz="0" w:space="0" w:color="auto"/>
          </w:divBdr>
        </w:div>
        <w:div w:id="1975058823">
          <w:marLeft w:val="0"/>
          <w:marRight w:val="0"/>
          <w:marTop w:val="0"/>
          <w:marBottom w:val="0"/>
          <w:divBdr>
            <w:top w:val="none" w:sz="0" w:space="0" w:color="auto"/>
            <w:left w:val="none" w:sz="0" w:space="0" w:color="auto"/>
            <w:bottom w:val="none" w:sz="0" w:space="0" w:color="auto"/>
            <w:right w:val="none" w:sz="0" w:space="0" w:color="auto"/>
          </w:divBdr>
        </w:div>
        <w:div w:id="607196022">
          <w:marLeft w:val="0"/>
          <w:marRight w:val="0"/>
          <w:marTop w:val="0"/>
          <w:marBottom w:val="0"/>
          <w:divBdr>
            <w:top w:val="none" w:sz="0" w:space="0" w:color="auto"/>
            <w:left w:val="none" w:sz="0" w:space="0" w:color="auto"/>
            <w:bottom w:val="none" w:sz="0" w:space="0" w:color="auto"/>
            <w:right w:val="none" w:sz="0" w:space="0" w:color="auto"/>
          </w:divBdr>
        </w:div>
        <w:div w:id="799884330">
          <w:marLeft w:val="0"/>
          <w:marRight w:val="0"/>
          <w:marTop w:val="0"/>
          <w:marBottom w:val="0"/>
          <w:divBdr>
            <w:top w:val="none" w:sz="0" w:space="0" w:color="auto"/>
            <w:left w:val="none" w:sz="0" w:space="0" w:color="auto"/>
            <w:bottom w:val="none" w:sz="0" w:space="0" w:color="auto"/>
            <w:right w:val="none" w:sz="0" w:space="0" w:color="auto"/>
          </w:divBdr>
        </w:div>
        <w:div w:id="399719160">
          <w:marLeft w:val="0"/>
          <w:marRight w:val="0"/>
          <w:marTop w:val="0"/>
          <w:marBottom w:val="0"/>
          <w:divBdr>
            <w:top w:val="none" w:sz="0" w:space="0" w:color="auto"/>
            <w:left w:val="none" w:sz="0" w:space="0" w:color="auto"/>
            <w:bottom w:val="none" w:sz="0" w:space="0" w:color="auto"/>
            <w:right w:val="none" w:sz="0" w:space="0" w:color="auto"/>
          </w:divBdr>
        </w:div>
      </w:divsChild>
    </w:div>
    <w:div w:id="1618876597">
      <w:bodyDiv w:val="1"/>
      <w:marLeft w:val="0"/>
      <w:marRight w:val="0"/>
      <w:marTop w:val="0"/>
      <w:marBottom w:val="0"/>
      <w:divBdr>
        <w:top w:val="none" w:sz="0" w:space="0" w:color="auto"/>
        <w:left w:val="none" w:sz="0" w:space="0" w:color="auto"/>
        <w:bottom w:val="none" w:sz="0" w:space="0" w:color="auto"/>
        <w:right w:val="none" w:sz="0" w:space="0" w:color="auto"/>
      </w:divBdr>
      <w:divsChild>
        <w:div w:id="2060084875">
          <w:marLeft w:val="0"/>
          <w:marRight w:val="0"/>
          <w:marTop w:val="0"/>
          <w:marBottom w:val="0"/>
          <w:divBdr>
            <w:top w:val="none" w:sz="0" w:space="0" w:color="auto"/>
            <w:left w:val="none" w:sz="0" w:space="0" w:color="auto"/>
            <w:bottom w:val="none" w:sz="0" w:space="0" w:color="auto"/>
            <w:right w:val="none" w:sz="0" w:space="0" w:color="auto"/>
          </w:divBdr>
        </w:div>
        <w:div w:id="200870305">
          <w:marLeft w:val="0"/>
          <w:marRight w:val="0"/>
          <w:marTop w:val="0"/>
          <w:marBottom w:val="0"/>
          <w:divBdr>
            <w:top w:val="none" w:sz="0" w:space="0" w:color="auto"/>
            <w:left w:val="none" w:sz="0" w:space="0" w:color="auto"/>
            <w:bottom w:val="none" w:sz="0" w:space="0" w:color="auto"/>
            <w:right w:val="none" w:sz="0" w:space="0" w:color="auto"/>
          </w:divBdr>
        </w:div>
        <w:div w:id="2067678061">
          <w:marLeft w:val="0"/>
          <w:marRight w:val="0"/>
          <w:marTop w:val="0"/>
          <w:marBottom w:val="0"/>
          <w:divBdr>
            <w:top w:val="none" w:sz="0" w:space="0" w:color="auto"/>
            <w:left w:val="none" w:sz="0" w:space="0" w:color="auto"/>
            <w:bottom w:val="none" w:sz="0" w:space="0" w:color="auto"/>
            <w:right w:val="none" w:sz="0" w:space="0" w:color="auto"/>
          </w:divBdr>
        </w:div>
        <w:div w:id="1494567440">
          <w:marLeft w:val="0"/>
          <w:marRight w:val="0"/>
          <w:marTop w:val="0"/>
          <w:marBottom w:val="0"/>
          <w:divBdr>
            <w:top w:val="none" w:sz="0" w:space="0" w:color="auto"/>
            <w:left w:val="none" w:sz="0" w:space="0" w:color="auto"/>
            <w:bottom w:val="none" w:sz="0" w:space="0" w:color="auto"/>
            <w:right w:val="none" w:sz="0" w:space="0" w:color="auto"/>
          </w:divBdr>
        </w:div>
        <w:div w:id="1908952956">
          <w:marLeft w:val="0"/>
          <w:marRight w:val="0"/>
          <w:marTop w:val="0"/>
          <w:marBottom w:val="0"/>
          <w:divBdr>
            <w:top w:val="none" w:sz="0" w:space="0" w:color="auto"/>
            <w:left w:val="none" w:sz="0" w:space="0" w:color="auto"/>
            <w:bottom w:val="none" w:sz="0" w:space="0" w:color="auto"/>
            <w:right w:val="none" w:sz="0" w:space="0" w:color="auto"/>
          </w:divBdr>
        </w:div>
      </w:divsChild>
    </w:div>
    <w:div w:id="1689023214">
      <w:bodyDiv w:val="1"/>
      <w:marLeft w:val="0"/>
      <w:marRight w:val="0"/>
      <w:marTop w:val="0"/>
      <w:marBottom w:val="0"/>
      <w:divBdr>
        <w:top w:val="none" w:sz="0" w:space="0" w:color="auto"/>
        <w:left w:val="none" w:sz="0" w:space="0" w:color="auto"/>
        <w:bottom w:val="none" w:sz="0" w:space="0" w:color="auto"/>
        <w:right w:val="none" w:sz="0" w:space="0" w:color="auto"/>
      </w:divBdr>
      <w:divsChild>
        <w:div w:id="824904888">
          <w:marLeft w:val="0"/>
          <w:marRight w:val="0"/>
          <w:marTop w:val="0"/>
          <w:marBottom w:val="0"/>
          <w:divBdr>
            <w:top w:val="none" w:sz="0" w:space="0" w:color="auto"/>
            <w:left w:val="none" w:sz="0" w:space="0" w:color="auto"/>
            <w:bottom w:val="none" w:sz="0" w:space="0" w:color="auto"/>
            <w:right w:val="none" w:sz="0" w:space="0" w:color="auto"/>
          </w:divBdr>
        </w:div>
        <w:div w:id="1978560489">
          <w:marLeft w:val="0"/>
          <w:marRight w:val="0"/>
          <w:marTop w:val="0"/>
          <w:marBottom w:val="0"/>
          <w:divBdr>
            <w:top w:val="none" w:sz="0" w:space="0" w:color="auto"/>
            <w:left w:val="none" w:sz="0" w:space="0" w:color="auto"/>
            <w:bottom w:val="none" w:sz="0" w:space="0" w:color="auto"/>
            <w:right w:val="none" w:sz="0" w:space="0" w:color="auto"/>
          </w:divBdr>
        </w:div>
      </w:divsChild>
    </w:div>
    <w:div w:id="1690525314">
      <w:bodyDiv w:val="1"/>
      <w:marLeft w:val="0"/>
      <w:marRight w:val="0"/>
      <w:marTop w:val="0"/>
      <w:marBottom w:val="0"/>
      <w:divBdr>
        <w:top w:val="none" w:sz="0" w:space="0" w:color="auto"/>
        <w:left w:val="none" w:sz="0" w:space="0" w:color="auto"/>
        <w:bottom w:val="none" w:sz="0" w:space="0" w:color="auto"/>
        <w:right w:val="none" w:sz="0" w:space="0" w:color="auto"/>
      </w:divBdr>
      <w:divsChild>
        <w:div w:id="1066150687">
          <w:marLeft w:val="0"/>
          <w:marRight w:val="0"/>
          <w:marTop w:val="0"/>
          <w:marBottom w:val="0"/>
          <w:divBdr>
            <w:top w:val="none" w:sz="0" w:space="0" w:color="auto"/>
            <w:left w:val="none" w:sz="0" w:space="0" w:color="auto"/>
            <w:bottom w:val="none" w:sz="0" w:space="0" w:color="auto"/>
            <w:right w:val="none" w:sz="0" w:space="0" w:color="auto"/>
          </w:divBdr>
        </w:div>
      </w:divsChild>
    </w:div>
    <w:div w:id="1699046761">
      <w:bodyDiv w:val="1"/>
      <w:marLeft w:val="0"/>
      <w:marRight w:val="0"/>
      <w:marTop w:val="0"/>
      <w:marBottom w:val="0"/>
      <w:divBdr>
        <w:top w:val="none" w:sz="0" w:space="0" w:color="auto"/>
        <w:left w:val="none" w:sz="0" w:space="0" w:color="auto"/>
        <w:bottom w:val="none" w:sz="0" w:space="0" w:color="auto"/>
        <w:right w:val="none" w:sz="0" w:space="0" w:color="auto"/>
      </w:divBdr>
      <w:divsChild>
        <w:div w:id="528372718">
          <w:marLeft w:val="0"/>
          <w:marRight w:val="0"/>
          <w:marTop w:val="0"/>
          <w:marBottom w:val="0"/>
          <w:divBdr>
            <w:top w:val="none" w:sz="0" w:space="0" w:color="auto"/>
            <w:left w:val="none" w:sz="0" w:space="0" w:color="auto"/>
            <w:bottom w:val="none" w:sz="0" w:space="0" w:color="auto"/>
            <w:right w:val="none" w:sz="0" w:space="0" w:color="auto"/>
          </w:divBdr>
        </w:div>
        <w:div w:id="1754276167">
          <w:marLeft w:val="0"/>
          <w:marRight w:val="0"/>
          <w:marTop w:val="0"/>
          <w:marBottom w:val="0"/>
          <w:divBdr>
            <w:top w:val="none" w:sz="0" w:space="0" w:color="auto"/>
            <w:left w:val="none" w:sz="0" w:space="0" w:color="auto"/>
            <w:bottom w:val="none" w:sz="0" w:space="0" w:color="auto"/>
            <w:right w:val="none" w:sz="0" w:space="0" w:color="auto"/>
          </w:divBdr>
        </w:div>
        <w:div w:id="575015134">
          <w:marLeft w:val="0"/>
          <w:marRight w:val="0"/>
          <w:marTop w:val="0"/>
          <w:marBottom w:val="0"/>
          <w:divBdr>
            <w:top w:val="none" w:sz="0" w:space="0" w:color="auto"/>
            <w:left w:val="none" w:sz="0" w:space="0" w:color="auto"/>
            <w:bottom w:val="none" w:sz="0" w:space="0" w:color="auto"/>
            <w:right w:val="none" w:sz="0" w:space="0" w:color="auto"/>
          </w:divBdr>
        </w:div>
        <w:div w:id="782069160">
          <w:marLeft w:val="0"/>
          <w:marRight w:val="0"/>
          <w:marTop w:val="0"/>
          <w:marBottom w:val="0"/>
          <w:divBdr>
            <w:top w:val="none" w:sz="0" w:space="0" w:color="auto"/>
            <w:left w:val="none" w:sz="0" w:space="0" w:color="auto"/>
            <w:bottom w:val="none" w:sz="0" w:space="0" w:color="auto"/>
            <w:right w:val="none" w:sz="0" w:space="0" w:color="auto"/>
          </w:divBdr>
        </w:div>
      </w:divsChild>
    </w:div>
    <w:div w:id="1747991489">
      <w:bodyDiv w:val="1"/>
      <w:marLeft w:val="0"/>
      <w:marRight w:val="0"/>
      <w:marTop w:val="0"/>
      <w:marBottom w:val="0"/>
      <w:divBdr>
        <w:top w:val="none" w:sz="0" w:space="0" w:color="auto"/>
        <w:left w:val="none" w:sz="0" w:space="0" w:color="auto"/>
        <w:bottom w:val="none" w:sz="0" w:space="0" w:color="auto"/>
        <w:right w:val="none" w:sz="0" w:space="0" w:color="auto"/>
      </w:divBdr>
      <w:divsChild>
        <w:div w:id="2115206836">
          <w:marLeft w:val="0"/>
          <w:marRight w:val="0"/>
          <w:marTop w:val="0"/>
          <w:marBottom w:val="0"/>
          <w:divBdr>
            <w:top w:val="none" w:sz="0" w:space="0" w:color="auto"/>
            <w:left w:val="none" w:sz="0" w:space="0" w:color="auto"/>
            <w:bottom w:val="none" w:sz="0" w:space="0" w:color="auto"/>
            <w:right w:val="none" w:sz="0" w:space="0" w:color="auto"/>
          </w:divBdr>
        </w:div>
        <w:div w:id="1762293471">
          <w:marLeft w:val="0"/>
          <w:marRight w:val="0"/>
          <w:marTop w:val="0"/>
          <w:marBottom w:val="0"/>
          <w:divBdr>
            <w:top w:val="none" w:sz="0" w:space="0" w:color="auto"/>
            <w:left w:val="none" w:sz="0" w:space="0" w:color="auto"/>
            <w:bottom w:val="none" w:sz="0" w:space="0" w:color="auto"/>
            <w:right w:val="none" w:sz="0" w:space="0" w:color="auto"/>
          </w:divBdr>
        </w:div>
        <w:div w:id="2055619710">
          <w:marLeft w:val="0"/>
          <w:marRight w:val="0"/>
          <w:marTop w:val="0"/>
          <w:marBottom w:val="0"/>
          <w:divBdr>
            <w:top w:val="none" w:sz="0" w:space="0" w:color="auto"/>
            <w:left w:val="none" w:sz="0" w:space="0" w:color="auto"/>
            <w:bottom w:val="none" w:sz="0" w:space="0" w:color="auto"/>
            <w:right w:val="none" w:sz="0" w:space="0" w:color="auto"/>
          </w:divBdr>
        </w:div>
        <w:div w:id="665401275">
          <w:marLeft w:val="0"/>
          <w:marRight w:val="0"/>
          <w:marTop w:val="0"/>
          <w:marBottom w:val="0"/>
          <w:divBdr>
            <w:top w:val="none" w:sz="0" w:space="0" w:color="auto"/>
            <w:left w:val="none" w:sz="0" w:space="0" w:color="auto"/>
            <w:bottom w:val="none" w:sz="0" w:space="0" w:color="auto"/>
            <w:right w:val="none" w:sz="0" w:space="0" w:color="auto"/>
          </w:divBdr>
        </w:div>
        <w:div w:id="267005437">
          <w:marLeft w:val="0"/>
          <w:marRight w:val="0"/>
          <w:marTop w:val="0"/>
          <w:marBottom w:val="0"/>
          <w:divBdr>
            <w:top w:val="none" w:sz="0" w:space="0" w:color="auto"/>
            <w:left w:val="none" w:sz="0" w:space="0" w:color="auto"/>
            <w:bottom w:val="none" w:sz="0" w:space="0" w:color="auto"/>
            <w:right w:val="none" w:sz="0" w:space="0" w:color="auto"/>
          </w:divBdr>
        </w:div>
      </w:divsChild>
    </w:div>
    <w:div w:id="1872526168">
      <w:bodyDiv w:val="1"/>
      <w:marLeft w:val="0"/>
      <w:marRight w:val="0"/>
      <w:marTop w:val="0"/>
      <w:marBottom w:val="0"/>
      <w:divBdr>
        <w:top w:val="none" w:sz="0" w:space="0" w:color="auto"/>
        <w:left w:val="none" w:sz="0" w:space="0" w:color="auto"/>
        <w:bottom w:val="none" w:sz="0" w:space="0" w:color="auto"/>
        <w:right w:val="none" w:sz="0" w:space="0" w:color="auto"/>
      </w:divBdr>
    </w:div>
    <w:div w:id="1950700855">
      <w:bodyDiv w:val="1"/>
      <w:marLeft w:val="0"/>
      <w:marRight w:val="0"/>
      <w:marTop w:val="0"/>
      <w:marBottom w:val="0"/>
      <w:divBdr>
        <w:top w:val="none" w:sz="0" w:space="0" w:color="auto"/>
        <w:left w:val="none" w:sz="0" w:space="0" w:color="auto"/>
        <w:bottom w:val="none" w:sz="0" w:space="0" w:color="auto"/>
        <w:right w:val="none" w:sz="0" w:space="0" w:color="auto"/>
      </w:divBdr>
    </w:div>
    <w:div w:id="1954825584">
      <w:bodyDiv w:val="1"/>
      <w:marLeft w:val="0"/>
      <w:marRight w:val="0"/>
      <w:marTop w:val="0"/>
      <w:marBottom w:val="0"/>
      <w:divBdr>
        <w:top w:val="none" w:sz="0" w:space="0" w:color="auto"/>
        <w:left w:val="none" w:sz="0" w:space="0" w:color="auto"/>
        <w:bottom w:val="none" w:sz="0" w:space="0" w:color="auto"/>
        <w:right w:val="none" w:sz="0" w:space="0" w:color="auto"/>
      </w:divBdr>
      <w:divsChild>
        <w:div w:id="1179077311">
          <w:marLeft w:val="0"/>
          <w:marRight w:val="0"/>
          <w:marTop w:val="0"/>
          <w:marBottom w:val="0"/>
          <w:divBdr>
            <w:top w:val="none" w:sz="0" w:space="0" w:color="auto"/>
            <w:left w:val="none" w:sz="0" w:space="0" w:color="auto"/>
            <w:bottom w:val="none" w:sz="0" w:space="0" w:color="auto"/>
            <w:right w:val="none" w:sz="0" w:space="0" w:color="auto"/>
          </w:divBdr>
        </w:div>
        <w:div w:id="692415458">
          <w:marLeft w:val="0"/>
          <w:marRight w:val="0"/>
          <w:marTop w:val="0"/>
          <w:marBottom w:val="0"/>
          <w:divBdr>
            <w:top w:val="none" w:sz="0" w:space="0" w:color="auto"/>
            <w:left w:val="none" w:sz="0" w:space="0" w:color="auto"/>
            <w:bottom w:val="none" w:sz="0" w:space="0" w:color="auto"/>
            <w:right w:val="none" w:sz="0" w:space="0" w:color="auto"/>
          </w:divBdr>
        </w:div>
        <w:div w:id="1742096476">
          <w:marLeft w:val="0"/>
          <w:marRight w:val="0"/>
          <w:marTop w:val="0"/>
          <w:marBottom w:val="0"/>
          <w:divBdr>
            <w:top w:val="none" w:sz="0" w:space="0" w:color="auto"/>
            <w:left w:val="none" w:sz="0" w:space="0" w:color="auto"/>
            <w:bottom w:val="none" w:sz="0" w:space="0" w:color="auto"/>
            <w:right w:val="none" w:sz="0" w:space="0" w:color="auto"/>
          </w:divBdr>
        </w:div>
        <w:div w:id="165218458">
          <w:marLeft w:val="0"/>
          <w:marRight w:val="0"/>
          <w:marTop w:val="0"/>
          <w:marBottom w:val="0"/>
          <w:divBdr>
            <w:top w:val="none" w:sz="0" w:space="0" w:color="auto"/>
            <w:left w:val="none" w:sz="0" w:space="0" w:color="auto"/>
            <w:bottom w:val="none" w:sz="0" w:space="0" w:color="auto"/>
            <w:right w:val="none" w:sz="0" w:space="0" w:color="auto"/>
          </w:divBdr>
        </w:div>
        <w:div w:id="370686415">
          <w:marLeft w:val="0"/>
          <w:marRight w:val="0"/>
          <w:marTop w:val="0"/>
          <w:marBottom w:val="0"/>
          <w:divBdr>
            <w:top w:val="none" w:sz="0" w:space="0" w:color="auto"/>
            <w:left w:val="none" w:sz="0" w:space="0" w:color="auto"/>
            <w:bottom w:val="none" w:sz="0" w:space="0" w:color="auto"/>
            <w:right w:val="none" w:sz="0" w:space="0" w:color="auto"/>
          </w:divBdr>
        </w:div>
        <w:div w:id="1616137144">
          <w:marLeft w:val="0"/>
          <w:marRight w:val="0"/>
          <w:marTop w:val="0"/>
          <w:marBottom w:val="0"/>
          <w:divBdr>
            <w:top w:val="none" w:sz="0" w:space="0" w:color="auto"/>
            <w:left w:val="none" w:sz="0" w:space="0" w:color="auto"/>
            <w:bottom w:val="none" w:sz="0" w:space="0" w:color="auto"/>
            <w:right w:val="none" w:sz="0" w:space="0" w:color="auto"/>
          </w:divBdr>
        </w:div>
      </w:divsChild>
    </w:div>
    <w:div w:id="2018192358">
      <w:bodyDiv w:val="1"/>
      <w:marLeft w:val="0"/>
      <w:marRight w:val="0"/>
      <w:marTop w:val="0"/>
      <w:marBottom w:val="0"/>
      <w:divBdr>
        <w:top w:val="none" w:sz="0" w:space="0" w:color="auto"/>
        <w:left w:val="none" w:sz="0" w:space="0" w:color="auto"/>
        <w:bottom w:val="none" w:sz="0" w:space="0" w:color="auto"/>
        <w:right w:val="none" w:sz="0" w:space="0" w:color="auto"/>
      </w:divBdr>
      <w:divsChild>
        <w:div w:id="94904263">
          <w:marLeft w:val="0"/>
          <w:marRight w:val="0"/>
          <w:marTop w:val="0"/>
          <w:marBottom w:val="0"/>
          <w:divBdr>
            <w:top w:val="none" w:sz="0" w:space="0" w:color="auto"/>
            <w:left w:val="none" w:sz="0" w:space="0" w:color="auto"/>
            <w:bottom w:val="none" w:sz="0" w:space="0" w:color="auto"/>
            <w:right w:val="none" w:sz="0" w:space="0" w:color="auto"/>
          </w:divBdr>
        </w:div>
        <w:div w:id="749929424">
          <w:marLeft w:val="0"/>
          <w:marRight w:val="0"/>
          <w:marTop w:val="0"/>
          <w:marBottom w:val="0"/>
          <w:divBdr>
            <w:top w:val="none" w:sz="0" w:space="0" w:color="auto"/>
            <w:left w:val="none" w:sz="0" w:space="0" w:color="auto"/>
            <w:bottom w:val="none" w:sz="0" w:space="0" w:color="auto"/>
            <w:right w:val="none" w:sz="0" w:space="0" w:color="auto"/>
          </w:divBdr>
        </w:div>
        <w:div w:id="1366950478">
          <w:marLeft w:val="0"/>
          <w:marRight w:val="0"/>
          <w:marTop w:val="0"/>
          <w:marBottom w:val="0"/>
          <w:divBdr>
            <w:top w:val="none" w:sz="0" w:space="0" w:color="auto"/>
            <w:left w:val="none" w:sz="0" w:space="0" w:color="auto"/>
            <w:bottom w:val="none" w:sz="0" w:space="0" w:color="auto"/>
            <w:right w:val="none" w:sz="0" w:space="0" w:color="auto"/>
          </w:divBdr>
        </w:div>
      </w:divsChild>
    </w:div>
    <w:div w:id="2108184268">
      <w:bodyDiv w:val="1"/>
      <w:marLeft w:val="0"/>
      <w:marRight w:val="0"/>
      <w:marTop w:val="0"/>
      <w:marBottom w:val="0"/>
      <w:divBdr>
        <w:top w:val="none" w:sz="0" w:space="0" w:color="auto"/>
        <w:left w:val="none" w:sz="0" w:space="0" w:color="auto"/>
        <w:bottom w:val="none" w:sz="0" w:space="0" w:color="auto"/>
        <w:right w:val="none" w:sz="0" w:space="0" w:color="auto"/>
      </w:divBdr>
      <w:divsChild>
        <w:div w:id="1484616931">
          <w:marLeft w:val="0"/>
          <w:marRight w:val="0"/>
          <w:marTop w:val="0"/>
          <w:marBottom w:val="0"/>
          <w:divBdr>
            <w:top w:val="none" w:sz="0" w:space="0" w:color="auto"/>
            <w:left w:val="none" w:sz="0" w:space="0" w:color="auto"/>
            <w:bottom w:val="none" w:sz="0" w:space="0" w:color="auto"/>
            <w:right w:val="none" w:sz="0" w:space="0" w:color="auto"/>
          </w:divBdr>
        </w:div>
        <w:div w:id="1354383467">
          <w:marLeft w:val="0"/>
          <w:marRight w:val="0"/>
          <w:marTop w:val="0"/>
          <w:marBottom w:val="0"/>
          <w:divBdr>
            <w:top w:val="none" w:sz="0" w:space="0" w:color="auto"/>
            <w:left w:val="none" w:sz="0" w:space="0" w:color="auto"/>
            <w:bottom w:val="none" w:sz="0" w:space="0" w:color="auto"/>
            <w:right w:val="none" w:sz="0" w:space="0" w:color="auto"/>
          </w:divBdr>
        </w:div>
        <w:div w:id="600602518">
          <w:marLeft w:val="0"/>
          <w:marRight w:val="0"/>
          <w:marTop w:val="0"/>
          <w:marBottom w:val="0"/>
          <w:divBdr>
            <w:top w:val="none" w:sz="0" w:space="0" w:color="auto"/>
            <w:left w:val="none" w:sz="0" w:space="0" w:color="auto"/>
            <w:bottom w:val="none" w:sz="0" w:space="0" w:color="auto"/>
            <w:right w:val="none" w:sz="0" w:space="0" w:color="auto"/>
          </w:divBdr>
        </w:div>
        <w:div w:id="1824080860">
          <w:marLeft w:val="0"/>
          <w:marRight w:val="0"/>
          <w:marTop w:val="0"/>
          <w:marBottom w:val="0"/>
          <w:divBdr>
            <w:top w:val="none" w:sz="0" w:space="0" w:color="auto"/>
            <w:left w:val="none" w:sz="0" w:space="0" w:color="auto"/>
            <w:bottom w:val="none" w:sz="0" w:space="0" w:color="auto"/>
            <w:right w:val="none" w:sz="0" w:space="0" w:color="auto"/>
          </w:divBdr>
        </w:div>
        <w:div w:id="2074769981">
          <w:marLeft w:val="0"/>
          <w:marRight w:val="0"/>
          <w:marTop w:val="0"/>
          <w:marBottom w:val="0"/>
          <w:divBdr>
            <w:top w:val="none" w:sz="0" w:space="0" w:color="auto"/>
            <w:left w:val="none" w:sz="0" w:space="0" w:color="auto"/>
            <w:bottom w:val="none" w:sz="0" w:space="0" w:color="auto"/>
            <w:right w:val="none" w:sz="0" w:space="0" w:color="auto"/>
          </w:divBdr>
        </w:div>
        <w:div w:id="694962034">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unicef.org.uk/what-we-do/un-convention-child-rights/" TargetMode="External"/><Relationship Id="rId3" Type="http://schemas.openxmlformats.org/officeDocument/2006/relationships/settings" Target="settings.xml"/><Relationship Id="rId7" Type="http://schemas.openxmlformats.org/officeDocument/2006/relationships/hyperlink" Target="https://www.unicef.org/child-rights-convention/convention-text-childrens-version"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unicef.org/child-rights-convention/child-rights-why-they-matter" TargetMode="External"/><Relationship Id="rId5" Type="http://schemas.openxmlformats.org/officeDocument/2006/relationships/hyperlink" Target="https://www.unicef.org/child-rights-convention/unicef-role" TargetMode="Externa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289</TotalTime>
  <Pages>8</Pages>
  <Words>4116</Words>
  <Characters>23462</Characters>
  <Application>Microsoft Office Word</Application>
  <DocSecurity>0</DocSecurity>
  <Lines>195</Lines>
  <Paragraphs>55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27523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Shannon Mitchell (2411336)</dc:creator>
  <cp:keywords/>
  <dc:description/>
  <cp:lastModifiedBy>Shannon Mitchell (2411336)</cp:lastModifiedBy>
  <cp:revision>8</cp:revision>
  <dcterms:created xsi:type="dcterms:W3CDTF">2025-03-26T17:05:00Z</dcterms:created>
  <dcterms:modified xsi:type="dcterms:W3CDTF">2025-03-30T19:21:00Z</dcterms:modified>
</cp:coreProperties>
</file>