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B0311" w14:textId="4E90F1CE" w:rsidR="00E259CE" w:rsidRDefault="00DA6BC8">
      <w:pPr>
        <w:rPr>
          <w:rFonts w:ascii="Arial" w:hAnsi="Arial" w:cs="Arial"/>
          <w:b/>
          <w:bCs/>
          <w:i/>
          <w:iCs/>
        </w:rPr>
      </w:pPr>
      <w:r>
        <w:rPr>
          <w:rFonts w:ascii="Arial" w:hAnsi="Arial" w:cs="Arial"/>
          <w:b/>
          <w:bCs/>
          <w:i/>
          <w:iCs/>
          <w:noProof/>
        </w:rPr>
        <w:drawing>
          <wp:inline distT="0" distB="0" distL="0" distR="0" wp14:anchorId="2999436E" wp14:editId="77BC9365">
            <wp:extent cx="302895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42968C61" w14:textId="3F56443F" w:rsidR="00FA5B63" w:rsidRDefault="00FA5B63">
      <w:pPr>
        <w:rPr>
          <w:rFonts w:ascii="Arial" w:hAnsi="Arial" w:cs="Arial"/>
          <w:b/>
          <w:bCs/>
          <w:i/>
          <w:iCs/>
        </w:rPr>
      </w:pPr>
    </w:p>
    <w:p w14:paraId="56668234" w14:textId="77777777" w:rsidR="00BD4481" w:rsidRDefault="00BD4481">
      <w:pPr>
        <w:rPr>
          <w:rFonts w:ascii="Arial" w:hAnsi="Arial" w:cs="Arial"/>
          <w:b/>
          <w:bCs/>
          <w:i/>
          <w:iCs/>
        </w:rPr>
      </w:pPr>
    </w:p>
    <w:p w14:paraId="6547BF51" w14:textId="77777777" w:rsidR="00FA5B63" w:rsidRDefault="00FA5B63">
      <w:pPr>
        <w:rPr>
          <w:rFonts w:ascii="Arial" w:hAnsi="Arial" w:cs="Arial"/>
          <w:b/>
          <w:bCs/>
          <w:i/>
          <w:iCs/>
        </w:rPr>
      </w:pPr>
    </w:p>
    <w:p w14:paraId="6E84198D" w14:textId="03CF6603" w:rsidR="004F77D5" w:rsidRPr="00F2246F" w:rsidRDefault="0073083A" w:rsidP="00F2246F">
      <w:pPr>
        <w:jc w:val="center"/>
        <w:rPr>
          <w:rFonts w:ascii="Arial" w:hAnsi="Arial" w:cs="Arial"/>
          <w:b/>
          <w:bCs/>
          <w:i/>
          <w:iCs/>
          <w:sz w:val="36"/>
          <w:szCs w:val="36"/>
        </w:rPr>
      </w:pPr>
      <w:r w:rsidRPr="00F2246F">
        <w:rPr>
          <w:rFonts w:ascii="Arial" w:hAnsi="Arial" w:cs="Arial"/>
          <w:sz w:val="36"/>
          <w:szCs w:val="36"/>
        </w:rPr>
        <w:t>Certificate of Higher Education in Health and Social Care</w:t>
      </w:r>
    </w:p>
    <w:p w14:paraId="1F599F46" w14:textId="77777777" w:rsidR="00456590" w:rsidRPr="00F2246F" w:rsidRDefault="00456590" w:rsidP="00456590">
      <w:pPr>
        <w:jc w:val="center"/>
        <w:rPr>
          <w:rFonts w:ascii="Arial" w:hAnsi="Arial" w:cs="Arial"/>
          <w:sz w:val="36"/>
          <w:szCs w:val="36"/>
        </w:rPr>
      </w:pPr>
      <w:r w:rsidRPr="00F2246F">
        <w:rPr>
          <w:rFonts w:ascii="Arial" w:hAnsi="Arial" w:cs="Arial"/>
          <w:sz w:val="36"/>
          <w:szCs w:val="36"/>
        </w:rPr>
        <w:t>Digital Skills and Research Methods</w:t>
      </w:r>
    </w:p>
    <w:p w14:paraId="1E7B6FC6" w14:textId="2E892CE6" w:rsidR="00456590" w:rsidRDefault="00456590" w:rsidP="00F2246F">
      <w:pPr>
        <w:pStyle w:val="NormalWeb"/>
        <w:spacing w:before="0" w:beforeAutospacing="0" w:after="0" w:afterAutospacing="0"/>
        <w:jc w:val="center"/>
        <w:rPr>
          <w:rFonts w:ascii="Arial" w:hAnsi="Arial" w:cs="Arial"/>
          <w:sz w:val="36"/>
          <w:szCs w:val="36"/>
        </w:rPr>
      </w:pPr>
      <w:r w:rsidRPr="00F2246F">
        <w:rPr>
          <w:rFonts w:ascii="Arial" w:hAnsi="Arial" w:cs="Arial"/>
          <w:sz w:val="36"/>
          <w:szCs w:val="36"/>
        </w:rPr>
        <w:t>LCHS4002</w:t>
      </w:r>
    </w:p>
    <w:p w14:paraId="5DB0154A" w14:textId="77777777" w:rsidR="008A7F0F" w:rsidRDefault="008A7F0F" w:rsidP="00F2246F">
      <w:pPr>
        <w:pStyle w:val="NormalWeb"/>
        <w:spacing w:before="0" w:beforeAutospacing="0" w:after="0" w:afterAutospacing="0"/>
        <w:jc w:val="center"/>
        <w:rPr>
          <w:rFonts w:ascii="Arial" w:hAnsi="Arial" w:cs="Arial"/>
          <w:sz w:val="36"/>
          <w:szCs w:val="36"/>
        </w:rPr>
      </w:pPr>
    </w:p>
    <w:p w14:paraId="085910DD" w14:textId="77777777" w:rsidR="00BD4481" w:rsidRDefault="00BD4481" w:rsidP="00F2246F">
      <w:pPr>
        <w:pStyle w:val="NormalWeb"/>
        <w:spacing w:before="0" w:beforeAutospacing="0" w:after="0" w:afterAutospacing="0"/>
        <w:jc w:val="center"/>
        <w:rPr>
          <w:rFonts w:ascii="Arial" w:hAnsi="Arial" w:cs="Arial"/>
          <w:sz w:val="36"/>
          <w:szCs w:val="36"/>
        </w:rPr>
      </w:pPr>
    </w:p>
    <w:p w14:paraId="2A73D0B7" w14:textId="77777777" w:rsidR="00D1397F" w:rsidRDefault="00D1397F" w:rsidP="00F2246F">
      <w:pPr>
        <w:pStyle w:val="NormalWeb"/>
        <w:spacing w:before="0" w:beforeAutospacing="0" w:after="0" w:afterAutospacing="0"/>
        <w:jc w:val="center"/>
        <w:rPr>
          <w:rFonts w:ascii="Arial" w:hAnsi="Arial" w:cs="Arial"/>
          <w:sz w:val="36"/>
          <w:szCs w:val="36"/>
        </w:rPr>
      </w:pPr>
    </w:p>
    <w:p w14:paraId="1E3DB1EB" w14:textId="77777777" w:rsidR="00B42CA4" w:rsidRDefault="00B42CA4" w:rsidP="00F2246F">
      <w:pPr>
        <w:pStyle w:val="NormalWeb"/>
        <w:spacing w:before="0" w:beforeAutospacing="0" w:after="0" w:afterAutospacing="0"/>
        <w:jc w:val="center"/>
        <w:rPr>
          <w:rFonts w:ascii="Arial" w:hAnsi="Arial" w:cs="Arial"/>
          <w:sz w:val="36"/>
          <w:szCs w:val="36"/>
        </w:rPr>
      </w:pPr>
    </w:p>
    <w:p w14:paraId="03BE0791" w14:textId="6A5A2E27" w:rsidR="0083497F" w:rsidRPr="00D1397F" w:rsidRDefault="0083497F" w:rsidP="00420318">
      <w:pPr>
        <w:pStyle w:val="NormalWeb"/>
        <w:spacing w:before="0" w:beforeAutospacing="0" w:after="0" w:afterAutospacing="0"/>
        <w:jc w:val="center"/>
        <w:rPr>
          <w:rFonts w:ascii="Arial" w:hAnsi="Arial" w:cs="Arial"/>
          <w:b/>
          <w:bCs/>
          <w:sz w:val="36"/>
          <w:szCs w:val="36"/>
        </w:rPr>
      </w:pPr>
      <w:r w:rsidRPr="00D1397F">
        <w:rPr>
          <w:rFonts w:ascii="Arial" w:hAnsi="Arial" w:cs="Arial"/>
          <w:b/>
          <w:bCs/>
          <w:sz w:val="36"/>
          <w:szCs w:val="36"/>
        </w:rPr>
        <w:t>T</w:t>
      </w:r>
      <w:r w:rsidRPr="00D1397F">
        <w:rPr>
          <w:rFonts w:ascii="Arial" w:hAnsi="Arial" w:cs="Arial"/>
          <w:b/>
          <w:bCs/>
          <w:sz w:val="36"/>
          <w:szCs w:val="36"/>
        </w:rPr>
        <w:t>he us</w:t>
      </w:r>
      <w:r w:rsidRPr="00D1397F">
        <w:rPr>
          <w:rFonts w:ascii="Arial" w:hAnsi="Arial" w:cs="Arial"/>
          <w:b/>
          <w:bCs/>
          <w:sz w:val="36"/>
          <w:szCs w:val="36"/>
        </w:rPr>
        <w:t>ing</w:t>
      </w:r>
      <w:r w:rsidRPr="00D1397F">
        <w:rPr>
          <w:rFonts w:ascii="Arial" w:hAnsi="Arial" w:cs="Arial"/>
          <w:b/>
          <w:bCs/>
          <w:sz w:val="36"/>
          <w:szCs w:val="36"/>
        </w:rPr>
        <w:t xml:space="preserve"> of technology in the modern healthcare workplace</w:t>
      </w:r>
      <w:r w:rsidRPr="00D1397F">
        <w:rPr>
          <w:rFonts w:ascii="Arial" w:hAnsi="Arial" w:cs="Arial"/>
          <w:b/>
          <w:bCs/>
          <w:sz w:val="36"/>
          <w:szCs w:val="36"/>
        </w:rPr>
        <w:t xml:space="preserve"> </w:t>
      </w:r>
      <w:r w:rsidR="00D1397F" w:rsidRPr="00D1397F">
        <w:rPr>
          <w:rFonts w:ascii="Arial" w:hAnsi="Arial" w:cs="Arial"/>
          <w:b/>
          <w:bCs/>
          <w:sz w:val="36"/>
          <w:szCs w:val="36"/>
        </w:rPr>
        <w:t>i</w:t>
      </w:r>
      <w:r w:rsidRPr="00D1397F">
        <w:rPr>
          <w:rFonts w:ascii="Arial" w:hAnsi="Arial" w:cs="Arial"/>
          <w:b/>
          <w:bCs/>
          <w:sz w:val="36"/>
          <w:szCs w:val="36"/>
        </w:rPr>
        <w:t>n ho</w:t>
      </w:r>
      <w:r w:rsidR="00420318" w:rsidRPr="00D1397F">
        <w:rPr>
          <w:rFonts w:ascii="Arial" w:hAnsi="Arial" w:cs="Arial"/>
          <w:b/>
          <w:bCs/>
          <w:sz w:val="36"/>
          <w:szCs w:val="36"/>
        </w:rPr>
        <w:t>spital</w:t>
      </w:r>
    </w:p>
    <w:p w14:paraId="3ED9A2BA" w14:textId="77777777" w:rsidR="008A7F0F" w:rsidRPr="00420318" w:rsidRDefault="008A7F0F" w:rsidP="00F2246F">
      <w:pPr>
        <w:pStyle w:val="NormalWeb"/>
        <w:spacing w:before="0" w:beforeAutospacing="0" w:after="0" w:afterAutospacing="0"/>
        <w:jc w:val="center"/>
        <w:rPr>
          <w:rFonts w:ascii="Arial" w:hAnsi="Arial" w:cs="Arial"/>
          <w:sz w:val="36"/>
          <w:szCs w:val="36"/>
        </w:rPr>
      </w:pPr>
    </w:p>
    <w:p w14:paraId="66E95F8C" w14:textId="77777777" w:rsidR="008A7F0F" w:rsidRDefault="008A7F0F" w:rsidP="00F2246F">
      <w:pPr>
        <w:pStyle w:val="NormalWeb"/>
        <w:spacing w:before="0" w:beforeAutospacing="0" w:after="0" w:afterAutospacing="0"/>
        <w:jc w:val="center"/>
        <w:rPr>
          <w:rFonts w:ascii="Arial" w:hAnsi="Arial" w:cs="Arial"/>
          <w:sz w:val="36"/>
          <w:szCs w:val="36"/>
        </w:rPr>
      </w:pPr>
    </w:p>
    <w:p w14:paraId="5F3DE356" w14:textId="77777777" w:rsidR="00B42CA4" w:rsidRDefault="00B42CA4" w:rsidP="00F2246F">
      <w:pPr>
        <w:pStyle w:val="NormalWeb"/>
        <w:spacing w:before="0" w:beforeAutospacing="0" w:after="0" w:afterAutospacing="0"/>
        <w:jc w:val="center"/>
        <w:rPr>
          <w:rFonts w:ascii="Arial" w:hAnsi="Arial" w:cs="Arial"/>
          <w:sz w:val="36"/>
          <w:szCs w:val="36"/>
        </w:rPr>
      </w:pPr>
    </w:p>
    <w:p w14:paraId="5559932B" w14:textId="77777777" w:rsidR="008A7F0F" w:rsidRDefault="008A7F0F" w:rsidP="00F2246F">
      <w:pPr>
        <w:pStyle w:val="NormalWeb"/>
        <w:spacing w:before="0" w:beforeAutospacing="0" w:after="0" w:afterAutospacing="0"/>
        <w:jc w:val="center"/>
        <w:rPr>
          <w:rFonts w:ascii="Arial" w:hAnsi="Arial" w:cs="Arial"/>
          <w:sz w:val="36"/>
          <w:szCs w:val="36"/>
        </w:rPr>
      </w:pPr>
    </w:p>
    <w:p w14:paraId="1FB6AF32" w14:textId="77777777" w:rsidR="008A7F0F" w:rsidRDefault="008A7F0F" w:rsidP="00F2246F">
      <w:pPr>
        <w:pStyle w:val="NormalWeb"/>
        <w:spacing w:before="0" w:beforeAutospacing="0" w:after="0" w:afterAutospacing="0"/>
        <w:jc w:val="center"/>
        <w:rPr>
          <w:rFonts w:ascii="Arial" w:hAnsi="Arial" w:cs="Arial"/>
          <w:sz w:val="36"/>
          <w:szCs w:val="36"/>
        </w:rPr>
      </w:pPr>
    </w:p>
    <w:p w14:paraId="7A7B23D1" w14:textId="2E91DF69" w:rsidR="008A7F0F" w:rsidRPr="008A7F0F" w:rsidRDefault="008A7F0F" w:rsidP="008A7F0F">
      <w:pPr>
        <w:pStyle w:val="NormalWeb"/>
        <w:spacing w:before="0" w:beforeAutospacing="0" w:after="0" w:afterAutospacing="0"/>
        <w:jc w:val="center"/>
        <w:rPr>
          <w:rFonts w:ascii="Arial" w:hAnsi="Arial" w:cs="Arial"/>
          <w:sz w:val="36"/>
          <w:szCs w:val="36"/>
        </w:rPr>
      </w:pPr>
      <w:r w:rsidRPr="00F2246F">
        <w:rPr>
          <w:rFonts w:ascii="Arial" w:eastAsiaTheme="minorEastAsia" w:hAnsi="Arial" w:cs="Arial"/>
          <w:color w:val="000000" w:themeColor="text1"/>
          <w:kern w:val="24"/>
          <w:sz w:val="36"/>
          <w:szCs w:val="36"/>
        </w:rPr>
        <w:t xml:space="preserve">Irena </w:t>
      </w:r>
      <w:proofErr w:type="spellStart"/>
      <w:r w:rsidRPr="00F2246F">
        <w:rPr>
          <w:rFonts w:ascii="Arial" w:eastAsiaTheme="minorEastAsia" w:hAnsi="Arial" w:cs="Arial"/>
          <w:color w:val="000000" w:themeColor="text1"/>
          <w:kern w:val="24"/>
          <w:sz w:val="36"/>
          <w:szCs w:val="36"/>
        </w:rPr>
        <w:t>Lisaj</w:t>
      </w:r>
      <w:proofErr w:type="spellEnd"/>
      <w:r w:rsidRPr="00F2246F">
        <w:rPr>
          <w:rFonts w:ascii="Arial" w:eastAsiaTheme="minorEastAsia" w:hAnsi="Arial" w:cs="Arial"/>
          <w:color w:val="000000" w:themeColor="text1"/>
          <w:kern w:val="24"/>
          <w:sz w:val="36"/>
          <w:szCs w:val="36"/>
        </w:rPr>
        <w:t xml:space="preserve"> (2212881)</w:t>
      </w:r>
    </w:p>
    <w:p w14:paraId="263D4D8A" w14:textId="77777777" w:rsidR="00456590" w:rsidRPr="00F2246F" w:rsidRDefault="00456590" w:rsidP="00456590">
      <w:pPr>
        <w:jc w:val="center"/>
        <w:rPr>
          <w:rFonts w:ascii="Arial" w:hAnsi="Arial" w:cs="Arial"/>
          <w:sz w:val="36"/>
          <w:szCs w:val="36"/>
        </w:rPr>
      </w:pPr>
      <w:r w:rsidRPr="00F2246F">
        <w:rPr>
          <w:rFonts w:ascii="Arial" w:eastAsiaTheme="minorEastAsia" w:hAnsi="Arial" w:cs="Arial"/>
          <w:color w:val="000000" w:themeColor="text1"/>
          <w:kern w:val="24"/>
          <w:sz w:val="36"/>
          <w:szCs w:val="36"/>
        </w:rPr>
        <w:t>Lecture’s name</w:t>
      </w:r>
      <w:r w:rsidRPr="00F2246F">
        <w:rPr>
          <w:rFonts w:ascii="Arial" w:eastAsiaTheme="minorEastAsia" w:hAnsi="Arial" w:cs="Arial"/>
          <w:color w:val="000000" w:themeColor="text1"/>
          <w:kern w:val="24"/>
          <w:sz w:val="36"/>
          <w:szCs w:val="36"/>
        </w:rPr>
        <w:t xml:space="preserve">: </w:t>
      </w:r>
      <w:r w:rsidRPr="00F2246F">
        <w:rPr>
          <w:rFonts w:ascii="Arial" w:hAnsi="Arial" w:cs="Arial"/>
          <w:sz w:val="36"/>
          <w:szCs w:val="36"/>
        </w:rPr>
        <w:t xml:space="preserve">Koushik </w:t>
      </w:r>
      <w:proofErr w:type="spellStart"/>
      <w:r w:rsidRPr="00F2246F">
        <w:rPr>
          <w:rFonts w:ascii="Arial" w:hAnsi="Arial" w:cs="Arial"/>
          <w:sz w:val="36"/>
          <w:szCs w:val="36"/>
        </w:rPr>
        <w:t>Modak</w:t>
      </w:r>
      <w:proofErr w:type="spellEnd"/>
    </w:p>
    <w:p w14:paraId="007BCC43" w14:textId="18D47C54" w:rsidR="00456590" w:rsidRPr="00F2246F" w:rsidRDefault="00456590" w:rsidP="00456590">
      <w:pPr>
        <w:pStyle w:val="NormalWeb"/>
        <w:spacing w:before="0" w:beforeAutospacing="0" w:after="0" w:afterAutospacing="0"/>
        <w:jc w:val="center"/>
        <w:rPr>
          <w:rFonts w:ascii="Arial" w:hAnsi="Arial" w:cs="Arial"/>
          <w:sz w:val="36"/>
          <w:szCs w:val="36"/>
        </w:rPr>
      </w:pPr>
    </w:p>
    <w:p w14:paraId="6213735C" w14:textId="77777777" w:rsidR="00FA5B63" w:rsidRPr="00F2246F" w:rsidRDefault="00FA5B63" w:rsidP="00456590">
      <w:pPr>
        <w:jc w:val="center"/>
        <w:rPr>
          <w:rFonts w:ascii="Arial" w:hAnsi="Arial" w:cs="Arial"/>
          <w:b/>
          <w:bCs/>
          <w:i/>
          <w:iCs/>
          <w:sz w:val="36"/>
          <w:szCs w:val="36"/>
        </w:rPr>
      </w:pPr>
    </w:p>
    <w:p w14:paraId="15E272D2" w14:textId="77777777" w:rsidR="00FA5B63" w:rsidRDefault="00FA5B63">
      <w:pPr>
        <w:rPr>
          <w:rFonts w:ascii="Arial" w:hAnsi="Arial" w:cs="Arial"/>
          <w:b/>
          <w:bCs/>
          <w:i/>
          <w:iCs/>
        </w:rPr>
      </w:pPr>
    </w:p>
    <w:p w14:paraId="2D83A303" w14:textId="77777777" w:rsidR="00FA5B63" w:rsidRDefault="00FA5B63">
      <w:pPr>
        <w:rPr>
          <w:rFonts w:ascii="Arial" w:hAnsi="Arial" w:cs="Arial"/>
          <w:b/>
          <w:bCs/>
          <w:i/>
          <w:iCs/>
        </w:rPr>
      </w:pPr>
    </w:p>
    <w:p w14:paraId="6F16691E" w14:textId="77777777" w:rsidR="00FA5B63" w:rsidRDefault="00FA5B63">
      <w:pPr>
        <w:rPr>
          <w:rFonts w:ascii="Arial" w:hAnsi="Arial" w:cs="Arial"/>
          <w:b/>
          <w:bCs/>
          <w:i/>
          <w:iCs/>
        </w:rPr>
      </w:pPr>
    </w:p>
    <w:p w14:paraId="20137CDB" w14:textId="77777777" w:rsidR="00FA5B63" w:rsidRDefault="00FA5B63">
      <w:pPr>
        <w:rPr>
          <w:rFonts w:ascii="Arial" w:hAnsi="Arial" w:cs="Arial"/>
          <w:b/>
          <w:bCs/>
          <w:i/>
          <w:iCs/>
        </w:rPr>
      </w:pPr>
    </w:p>
    <w:p w14:paraId="37C73587" w14:textId="77777777" w:rsidR="00E259CE" w:rsidRDefault="00E259CE">
      <w:pPr>
        <w:rPr>
          <w:rFonts w:ascii="Arial" w:hAnsi="Arial" w:cs="Arial"/>
          <w:b/>
          <w:bCs/>
          <w:i/>
          <w:iCs/>
        </w:rPr>
      </w:pPr>
    </w:p>
    <w:p w14:paraId="48D123F8" w14:textId="77777777" w:rsidR="00E259CE" w:rsidRDefault="00E259CE">
      <w:pPr>
        <w:rPr>
          <w:rFonts w:ascii="Arial" w:hAnsi="Arial" w:cs="Arial"/>
          <w:b/>
          <w:bCs/>
          <w:i/>
          <w:iCs/>
        </w:rPr>
      </w:pPr>
    </w:p>
    <w:sdt>
      <w:sdtPr>
        <w:id w:val="179680151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D10FD80" w14:textId="36A36602" w:rsidR="003602D3" w:rsidRDefault="003602D3">
          <w:pPr>
            <w:pStyle w:val="TOCHeading"/>
          </w:pPr>
          <w:r>
            <w:t>Table of Contents</w:t>
          </w:r>
        </w:p>
        <w:p w14:paraId="6FA6349D" w14:textId="4FBCDD5E" w:rsidR="003602D3" w:rsidRPr="003602D3" w:rsidRDefault="003602D3">
          <w:pPr>
            <w:pStyle w:val="TOC1"/>
            <w:tabs>
              <w:tab w:val="right" w:leader="dot" w:pos="9350"/>
            </w:tabs>
            <w:rPr>
              <w:rFonts w:eastAsiaTheme="minorEastAsia"/>
              <w:b/>
              <w:bCs/>
              <w:noProof/>
            </w:rPr>
          </w:pPr>
          <w:r>
            <w:fldChar w:fldCharType="begin"/>
          </w:r>
          <w:r>
            <w:instrText xml:space="preserve"> TOC \o "1-3" \h \z \u </w:instrText>
          </w:r>
          <w:r>
            <w:fldChar w:fldCharType="separate"/>
          </w:r>
          <w:hyperlink w:anchor="_Toc123679340" w:history="1">
            <w:r w:rsidRPr="003602D3">
              <w:rPr>
                <w:rStyle w:val="Hyperlink"/>
                <w:b/>
                <w:bCs/>
                <w:noProof/>
              </w:rPr>
              <w:t>Section 1: Abstract:</w:t>
            </w:r>
            <w:r w:rsidRPr="003602D3">
              <w:rPr>
                <w:b/>
                <w:bCs/>
                <w:noProof/>
                <w:webHidden/>
              </w:rPr>
              <w:tab/>
            </w:r>
            <w:r w:rsidRPr="003602D3">
              <w:rPr>
                <w:b/>
                <w:bCs/>
                <w:noProof/>
                <w:webHidden/>
              </w:rPr>
              <w:fldChar w:fldCharType="begin"/>
            </w:r>
            <w:r w:rsidRPr="003602D3">
              <w:rPr>
                <w:b/>
                <w:bCs/>
                <w:noProof/>
                <w:webHidden/>
              </w:rPr>
              <w:instrText xml:space="preserve"> PAGEREF _Toc123679340 \h </w:instrText>
            </w:r>
            <w:r w:rsidRPr="003602D3">
              <w:rPr>
                <w:b/>
                <w:bCs/>
                <w:noProof/>
                <w:webHidden/>
              </w:rPr>
            </w:r>
            <w:r w:rsidRPr="003602D3">
              <w:rPr>
                <w:b/>
                <w:bCs/>
                <w:noProof/>
                <w:webHidden/>
              </w:rPr>
              <w:fldChar w:fldCharType="separate"/>
            </w:r>
            <w:r w:rsidRPr="003602D3">
              <w:rPr>
                <w:b/>
                <w:bCs/>
                <w:noProof/>
                <w:webHidden/>
              </w:rPr>
              <w:t>2</w:t>
            </w:r>
            <w:r w:rsidRPr="003602D3">
              <w:rPr>
                <w:b/>
                <w:bCs/>
                <w:noProof/>
                <w:webHidden/>
              </w:rPr>
              <w:fldChar w:fldCharType="end"/>
            </w:r>
          </w:hyperlink>
        </w:p>
        <w:p w14:paraId="563D6B89" w14:textId="3013CAFA" w:rsidR="003602D3" w:rsidRPr="003602D3" w:rsidRDefault="003602D3">
          <w:pPr>
            <w:pStyle w:val="TOC1"/>
            <w:tabs>
              <w:tab w:val="right" w:leader="dot" w:pos="9350"/>
            </w:tabs>
            <w:rPr>
              <w:rFonts w:eastAsiaTheme="minorEastAsia"/>
              <w:b/>
              <w:bCs/>
              <w:noProof/>
            </w:rPr>
          </w:pPr>
          <w:hyperlink w:anchor="_Toc123679341" w:history="1">
            <w:r w:rsidRPr="003602D3">
              <w:rPr>
                <w:rStyle w:val="Hyperlink"/>
                <w:b/>
                <w:bCs/>
                <w:noProof/>
              </w:rPr>
              <w:t>Section 2: Introduction:</w:t>
            </w:r>
            <w:r w:rsidRPr="003602D3">
              <w:rPr>
                <w:b/>
                <w:bCs/>
                <w:noProof/>
                <w:webHidden/>
              </w:rPr>
              <w:tab/>
            </w:r>
            <w:r w:rsidRPr="003602D3">
              <w:rPr>
                <w:b/>
                <w:bCs/>
                <w:noProof/>
                <w:webHidden/>
              </w:rPr>
              <w:fldChar w:fldCharType="begin"/>
            </w:r>
            <w:r w:rsidRPr="003602D3">
              <w:rPr>
                <w:b/>
                <w:bCs/>
                <w:noProof/>
                <w:webHidden/>
              </w:rPr>
              <w:instrText xml:space="preserve"> PAGEREF _Toc123679341 \h </w:instrText>
            </w:r>
            <w:r w:rsidRPr="003602D3">
              <w:rPr>
                <w:b/>
                <w:bCs/>
                <w:noProof/>
                <w:webHidden/>
              </w:rPr>
            </w:r>
            <w:r w:rsidRPr="003602D3">
              <w:rPr>
                <w:b/>
                <w:bCs/>
                <w:noProof/>
                <w:webHidden/>
              </w:rPr>
              <w:fldChar w:fldCharType="separate"/>
            </w:r>
            <w:r w:rsidRPr="003602D3">
              <w:rPr>
                <w:b/>
                <w:bCs/>
                <w:noProof/>
                <w:webHidden/>
              </w:rPr>
              <w:t>2</w:t>
            </w:r>
            <w:r w:rsidRPr="003602D3">
              <w:rPr>
                <w:b/>
                <w:bCs/>
                <w:noProof/>
                <w:webHidden/>
              </w:rPr>
              <w:fldChar w:fldCharType="end"/>
            </w:r>
          </w:hyperlink>
        </w:p>
        <w:p w14:paraId="0D535465" w14:textId="7463B41C" w:rsidR="003602D3" w:rsidRDefault="003602D3">
          <w:pPr>
            <w:pStyle w:val="TOC1"/>
            <w:tabs>
              <w:tab w:val="right" w:leader="dot" w:pos="9350"/>
            </w:tabs>
            <w:rPr>
              <w:rFonts w:eastAsiaTheme="minorEastAsia"/>
              <w:noProof/>
            </w:rPr>
          </w:pPr>
          <w:hyperlink w:anchor="_Toc123679342" w:history="1">
            <w:r w:rsidRPr="001C5C11">
              <w:rPr>
                <w:rStyle w:val="Hyperlink"/>
                <w:noProof/>
              </w:rPr>
              <w:t>Section 2.1: Globalization</w:t>
            </w:r>
            <w:r>
              <w:rPr>
                <w:noProof/>
                <w:webHidden/>
              </w:rPr>
              <w:tab/>
            </w:r>
            <w:r>
              <w:rPr>
                <w:noProof/>
                <w:webHidden/>
              </w:rPr>
              <w:fldChar w:fldCharType="begin"/>
            </w:r>
            <w:r>
              <w:rPr>
                <w:noProof/>
                <w:webHidden/>
              </w:rPr>
              <w:instrText xml:space="preserve"> PAGEREF _Toc123679342 \h </w:instrText>
            </w:r>
            <w:r>
              <w:rPr>
                <w:noProof/>
                <w:webHidden/>
              </w:rPr>
            </w:r>
            <w:r>
              <w:rPr>
                <w:noProof/>
                <w:webHidden/>
              </w:rPr>
              <w:fldChar w:fldCharType="separate"/>
            </w:r>
            <w:r>
              <w:rPr>
                <w:noProof/>
                <w:webHidden/>
              </w:rPr>
              <w:t>2</w:t>
            </w:r>
            <w:r>
              <w:rPr>
                <w:noProof/>
                <w:webHidden/>
              </w:rPr>
              <w:fldChar w:fldCharType="end"/>
            </w:r>
          </w:hyperlink>
        </w:p>
        <w:p w14:paraId="50D95033" w14:textId="0DE31213" w:rsidR="003602D3" w:rsidRDefault="003602D3">
          <w:pPr>
            <w:pStyle w:val="TOC1"/>
            <w:tabs>
              <w:tab w:val="right" w:leader="dot" w:pos="9350"/>
            </w:tabs>
            <w:rPr>
              <w:rFonts w:eastAsiaTheme="minorEastAsia"/>
              <w:noProof/>
            </w:rPr>
          </w:pPr>
          <w:hyperlink w:anchor="_Toc123679343" w:history="1">
            <w:r w:rsidRPr="001C5C11">
              <w:rPr>
                <w:rStyle w:val="Hyperlink"/>
                <w:noProof/>
              </w:rPr>
              <w:t>Section 2.2: Telemedicine:</w:t>
            </w:r>
            <w:r>
              <w:rPr>
                <w:noProof/>
                <w:webHidden/>
              </w:rPr>
              <w:tab/>
            </w:r>
            <w:r>
              <w:rPr>
                <w:noProof/>
                <w:webHidden/>
              </w:rPr>
              <w:fldChar w:fldCharType="begin"/>
            </w:r>
            <w:r>
              <w:rPr>
                <w:noProof/>
                <w:webHidden/>
              </w:rPr>
              <w:instrText xml:space="preserve"> PAGEREF _Toc123679343 \h </w:instrText>
            </w:r>
            <w:r>
              <w:rPr>
                <w:noProof/>
                <w:webHidden/>
              </w:rPr>
            </w:r>
            <w:r>
              <w:rPr>
                <w:noProof/>
                <w:webHidden/>
              </w:rPr>
              <w:fldChar w:fldCharType="separate"/>
            </w:r>
            <w:r>
              <w:rPr>
                <w:noProof/>
                <w:webHidden/>
              </w:rPr>
              <w:t>4</w:t>
            </w:r>
            <w:r>
              <w:rPr>
                <w:noProof/>
                <w:webHidden/>
              </w:rPr>
              <w:fldChar w:fldCharType="end"/>
            </w:r>
          </w:hyperlink>
        </w:p>
        <w:p w14:paraId="3BE6A67E" w14:textId="75661220" w:rsidR="003602D3" w:rsidRDefault="003602D3">
          <w:pPr>
            <w:pStyle w:val="TOC1"/>
            <w:tabs>
              <w:tab w:val="right" w:leader="dot" w:pos="9350"/>
            </w:tabs>
            <w:rPr>
              <w:rFonts w:eastAsiaTheme="minorEastAsia"/>
              <w:noProof/>
            </w:rPr>
          </w:pPr>
          <w:hyperlink w:anchor="_Toc123679344" w:history="1">
            <w:r w:rsidRPr="001C5C11">
              <w:rPr>
                <w:rStyle w:val="Hyperlink"/>
                <w:noProof/>
              </w:rPr>
              <w:t>Section 2.3: Telecare:</w:t>
            </w:r>
            <w:r>
              <w:rPr>
                <w:noProof/>
                <w:webHidden/>
              </w:rPr>
              <w:tab/>
            </w:r>
            <w:r>
              <w:rPr>
                <w:noProof/>
                <w:webHidden/>
              </w:rPr>
              <w:fldChar w:fldCharType="begin"/>
            </w:r>
            <w:r>
              <w:rPr>
                <w:noProof/>
                <w:webHidden/>
              </w:rPr>
              <w:instrText xml:space="preserve"> PAGEREF _Toc123679344 \h </w:instrText>
            </w:r>
            <w:r>
              <w:rPr>
                <w:noProof/>
                <w:webHidden/>
              </w:rPr>
            </w:r>
            <w:r>
              <w:rPr>
                <w:noProof/>
                <w:webHidden/>
              </w:rPr>
              <w:fldChar w:fldCharType="separate"/>
            </w:r>
            <w:r>
              <w:rPr>
                <w:noProof/>
                <w:webHidden/>
              </w:rPr>
              <w:t>5</w:t>
            </w:r>
            <w:r>
              <w:rPr>
                <w:noProof/>
                <w:webHidden/>
              </w:rPr>
              <w:fldChar w:fldCharType="end"/>
            </w:r>
          </w:hyperlink>
        </w:p>
        <w:p w14:paraId="1A8E142E" w14:textId="5A2AC57E" w:rsidR="003602D3" w:rsidRDefault="003602D3">
          <w:pPr>
            <w:pStyle w:val="TOC1"/>
            <w:tabs>
              <w:tab w:val="right" w:leader="dot" w:pos="9350"/>
            </w:tabs>
            <w:rPr>
              <w:rFonts w:eastAsiaTheme="minorEastAsia"/>
              <w:noProof/>
            </w:rPr>
          </w:pPr>
          <w:hyperlink w:anchor="_Toc123679345" w:history="1">
            <w:r w:rsidRPr="001C5C11">
              <w:rPr>
                <w:rStyle w:val="Hyperlink"/>
                <w:noProof/>
              </w:rPr>
              <w:t>Section 2.4: Telemonitoring:</w:t>
            </w:r>
            <w:r>
              <w:rPr>
                <w:noProof/>
                <w:webHidden/>
              </w:rPr>
              <w:tab/>
            </w:r>
            <w:r>
              <w:rPr>
                <w:noProof/>
                <w:webHidden/>
              </w:rPr>
              <w:fldChar w:fldCharType="begin"/>
            </w:r>
            <w:r>
              <w:rPr>
                <w:noProof/>
                <w:webHidden/>
              </w:rPr>
              <w:instrText xml:space="preserve"> PAGEREF _Toc123679345 \h </w:instrText>
            </w:r>
            <w:r>
              <w:rPr>
                <w:noProof/>
                <w:webHidden/>
              </w:rPr>
            </w:r>
            <w:r>
              <w:rPr>
                <w:noProof/>
                <w:webHidden/>
              </w:rPr>
              <w:fldChar w:fldCharType="separate"/>
            </w:r>
            <w:r>
              <w:rPr>
                <w:noProof/>
                <w:webHidden/>
              </w:rPr>
              <w:t>5</w:t>
            </w:r>
            <w:r>
              <w:rPr>
                <w:noProof/>
                <w:webHidden/>
              </w:rPr>
              <w:fldChar w:fldCharType="end"/>
            </w:r>
          </w:hyperlink>
        </w:p>
        <w:p w14:paraId="57A8EB79" w14:textId="2F66D740" w:rsidR="003602D3" w:rsidRDefault="003602D3">
          <w:pPr>
            <w:pStyle w:val="TOC1"/>
            <w:tabs>
              <w:tab w:val="right" w:leader="dot" w:pos="9350"/>
            </w:tabs>
            <w:rPr>
              <w:rFonts w:eastAsiaTheme="minorEastAsia"/>
              <w:noProof/>
            </w:rPr>
          </w:pPr>
          <w:hyperlink w:anchor="_Toc123679346" w:history="1">
            <w:r w:rsidRPr="001C5C11">
              <w:rPr>
                <w:rStyle w:val="Hyperlink"/>
                <w:noProof/>
              </w:rPr>
              <w:t>Section 2.5: Effects of technology on health promotion and our quality of life</w:t>
            </w:r>
            <w:r>
              <w:rPr>
                <w:noProof/>
                <w:webHidden/>
              </w:rPr>
              <w:tab/>
            </w:r>
            <w:r>
              <w:rPr>
                <w:noProof/>
                <w:webHidden/>
              </w:rPr>
              <w:fldChar w:fldCharType="begin"/>
            </w:r>
            <w:r>
              <w:rPr>
                <w:noProof/>
                <w:webHidden/>
              </w:rPr>
              <w:instrText xml:space="preserve"> PAGEREF _Toc123679346 \h </w:instrText>
            </w:r>
            <w:r>
              <w:rPr>
                <w:noProof/>
                <w:webHidden/>
              </w:rPr>
            </w:r>
            <w:r>
              <w:rPr>
                <w:noProof/>
                <w:webHidden/>
              </w:rPr>
              <w:fldChar w:fldCharType="separate"/>
            </w:r>
            <w:r>
              <w:rPr>
                <w:noProof/>
                <w:webHidden/>
              </w:rPr>
              <w:t>5</w:t>
            </w:r>
            <w:r>
              <w:rPr>
                <w:noProof/>
                <w:webHidden/>
              </w:rPr>
              <w:fldChar w:fldCharType="end"/>
            </w:r>
          </w:hyperlink>
        </w:p>
        <w:p w14:paraId="065E54BB" w14:textId="3C4C3359" w:rsidR="003602D3" w:rsidRPr="003602D3" w:rsidRDefault="003602D3">
          <w:pPr>
            <w:pStyle w:val="TOC1"/>
            <w:tabs>
              <w:tab w:val="right" w:leader="dot" w:pos="9350"/>
            </w:tabs>
            <w:rPr>
              <w:rFonts w:eastAsiaTheme="minorEastAsia"/>
              <w:b/>
              <w:bCs/>
              <w:noProof/>
            </w:rPr>
          </w:pPr>
          <w:hyperlink w:anchor="_Toc123679347" w:history="1">
            <w:r w:rsidRPr="003602D3">
              <w:rPr>
                <w:rStyle w:val="Hyperlink"/>
                <w:b/>
                <w:bCs/>
                <w:noProof/>
              </w:rPr>
              <w:t>Section 3: Conclusions:</w:t>
            </w:r>
            <w:r w:rsidRPr="003602D3">
              <w:rPr>
                <w:b/>
                <w:bCs/>
                <w:noProof/>
                <w:webHidden/>
              </w:rPr>
              <w:tab/>
            </w:r>
            <w:r w:rsidRPr="003602D3">
              <w:rPr>
                <w:b/>
                <w:bCs/>
                <w:noProof/>
                <w:webHidden/>
              </w:rPr>
              <w:fldChar w:fldCharType="begin"/>
            </w:r>
            <w:r w:rsidRPr="003602D3">
              <w:rPr>
                <w:b/>
                <w:bCs/>
                <w:noProof/>
                <w:webHidden/>
              </w:rPr>
              <w:instrText xml:space="preserve"> PAGEREF _Toc123679347 \h </w:instrText>
            </w:r>
            <w:r w:rsidRPr="003602D3">
              <w:rPr>
                <w:b/>
                <w:bCs/>
                <w:noProof/>
                <w:webHidden/>
              </w:rPr>
            </w:r>
            <w:r w:rsidRPr="003602D3">
              <w:rPr>
                <w:b/>
                <w:bCs/>
                <w:noProof/>
                <w:webHidden/>
              </w:rPr>
              <w:fldChar w:fldCharType="separate"/>
            </w:r>
            <w:r w:rsidRPr="003602D3">
              <w:rPr>
                <w:b/>
                <w:bCs/>
                <w:noProof/>
                <w:webHidden/>
              </w:rPr>
              <w:t>6</w:t>
            </w:r>
            <w:r w:rsidRPr="003602D3">
              <w:rPr>
                <w:b/>
                <w:bCs/>
                <w:noProof/>
                <w:webHidden/>
              </w:rPr>
              <w:fldChar w:fldCharType="end"/>
            </w:r>
          </w:hyperlink>
        </w:p>
        <w:p w14:paraId="6BE54041" w14:textId="2339B07E" w:rsidR="003602D3" w:rsidRPr="003602D3" w:rsidRDefault="003602D3">
          <w:pPr>
            <w:pStyle w:val="TOC1"/>
            <w:tabs>
              <w:tab w:val="right" w:leader="dot" w:pos="9350"/>
            </w:tabs>
            <w:rPr>
              <w:rFonts w:eastAsiaTheme="minorEastAsia"/>
              <w:b/>
              <w:bCs/>
              <w:noProof/>
            </w:rPr>
          </w:pPr>
          <w:hyperlink w:anchor="_Toc123679348" w:history="1">
            <w:r w:rsidRPr="003602D3">
              <w:rPr>
                <w:rStyle w:val="Hyperlink"/>
                <w:b/>
                <w:bCs/>
                <w:noProof/>
              </w:rPr>
              <w:t>Section 4 :References:</w:t>
            </w:r>
            <w:r w:rsidRPr="003602D3">
              <w:rPr>
                <w:b/>
                <w:bCs/>
                <w:noProof/>
                <w:webHidden/>
              </w:rPr>
              <w:tab/>
            </w:r>
            <w:r w:rsidRPr="003602D3">
              <w:rPr>
                <w:b/>
                <w:bCs/>
                <w:noProof/>
                <w:webHidden/>
              </w:rPr>
              <w:fldChar w:fldCharType="begin"/>
            </w:r>
            <w:r w:rsidRPr="003602D3">
              <w:rPr>
                <w:b/>
                <w:bCs/>
                <w:noProof/>
                <w:webHidden/>
              </w:rPr>
              <w:instrText xml:space="preserve"> PAGEREF _Toc123679348 \h </w:instrText>
            </w:r>
            <w:r w:rsidRPr="003602D3">
              <w:rPr>
                <w:b/>
                <w:bCs/>
                <w:noProof/>
                <w:webHidden/>
              </w:rPr>
            </w:r>
            <w:r w:rsidRPr="003602D3">
              <w:rPr>
                <w:b/>
                <w:bCs/>
                <w:noProof/>
                <w:webHidden/>
              </w:rPr>
              <w:fldChar w:fldCharType="separate"/>
            </w:r>
            <w:r w:rsidRPr="003602D3">
              <w:rPr>
                <w:b/>
                <w:bCs/>
                <w:noProof/>
                <w:webHidden/>
              </w:rPr>
              <w:t>6</w:t>
            </w:r>
            <w:r w:rsidRPr="003602D3">
              <w:rPr>
                <w:b/>
                <w:bCs/>
                <w:noProof/>
                <w:webHidden/>
              </w:rPr>
              <w:fldChar w:fldCharType="end"/>
            </w:r>
          </w:hyperlink>
        </w:p>
        <w:p w14:paraId="1FD9EE45" w14:textId="773490C9" w:rsidR="003602D3" w:rsidRDefault="003602D3">
          <w:r>
            <w:rPr>
              <w:b/>
              <w:bCs/>
              <w:noProof/>
            </w:rPr>
            <w:fldChar w:fldCharType="end"/>
          </w:r>
        </w:p>
      </w:sdtContent>
    </w:sdt>
    <w:p w14:paraId="1AE45CF6" w14:textId="77777777" w:rsidR="00E259CE" w:rsidRDefault="00E259CE">
      <w:pPr>
        <w:rPr>
          <w:rFonts w:ascii="Arial" w:hAnsi="Arial" w:cs="Arial"/>
          <w:b/>
          <w:bCs/>
          <w:i/>
          <w:iCs/>
        </w:rPr>
      </w:pPr>
    </w:p>
    <w:p w14:paraId="334A9F2C" w14:textId="77777777" w:rsidR="00E259CE" w:rsidRDefault="00E259CE">
      <w:pPr>
        <w:rPr>
          <w:rFonts w:ascii="Arial" w:hAnsi="Arial" w:cs="Arial"/>
          <w:b/>
          <w:bCs/>
          <w:i/>
          <w:iCs/>
        </w:rPr>
      </w:pPr>
    </w:p>
    <w:p w14:paraId="518F193D" w14:textId="77777777" w:rsidR="00E259CE" w:rsidRDefault="00E259CE">
      <w:pPr>
        <w:rPr>
          <w:rFonts w:ascii="Arial" w:hAnsi="Arial" w:cs="Arial"/>
          <w:b/>
          <w:bCs/>
          <w:i/>
          <w:iCs/>
        </w:rPr>
      </w:pPr>
    </w:p>
    <w:p w14:paraId="0BF53405" w14:textId="77777777" w:rsidR="00E259CE" w:rsidRDefault="00E259CE">
      <w:pPr>
        <w:rPr>
          <w:rFonts w:ascii="Arial" w:hAnsi="Arial" w:cs="Arial"/>
          <w:b/>
          <w:bCs/>
          <w:i/>
          <w:iCs/>
        </w:rPr>
      </w:pPr>
    </w:p>
    <w:p w14:paraId="25AEA1A5" w14:textId="77777777" w:rsidR="00E259CE" w:rsidRDefault="00E259CE">
      <w:pPr>
        <w:rPr>
          <w:rFonts w:ascii="Arial" w:hAnsi="Arial" w:cs="Arial"/>
          <w:b/>
          <w:bCs/>
          <w:i/>
          <w:iCs/>
        </w:rPr>
      </w:pPr>
    </w:p>
    <w:p w14:paraId="2883950B" w14:textId="77777777" w:rsidR="00E259CE" w:rsidRDefault="00E259CE">
      <w:pPr>
        <w:rPr>
          <w:rFonts w:ascii="Arial" w:hAnsi="Arial" w:cs="Arial"/>
          <w:b/>
          <w:bCs/>
          <w:i/>
          <w:iCs/>
        </w:rPr>
      </w:pPr>
    </w:p>
    <w:p w14:paraId="34379374" w14:textId="77777777" w:rsidR="00E259CE" w:rsidRDefault="00E259CE">
      <w:pPr>
        <w:rPr>
          <w:rFonts w:ascii="Arial" w:hAnsi="Arial" w:cs="Arial"/>
          <w:b/>
          <w:bCs/>
          <w:i/>
          <w:iCs/>
        </w:rPr>
      </w:pPr>
    </w:p>
    <w:p w14:paraId="221FB6A4" w14:textId="77777777" w:rsidR="00E259CE" w:rsidRDefault="00E259CE">
      <w:pPr>
        <w:rPr>
          <w:rFonts w:ascii="Arial" w:hAnsi="Arial" w:cs="Arial"/>
          <w:b/>
          <w:bCs/>
          <w:i/>
          <w:iCs/>
        </w:rPr>
      </w:pPr>
    </w:p>
    <w:p w14:paraId="7E7E9AB8" w14:textId="77777777" w:rsidR="00E259CE" w:rsidRDefault="00E259CE">
      <w:pPr>
        <w:rPr>
          <w:rFonts w:ascii="Arial" w:hAnsi="Arial" w:cs="Arial"/>
          <w:b/>
          <w:bCs/>
          <w:i/>
          <w:iCs/>
        </w:rPr>
      </w:pPr>
    </w:p>
    <w:p w14:paraId="3F13199D" w14:textId="77777777" w:rsidR="00E259CE" w:rsidRDefault="00E259CE">
      <w:pPr>
        <w:rPr>
          <w:rFonts w:ascii="Arial" w:hAnsi="Arial" w:cs="Arial"/>
          <w:b/>
          <w:bCs/>
          <w:i/>
          <w:iCs/>
        </w:rPr>
      </w:pPr>
    </w:p>
    <w:p w14:paraId="23E8063F" w14:textId="77777777" w:rsidR="00E259CE" w:rsidRDefault="00E259CE">
      <w:pPr>
        <w:rPr>
          <w:rFonts w:ascii="Arial" w:hAnsi="Arial" w:cs="Arial"/>
          <w:b/>
          <w:bCs/>
          <w:i/>
          <w:iCs/>
        </w:rPr>
      </w:pPr>
    </w:p>
    <w:p w14:paraId="2E74A692" w14:textId="77777777" w:rsidR="00E259CE" w:rsidRDefault="00E259CE">
      <w:pPr>
        <w:rPr>
          <w:rFonts w:ascii="Arial" w:hAnsi="Arial" w:cs="Arial"/>
          <w:b/>
          <w:bCs/>
          <w:i/>
          <w:iCs/>
        </w:rPr>
      </w:pPr>
    </w:p>
    <w:p w14:paraId="11024C1C" w14:textId="77777777" w:rsidR="00E259CE" w:rsidRDefault="00E259CE">
      <w:pPr>
        <w:rPr>
          <w:rFonts w:ascii="Arial" w:hAnsi="Arial" w:cs="Arial"/>
          <w:b/>
          <w:bCs/>
          <w:i/>
          <w:iCs/>
        </w:rPr>
      </w:pPr>
    </w:p>
    <w:p w14:paraId="368C084F" w14:textId="77777777" w:rsidR="00E259CE" w:rsidRDefault="00E259CE">
      <w:pPr>
        <w:rPr>
          <w:rFonts w:ascii="Arial" w:hAnsi="Arial" w:cs="Arial"/>
          <w:b/>
          <w:bCs/>
          <w:i/>
          <w:iCs/>
        </w:rPr>
      </w:pPr>
    </w:p>
    <w:p w14:paraId="4A532078" w14:textId="77777777" w:rsidR="00E259CE" w:rsidRDefault="00E259CE">
      <w:pPr>
        <w:rPr>
          <w:rFonts w:ascii="Arial" w:hAnsi="Arial" w:cs="Arial"/>
          <w:b/>
          <w:bCs/>
          <w:i/>
          <w:iCs/>
        </w:rPr>
      </w:pPr>
    </w:p>
    <w:p w14:paraId="23E408B6" w14:textId="77777777" w:rsidR="00E259CE" w:rsidRDefault="00E259CE">
      <w:pPr>
        <w:rPr>
          <w:rFonts w:ascii="Arial" w:hAnsi="Arial" w:cs="Arial"/>
          <w:b/>
          <w:bCs/>
          <w:i/>
          <w:iCs/>
        </w:rPr>
      </w:pPr>
    </w:p>
    <w:p w14:paraId="6C14E1E6" w14:textId="77777777" w:rsidR="00E259CE" w:rsidRDefault="00E259CE">
      <w:pPr>
        <w:rPr>
          <w:rFonts w:ascii="Arial" w:hAnsi="Arial" w:cs="Arial"/>
          <w:b/>
          <w:bCs/>
          <w:i/>
          <w:iCs/>
        </w:rPr>
      </w:pPr>
    </w:p>
    <w:p w14:paraId="48420705" w14:textId="77777777" w:rsidR="00FA5B63" w:rsidRDefault="00FA5B63">
      <w:pPr>
        <w:rPr>
          <w:rFonts w:ascii="Arial" w:hAnsi="Arial" w:cs="Arial"/>
          <w:b/>
          <w:bCs/>
          <w:i/>
          <w:iCs/>
        </w:rPr>
      </w:pPr>
    </w:p>
    <w:p w14:paraId="749D2249" w14:textId="77777777" w:rsidR="000C7DDD" w:rsidRDefault="009D7D06">
      <w:pPr>
        <w:rPr>
          <w:rStyle w:val="Heading1Char"/>
        </w:rPr>
      </w:pPr>
      <w:bookmarkStart w:id="0" w:name="_Toc123679340"/>
      <w:r w:rsidRPr="009D7D06">
        <w:rPr>
          <w:rStyle w:val="Heading1Char"/>
        </w:rPr>
        <w:t xml:space="preserve">Section 1: </w:t>
      </w:r>
      <w:r w:rsidR="00660A87" w:rsidRPr="009D7D06">
        <w:rPr>
          <w:rStyle w:val="Heading1Char"/>
        </w:rPr>
        <w:t>Abstract</w:t>
      </w:r>
      <w:r w:rsidR="006227AE" w:rsidRPr="009D7D06">
        <w:rPr>
          <w:rStyle w:val="Heading1Char"/>
        </w:rPr>
        <w:t>:</w:t>
      </w:r>
      <w:bookmarkEnd w:id="0"/>
    </w:p>
    <w:p w14:paraId="3C39BF8C" w14:textId="4B394627" w:rsidR="00660A87" w:rsidRDefault="00660A87">
      <w:pPr>
        <w:rPr>
          <w:rFonts w:ascii="Arial" w:hAnsi="Arial" w:cs="Arial"/>
        </w:rPr>
      </w:pPr>
      <w:r w:rsidRPr="00660A87">
        <w:rPr>
          <w:rFonts w:ascii="Arial" w:hAnsi="Arial" w:cs="Arial"/>
        </w:rPr>
        <w:t>New technologies in today’s knowledge society and information technologies (ICT) have become a sign of progress, improvement and quality that determine our lives and have an essential role in health education as it relates to the prevention, diagnosis and treatment of the symptoms of disease. This article will explore some of the technological advances in the field of health. They have greatly contributed to some very significant changes in the configuration of standard health services. We analyze some of the major benefits and savings achieved through the use of technologies in the area of health, like increased efficiency and quality of patient care, reduced administrative and operational costs, improved primary health care and optimized access to health care. In addition, we present some of the drawbacks to the use of new technologies in the field of health as found in the literature, such as the risk of misdiagnosis due to possible software errors, and therefore the issue of ethical responsibilit</w:t>
      </w:r>
      <w:r w:rsidR="00E259CE">
        <w:rPr>
          <w:rFonts w:ascii="Arial" w:hAnsi="Arial" w:cs="Arial"/>
        </w:rPr>
        <w:t>y</w:t>
      </w:r>
    </w:p>
    <w:p w14:paraId="348D2773" w14:textId="77777777" w:rsidR="003A7BE4" w:rsidRDefault="003A7BE4"/>
    <w:p w14:paraId="185CC743" w14:textId="2AAA8C53" w:rsidR="00660A87" w:rsidRPr="00FF5435" w:rsidRDefault="009D7D06" w:rsidP="00FF5435">
      <w:pPr>
        <w:rPr>
          <w:rFonts w:ascii="Arial" w:hAnsi="Arial" w:cs="Arial"/>
        </w:rPr>
      </w:pPr>
      <w:bookmarkStart w:id="1" w:name="_Toc123679341"/>
      <w:r w:rsidRPr="009D7D06">
        <w:rPr>
          <w:rStyle w:val="Heading1Char"/>
        </w:rPr>
        <w:t xml:space="preserve">Section 2: </w:t>
      </w:r>
      <w:r w:rsidR="00660A87" w:rsidRPr="009D7D06">
        <w:rPr>
          <w:rStyle w:val="Heading1Char"/>
        </w:rPr>
        <w:t>Introduction</w:t>
      </w:r>
      <w:r w:rsidR="00E530FE" w:rsidRPr="009D7D06">
        <w:rPr>
          <w:rStyle w:val="Heading1Char"/>
        </w:rPr>
        <w:t>:</w:t>
      </w:r>
      <w:bookmarkEnd w:id="1"/>
      <w:r>
        <w:rPr>
          <w:rFonts w:ascii="Arial" w:hAnsi="Arial" w:cs="Arial"/>
          <w:i/>
          <w:iCs/>
        </w:rPr>
        <w:br/>
      </w:r>
      <w:r w:rsidR="00660A87" w:rsidRPr="00FF5435">
        <w:rPr>
          <w:rFonts w:ascii="Arial" w:hAnsi="Arial" w:cs="Arial"/>
        </w:rPr>
        <w:t>Technologies are an essential element of the knowledge and information society. The information society is bringing us major new technological developments and advances in different occupational realms, and in health promotion it is having an impact by improving people’s quality of life</w:t>
      </w:r>
      <w:r w:rsidR="00727BFD" w:rsidRPr="00FF5435">
        <w:rPr>
          <w:rFonts w:ascii="Arial" w:hAnsi="Arial" w:cs="Arial"/>
        </w:rPr>
        <w:t>.</w:t>
      </w:r>
    </w:p>
    <w:p w14:paraId="1B053F27" w14:textId="77777777" w:rsidR="00727BFD" w:rsidRPr="00660A87" w:rsidRDefault="00727BFD" w:rsidP="00727BFD">
      <w:pPr>
        <w:pStyle w:val="ListParagraph"/>
        <w:rPr>
          <w:rFonts w:ascii="Arial" w:hAnsi="Arial" w:cs="Arial"/>
        </w:rPr>
      </w:pPr>
    </w:p>
    <w:p w14:paraId="36E0EAC2" w14:textId="27CAC553" w:rsidR="00660A87" w:rsidRPr="00E259CE" w:rsidRDefault="009D7D06" w:rsidP="00E259CE">
      <w:pPr>
        <w:rPr>
          <w:rFonts w:ascii="Arial" w:hAnsi="Arial" w:cs="Arial"/>
        </w:rPr>
      </w:pPr>
      <w:bookmarkStart w:id="2" w:name="_Toc123679342"/>
      <w:r w:rsidRPr="00107D90">
        <w:rPr>
          <w:rStyle w:val="Heading1Char"/>
        </w:rPr>
        <w:t>S</w:t>
      </w:r>
      <w:r w:rsidR="00107D90" w:rsidRPr="00107D90">
        <w:rPr>
          <w:rStyle w:val="Heading1Char"/>
        </w:rPr>
        <w:t xml:space="preserve">ection 2.1: </w:t>
      </w:r>
      <w:r w:rsidR="00660A87" w:rsidRPr="00107D90">
        <w:rPr>
          <w:rStyle w:val="Heading1Char"/>
        </w:rPr>
        <w:t>Globalization</w:t>
      </w:r>
      <w:bookmarkEnd w:id="2"/>
      <w:r w:rsidR="00A653BC">
        <w:rPr>
          <w:rFonts w:ascii="Arial" w:hAnsi="Arial" w:cs="Arial"/>
          <w:b/>
          <w:bCs/>
        </w:rPr>
        <w:t xml:space="preserve">: </w:t>
      </w:r>
      <w:r w:rsidR="00660A87" w:rsidRPr="00E259CE">
        <w:rPr>
          <w:rFonts w:ascii="Arial" w:hAnsi="Arial" w:cs="Arial"/>
        </w:rPr>
        <w:t xml:space="preserve">the cyber revolution and computer science, economic competition and the broad spread of knowledge as an indisputable factor of progress are multiplying the phenomenon. Information and communication technologies, or ICT, are advancing with gigantic strides. They are affecting our lives, providing drive for change and fresh perspectives in every aspect of human endeavor. The Jakarta Declaration (1997) asserts, “Some [changes] have great potential for health, such as the development of communications technology.” According to </w:t>
      </w:r>
      <w:proofErr w:type="spellStart"/>
      <w:r w:rsidR="00660A87" w:rsidRPr="00E259CE">
        <w:rPr>
          <w:rFonts w:ascii="Arial" w:hAnsi="Arial" w:cs="Arial"/>
        </w:rPr>
        <w:t>Fumero</w:t>
      </w:r>
      <w:proofErr w:type="spellEnd"/>
      <w:r w:rsidR="00660A87" w:rsidRPr="00E259CE">
        <w:rPr>
          <w:rFonts w:ascii="Arial" w:hAnsi="Arial" w:cs="Arial"/>
        </w:rPr>
        <w:t xml:space="preserve"> and Roca (2007, 47), ICT has spread “to all realms of society and forms part of the basic culture of new generations as a consubstantial part of the Social Network.” The Web 2.0, or the second Internet generation, also known as “the Social Network,” provides a way of developing human health promotion and prevention programs. This is due largely to the impressive development of medical technology, which constitutes one of the biggest factors influencing changes in health systems today (</w:t>
      </w:r>
      <w:proofErr w:type="spellStart"/>
      <w:r w:rsidR="00660A87" w:rsidRPr="00E259CE">
        <w:rPr>
          <w:rFonts w:ascii="Arial" w:hAnsi="Arial" w:cs="Arial"/>
        </w:rPr>
        <w:t>Colomer</w:t>
      </w:r>
      <w:proofErr w:type="spellEnd"/>
      <w:r w:rsidR="00660A87" w:rsidRPr="00E259CE">
        <w:rPr>
          <w:rFonts w:ascii="Arial" w:hAnsi="Arial" w:cs="Arial"/>
        </w:rPr>
        <w:t xml:space="preserve"> and Álvarez-</w:t>
      </w:r>
      <w:proofErr w:type="spellStart"/>
      <w:r w:rsidR="00660A87" w:rsidRPr="00E259CE">
        <w:rPr>
          <w:rFonts w:ascii="Arial" w:hAnsi="Arial" w:cs="Arial"/>
        </w:rPr>
        <w:t>Dardet</w:t>
      </w:r>
      <w:proofErr w:type="spellEnd"/>
      <w:r w:rsidR="00660A87" w:rsidRPr="00E259CE">
        <w:rPr>
          <w:rFonts w:ascii="Arial" w:hAnsi="Arial" w:cs="Arial"/>
        </w:rPr>
        <w:t xml:space="preserve">, 2001). Because of the speed of technological progress, people are now even talking about the Web 3.0 or the semantic web, whose main challenge is to connect to knowledge, and the Web 4.0 or the ubiquitous web, which will seek to harness the united intelligence of individuals for decision making. In fact, information and communication technologies enable information to be processed and transformed and are fast becoming a strategic innovative element for health promotion and education in most developed countries. The rise of new health education technologies is providing significant support and highly important educational content. Health education is not unaffected by these changes. It has gradually incorporated both the Internet </w:t>
      </w:r>
      <w:r w:rsidR="00660A87" w:rsidRPr="00E259CE">
        <w:rPr>
          <w:rFonts w:ascii="Arial" w:hAnsi="Arial" w:cs="Arial"/>
        </w:rPr>
        <w:lastRenderedPageBreak/>
        <w:t>and ICT into health education and services that benefit not only health practitioners but also people and society in general. The possibilities of technology are many. They include health portals and electronic health records, telemedicine services, tele-ICU services and health information networks, which help improve and promote health by assisting us to detect, diagnose, prevent, monitor and treat diseases, manage our lifestyle and improve our wellness and quality of life. In addition, a new set of terms not unrelated to health industry practitioners and users has become part of our vocabulary, such as “electronic health,” “e-health,” “mHealth” (Resources, Technology and Health), “Health 2.0,” “e-patient,” “e-medicine” and “eHealth.” eHealth is associated with the availability of tech-related health services, notably telehealth, electronic medical records and mHealth or health via mobile devices. In this article we endeavor to highlight how new technologies are having a fundamental impact on health education and opening fresh perspectives in the field. Next, we present a rough history of technologies for health education and technologies as a resource for health promotion today. We then address the advantages and drawbacks of</w:t>
      </w:r>
      <w:r w:rsidR="00727BFD" w:rsidRPr="00E259CE">
        <w:rPr>
          <w:rFonts w:ascii="Arial" w:hAnsi="Arial" w:cs="Arial"/>
        </w:rPr>
        <w:t xml:space="preserve"> </w:t>
      </w:r>
      <w:r w:rsidR="00660A87" w:rsidRPr="00E259CE">
        <w:rPr>
          <w:rFonts w:ascii="Arial" w:hAnsi="Arial" w:cs="Arial"/>
        </w:rPr>
        <w:t>technologies as a means of improving wellness and quality of life for people and society</w:t>
      </w:r>
      <w:r w:rsidR="00F32E42" w:rsidRPr="00E259CE">
        <w:rPr>
          <w:rFonts w:ascii="Arial" w:hAnsi="Arial" w:cs="Arial"/>
        </w:rPr>
        <w:t>.</w:t>
      </w:r>
    </w:p>
    <w:p w14:paraId="54517316" w14:textId="77777777" w:rsidR="00D9471C" w:rsidRPr="00660A87" w:rsidRDefault="00D9471C" w:rsidP="00D9471C">
      <w:pPr>
        <w:pStyle w:val="ListParagraph"/>
        <w:rPr>
          <w:rFonts w:ascii="Arial" w:hAnsi="Arial" w:cs="Arial"/>
        </w:rPr>
      </w:pPr>
    </w:p>
    <w:p w14:paraId="3F738877" w14:textId="60D3EC21" w:rsidR="00660A87" w:rsidRPr="00E259CE" w:rsidRDefault="00660A87" w:rsidP="00E259CE">
      <w:pPr>
        <w:rPr>
          <w:rFonts w:ascii="Arial" w:hAnsi="Arial" w:cs="Arial"/>
        </w:rPr>
      </w:pPr>
      <w:r w:rsidRPr="006B5B5F">
        <w:rPr>
          <w:rFonts w:ascii="Arial" w:hAnsi="Arial" w:cs="Arial"/>
          <w:i/>
          <w:iCs/>
        </w:rPr>
        <w:t>History of health education technologies</w:t>
      </w:r>
      <w:r w:rsidRPr="00E259CE">
        <w:rPr>
          <w:rFonts w:ascii="Arial" w:hAnsi="Arial" w:cs="Arial"/>
        </w:rPr>
        <w:t xml:space="preserve"> </w:t>
      </w:r>
      <w:proofErr w:type="gramStart"/>
      <w:r w:rsidRPr="00E259CE">
        <w:rPr>
          <w:rFonts w:ascii="Arial" w:hAnsi="Arial" w:cs="Arial"/>
        </w:rPr>
        <w:t>The</w:t>
      </w:r>
      <w:proofErr w:type="gramEnd"/>
      <w:r w:rsidRPr="00E259CE">
        <w:rPr>
          <w:rFonts w:ascii="Arial" w:hAnsi="Arial" w:cs="Arial"/>
        </w:rPr>
        <w:t xml:space="preserve"> changes health education has undergone since the early years of the 20th century have been caused by the swift development of applied sciences like chemistry, physics, physiology, microbiology and engineering, in their progress toward the development of techniques for disease treatment and diagnosis. In the 20th century a whole series of new technologies arose for use in disease diagnosis, prevention and treatment, constituting an indisputable factor of progress for people and society. The new technologies, which included computerized axial tomography (CAT), positron emission tomography (PET), nuclear magnetic resonance imaging (NMRI), functional magnetic resonance imaging (fMRI), catheterization and massive sample analysis systems, gradually became incorporated into the health area, increasing both diagnostic and therapeutic efficacy. </w:t>
      </w:r>
    </w:p>
    <w:p w14:paraId="76FD7C43" w14:textId="5B17B9B3" w:rsidR="00660A87" w:rsidRPr="00E259CE" w:rsidRDefault="00660A87" w:rsidP="00E259CE">
      <w:pPr>
        <w:rPr>
          <w:rFonts w:ascii="Arial" w:hAnsi="Arial" w:cs="Arial"/>
        </w:rPr>
      </w:pPr>
      <w:r w:rsidRPr="00E259CE">
        <w:rPr>
          <w:rFonts w:ascii="Arial" w:hAnsi="Arial" w:cs="Arial"/>
        </w:rPr>
        <w:t xml:space="preserve">Technologies as a health promotion resource </w:t>
      </w:r>
      <w:r w:rsidR="00A372E3">
        <w:rPr>
          <w:rFonts w:ascii="Arial" w:hAnsi="Arial" w:cs="Arial"/>
        </w:rPr>
        <w:t>f</w:t>
      </w:r>
      <w:r w:rsidRPr="00E259CE">
        <w:rPr>
          <w:rFonts w:ascii="Arial" w:hAnsi="Arial" w:cs="Arial"/>
        </w:rPr>
        <w:t xml:space="preserve">or over 50 years exploration has been ongoing into how to leverage computer science and telecommunications in the field of health. Any health promotion activity that enables a disease to be prevented, diagnosed or treated constitutes a technological step forward for health in today’s information and knowledge society. In the early days of the incorporation of new technologies into health practitioners’ work, new technologies were fundamentally used for administrative tasks involving data storage and statistics. Later, however, technologies gradually began to be used to save personal records and clinical summaries, giving health practitioners access to data on individuals and diagnostic, preventive and health maintenance information that they could even share with colleagues. Computerized health cards have been a reality in many communities since 2003; and they in their turn set the stage for the use of electronic prescriptions, which for the first time will incorporate data about the patient’s medical history. The use of electronic medical records is becoming increasingly consolidated as well. In fact, the databases are connected over the National Health System’s Intranet, and this is proving to be a key tool in health planning. The technological revolution is creating an environment conducive to a phenomenon known as Health 2.0, which enables networks of social and medical professionals to coalesce and contributes to the formation of communities where information can be shared. There are communities for health practitioners only (www.sermo.com), communities for health practitioners and patients (www.salupedia.orf, www.vivelasalud.com), electronic publications on CD-ROM, newsgroups and services like </w:t>
      </w:r>
      <w:r w:rsidRPr="00E259CE">
        <w:rPr>
          <w:rFonts w:ascii="Arial" w:hAnsi="Arial" w:cs="Arial"/>
        </w:rPr>
        <w:lastRenderedPageBreak/>
        <w:t xml:space="preserve">Medline (www. Medine.com), </w:t>
      </w:r>
      <w:proofErr w:type="spellStart"/>
      <w:r w:rsidRPr="00E259CE">
        <w:rPr>
          <w:rFonts w:ascii="Arial" w:hAnsi="Arial" w:cs="Arial"/>
        </w:rPr>
        <w:t>CyberMed</w:t>
      </w:r>
      <w:proofErr w:type="spellEnd"/>
      <w:r w:rsidRPr="00E259CE">
        <w:rPr>
          <w:rFonts w:ascii="Arial" w:hAnsi="Arial" w:cs="Arial"/>
        </w:rPr>
        <w:t xml:space="preserve"> the </w:t>
      </w:r>
      <w:proofErr w:type="spellStart"/>
      <w:r w:rsidRPr="00E259CE">
        <w:rPr>
          <w:rFonts w:ascii="Arial" w:hAnsi="Arial" w:cs="Arial"/>
        </w:rPr>
        <w:t>Mediweb</w:t>
      </w:r>
      <w:proofErr w:type="spellEnd"/>
      <w:r w:rsidRPr="00E259CE">
        <w:rPr>
          <w:rFonts w:ascii="Arial" w:hAnsi="Arial" w:cs="Arial"/>
        </w:rPr>
        <w:t xml:space="preserve"> social network (www.mediweb.com) and mobile health (</w:t>
      </w:r>
      <w:proofErr w:type="spellStart"/>
      <w:r w:rsidRPr="00E259CE">
        <w:rPr>
          <w:rFonts w:ascii="Arial" w:hAnsi="Arial" w:cs="Arial"/>
        </w:rPr>
        <w:t>mhealth</w:t>
      </w:r>
      <w:proofErr w:type="spellEnd"/>
      <w:r w:rsidRPr="00E259CE">
        <w:rPr>
          <w:rFonts w:ascii="Arial" w:hAnsi="Arial" w:cs="Arial"/>
        </w:rPr>
        <w:t xml:space="preserve">), which is becoming more routine every day. In addition, in recent years the Internet has seen a proliferation of programs promoting healthy habits, disease prevention programs and general information on health topics, such as the </w:t>
      </w:r>
      <w:proofErr w:type="spellStart"/>
      <w:r w:rsidRPr="00E259CE">
        <w:rPr>
          <w:rFonts w:ascii="Arial" w:hAnsi="Arial" w:cs="Arial"/>
        </w:rPr>
        <w:t>healthocrates</w:t>
      </w:r>
      <w:proofErr w:type="spellEnd"/>
      <w:r w:rsidRPr="00E259CE">
        <w:rPr>
          <w:rFonts w:ascii="Arial" w:hAnsi="Arial" w:cs="Arial"/>
        </w:rPr>
        <w:t xml:space="preserve"> wiki created for medical resources (http://www.healthocrates.com/), the </w:t>
      </w:r>
      <w:proofErr w:type="spellStart"/>
      <w:r w:rsidRPr="00E259CE">
        <w:rPr>
          <w:rFonts w:ascii="Arial" w:hAnsi="Arial" w:cs="Arial"/>
        </w:rPr>
        <w:t>healthMap</w:t>
      </w:r>
      <w:proofErr w:type="spellEnd"/>
      <w:r w:rsidRPr="00E259CE">
        <w:rPr>
          <w:rFonts w:ascii="Arial" w:hAnsi="Arial" w:cs="Arial"/>
        </w:rPr>
        <w:t xml:space="preserve"> digital world map of epidemic alerts (http://www.healthmap.org/es/), 26 Maria del Carmen Ortega-</w:t>
      </w:r>
      <w:proofErr w:type="spellStart"/>
      <w:r w:rsidRPr="00E259CE">
        <w:rPr>
          <w:rFonts w:ascii="Arial" w:hAnsi="Arial" w:cs="Arial"/>
        </w:rPr>
        <w:t>Navas</w:t>
      </w:r>
      <w:proofErr w:type="spellEnd"/>
      <w:r w:rsidRPr="00E259CE">
        <w:rPr>
          <w:rFonts w:ascii="Arial" w:hAnsi="Arial" w:cs="Arial"/>
        </w:rPr>
        <w:t xml:space="preserve"> / Procedia - Social and Behavioral Sciences 237 ( 2017 ) 23 – 29 the Isla de la </w:t>
      </w:r>
      <w:proofErr w:type="spellStart"/>
      <w:r w:rsidRPr="00E259CE">
        <w:rPr>
          <w:rFonts w:ascii="Arial" w:hAnsi="Arial" w:cs="Arial"/>
        </w:rPr>
        <w:t>Salud</w:t>
      </w:r>
      <w:proofErr w:type="spellEnd"/>
      <w:r w:rsidRPr="00E259CE">
        <w:rPr>
          <w:rFonts w:ascii="Arial" w:hAnsi="Arial" w:cs="Arial"/>
        </w:rPr>
        <w:t xml:space="preserve"> virtual platform, which provides health information, and </w:t>
      </w:r>
      <w:proofErr w:type="spellStart"/>
      <w:r w:rsidRPr="00E259CE">
        <w:rPr>
          <w:rFonts w:ascii="Arial" w:hAnsi="Arial" w:cs="Arial"/>
        </w:rPr>
        <w:t>patientslikeme</w:t>
      </w:r>
      <w:proofErr w:type="spellEnd"/>
      <w:r w:rsidRPr="00E259CE">
        <w:rPr>
          <w:rFonts w:ascii="Arial" w:hAnsi="Arial" w:cs="Arial"/>
        </w:rPr>
        <w:t>, the community where health practitioners and patients can share information and talk about their experience with disease (http://www.patientslikeme.com/). The number of both for-profit and not-for-profit health institutions that are starting to use the web to provide information about specific syndromes and diseases has gradually increased. Spain is home to Grupo Neat, e</w:t>
      </w:r>
      <w:r w:rsidRPr="00E259CE">
        <w:rPr>
          <w:rFonts w:ascii="Arial" w:hAnsi="Arial" w:cs="Arial"/>
        </w:rPr>
        <w:t xml:space="preserve">Diagnostic, Fundación para la </w:t>
      </w:r>
      <w:proofErr w:type="spellStart"/>
      <w:r w:rsidRPr="00E259CE">
        <w:rPr>
          <w:rFonts w:ascii="Arial" w:hAnsi="Arial" w:cs="Arial"/>
        </w:rPr>
        <w:t>eSalud-FeSalud</w:t>
      </w:r>
      <w:proofErr w:type="spellEnd"/>
      <w:r w:rsidRPr="00E259CE">
        <w:rPr>
          <w:rFonts w:ascii="Arial" w:hAnsi="Arial" w:cs="Arial"/>
        </w:rPr>
        <w:t xml:space="preserve"> and </w:t>
      </w:r>
      <w:proofErr w:type="spellStart"/>
      <w:r w:rsidRPr="00E259CE">
        <w:rPr>
          <w:rFonts w:ascii="Arial" w:hAnsi="Arial" w:cs="Arial"/>
        </w:rPr>
        <w:t>Artica</w:t>
      </w:r>
      <w:proofErr w:type="spellEnd"/>
      <w:r w:rsidRPr="00E259CE">
        <w:rPr>
          <w:rFonts w:ascii="Arial" w:hAnsi="Arial" w:cs="Arial"/>
        </w:rPr>
        <w:t xml:space="preserve"> </w:t>
      </w:r>
      <w:proofErr w:type="spellStart"/>
      <w:r w:rsidRPr="00E259CE">
        <w:rPr>
          <w:rFonts w:ascii="Arial" w:hAnsi="Arial" w:cs="Arial"/>
        </w:rPr>
        <w:t>Telemedicina</w:t>
      </w:r>
      <w:proofErr w:type="spellEnd"/>
      <w:r w:rsidRPr="00E259CE">
        <w:rPr>
          <w:rFonts w:ascii="Arial" w:hAnsi="Arial" w:cs="Arial"/>
        </w:rPr>
        <w:t>; and abroad we find the American Telemedicine Association, the Institute for Community Medicine and the Norwegian Centre for Integrated Care and Telemedicine. More and more often, spaces are being created where users can share their medical experiences with one another. Even in Europe, where most health services are publicly funded and the majority of medical facilities are state-owned, scores of “Web doctors” and specialized centers that use telemedicine abound. In Spain the Health Technology Evaluation Agency was founded in 1994 as a branch of the Carlos III Institute, with the technical and scientific support of the Spanish Ministry of Health and the Spanish National Health Institute. The agency’s mandate is to evaluate the different health technologies and promote good use of existing technologies. As mentioned before, technological progress and the application of technology to the field of health are made possible thanks to the combination of scientific and technical disciplines (such as engineering and robotics) with communications. Research agreements along these lines have been made between Spanish schools, like the agreement between the Complutensian University of Madrid School of Medicine and Madrid Polytechnic University (e-health research) creating the Innovative Medicine Cluster, which is working on developing new imaging-based diagnostic techniques so that new advanced social services and e-health services such as telemedicine can be rolled out. To sum up, telemedicine devices are becoming a viable alternative for patients. Every day talk of telecare, telemedicine and telemonitoring is becoming more frequent. Table (2) below lists some of the telecommunication instruments that are playing the biggest roles in the development of telemedicine</w:t>
      </w:r>
    </w:p>
    <w:p w14:paraId="38B6371F" w14:textId="296D8DF9" w:rsidR="00660A87" w:rsidRPr="00660A87" w:rsidRDefault="00660A87" w:rsidP="00660A87">
      <w:pPr>
        <w:rPr>
          <w:rFonts w:ascii="Arial" w:hAnsi="Arial" w:cs="Arial"/>
        </w:rPr>
      </w:pPr>
    </w:p>
    <w:p w14:paraId="6AEC653E" w14:textId="09F4E8EC" w:rsidR="00660A87" w:rsidRPr="00660A87" w:rsidRDefault="00660A87" w:rsidP="00660A87">
      <w:pPr>
        <w:rPr>
          <w:rFonts w:ascii="Arial" w:hAnsi="Arial" w:cs="Arial"/>
        </w:rPr>
      </w:pPr>
    </w:p>
    <w:p w14:paraId="0D575F66" w14:textId="094EE4F3" w:rsidR="00DA0286" w:rsidRPr="00A372E3" w:rsidRDefault="00CF17C6" w:rsidP="00660A87">
      <w:pPr>
        <w:rPr>
          <w:rStyle w:val="Heading1Char"/>
          <w:rFonts w:ascii="Arial" w:eastAsiaTheme="minorHAnsi" w:hAnsi="Arial" w:cs="Arial"/>
          <w:color w:val="auto"/>
          <w:sz w:val="22"/>
          <w:szCs w:val="22"/>
        </w:rPr>
      </w:pPr>
      <w:bookmarkStart w:id="3" w:name="_Toc123679343"/>
      <w:r w:rsidRPr="00CF17C6">
        <w:rPr>
          <w:rStyle w:val="Heading1Char"/>
        </w:rPr>
        <w:t xml:space="preserve">Section 2.2: </w:t>
      </w:r>
      <w:r w:rsidR="00660A87" w:rsidRPr="00CF17C6">
        <w:rPr>
          <w:rStyle w:val="Heading1Char"/>
        </w:rPr>
        <w:t>Telemedicine</w:t>
      </w:r>
      <w:r w:rsidR="001068D5" w:rsidRPr="00CF17C6">
        <w:rPr>
          <w:rStyle w:val="Heading1Char"/>
        </w:rPr>
        <w:t>:</w:t>
      </w:r>
      <w:bookmarkEnd w:id="3"/>
      <w:r w:rsidR="00660A87" w:rsidRPr="00CF17C6">
        <w:rPr>
          <w:rStyle w:val="Heading1Char"/>
        </w:rPr>
        <w:t xml:space="preserve"> </w:t>
      </w:r>
      <w:r w:rsidR="00660A87" w:rsidRPr="00660A87">
        <w:rPr>
          <w:rFonts w:ascii="Arial" w:hAnsi="Arial" w:cs="Arial"/>
        </w:rPr>
        <w:t xml:space="preserve">Telemedicine spans a wide range of telecommunications and information technologies and many clinical applications, although the most common medium is interactive video. The first telemedicine programs were established nearly 40 years ago, but technology has surged ahead in the last decade. Despite the spread of telemedicine, the volume of patients who receive services using telemedicine technology remains relatively low (around 21,000 in 1996). Research into the efficacy of telemedicine is rather limited, although the work that has been done to date supports the hypothesis that in general the technology is medically effective. The cost/effectiveness of specific telemedicine applications has not yet been rigorously proved. Telemedicine services focus on health applications such as tele-ultrasound, tele-cardiology, tele-pathology, tele-cytology and tele-education (Wootton and </w:t>
      </w:r>
      <w:proofErr w:type="spellStart"/>
      <w:r w:rsidR="00660A87" w:rsidRPr="00660A87">
        <w:rPr>
          <w:rFonts w:ascii="Arial" w:hAnsi="Arial" w:cs="Arial"/>
        </w:rPr>
        <w:t>Bonnardot</w:t>
      </w:r>
      <w:proofErr w:type="spellEnd"/>
      <w:r w:rsidR="00660A87" w:rsidRPr="00660A87">
        <w:rPr>
          <w:rFonts w:ascii="Arial" w:hAnsi="Arial" w:cs="Arial"/>
        </w:rPr>
        <w:t>, 2010).</w:t>
      </w:r>
    </w:p>
    <w:p w14:paraId="7398EC3C" w14:textId="0665E037" w:rsidR="00965F55" w:rsidRDefault="0059737F" w:rsidP="00660A87">
      <w:pPr>
        <w:rPr>
          <w:rFonts w:ascii="Arial" w:hAnsi="Arial" w:cs="Arial"/>
        </w:rPr>
      </w:pPr>
      <w:bookmarkStart w:id="4" w:name="_Toc123679344"/>
      <w:r w:rsidRPr="0059737F">
        <w:rPr>
          <w:rStyle w:val="Heading1Char"/>
        </w:rPr>
        <w:lastRenderedPageBreak/>
        <w:t xml:space="preserve">Section 2.3: </w:t>
      </w:r>
      <w:r w:rsidR="00660A87" w:rsidRPr="0059737F">
        <w:rPr>
          <w:rStyle w:val="Heading1Char"/>
        </w:rPr>
        <w:t>Telecare</w:t>
      </w:r>
      <w:r w:rsidR="00A50053" w:rsidRPr="0059737F">
        <w:rPr>
          <w:rStyle w:val="Heading1Char"/>
        </w:rPr>
        <w:t>:</w:t>
      </w:r>
      <w:bookmarkEnd w:id="4"/>
      <w:r w:rsidR="00660A87" w:rsidRPr="00660A87">
        <w:rPr>
          <w:rFonts w:ascii="Arial" w:hAnsi="Arial" w:cs="Arial"/>
        </w:rPr>
        <w:t xml:space="preserve"> Telecare includes technologies, equipment and technological services providing personal health care from a distance (Valero, Sánchez &amp; Bermejo, 2007). Telecare runs the gamut from remote monitoring of a patient’s vital signs to evaluation of clinical analyses, systems that sound an alarm should the patient’s health fail, diagnosis via videoconference and a multitude of health care applications. “Home tele-assistance” has been and still is one of the most important, widespread contributions technology has made to enabling disabled persons to live autonomously and independently in their own home. The Spanish Red Cross has a praiseworthy pilot mobile telecare project based on the use of communication technologies, cell phones and remote locating systems (GSM and GPS) aimed at working with the potential of new ICT to expand the advantages of home tele-assistance. </w:t>
      </w:r>
    </w:p>
    <w:p w14:paraId="0292A6A3" w14:textId="77777777" w:rsidR="00717E05" w:rsidRDefault="00717E05" w:rsidP="00660A87">
      <w:pPr>
        <w:rPr>
          <w:rFonts w:ascii="Arial" w:hAnsi="Arial" w:cs="Arial"/>
        </w:rPr>
      </w:pPr>
    </w:p>
    <w:p w14:paraId="139860B5" w14:textId="4F5F74E7" w:rsidR="00660A87" w:rsidRDefault="0059737F" w:rsidP="00660A87">
      <w:pPr>
        <w:rPr>
          <w:rFonts w:ascii="Arial" w:hAnsi="Arial" w:cs="Arial"/>
        </w:rPr>
      </w:pPr>
      <w:bookmarkStart w:id="5" w:name="_Toc123679345"/>
      <w:r w:rsidRPr="00A144E8">
        <w:rPr>
          <w:rStyle w:val="Heading1Char"/>
        </w:rPr>
        <w:t>Section 2.</w:t>
      </w:r>
      <w:r w:rsidR="00A144E8" w:rsidRPr="00A144E8">
        <w:rPr>
          <w:rStyle w:val="Heading1Char"/>
        </w:rPr>
        <w:t xml:space="preserve">4: </w:t>
      </w:r>
      <w:r w:rsidR="00660A87" w:rsidRPr="00A144E8">
        <w:rPr>
          <w:rStyle w:val="Heading1Char"/>
        </w:rPr>
        <w:t>Telemonitoring</w:t>
      </w:r>
      <w:r w:rsidR="00965F55" w:rsidRPr="00A144E8">
        <w:rPr>
          <w:rStyle w:val="Heading1Char"/>
        </w:rPr>
        <w:t>:</w:t>
      </w:r>
      <w:bookmarkEnd w:id="5"/>
      <w:r w:rsidR="00660A87" w:rsidRPr="00660A87">
        <w:rPr>
          <w:rFonts w:ascii="Arial" w:hAnsi="Arial" w:cs="Arial"/>
        </w:rPr>
        <w:t xml:space="preserve"> Telemonitoring is a specialty that got its start in the USA twenty years ago as a part of telemedicine. It enables real-time or recorded data to be communicated or transmitted between the patient and health practitioners, so certain biological parameters can be tracked right from the patient’s home</w:t>
      </w:r>
    </w:p>
    <w:p w14:paraId="105DF202" w14:textId="77777777" w:rsidR="00717E05" w:rsidRPr="00660A87" w:rsidRDefault="00717E05" w:rsidP="00660A87">
      <w:pPr>
        <w:rPr>
          <w:rFonts w:ascii="Arial" w:hAnsi="Arial" w:cs="Arial"/>
        </w:rPr>
      </w:pPr>
    </w:p>
    <w:p w14:paraId="3BBC0C7F" w14:textId="2E5D4C31" w:rsidR="00660A87" w:rsidRPr="00E259CE" w:rsidRDefault="003602D3" w:rsidP="00E259CE">
      <w:pPr>
        <w:rPr>
          <w:rFonts w:ascii="Arial" w:hAnsi="Arial" w:cs="Arial"/>
        </w:rPr>
      </w:pPr>
      <w:bookmarkStart w:id="6" w:name="_Toc123679346"/>
      <w:r>
        <w:rPr>
          <w:rStyle w:val="Heading1Char"/>
        </w:rPr>
        <w:t xml:space="preserve">Section 2.5: </w:t>
      </w:r>
      <w:r w:rsidR="00660A87" w:rsidRPr="00463635">
        <w:rPr>
          <w:rStyle w:val="Heading1Char"/>
        </w:rPr>
        <w:t>Effects of technology on health promotion and our quality of life</w:t>
      </w:r>
      <w:bookmarkEnd w:id="6"/>
      <w:r w:rsidR="00C6082E">
        <w:rPr>
          <w:rFonts w:ascii="Arial" w:hAnsi="Arial" w:cs="Arial"/>
        </w:rPr>
        <w:t xml:space="preserve">: </w:t>
      </w:r>
      <w:r w:rsidR="00660A87" w:rsidRPr="00E259CE">
        <w:rPr>
          <w:rFonts w:ascii="Arial" w:hAnsi="Arial" w:cs="Arial"/>
        </w:rPr>
        <w:t xml:space="preserve">Technological progress offers great potential in the acquisition of health information, care and services. It forges technologies into increasingly powerful tools with expanding possibilities for the development of health education and prevention programs. According to </w:t>
      </w:r>
      <w:proofErr w:type="spellStart"/>
      <w:r w:rsidR="00660A87" w:rsidRPr="00E259CE">
        <w:rPr>
          <w:rFonts w:ascii="Arial" w:hAnsi="Arial" w:cs="Arial"/>
        </w:rPr>
        <w:t>Cordón</w:t>
      </w:r>
      <w:proofErr w:type="spellEnd"/>
      <w:r w:rsidR="00660A87" w:rsidRPr="00E259CE">
        <w:rPr>
          <w:rFonts w:ascii="Arial" w:hAnsi="Arial" w:cs="Arial"/>
        </w:rPr>
        <w:t xml:space="preserve"> (2007), the Internet has become an integral part of the modern concept of health. It provides support for not only health institutions and practitioners, but also for the population at large. In addition, technologies foster efficiency and open up possibilities for new treatments and wellness. The contributions new technologies have made have changed some of the paradigms we use in public health promotion (inter alia, the biomedical and the biopsychosocial). They have also changed the mission of education in</w:t>
      </w:r>
      <w:r w:rsidR="00660A87" w:rsidRPr="00E259CE">
        <w:rPr>
          <w:rFonts w:ascii="Arial" w:hAnsi="Arial" w:cs="Arial"/>
        </w:rPr>
        <w:t xml:space="preserve"> </w:t>
      </w:r>
      <w:r w:rsidR="00660A87" w:rsidRPr="00E259CE">
        <w:rPr>
          <w:rFonts w:ascii="Arial" w:hAnsi="Arial" w:cs="Arial"/>
        </w:rPr>
        <w:t>this area by helping to improve quality of life and facilitate shared information and communication among health practitioners and between health practitioners and their patients. ICT use provides greater flexibility and the capacity for stronger and finer control, evaluation and management of health and personal wellness. In addition, ICT enables a greater quantity of information to be gathered and processed. It facilitates use of the necessary resources in disease treatment to minimize possible side effects, thus making disease treatment safer. Nevertheless, although many technological advances contribute to health and make daily life easier, unbridled use of technology in the daily environment can lead to negative effects on the human body. In addition, the way that technologies can change the practitioner/patient relationship and the caregiver/practitioner relationship are topics in which there should be further research. The same may be said of organizational aspects, such as the degree of patient and practitioner engagement in the process, with process use, acceptance and continuity</w:t>
      </w:r>
    </w:p>
    <w:p w14:paraId="1BC51D73" w14:textId="3218294A" w:rsidR="00660A87" w:rsidRPr="00660A87" w:rsidRDefault="00660A87" w:rsidP="00660A87">
      <w:pPr>
        <w:pStyle w:val="ListParagraph"/>
        <w:rPr>
          <w:rFonts w:ascii="Arial" w:hAnsi="Arial" w:cs="Arial"/>
        </w:rPr>
      </w:pPr>
    </w:p>
    <w:p w14:paraId="63F4C28A" w14:textId="3FD80CFD" w:rsidR="00660A87" w:rsidRDefault="00660A87" w:rsidP="00660A87">
      <w:pPr>
        <w:pStyle w:val="ListParagraph"/>
        <w:rPr>
          <w:rFonts w:ascii="Arial" w:hAnsi="Arial" w:cs="Arial"/>
        </w:rPr>
      </w:pPr>
    </w:p>
    <w:p w14:paraId="0A87468E" w14:textId="77777777" w:rsidR="00717E05" w:rsidRDefault="00717E05" w:rsidP="00660A87">
      <w:pPr>
        <w:pStyle w:val="ListParagraph"/>
        <w:rPr>
          <w:rFonts w:ascii="Arial" w:hAnsi="Arial" w:cs="Arial"/>
        </w:rPr>
      </w:pPr>
    </w:p>
    <w:p w14:paraId="3606E4D2" w14:textId="77777777" w:rsidR="00717E05" w:rsidRPr="00660A87" w:rsidRDefault="00717E05" w:rsidP="00660A87">
      <w:pPr>
        <w:pStyle w:val="ListParagraph"/>
        <w:rPr>
          <w:rFonts w:ascii="Arial" w:hAnsi="Arial" w:cs="Arial"/>
        </w:rPr>
      </w:pPr>
    </w:p>
    <w:p w14:paraId="5E770C1E" w14:textId="14318915" w:rsidR="00660A87" w:rsidRPr="00E259CE" w:rsidRDefault="009A31B5" w:rsidP="00E259CE">
      <w:pPr>
        <w:rPr>
          <w:rFonts w:ascii="Arial" w:hAnsi="Arial" w:cs="Arial"/>
        </w:rPr>
      </w:pPr>
      <w:bookmarkStart w:id="7" w:name="_Toc123679347"/>
      <w:r w:rsidRPr="009A31B5">
        <w:rPr>
          <w:rStyle w:val="Heading1Char"/>
        </w:rPr>
        <w:lastRenderedPageBreak/>
        <w:t xml:space="preserve">Section 3: </w:t>
      </w:r>
      <w:r w:rsidR="00DB5D85" w:rsidRPr="009A31B5">
        <w:rPr>
          <w:rStyle w:val="Heading1Char"/>
        </w:rPr>
        <w:t>Conclusions</w:t>
      </w:r>
      <w:r w:rsidR="00FF5435" w:rsidRPr="009A31B5">
        <w:rPr>
          <w:rStyle w:val="Heading1Char"/>
        </w:rPr>
        <w:t>:</w:t>
      </w:r>
      <w:bookmarkEnd w:id="7"/>
      <w:r w:rsidR="00FF5435">
        <w:rPr>
          <w:rFonts w:ascii="Arial" w:hAnsi="Arial" w:cs="Arial"/>
        </w:rPr>
        <w:br/>
      </w:r>
      <w:r w:rsidR="00660A87" w:rsidRPr="00E259CE">
        <w:rPr>
          <w:rFonts w:ascii="Arial" w:hAnsi="Arial" w:cs="Arial"/>
        </w:rPr>
        <w:t xml:space="preserve">The technologies we use to improve our health are constantly growing. In fact, technologies have caused some highly significant changes in the configuration of health services. Technologies are an extraordinarily effective tool that will improve our quality of life and usher in a trend of development via fair resource use. In addition, as an element of our daily life and work, technologies ensure progress and stimulate creativity and innovation for the benefit of individuals and society. New digital technologies are giving individuals fairer access to certain services, even from hard-to-reach places, and are providing great support for maintaining and fostering health from an increasingly humanized standpoint. Nonetheless, while it is true that it is hard for us to do without the advantages of tech use in health, it is no less true that we need to use technologies rationally. Overusing technology can have bad connotations if we do not first analyze and evaluate the negative effects technologies can have on physical and mental health (e.g., muscular aches, lack of concentration, addiction, stress, insomnia) and the possible consequences (e.g., the consequences of electromagnetic fields due to indiscriminate technology use). That is why health educators should create a role for themselves as authorities who can help people learn to discern which health information is reliable and to interpret that information. </w:t>
      </w:r>
      <w:proofErr w:type="spellStart"/>
      <w:r w:rsidR="00660A87" w:rsidRPr="00E259CE">
        <w:rPr>
          <w:rFonts w:ascii="Arial" w:hAnsi="Arial" w:cs="Arial"/>
        </w:rPr>
        <w:t>Ekeland</w:t>
      </w:r>
      <w:proofErr w:type="spellEnd"/>
      <w:r w:rsidR="00660A87" w:rsidRPr="00E259CE">
        <w:rPr>
          <w:rFonts w:ascii="Arial" w:hAnsi="Arial" w:cs="Arial"/>
        </w:rPr>
        <w:t xml:space="preserve"> and </w:t>
      </w:r>
      <w:proofErr w:type="spellStart"/>
      <w:r w:rsidR="00660A87" w:rsidRPr="00E259CE">
        <w:rPr>
          <w:rFonts w:ascii="Arial" w:hAnsi="Arial" w:cs="Arial"/>
        </w:rPr>
        <w:t>Flottorp</w:t>
      </w:r>
      <w:proofErr w:type="spellEnd"/>
      <w:r w:rsidR="00660A87" w:rsidRPr="00E259CE">
        <w:rPr>
          <w:rFonts w:ascii="Arial" w:hAnsi="Arial" w:cs="Arial"/>
        </w:rPr>
        <w:t xml:space="preserve"> (2012) stress the importance of evaluating training abilities in educational technology and even maintain that efficacy depends on the health practitioner’s age and tech savvy. Other authors, </w:t>
      </w:r>
      <w:proofErr w:type="spellStart"/>
      <w:r w:rsidR="00660A87" w:rsidRPr="00E259CE">
        <w:rPr>
          <w:rFonts w:ascii="Arial" w:hAnsi="Arial" w:cs="Arial"/>
        </w:rPr>
        <w:t>Gabarrón</w:t>
      </w:r>
      <w:proofErr w:type="spellEnd"/>
      <w:r w:rsidR="00660A87" w:rsidRPr="00E259CE">
        <w:rPr>
          <w:rFonts w:ascii="Arial" w:hAnsi="Arial" w:cs="Arial"/>
        </w:rPr>
        <w:t xml:space="preserve"> &amp; Fernández-</w:t>
      </w:r>
      <w:proofErr w:type="spellStart"/>
      <w:r w:rsidR="00660A87" w:rsidRPr="00E259CE">
        <w:rPr>
          <w:rFonts w:ascii="Arial" w:hAnsi="Arial" w:cs="Arial"/>
        </w:rPr>
        <w:t>Luque</w:t>
      </w:r>
      <w:proofErr w:type="spellEnd"/>
      <w:r w:rsidR="00660A87" w:rsidRPr="00E259CE">
        <w:rPr>
          <w:rFonts w:ascii="Arial" w:hAnsi="Arial" w:cs="Arial"/>
        </w:rPr>
        <w:t xml:space="preserve"> (2012), affirm, “Politicians and health managers have got to understand that we are facing a new generation of users and patients who have access to information, and that leading and managing this situation properly ought to be seen as an opportunity to convert our health system to a new model that is more collaborative, accessible, transparent and sustainable.” And education, of course, must not be left behind. Quite the contrary: Making health a reality for everyone through technology must be fostered and encouraged. Let us not end without underlining the importance of training health educators properly in the use of new health promotion technologies and, of course, in greater quality of life, so the health advantages of technologies can be leveraged. In short, educating people to use technologies in today’s society and apply technologies to health, always bearing in mind the recommendations of professional ethics for tools of this type, will undeniably help promote healthy lifestyles, prevent and palliate disease, aid with rehabilitation and facilitate care for possible aftereffects.</w:t>
      </w:r>
    </w:p>
    <w:p w14:paraId="40332DDC" w14:textId="06732765" w:rsidR="00660A87" w:rsidRPr="00660A87" w:rsidRDefault="00660A87" w:rsidP="00660A87">
      <w:pPr>
        <w:rPr>
          <w:rFonts w:ascii="Arial" w:hAnsi="Arial" w:cs="Arial"/>
        </w:rPr>
      </w:pPr>
    </w:p>
    <w:p w14:paraId="0ABAF256" w14:textId="40EF79E6" w:rsidR="00660A87" w:rsidRPr="00660A87" w:rsidRDefault="00660A87" w:rsidP="00660A87">
      <w:pPr>
        <w:rPr>
          <w:rFonts w:ascii="Arial" w:hAnsi="Arial" w:cs="Arial"/>
        </w:rPr>
      </w:pPr>
    </w:p>
    <w:p w14:paraId="3E245049" w14:textId="1228D14C" w:rsidR="00660A87" w:rsidRPr="00660A87" w:rsidRDefault="00660A87" w:rsidP="00660A87">
      <w:pPr>
        <w:rPr>
          <w:rFonts w:ascii="Arial" w:hAnsi="Arial" w:cs="Arial"/>
        </w:rPr>
      </w:pPr>
    </w:p>
    <w:p w14:paraId="42F1FCBE" w14:textId="5879DE56" w:rsidR="00660A87" w:rsidRPr="00660A87" w:rsidRDefault="00660A87" w:rsidP="00660A87">
      <w:pPr>
        <w:rPr>
          <w:rFonts w:ascii="Arial" w:hAnsi="Arial" w:cs="Arial"/>
        </w:rPr>
      </w:pPr>
    </w:p>
    <w:p w14:paraId="565376DC" w14:textId="7B0F1769" w:rsidR="00660A87" w:rsidRPr="00CD5C15" w:rsidRDefault="009A31B5" w:rsidP="009A31B5">
      <w:pPr>
        <w:pStyle w:val="Heading1"/>
      </w:pPr>
      <w:bookmarkStart w:id="8" w:name="_Toc123679348"/>
      <w:r>
        <w:t xml:space="preserve">Section </w:t>
      </w:r>
      <w:proofErr w:type="gramStart"/>
      <w:r>
        <w:t>4 :</w:t>
      </w:r>
      <w:r w:rsidR="0048730C" w:rsidRPr="00CD5C15">
        <w:t>References</w:t>
      </w:r>
      <w:proofErr w:type="gramEnd"/>
      <w:r w:rsidR="00CD5C15" w:rsidRPr="00CD5C15">
        <w:t>:</w:t>
      </w:r>
      <w:bookmarkEnd w:id="8"/>
    </w:p>
    <w:p w14:paraId="486CB9C1" w14:textId="4AAF875F" w:rsidR="00660A87" w:rsidRPr="00660A87" w:rsidRDefault="0065216F" w:rsidP="00660A87">
      <w:pPr>
        <w:rPr>
          <w:rFonts w:ascii="Arial" w:hAnsi="Arial" w:cs="Arial"/>
        </w:rPr>
      </w:pPr>
      <w:proofErr w:type="spellStart"/>
      <w:r>
        <w:t>Colomer</w:t>
      </w:r>
      <w:proofErr w:type="spellEnd"/>
      <w:r>
        <w:t>, C. y Álvarez-</w:t>
      </w:r>
      <w:proofErr w:type="spellStart"/>
      <w:r>
        <w:t>Dardet</w:t>
      </w:r>
      <w:proofErr w:type="spellEnd"/>
      <w:r>
        <w:t xml:space="preserve">, C. (2001). </w:t>
      </w:r>
      <w:proofErr w:type="spellStart"/>
      <w:r>
        <w:t>Promoción</w:t>
      </w:r>
      <w:proofErr w:type="spellEnd"/>
      <w:r>
        <w:t xml:space="preserve"> de la </w:t>
      </w:r>
      <w:proofErr w:type="spellStart"/>
      <w:r>
        <w:t>salud</w:t>
      </w:r>
      <w:proofErr w:type="spellEnd"/>
      <w:r>
        <w:t xml:space="preserve"> y </w:t>
      </w:r>
      <w:proofErr w:type="spellStart"/>
      <w:r>
        <w:t>cambio</w:t>
      </w:r>
      <w:proofErr w:type="spellEnd"/>
      <w:r>
        <w:t xml:space="preserve"> social. Madrid: Masson.</w:t>
      </w:r>
      <w:r>
        <w:br/>
      </w:r>
      <w:proofErr w:type="spellStart"/>
      <w:r w:rsidR="00A5393C">
        <w:t>Fumero</w:t>
      </w:r>
      <w:proofErr w:type="spellEnd"/>
      <w:r w:rsidR="00A5393C">
        <w:t>, A. y Roca, G. (2007). Web 2.0. Madrid: Fundación Orange.</w:t>
      </w:r>
      <w:r w:rsidR="00A5393C">
        <w:br/>
      </w:r>
      <w:r w:rsidR="008C35F9">
        <w:t xml:space="preserve">European Commission. Information Society. </w:t>
      </w:r>
      <w:proofErr w:type="spellStart"/>
      <w:r w:rsidR="008C35F9">
        <w:t>Comission</w:t>
      </w:r>
      <w:proofErr w:type="spellEnd"/>
      <w:r w:rsidR="008C35F9">
        <w:t xml:space="preserve"> Staff (2009). Telemedicine for the benefit of patients, healthcare systems and Society</w:t>
      </w:r>
    </w:p>
    <w:p w14:paraId="5D48DC3A" w14:textId="77777777" w:rsidR="00660A87" w:rsidRPr="00660A87" w:rsidRDefault="00660A87" w:rsidP="00660A87">
      <w:pPr>
        <w:rPr>
          <w:rFonts w:ascii="Arial" w:hAnsi="Arial" w:cs="Arial"/>
        </w:rPr>
      </w:pPr>
    </w:p>
    <w:p w14:paraId="166EE13F" w14:textId="77777777" w:rsidR="00660A87" w:rsidRPr="00660A87" w:rsidRDefault="00660A87">
      <w:pPr>
        <w:rPr>
          <w:rFonts w:ascii="Arial" w:hAnsi="Arial" w:cs="Arial"/>
        </w:rPr>
      </w:pPr>
    </w:p>
    <w:sectPr w:rsidR="00660A87" w:rsidRPr="00660A87" w:rsidSect="00660A87">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4F1B6" w14:textId="77777777" w:rsidR="00F41CC4" w:rsidRDefault="00F41CC4" w:rsidP="00660A87">
      <w:pPr>
        <w:spacing w:after="0" w:line="240" w:lineRule="auto"/>
      </w:pPr>
      <w:r>
        <w:separator/>
      </w:r>
    </w:p>
  </w:endnote>
  <w:endnote w:type="continuationSeparator" w:id="0">
    <w:p w14:paraId="2E25BF3F" w14:textId="77777777" w:rsidR="00F41CC4" w:rsidRDefault="00F41CC4" w:rsidP="00660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698683"/>
      <w:docPartObj>
        <w:docPartGallery w:val="Page Numbers (Bottom of Page)"/>
        <w:docPartUnique/>
      </w:docPartObj>
    </w:sdtPr>
    <w:sdtEndPr>
      <w:rPr>
        <w:noProof/>
      </w:rPr>
    </w:sdtEndPr>
    <w:sdtContent>
      <w:p w14:paraId="1B197717" w14:textId="1774A9DD" w:rsidR="00660A87" w:rsidRDefault="00660A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FFA562" w14:textId="77777777" w:rsidR="00660A87" w:rsidRDefault="00660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B919C" w14:textId="77777777" w:rsidR="00F41CC4" w:rsidRDefault="00F41CC4" w:rsidP="00660A87">
      <w:pPr>
        <w:spacing w:after="0" w:line="240" w:lineRule="auto"/>
      </w:pPr>
      <w:r>
        <w:separator/>
      </w:r>
    </w:p>
  </w:footnote>
  <w:footnote w:type="continuationSeparator" w:id="0">
    <w:p w14:paraId="19ACCD23" w14:textId="77777777" w:rsidR="00F41CC4" w:rsidRDefault="00F41CC4" w:rsidP="00660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B78D7"/>
    <w:multiLevelType w:val="hybridMultilevel"/>
    <w:tmpl w:val="6178AD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6030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A87"/>
    <w:rsid w:val="00016DF9"/>
    <w:rsid w:val="00086FC8"/>
    <w:rsid w:val="000B533B"/>
    <w:rsid w:val="000C7DDD"/>
    <w:rsid w:val="001068D5"/>
    <w:rsid w:val="00107D90"/>
    <w:rsid w:val="00234177"/>
    <w:rsid w:val="00254329"/>
    <w:rsid w:val="003171C9"/>
    <w:rsid w:val="003602D3"/>
    <w:rsid w:val="00370035"/>
    <w:rsid w:val="003A7BE4"/>
    <w:rsid w:val="00420318"/>
    <w:rsid w:val="00456590"/>
    <w:rsid w:val="00463635"/>
    <w:rsid w:val="0047114B"/>
    <w:rsid w:val="00471519"/>
    <w:rsid w:val="0048730C"/>
    <w:rsid w:val="004B07A0"/>
    <w:rsid w:val="004F77D5"/>
    <w:rsid w:val="0051402F"/>
    <w:rsid w:val="0059737F"/>
    <w:rsid w:val="006227AE"/>
    <w:rsid w:val="0065216F"/>
    <w:rsid w:val="00660A87"/>
    <w:rsid w:val="006B5B5F"/>
    <w:rsid w:val="00717E05"/>
    <w:rsid w:val="00727BFD"/>
    <w:rsid w:val="0073083A"/>
    <w:rsid w:val="00794773"/>
    <w:rsid w:val="00797682"/>
    <w:rsid w:val="007B25FD"/>
    <w:rsid w:val="0083497F"/>
    <w:rsid w:val="008662B3"/>
    <w:rsid w:val="008A7F0F"/>
    <w:rsid w:val="008C35F9"/>
    <w:rsid w:val="009613DD"/>
    <w:rsid w:val="00965F55"/>
    <w:rsid w:val="00994536"/>
    <w:rsid w:val="009A31B5"/>
    <w:rsid w:val="009D7D06"/>
    <w:rsid w:val="00A144E8"/>
    <w:rsid w:val="00A372E3"/>
    <w:rsid w:val="00A50053"/>
    <w:rsid w:val="00A5393C"/>
    <w:rsid w:val="00A653BC"/>
    <w:rsid w:val="00A826AC"/>
    <w:rsid w:val="00AF5240"/>
    <w:rsid w:val="00B320EB"/>
    <w:rsid w:val="00B42CA4"/>
    <w:rsid w:val="00BD4481"/>
    <w:rsid w:val="00C6082E"/>
    <w:rsid w:val="00CD2148"/>
    <w:rsid w:val="00CD4633"/>
    <w:rsid w:val="00CD5C15"/>
    <w:rsid w:val="00CF17C6"/>
    <w:rsid w:val="00D1397F"/>
    <w:rsid w:val="00D9471C"/>
    <w:rsid w:val="00DA0286"/>
    <w:rsid w:val="00DA6BC8"/>
    <w:rsid w:val="00DB5D85"/>
    <w:rsid w:val="00E259CE"/>
    <w:rsid w:val="00E530FE"/>
    <w:rsid w:val="00E64B1C"/>
    <w:rsid w:val="00EC4C21"/>
    <w:rsid w:val="00F2246F"/>
    <w:rsid w:val="00F32E42"/>
    <w:rsid w:val="00F41CC4"/>
    <w:rsid w:val="00F64457"/>
    <w:rsid w:val="00FA4AB3"/>
    <w:rsid w:val="00FA5B63"/>
    <w:rsid w:val="00FF5435"/>
    <w:rsid w:val="00FF5752"/>
    <w:rsid w:val="00FF6C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727A4"/>
  <w15:chartTrackingRefBased/>
  <w15:docId w15:val="{3A6F49B5-BE01-4234-89FB-1E121D7EA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D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0A87"/>
    <w:pPr>
      <w:ind w:left="720"/>
      <w:contextualSpacing/>
    </w:pPr>
  </w:style>
  <w:style w:type="paragraph" w:styleId="Header">
    <w:name w:val="header"/>
    <w:basedOn w:val="Normal"/>
    <w:link w:val="HeaderChar"/>
    <w:uiPriority w:val="99"/>
    <w:unhideWhenUsed/>
    <w:rsid w:val="00660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0A87"/>
  </w:style>
  <w:style w:type="paragraph" w:styleId="Footer">
    <w:name w:val="footer"/>
    <w:basedOn w:val="Normal"/>
    <w:link w:val="FooterChar"/>
    <w:uiPriority w:val="99"/>
    <w:unhideWhenUsed/>
    <w:rsid w:val="00660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0A87"/>
  </w:style>
  <w:style w:type="character" w:customStyle="1" w:styleId="Heading1Char">
    <w:name w:val="Heading 1 Char"/>
    <w:basedOn w:val="DefaultParagraphFont"/>
    <w:link w:val="Heading1"/>
    <w:uiPriority w:val="9"/>
    <w:rsid w:val="009D7D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26AC"/>
    <w:pPr>
      <w:outlineLvl w:val="9"/>
    </w:pPr>
  </w:style>
  <w:style w:type="paragraph" w:styleId="TOC1">
    <w:name w:val="toc 1"/>
    <w:basedOn w:val="Normal"/>
    <w:next w:val="Normal"/>
    <w:autoRedefine/>
    <w:uiPriority w:val="39"/>
    <w:unhideWhenUsed/>
    <w:rsid w:val="00A826AC"/>
    <w:pPr>
      <w:spacing w:after="100"/>
    </w:pPr>
  </w:style>
  <w:style w:type="character" w:styleId="Hyperlink">
    <w:name w:val="Hyperlink"/>
    <w:basedOn w:val="DefaultParagraphFont"/>
    <w:uiPriority w:val="99"/>
    <w:unhideWhenUsed/>
    <w:rsid w:val="00A826AC"/>
    <w:rPr>
      <w:color w:val="0563C1" w:themeColor="hyperlink"/>
      <w:u w:val="single"/>
    </w:rPr>
  </w:style>
  <w:style w:type="paragraph" w:styleId="TOC2">
    <w:name w:val="toc 2"/>
    <w:basedOn w:val="Normal"/>
    <w:next w:val="Normal"/>
    <w:autoRedefine/>
    <w:uiPriority w:val="39"/>
    <w:unhideWhenUsed/>
    <w:rsid w:val="00A826AC"/>
    <w:pPr>
      <w:spacing w:after="100"/>
      <w:ind w:left="220"/>
    </w:pPr>
    <w:rPr>
      <w:rFonts w:eastAsiaTheme="minorEastAsia" w:cs="Times New Roman"/>
    </w:rPr>
  </w:style>
  <w:style w:type="paragraph" w:styleId="TOC3">
    <w:name w:val="toc 3"/>
    <w:basedOn w:val="Normal"/>
    <w:next w:val="Normal"/>
    <w:autoRedefine/>
    <w:uiPriority w:val="39"/>
    <w:unhideWhenUsed/>
    <w:rsid w:val="00A826AC"/>
    <w:pPr>
      <w:spacing w:after="100"/>
      <w:ind w:left="440"/>
    </w:pPr>
    <w:rPr>
      <w:rFonts w:eastAsiaTheme="minorEastAsia" w:cs="Times New Roman"/>
    </w:rPr>
  </w:style>
  <w:style w:type="paragraph" w:styleId="NormalWeb">
    <w:name w:val="Normal (Web)"/>
    <w:basedOn w:val="Normal"/>
    <w:uiPriority w:val="99"/>
    <w:semiHidden/>
    <w:unhideWhenUsed/>
    <w:rsid w:val="0045659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3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893AB-F7ED-43DB-8A81-41E4A6A8E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8</Pages>
  <Words>2770</Words>
  <Characters>15792</Characters>
  <Application>Microsoft Office Word</Application>
  <DocSecurity>0</DocSecurity>
  <Lines>131</Lines>
  <Paragraphs>37</Paragraphs>
  <ScaleCrop>false</ScaleCrop>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li.</dc:creator>
  <cp:keywords/>
  <dc:description/>
  <cp:lastModifiedBy>irena li.</cp:lastModifiedBy>
  <cp:revision>74</cp:revision>
  <dcterms:created xsi:type="dcterms:W3CDTF">2023-01-03T16:52:00Z</dcterms:created>
  <dcterms:modified xsi:type="dcterms:W3CDTF">2023-01-03T23:50:00Z</dcterms:modified>
</cp:coreProperties>
</file>