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default"/>
          <w:b/>
          <w:bCs/>
          <w:i/>
          <w:iCs/>
          <w:sz w:val="76"/>
          <w:szCs w:val="76"/>
          <w:u w:val="single"/>
        </w:rPr>
      </w:pPr>
      <w:r>
        <w:rPr>
          <w:rFonts w:hint="default"/>
          <w:b/>
          <w:bCs/>
          <w:i/>
          <w:iCs/>
          <w:sz w:val="76"/>
          <w:szCs w:val="76"/>
          <w:u w:val="single"/>
        </w:rPr>
        <w:t>BMSW4003 DIGITAL SKILLS AND RESEARCH METHODS</w:t>
      </w:r>
    </w:p>
    <w:p>
      <w:pPr>
        <w:spacing w:line="360" w:lineRule="auto"/>
        <w:rPr>
          <w:rFonts w:hint="default"/>
          <w:b/>
          <w:bCs/>
          <w:i/>
          <w:iCs/>
          <w:sz w:val="24"/>
          <w:szCs w:val="24"/>
          <w:u w:val="single"/>
          <w:lang w:val="en-GB"/>
        </w:rPr>
      </w:pPr>
    </w:p>
    <w:p>
      <w:pPr>
        <w:spacing w:line="360" w:lineRule="auto"/>
        <w:rPr>
          <w:rFonts w:hint="default"/>
          <w:b/>
          <w:bCs/>
          <w:i/>
          <w:iCs/>
          <w:sz w:val="24"/>
          <w:szCs w:val="24"/>
          <w:u w:val="single"/>
          <w:lang w:val="en-GB"/>
        </w:rPr>
      </w:pPr>
    </w:p>
    <w:p>
      <w:pPr>
        <w:spacing w:line="360" w:lineRule="auto"/>
        <w:rPr>
          <w:rFonts w:hint="default"/>
          <w:b/>
          <w:bCs/>
          <w:i/>
          <w:iCs/>
          <w:sz w:val="56"/>
          <w:szCs w:val="56"/>
          <w:u w:val="single"/>
        </w:rPr>
      </w:pPr>
      <w:r>
        <w:rPr>
          <w:rFonts w:hint="default"/>
          <w:b/>
          <w:bCs/>
          <w:i/>
          <w:iCs/>
          <w:sz w:val="56"/>
          <w:szCs w:val="56"/>
          <w:u w:val="single"/>
          <w:lang w:val="en-GB"/>
        </w:rPr>
        <w:t>I</w:t>
      </w:r>
      <w:r>
        <w:rPr>
          <w:rFonts w:hint="default"/>
          <w:b/>
          <w:bCs/>
          <w:i/>
          <w:iCs/>
          <w:sz w:val="56"/>
          <w:szCs w:val="56"/>
          <w:u w:val="single"/>
        </w:rPr>
        <w:t>mpact of Virtual Learning Environment (VLE) – Moodle</w:t>
      </w:r>
      <w:r>
        <w:rPr>
          <w:rFonts w:hint="default"/>
          <w:b/>
          <w:bCs/>
          <w:i/>
          <w:iCs/>
          <w:sz w:val="56"/>
          <w:szCs w:val="56"/>
          <w:u w:val="single"/>
          <w:lang w:val="en-GB"/>
        </w:rPr>
        <w:t xml:space="preserve"> </w:t>
      </w:r>
      <w:r>
        <w:rPr>
          <w:rFonts w:hint="default"/>
          <w:b/>
          <w:bCs/>
          <w:i/>
          <w:iCs/>
          <w:sz w:val="56"/>
          <w:szCs w:val="56"/>
          <w:u w:val="single"/>
        </w:rPr>
        <w:t>on students’ learning experience in the University of Wales Trinity Saint David London</w:t>
      </w:r>
      <w:r>
        <w:rPr>
          <w:rFonts w:hint="default"/>
          <w:b/>
          <w:bCs/>
          <w:i/>
          <w:iCs/>
          <w:sz w:val="56"/>
          <w:szCs w:val="56"/>
          <w:u w:val="single"/>
          <w:lang w:val="en-GB"/>
        </w:rPr>
        <w:t xml:space="preserve"> </w:t>
      </w:r>
      <w:r>
        <w:rPr>
          <w:rFonts w:hint="default"/>
          <w:b/>
          <w:bCs/>
          <w:i/>
          <w:iCs/>
          <w:sz w:val="56"/>
          <w:szCs w:val="56"/>
          <w:u w:val="single"/>
        </w:rPr>
        <w:t>Campus.</w:t>
      </w:r>
    </w:p>
    <w:p>
      <w:pPr>
        <w:bidi w:val="0"/>
      </w:pPr>
      <w:bookmarkStart w:id="9" w:name="_GoBack"/>
      <w:r>
        <w:drawing>
          <wp:inline distT="0" distB="0" distL="114300" distR="114300">
            <wp:extent cx="5891530" cy="4356735"/>
            <wp:effectExtent l="0" t="0" r="6350" b="1905"/>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
                    <a:stretch>
                      <a:fillRect/>
                    </a:stretch>
                  </pic:blipFill>
                  <pic:spPr>
                    <a:xfrm>
                      <a:off x="0" y="0"/>
                      <a:ext cx="5891530" cy="4356735"/>
                    </a:xfrm>
                    <a:prstGeom prst="rect">
                      <a:avLst/>
                    </a:prstGeom>
                    <a:noFill/>
                    <a:ln w="9525">
                      <a:noFill/>
                    </a:ln>
                  </pic:spPr>
                </pic:pic>
              </a:graphicData>
            </a:graphic>
          </wp:inline>
        </w:drawing>
      </w:r>
      <w:bookmarkEnd w:id="9"/>
    </w:p>
    <w:p>
      <w:pPr>
        <w:spacing w:line="360" w:lineRule="auto"/>
        <w:rPr>
          <w:rFonts w:ascii="SimSun" w:hAnsi="SimSun" w:eastAsia="SimSun" w:cs="SimSun"/>
          <w:sz w:val="24"/>
          <w:szCs w:val="24"/>
        </w:rPr>
      </w:pPr>
      <w:r>
        <w:rPr>
          <w:rFonts w:ascii="SimSun" w:hAnsi="SimSun" w:eastAsia="SimSun" w:cs="SimSun"/>
          <w:sz w:val="24"/>
          <w:szCs w:val="24"/>
        </w:rPr>
        <w:br w:type="page"/>
      </w:r>
    </w:p>
    <w:p>
      <w:pPr>
        <w:spacing w:line="360" w:lineRule="auto"/>
        <w:rPr>
          <w:rFonts w:hint="default" w:ascii="Times New Roman" w:hAnsi="Times New Roman" w:cs="Times New Roman"/>
          <w:b/>
          <w:bCs/>
          <w:i/>
          <w:iCs/>
          <w:sz w:val="84"/>
          <w:szCs w:val="84"/>
          <w:u w:val="single"/>
          <w:lang w:val="en-GB"/>
        </w:rPr>
      </w:pPr>
      <w:r>
        <w:rPr>
          <w:rFonts w:hint="default" w:ascii="Times New Roman" w:hAnsi="Times New Roman" w:cs="Times New Roman"/>
          <w:b/>
          <w:bCs/>
          <w:i/>
          <w:iCs/>
          <w:sz w:val="84"/>
          <w:szCs w:val="84"/>
          <w:u w:val="single"/>
          <w:lang w:val="en-GB"/>
        </w:rPr>
        <w:t>Table Of Contents</w:t>
      </w:r>
    </w:p>
    <w:p>
      <w:pPr>
        <w:pStyle w:val="7"/>
        <w:tabs>
          <w:tab w:val="right" w:leader="dot" w:pos="8306"/>
        </w:tabs>
      </w:pPr>
      <w:r>
        <w:fldChar w:fldCharType="begin"/>
      </w:r>
      <w:r>
        <w:instrText xml:space="preserve">TOC \o "1-3" \h \u </w:instrText>
      </w:r>
      <w:r>
        <w:fldChar w:fldCharType="separate"/>
      </w:r>
      <w:r>
        <w:fldChar w:fldCharType="begin"/>
      </w:r>
      <w:r>
        <w:instrText xml:space="preserve"> HYPERLINK \l _Toc7144 </w:instrText>
      </w:r>
      <w:r>
        <w:fldChar w:fldCharType="separate"/>
      </w:r>
      <w:r>
        <w:rPr>
          <w:rFonts w:hint="default"/>
          <w:lang w:val="en-GB"/>
        </w:rPr>
        <w:t>Title</w:t>
      </w:r>
      <w:r>
        <w:tab/>
      </w:r>
      <w:r>
        <w:fldChar w:fldCharType="begin"/>
      </w:r>
      <w:r>
        <w:instrText xml:space="preserve"> PAGEREF _Toc7144 </w:instrText>
      </w:r>
      <w:r>
        <w:fldChar w:fldCharType="separate"/>
      </w:r>
      <w:r>
        <w:t>4</w:t>
      </w:r>
      <w:r>
        <w:fldChar w:fldCharType="end"/>
      </w:r>
      <w:r>
        <w:fldChar w:fldCharType="end"/>
      </w:r>
    </w:p>
    <w:p>
      <w:pPr>
        <w:pStyle w:val="7"/>
        <w:tabs>
          <w:tab w:val="right" w:leader="dot" w:pos="8306"/>
        </w:tabs>
      </w:pPr>
      <w:r>
        <w:fldChar w:fldCharType="begin"/>
      </w:r>
      <w:r>
        <w:instrText xml:space="preserve"> HYPERLINK \l _Toc3880 </w:instrText>
      </w:r>
      <w:r>
        <w:fldChar w:fldCharType="separate"/>
      </w:r>
      <w:r>
        <w:rPr>
          <w:rFonts w:hint="default"/>
          <w:lang w:val="en-GB"/>
        </w:rPr>
        <w:t>Introduction</w:t>
      </w:r>
      <w:r>
        <w:tab/>
      </w:r>
      <w:r>
        <w:fldChar w:fldCharType="begin"/>
      </w:r>
      <w:r>
        <w:instrText xml:space="preserve"> PAGEREF _Toc3880 </w:instrText>
      </w:r>
      <w:r>
        <w:fldChar w:fldCharType="separate"/>
      </w:r>
      <w:r>
        <w:t>4</w:t>
      </w:r>
      <w:r>
        <w:fldChar w:fldCharType="end"/>
      </w:r>
      <w:r>
        <w:fldChar w:fldCharType="end"/>
      </w:r>
    </w:p>
    <w:p>
      <w:pPr>
        <w:pStyle w:val="7"/>
        <w:tabs>
          <w:tab w:val="right" w:leader="dot" w:pos="8306"/>
        </w:tabs>
      </w:pPr>
      <w:r>
        <w:fldChar w:fldCharType="begin"/>
      </w:r>
      <w:r>
        <w:instrText xml:space="preserve"> HYPERLINK \l _Toc25934 </w:instrText>
      </w:r>
      <w:r>
        <w:fldChar w:fldCharType="separate"/>
      </w:r>
      <w:r>
        <w:rPr>
          <w:rFonts w:hint="default"/>
          <w:lang w:val="en-GB"/>
        </w:rPr>
        <w:t>Research Rationale</w:t>
      </w:r>
      <w:r>
        <w:tab/>
      </w:r>
      <w:r>
        <w:fldChar w:fldCharType="begin"/>
      </w:r>
      <w:r>
        <w:instrText xml:space="preserve"> PAGEREF _Toc25934 </w:instrText>
      </w:r>
      <w:r>
        <w:fldChar w:fldCharType="separate"/>
      </w:r>
      <w:r>
        <w:t>4</w:t>
      </w:r>
      <w:r>
        <w:fldChar w:fldCharType="end"/>
      </w:r>
      <w:r>
        <w:fldChar w:fldCharType="end"/>
      </w:r>
    </w:p>
    <w:p>
      <w:pPr>
        <w:pStyle w:val="7"/>
        <w:tabs>
          <w:tab w:val="right" w:leader="dot" w:pos="8306"/>
        </w:tabs>
      </w:pPr>
      <w:r>
        <w:fldChar w:fldCharType="begin"/>
      </w:r>
      <w:r>
        <w:instrText xml:space="preserve"> HYPERLINK \l _Toc19416 </w:instrText>
      </w:r>
      <w:r>
        <w:fldChar w:fldCharType="separate"/>
      </w:r>
      <w:r>
        <w:rPr>
          <w:rFonts w:hint="default"/>
          <w:lang w:val="en-GB"/>
        </w:rPr>
        <w:t>Research Objectives</w:t>
      </w:r>
      <w:r>
        <w:tab/>
      </w:r>
      <w:r>
        <w:fldChar w:fldCharType="begin"/>
      </w:r>
      <w:r>
        <w:instrText xml:space="preserve"> PAGEREF _Toc19416 </w:instrText>
      </w:r>
      <w:r>
        <w:fldChar w:fldCharType="separate"/>
      </w:r>
      <w:r>
        <w:t>5</w:t>
      </w:r>
      <w:r>
        <w:fldChar w:fldCharType="end"/>
      </w:r>
      <w:r>
        <w:fldChar w:fldCharType="end"/>
      </w:r>
    </w:p>
    <w:p>
      <w:pPr>
        <w:pStyle w:val="7"/>
        <w:tabs>
          <w:tab w:val="right" w:leader="dot" w:pos="8306"/>
        </w:tabs>
      </w:pPr>
      <w:r>
        <w:fldChar w:fldCharType="begin"/>
      </w:r>
      <w:r>
        <w:instrText xml:space="preserve"> HYPERLINK \l _Toc13108 </w:instrText>
      </w:r>
      <w:r>
        <w:fldChar w:fldCharType="separate"/>
      </w:r>
      <w:r>
        <w:rPr>
          <w:rFonts w:hint="default"/>
          <w:lang w:val="en-GB"/>
        </w:rPr>
        <w:t>Methodology</w:t>
      </w:r>
      <w:r>
        <w:tab/>
      </w:r>
      <w:r>
        <w:fldChar w:fldCharType="begin"/>
      </w:r>
      <w:r>
        <w:instrText xml:space="preserve"> PAGEREF _Toc13108 </w:instrText>
      </w:r>
      <w:r>
        <w:fldChar w:fldCharType="separate"/>
      </w:r>
      <w:r>
        <w:t>6</w:t>
      </w:r>
      <w:r>
        <w:fldChar w:fldCharType="end"/>
      </w:r>
      <w:r>
        <w:fldChar w:fldCharType="end"/>
      </w:r>
    </w:p>
    <w:p>
      <w:pPr>
        <w:pStyle w:val="7"/>
        <w:tabs>
          <w:tab w:val="right" w:leader="dot" w:pos="8306"/>
        </w:tabs>
      </w:pPr>
      <w:r>
        <w:fldChar w:fldCharType="begin"/>
      </w:r>
      <w:r>
        <w:instrText xml:space="preserve"> HYPERLINK \l _Toc27235 </w:instrText>
      </w:r>
      <w:r>
        <w:fldChar w:fldCharType="separate"/>
      </w:r>
      <w:r>
        <w:rPr>
          <w:rFonts w:hint="default"/>
          <w:lang w:val="en-GB"/>
        </w:rPr>
        <w:t>Primary And Secondary Data Analysis</w:t>
      </w:r>
      <w:r>
        <w:tab/>
      </w:r>
      <w:r>
        <w:fldChar w:fldCharType="begin"/>
      </w:r>
      <w:r>
        <w:instrText xml:space="preserve"> PAGEREF _Toc27235 </w:instrText>
      </w:r>
      <w:r>
        <w:fldChar w:fldCharType="separate"/>
      </w:r>
      <w:r>
        <w:t>7</w:t>
      </w:r>
      <w:r>
        <w:fldChar w:fldCharType="end"/>
      </w:r>
      <w:r>
        <w:fldChar w:fldCharType="end"/>
      </w:r>
    </w:p>
    <w:p>
      <w:pPr>
        <w:pStyle w:val="7"/>
        <w:tabs>
          <w:tab w:val="right" w:leader="dot" w:pos="8306"/>
        </w:tabs>
      </w:pPr>
      <w:r>
        <w:fldChar w:fldCharType="begin"/>
      </w:r>
      <w:r>
        <w:instrText xml:space="preserve"> HYPERLINK \l _Toc638 </w:instrText>
      </w:r>
      <w:r>
        <w:fldChar w:fldCharType="separate"/>
      </w:r>
      <w:r>
        <w:rPr>
          <w:rFonts w:hint="default"/>
          <w:lang w:val="en-GB"/>
        </w:rPr>
        <w:t>Conclusion And Recommendations</w:t>
      </w:r>
      <w:r>
        <w:tab/>
      </w:r>
      <w:r>
        <w:fldChar w:fldCharType="begin"/>
      </w:r>
      <w:r>
        <w:instrText xml:space="preserve"> PAGEREF _Toc638 </w:instrText>
      </w:r>
      <w:r>
        <w:fldChar w:fldCharType="separate"/>
      </w:r>
      <w:r>
        <w:t>11</w:t>
      </w:r>
      <w:r>
        <w:fldChar w:fldCharType="end"/>
      </w:r>
      <w:r>
        <w:fldChar w:fldCharType="end"/>
      </w:r>
    </w:p>
    <w:p>
      <w:pPr>
        <w:pStyle w:val="7"/>
        <w:tabs>
          <w:tab w:val="right" w:leader="dot" w:pos="8306"/>
        </w:tabs>
      </w:pPr>
      <w:r>
        <w:fldChar w:fldCharType="begin"/>
      </w:r>
      <w:r>
        <w:instrText xml:space="preserve"> HYPERLINK \l _Toc12517 </w:instrText>
      </w:r>
      <w:r>
        <w:fldChar w:fldCharType="separate"/>
      </w:r>
      <w:r>
        <w:rPr>
          <w:rFonts w:hint="default" w:ascii="Times New Roman" w:hAnsi="Times New Roman" w:cs="Times New Roman"/>
          <w:szCs w:val="24"/>
          <w:lang w:val="en-GB"/>
        </w:rPr>
        <w:t>Reference List</w:t>
      </w:r>
      <w:r>
        <w:tab/>
      </w:r>
      <w:r>
        <w:fldChar w:fldCharType="begin"/>
      </w:r>
      <w:r>
        <w:instrText xml:space="preserve"> PAGEREF _Toc12517 </w:instrText>
      </w:r>
      <w:r>
        <w:fldChar w:fldCharType="separate"/>
      </w:r>
      <w:r>
        <w:t>12</w:t>
      </w:r>
      <w:r>
        <w:fldChar w:fldCharType="end"/>
      </w:r>
      <w:r>
        <w:fldChar w:fldCharType="end"/>
      </w:r>
    </w:p>
    <w:p>
      <w:pPr>
        <w:pStyle w:val="7"/>
        <w:tabs>
          <w:tab w:val="right" w:leader="dot" w:pos="8306"/>
        </w:tabs>
      </w:pPr>
      <w:r>
        <w:fldChar w:fldCharType="begin"/>
      </w:r>
      <w:r>
        <w:instrText xml:space="preserve"> HYPERLINK \l _Toc29306 </w:instrText>
      </w:r>
      <w:r>
        <w:fldChar w:fldCharType="separate"/>
      </w:r>
      <w:r>
        <w:rPr>
          <w:rFonts w:hint="default" w:ascii="Times New Roman" w:hAnsi="Times New Roman" w:cs="Times New Roman"/>
          <w:szCs w:val="24"/>
          <w:lang w:val="en-GB"/>
        </w:rPr>
        <w:t>Appendix</w:t>
      </w:r>
      <w:r>
        <w:tab/>
      </w:r>
      <w:r>
        <w:fldChar w:fldCharType="begin"/>
      </w:r>
      <w:r>
        <w:instrText xml:space="preserve"> PAGEREF _Toc29306 </w:instrText>
      </w:r>
      <w:r>
        <w:fldChar w:fldCharType="separate"/>
      </w:r>
      <w:r>
        <w:t>13</w:t>
      </w:r>
      <w:r>
        <w:fldChar w:fldCharType="end"/>
      </w:r>
      <w:r>
        <w:fldChar w:fldCharType="end"/>
      </w:r>
    </w:p>
    <w:p>
      <w:r>
        <w:fldChar w:fldCharType="end"/>
      </w:r>
    </w:p>
    <w:p>
      <w:pPr>
        <w:spacing w:line="360" w:lineRule="auto"/>
        <w:rPr>
          <w:rFonts w:hint="default" w:ascii="Times New Roman" w:hAnsi="Times New Roman" w:cs="Times New Roman"/>
          <w:b/>
          <w:bCs/>
          <w:i/>
          <w:iCs/>
          <w:sz w:val="84"/>
          <w:szCs w:val="84"/>
          <w:u w:val="single"/>
          <w:lang w:val="en-GB"/>
        </w:rPr>
      </w:pPr>
      <w:r>
        <w:rPr>
          <w:rFonts w:hint="default" w:ascii="Times New Roman" w:hAnsi="Times New Roman" w:cs="Times New Roman"/>
          <w:b/>
          <w:bCs/>
          <w:i/>
          <w:iCs/>
          <w:sz w:val="84"/>
          <w:szCs w:val="84"/>
          <w:u w:val="single"/>
          <w:lang w:val="en-GB"/>
        </w:rPr>
        <w:br w:type="page"/>
      </w:r>
    </w:p>
    <w:p>
      <w:pPr>
        <w:pStyle w:val="2"/>
        <w:bidi w:val="0"/>
        <w:spacing w:line="360" w:lineRule="auto"/>
        <w:rPr>
          <w:rFonts w:hint="default"/>
          <w:lang w:val="en-GB"/>
        </w:rPr>
      </w:pPr>
      <w:bookmarkStart w:id="0" w:name="_Toc7144"/>
      <w:r>
        <w:rPr>
          <w:rFonts w:hint="default"/>
          <w:lang w:val="en-GB"/>
        </w:rPr>
        <w:t>Title</w:t>
      </w:r>
      <w:bookmarkEnd w:id="0"/>
    </w:p>
    <w:p>
      <w:pPr>
        <w:bidi w:val="0"/>
        <w:spacing w:line="360" w:lineRule="auto"/>
        <w:rPr>
          <w:rFonts w:hint="default"/>
        </w:rPr>
      </w:pPr>
      <w:r>
        <w:rPr>
          <w:rFonts w:hint="default"/>
          <w:lang w:val="en-GB"/>
        </w:rPr>
        <w:t>I</w:t>
      </w:r>
      <w:r>
        <w:rPr>
          <w:rFonts w:hint="default"/>
        </w:rPr>
        <w:t>mpact of Virtual Learning Environment (VLE) – Moodle</w:t>
      </w:r>
      <w:r>
        <w:rPr>
          <w:rFonts w:hint="default"/>
          <w:lang w:val="en-GB"/>
        </w:rPr>
        <w:t xml:space="preserve"> </w:t>
      </w:r>
      <w:r>
        <w:rPr>
          <w:rFonts w:hint="default"/>
        </w:rPr>
        <w:t>on students’ learning experience in the University of Wales Trinity Saint David London</w:t>
      </w:r>
      <w:r>
        <w:rPr>
          <w:rFonts w:hint="default"/>
          <w:lang w:val="en-GB"/>
        </w:rPr>
        <w:t xml:space="preserve"> </w:t>
      </w:r>
      <w:r>
        <w:rPr>
          <w:rFonts w:hint="default"/>
        </w:rPr>
        <w:t>Campus.</w:t>
      </w:r>
    </w:p>
    <w:p>
      <w:pPr>
        <w:pStyle w:val="2"/>
        <w:bidi w:val="0"/>
        <w:spacing w:line="360" w:lineRule="auto"/>
        <w:rPr>
          <w:rFonts w:hint="default"/>
          <w:lang w:val="en-GB"/>
        </w:rPr>
      </w:pPr>
      <w:bookmarkStart w:id="1" w:name="_Toc3880"/>
      <w:r>
        <w:rPr>
          <w:rFonts w:hint="default"/>
          <w:lang w:val="en-GB"/>
        </w:rPr>
        <w:t>Introduction</w:t>
      </w:r>
      <w:bookmarkEnd w:id="1"/>
    </w:p>
    <w:p>
      <w:pPr>
        <w:spacing w:line="360" w:lineRule="auto"/>
        <w:rPr>
          <w:rFonts w:hint="default"/>
          <w:lang w:val="en-GB"/>
        </w:rPr>
      </w:pPr>
      <w:r>
        <w:rPr>
          <w:rFonts w:hint="default"/>
          <w:lang w:val="en-GB"/>
        </w:rPr>
        <w:t>Virtual learning environments (VLE) in the present days have become a vital feature that has been adopted in providing educational services to the students and provides for enhanced potential regarding facilitating and improvising both learning as well as teaching. This VLE is basically a web based software system that comprises of various tools and applications regarding collaborative learning, student assessment, online communication, uploading instructional content, getting instructor’s feedback, as well as maintaining the course administration (</w:t>
      </w:r>
      <w:r>
        <w:rPr>
          <w:rFonts w:hint="default" w:ascii="Times New Roman" w:hAnsi="Times New Roman" w:eastAsia="SimSun" w:cs="Times New Roman"/>
          <w:i w:val="0"/>
          <w:caps w:val="0"/>
          <w:color w:val="222222"/>
          <w:spacing w:val="0"/>
          <w:sz w:val="24"/>
          <w:szCs w:val="24"/>
          <w:shd w:val="clear" w:fill="FFFFFF"/>
        </w:rPr>
        <w:t xml:space="preserve">Hlosta, </w:t>
      </w:r>
      <w:r>
        <w:rPr>
          <w:rFonts w:hint="default" w:cs="Times New Roman"/>
          <w:i/>
          <w:iCs/>
          <w:caps w:val="0"/>
          <w:color w:val="222222"/>
          <w:spacing w:val="0"/>
          <w:sz w:val="24"/>
          <w:szCs w:val="24"/>
          <w:shd w:val="clear" w:fill="FFFFFF"/>
          <w:lang w:val="en-GB"/>
        </w:rPr>
        <w:t xml:space="preserve">et al., </w:t>
      </w:r>
      <w:r>
        <w:rPr>
          <w:rFonts w:hint="default" w:cs="Times New Roman"/>
          <w:i w:val="0"/>
          <w:iCs w:val="0"/>
          <w:caps w:val="0"/>
          <w:color w:val="222222"/>
          <w:spacing w:val="0"/>
          <w:sz w:val="24"/>
          <w:szCs w:val="24"/>
          <w:shd w:val="clear" w:fill="FFFFFF"/>
          <w:lang w:val="en-GB"/>
        </w:rPr>
        <w:t>2018</w:t>
      </w:r>
      <w:r>
        <w:rPr>
          <w:rFonts w:hint="default"/>
          <w:lang w:val="en-GB"/>
        </w:rPr>
        <w:t>). This platform has not only provided for support regarding teaching, learning, and assessing but have also provided for a scope to enhance interaction, communication, incorporation of collaborative pedagogical models, sharing information across the globe, as well as enhancement of knowledge from ongoing online communication. The advent and advancement in ICT (information and communication technology) has enabled people from various corners of the globe to perform their work using devices like that of computer, Laptop, Mobile phones, Tablets, etc. While the internet services has been brought about for being used in overall educational and learning process in an innovative manner, then that has made learning more interesting and lucid process for the students (</w:t>
      </w:r>
      <w:r>
        <w:rPr>
          <w:rFonts w:hint="default" w:ascii="Times New Roman" w:hAnsi="Times New Roman" w:eastAsia="SimSun" w:cs="Times New Roman"/>
          <w:i w:val="0"/>
          <w:caps w:val="0"/>
          <w:color w:val="222222"/>
          <w:spacing w:val="0"/>
          <w:sz w:val="24"/>
          <w:szCs w:val="24"/>
          <w:shd w:val="clear" w:fill="FFFFFF"/>
        </w:rPr>
        <w:t>Shah,</w:t>
      </w:r>
      <w:r>
        <w:rPr>
          <w:rFonts w:hint="default" w:cs="Times New Roman"/>
          <w:i w:val="0"/>
          <w:caps w:val="0"/>
          <w:color w:val="222222"/>
          <w:spacing w:val="0"/>
          <w:sz w:val="24"/>
          <w:szCs w:val="24"/>
          <w:shd w:val="clear" w:fill="FFFFFF"/>
          <w:lang w:val="en-GB"/>
        </w:rPr>
        <w:t xml:space="preserve"> </w:t>
      </w:r>
      <w:r>
        <w:rPr>
          <w:rFonts w:hint="default" w:cs="Times New Roman"/>
          <w:i/>
          <w:iCs/>
          <w:caps w:val="0"/>
          <w:color w:val="222222"/>
          <w:spacing w:val="0"/>
          <w:sz w:val="24"/>
          <w:szCs w:val="24"/>
          <w:shd w:val="clear" w:fill="FFFFFF"/>
          <w:lang w:val="en-GB"/>
        </w:rPr>
        <w:t xml:space="preserve">et al., </w:t>
      </w:r>
      <w:r>
        <w:rPr>
          <w:rFonts w:hint="default" w:cs="Times New Roman"/>
          <w:i w:val="0"/>
          <w:iCs w:val="0"/>
          <w:caps w:val="0"/>
          <w:color w:val="222222"/>
          <w:spacing w:val="0"/>
          <w:sz w:val="24"/>
          <w:szCs w:val="24"/>
          <w:shd w:val="clear" w:fill="FFFFFF"/>
          <w:lang w:val="en-GB"/>
        </w:rPr>
        <w:t>2019</w:t>
      </w:r>
      <w:r>
        <w:rPr>
          <w:rFonts w:hint="default"/>
          <w:lang w:val="en-GB"/>
        </w:rPr>
        <w:t xml:space="preserve">). Apart from feeling engaged while learning a new thing, the students with the use of this technology are also getting a scope  to interact while learning and a platform to learn in an effective manner even when not included within the geographical boundary of a traditional classroom. </w:t>
      </w:r>
    </w:p>
    <w:p>
      <w:pPr>
        <w:pStyle w:val="2"/>
        <w:bidi w:val="0"/>
        <w:spacing w:line="360" w:lineRule="auto"/>
        <w:rPr>
          <w:rFonts w:hint="default"/>
          <w:lang w:val="en-GB"/>
        </w:rPr>
      </w:pPr>
      <w:bookmarkStart w:id="2" w:name="_Toc25934"/>
      <w:r>
        <w:rPr>
          <w:rFonts w:hint="default"/>
          <w:lang w:val="en-GB"/>
        </w:rPr>
        <w:t>Research Rationale</w:t>
      </w:r>
      <w:bookmarkEnd w:id="2"/>
    </w:p>
    <w:p>
      <w:pPr>
        <w:spacing w:line="360" w:lineRule="auto"/>
        <w:rPr>
          <w:rFonts w:hint="default"/>
          <w:lang w:val="en-GB"/>
        </w:rPr>
      </w:pPr>
      <w:r>
        <w:rPr>
          <w:rFonts w:hint="default"/>
          <w:lang w:val="en-GB"/>
        </w:rPr>
        <w:t>The Virtual learning environment have earlier been used for the completion of the online courses, but in the present days this has been an enhanced platform even for the effective interaction within the classes and provide support in classes that are focused on direct face to face learning (</w:t>
      </w:r>
      <w:r>
        <w:rPr>
          <w:rFonts w:hint="default" w:ascii="Times New Roman" w:hAnsi="Times New Roman" w:eastAsia="SimSun" w:cs="Times New Roman"/>
          <w:i w:val="0"/>
          <w:caps w:val="0"/>
          <w:color w:val="222222"/>
          <w:spacing w:val="0"/>
          <w:sz w:val="24"/>
          <w:szCs w:val="24"/>
          <w:shd w:val="clear" w:fill="FFFFFF"/>
        </w:rPr>
        <w:t>Vaganova,</w:t>
      </w:r>
      <w:r>
        <w:rPr>
          <w:rFonts w:hint="default" w:cs="Times New Roman"/>
          <w:i/>
          <w:iCs/>
          <w:caps w:val="0"/>
          <w:color w:val="222222"/>
          <w:spacing w:val="0"/>
          <w:sz w:val="24"/>
          <w:szCs w:val="24"/>
          <w:shd w:val="clear" w:fill="FFFFFF"/>
          <w:lang w:val="en-GB"/>
        </w:rPr>
        <w:t xml:space="preserve"> et al., </w:t>
      </w:r>
      <w:r>
        <w:rPr>
          <w:rFonts w:hint="default" w:cs="Times New Roman"/>
          <w:i w:val="0"/>
          <w:iCs w:val="0"/>
          <w:caps w:val="0"/>
          <w:color w:val="222222"/>
          <w:spacing w:val="0"/>
          <w:sz w:val="24"/>
          <w:szCs w:val="24"/>
          <w:shd w:val="clear" w:fill="FFFFFF"/>
          <w:lang w:val="en-GB"/>
        </w:rPr>
        <w:t>2017</w:t>
      </w:r>
      <w:r>
        <w:rPr>
          <w:rFonts w:hint="default"/>
          <w:lang w:val="en-GB"/>
        </w:rPr>
        <w:t>). This is thus the sole platform as well as technological advancement that provides the students a scope to interact with other students, teachers. This makes the process of gaining and sharing knowledge by the students much lucid. Also for the teachers and faculty in the educational institutions can go through and accordingly guide the students in an adequate manner even while outside the classroom (</w:t>
      </w:r>
      <w:r>
        <w:rPr>
          <w:rFonts w:hint="default" w:ascii="Times New Roman" w:hAnsi="Times New Roman" w:eastAsia="SimSun" w:cs="Times New Roman"/>
          <w:i w:val="0"/>
          <w:caps w:val="0"/>
          <w:color w:val="000000" w:themeColor="text1"/>
          <w:spacing w:val="0"/>
          <w:sz w:val="24"/>
          <w:szCs w:val="24"/>
          <w:shd w:val="clear" w:fill="FFFFFF"/>
          <w14:textFill>
            <w14:solidFill>
              <w14:schemeClr w14:val="tx1"/>
            </w14:solidFill>
          </w14:textFill>
        </w:rPr>
        <w:t>Fowler,</w:t>
      </w:r>
      <w:r>
        <w:rPr>
          <w:rFonts w:hint="default" w:cs="Times New Roman"/>
          <w:i w:val="0"/>
          <w:caps w:val="0"/>
          <w:color w:val="000000" w:themeColor="text1"/>
          <w:spacing w:val="0"/>
          <w:sz w:val="24"/>
          <w:szCs w:val="24"/>
          <w:shd w:val="clear" w:fill="FFFFFF"/>
          <w:lang w:val="en-GB"/>
          <w14:textFill>
            <w14:solidFill>
              <w14:schemeClr w14:val="tx1"/>
            </w14:solidFill>
          </w14:textFill>
        </w:rPr>
        <w:t xml:space="preserve"> </w:t>
      </w:r>
      <w:r>
        <w:rPr>
          <w:rFonts w:hint="default" w:ascii="Times New Roman" w:hAnsi="Times New Roman" w:eastAsia="SimSun" w:cs="Times New Roman"/>
          <w:i w:val="0"/>
          <w:caps w:val="0"/>
          <w:color w:val="000000" w:themeColor="text1"/>
          <w:spacing w:val="0"/>
          <w:sz w:val="24"/>
          <w:szCs w:val="24"/>
          <w:shd w:val="clear" w:fill="FFFFFF"/>
          <w14:textFill>
            <w14:solidFill>
              <w14:schemeClr w14:val="tx1"/>
            </w14:solidFill>
          </w14:textFill>
        </w:rPr>
        <w:t>2015</w:t>
      </w:r>
      <w:r>
        <w:rPr>
          <w:rFonts w:hint="default"/>
          <w:lang w:val="en-GB"/>
        </w:rPr>
        <w:t>). Getting the provision of visualizing the detailed activities performed by the students while studying has also enabled the teachers to accordingly communicate with the students as per their requirements. This has thus allowed the students to be an active learner by the means of participating and communicating in the learning process. This in turn have promoted for the communication skill as well critical thinking ability amongst the students. The students are now visualizing the process of their learning, sharing knowledge, and thus are attaining a position from where they can make the practical application of the knowledge that they have acquired while learning (</w:t>
      </w:r>
      <w:r>
        <w:rPr>
          <w:rFonts w:hint="default" w:ascii="Times New Roman" w:hAnsi="Times New Roman" w:eastAsia="SimSun" w:cs="Times New Roman"/>
          <w:i w:val="0"/>
          <w:caps w:val="0"/>
          <w:color w:val="222222"/>
          <w:spacing w:val="0"/>
          <w:sz w:val="24"/>
          <w:szCs w:val="24"/>
          <w:shd w:val="clear" w:fill="FFFFFF"/>
        </w:rPr>
        <w:t>Webster,</w:t>
      </w:r>
      <w:r>
        <w:rPr>
          <w:rFonts w:hint="default" w:cs="Times New Roman"/>
          <w:i w:val="0"/>
          <w:caps w:val="0"/>
          <w:color w:val="222222"/>
          <w:spacing w:val="0"/>
          <w:sz w:val="24"/>
          <w:szCs w:val="24"/>
          <w:shd w:val="clear" w:fill="FFFFFF"/>
          <w:lang w:val="en-GB"/>
        </w:rPr>
        <w:t xml:space="preserve"> </w:t>
      </w:r>
      <w:r>
        <w:rPr>
          <w:rFonts w:hint="default" w:ascii="Times New Roman" w:hAnsi="Times New Roman" w:eastAsia="SimSun" w:cs="Times New Roman"/>
          <w:i w:val="0"/>
          <w:caps w:val="0"/>
          <w:color w:val="222222"/>
          <w:spacing w:val="0"/>
          <w:sz w:val="24"/>
          <w:szCs w:val="24"/>
          <w:shd w:val="clear" w:fill="FFFFFF"/>
        </w:rPr>
        <w:t>2016</w:t>
      </w:r>
      <w:r>
        <w:rPr>
          <w:rFonts w:hint="default"/>
          <w:lang w:val="en-GB"/>
        </w:rPr>
        <w:t>).</w:t>
      </w:r>
    </w:p>
    <w:p>
      <w:pPr>
        <w:spacing w:line="360" w:lineRule="auto"/>
        <w:rPr>
          <w:rFonts w:hint="default"/>
          <w:i w:val="0"/>
          <w:caps w:val="0"/>
          <w:color w:val="222222"/>
          <w:spacing w:val="0"/>
          <w:sz w:val="24"/>
          <w:szCs w:val="24"/>
          <w:shd w:val="clear" w:fill="FFFFFF"/>
          <w:lang w:val="en-GB"/>
        </w:rPr>
      </w:pPr>
      <w:r>
        <w:rPr>
          <w:rFonts w:hint="default"/>
          <w:lang w:val="en-GB"/>
        </w:rPr>
        <w:t>This and many other benefits of the incorporation of the VLE on the learning as well as teaching process has made this as a prime concern to be discussed to further improvise the platform in a manner that can be further fruitful for the educators as well as the students indulged in the learning process (</w:t>
      </w:r>
      <w:r>
        <w:rPr>
          <w:rFonts w:hint="default" w:ascii="Times New Roman" w:hAnsi="Times New Roman" w:eastAsia="SimSun" w:cs="Times New Roman"/>
          <w:i w:val="0"/>
          <w:caps w:val="0"/>
          <w:color w:val="222222"/>
          <w:spacing w:val="0"/>
          <w:sz w:val="24"/>
          <w:szCs w:val="24"/>
          <w:shd w:val="clear" w:fill="FFFFFF"/>
        </w:rPr>
        <w:t>Moore,</w:t>
      </w:r>
      <w:r>
        <w:rPr>
          <w:rFonts w:hint="default" w:cs="Times New Roman"/>
          <w:i/>
          <w:iCs/>
          <w:caps w:val="0"/>
          <w:color w:val="222222"/>
          <w:spacing w:val="0"/>
          <w:sz w:val="24"/>
          <w:szCs w:val="24"/>
          <w:shd w:val="clear" w:fill="FFFFFF"/>
          <w:lang w:val="en-GB"/>
        </w:rPr>
        <w:t xml:space="preserve"> et al., </w:t>
      </w:r>
      <w:r>
        <w:rPr>
          <w:rFonts w:hint="default" w:cs="Times New Roman"/>
          <w:i w:val="0"/>
          <w:iCs w:val="0"/>
          <w:caps w:val="0"/>
          <w:color w:val="222222"/>
          <w:spacing w:val="0"/>
          <w:sz w:val="24"/>
          <w:szCs w:val="24"/>
          <w:shd w:val="clear" w:fill="FFFFFF"/>
          <w:lang w:val="en-GB"/>
        </w:rPr>
        <w:t>2019</w:t>
      </w:r>
      <w:r>
        <w:rPr>
          <w:rFonts w:hint="default"/>
          <w:lang w:val="en-GB"/>
        </w:rPr>
        <w:t xml:space="preserve">). The present study has been planned to be performed in a manner that will allow evaluating the influence that has been brought on the students of </w:t>
      </w:r>
      <w:r>
        <w:rPr>
          <w:rFonts w:hint="default"/>
          <w:i w:val="0"/>
          <w:caps w:val="0"/>
          <w:color w:val="222222"/>
          <w:spacing w:val="0"/>
          <w:sz w:val="24"/>
          <w:szCs w:val="24"/>
          <w:shd w:val="clear" w:fill="FFFFFF"/>
          <w:lang w:val="en-GB"/>
        </w:rPr>
        <w:t>University of Wales Trinity Saint David London Campus while the organization have adopted for Virtual Learning Environment (VLE) – Moodle in regards to their learning process.</w:t>
      </w:r>
    </w:p>
    <w:p>
      <w:pPr>
        <w:spacing w:line="360" w:lineRule="auto"/>
        <w:rPr>
          <w:rFonts w:hint="default"/>
          <w:i w:val="0"/>
          <w:caps w:val="0"/>
          <w:color w:val="222222"/>
          <w:spacing w:val="0"/>
          <w:sz w:val="24"/>
          <w:szCs w:val="24"/>
          <w:shd w:val="clear" w:fill="FFFFFF"/>
          <w:lang w:val="en-GB"/>
        </w:rPr>
      </w:pPr>
      <w:r>
        <w:rPr>
          <w:rFonts w:hint="default"/>
          <w:i w:val="0"/>
          <w:caps w:val="0"/>
          <w:color w:val="222222"/>
          <w:spacing w:val="0"/>
          <w:sz w:val="24"/>
          <w:szCs w:val="24"/>
          <w:shd w:val="clear" w:fill="FFFFFF"/>
          <w:lang w:val="en-GB"/>
        </w:rPr>
        <w:t>The successful completion of this research project will allow the faculty to have an enhanced idea regarding behavioural and social contexts of the students within the campus and will be able to analyse the perspective of the students regarding adoption of VLE - Moodle within the learning process in their campus. While these issues (if any) has been identified and analysed then the college authority will be able to deal with that in an enhanced manner to further enhance the learning process and experience of the students in their campus.</w:t>
      </w:r>
    </w:p>
    <w:p>
      <w:pPr>
        <w:pStyle w:val="2"/>
        <w:bidi w:val="0"/>
        <w:spacing w:line="360" w:lineRule="auto"/>
        <w:rPr>
          <w:rFonts w:hint="default"/>
          <w:lang w:val="en-GB"/>
        </w:rPr>
      </w:pPr>
      <w:bookmarkStart w:id="3" w:name="_Toc19416"/>
      <w:r>
        <w:rPr>
          <w:rFonts w:hint="default"/>
          <w:lang w:val="en-GB"/>
        </w:rPr>
        <w:t>Research Objectives</w:t>
      </w:r>
      <w:bookmarkEnd w:id="3"/>
    </w:p>
    <w:p>
      <w:pPr>
        <w:spacing w:line="360" w:lineRule="auto"/>
        <w:rPr>
          <w:rFonts w:hint="default"/>
          <w:lang w:val="en-GB"/>
        </w:rPr>
      </w:pPr>
      <w:r>
        <w:rPr>
          <w:rFonts w:hint="default"/>
          <w:lang w:val="en-GB"/>
        </w:rPr>
        <w:t>The purpose that is aimed to be solved by performing the present research project is to identify and evaluate the influence brought about by (VLE) – Moodle on students’ learning experience in the University of Wales Trinity Saint David London Campus. The focus of the study will remain on analysing the readiness of the students within the campus to make optimized use of this enhanced technology in their learning process. However, the completion of the present study in a successful manner will provide idea to the educators within the campus regarding the various activities that the students have been interested in performing making use of the virtual learning environment they have been exposed to within the campus. This will also enable the educators to make an evaluation regarding the extent to which the adoption of this modern optimized technology have been helpful and fruitful for the students regarding understanding their lessons and enhancing their academic performance.</w:t>
      </w:r>
    </w:p>
    <w:p>
      <w:pPr>
        <w:pStyle w:val="2"/>
        <w:bidi w:val="0"/>
        <w:spacing w:line="360" w:lineRule="auto"/>
        <w:rPr>
          <w:rFonts w:hint="default"/>
          <w:lang w:val="en-GB"/>
        </w:rPr>
      </w:pPr>
      <w:bookmarkStart w:id="4" w:name="_Toc13108"/>
      <w:r>
        <w:rPr>
          <w:rFonts w:hint="default"/>
          <w:lang w:val="en-GB"/>
        </w:rPr>
        <w:t>Methodology</w:t>
      </w:r>
      <w:bookmarkEnd w:id="4"/>
    </w:p>
    <w:p>
      <w:pPr>
        <w:spacing w:line="360" w:lineRule="auto"/>
        <w:rPr>
          <w:rFonts w:hint="default"/>
          <w:lang w:val="en-GB"/>
        </w:rPr>
      </w:pPr>
      <w:r>
        <w:rPr>
          <w:rFonts w:hint="default"/>
          <w:lang w:val="en-GB"/>
        </w:rPr>
        <w:t xml:space="preserve">The data set for the present study has been collected from students within the college campus. The process of selection of students has been determined by the researcher to be a random sampling where the students attending the college campus have been randomly selected from various departments within the college. 200 students were selected and provided with an online questionnaire designed by the researcher for the data collection regarding completion of the research project. 196 students have then returned back the completed questionnaire and has been further considered for making data analysis of the present project. </w:t>
      </w:r>
    </w:p>
    <w:p>
      <w:pPr>
        <w:spacing w:line="360" w:lineRule="auto"/>
        <w:rPr>
          <w:rFonts w:hint="default"/>
          <w:lang w:val="en-GB"/>
        </w:rPr>
      </w:pPr>
      <w:r>
        <w:rPr>
          <w:rFonts w:hint="default"/>
          <w:lang w:val="en-GB"/>
        </w:rPr>
        <w:t>From the primary data that has been collected from the students within the college, the researcher has performed primary quantitative analysis using various graphs and charts. The questionnaire designed for the students has been provided in the appendix part. Upon completion of data analysis from the primary data collected from students, the researcher have further attempted to analyse the secondary data that are available over the online platform.</w:t>
      </w:r>
    </w:p>
    <w:p>
      <w:pPr>
        <w:spacing w:line="360" w:lineRule="auto"/>
        <w:rPr>
          <w:rFonts w:hint="default"/>
          <w:lang w:val="en-GB"/>
        </w:rPr>
      </w:pPr>
      <w:r>
        <w:rPr>
          <w:rFonts w:hint="default"/>
          <w:lang w:val="en-GB"/>
        </w:rPr>
        <w:t>Survey strategy that has been adopted by the researcher for the present project has enabled the researcher to gather enhanced understanding and in depth knowledge regarding the perspective of the students and their experience upon using this enhanced technology in their learning process (</w:t>
      </w:r>
      <w:r>
        <w:rPr>
          <w:rFonts w:hint="default" w:ascii="Times New Roman" w:hAnsi="Times New Roman" w:eastAsia="SimSun" w:cs="Times New Roman"/>
          <w:i w:val="0"/>
          <w:caps w:val="0"/>
          <w:color w:val="222222"/>
          <w:spacing w:val="0"/>
          <w:sz w:val="24"/>
          <w:szCs w:val="24"/>
          <w:shd w:val="clear" w:fill="FFFFFF"/>
        </w:rPr>
        <w:t>Sekaran</w:t>
      </w:r>
      <w:r>
        <w:rPr>
          <w:rFonts w:hint="default" w:cs="Times New Roman"/>
          <w:i w:val="0"/>
          <w:caps w:val="0"/>
          <w:color w:val="222222"/>
          <w:spacing w:val="0"/>
          <w:sz w:val="24"/>
          <w:szCs w:val="24"/>
          <w:shd w:val="clear" w:fill="FFFFFF"/>
          <w:lang w:val="en-GB"/>
        </w:rPr>
        <w:t xml:space="preserve"> </w:t>
      </w:r>
      <w:r>
        <w:rPr>
          <w:rFonts w:hint="default" w:ascii="Times New Roman" w:hAnsi="Times New Roman" w:eastAsia="SimSun" w:cs="Times New Roman"/>
          <w:i w:val="0"/>
          <w:caps w:val="0"/>
          <w:color w:val="222222"/>
          <w:spacing w:val="0"/>
          <w:sz w:val="24"/>
          <w:szCs w:val="24"/>
          <w:shd w:val="clear" w:fill="FFFFFF"/>
        </w:rPr>
        <w:t>and Bougie, 2016</w:t>
      </w:r>
      <w:r>
        <w:rPr>
          <w:rFonts w:hint="default"/>
          <w:lang w:val="en-GB"/>
        </w:rPr>
        <w:t>). The researcher in the present study have applied for a deductive research approach by analysing the secondary data and the responses provided by the students and then reaching the final conclusion of the study.</w:t>
      </w:r>
    </w:p>
    <w:p>
      <w:pPr>
        <w:spacing w:line="360" w:lineRule="auto"/>
        <w:rPr>
          <w:rFonts w:hint="default"/>
          <w:lang w:val="en-GB"/>
        </w:rPr>
      </w:pPr>
      <w:r>
        <w:rPr>
          <w:rFonts w:hint="default"/>
          <w:lang w:val="en-GB"/>
        </w:rPr>
        <w:t>During the entire period of conduct of the present research project, the researcher have maintained the standard ethical considerations and ensured effective completion of the research project. The researcher have ensured that the participants of the research project were provided adequate information regarding the process and purpose of the research project. The respondents of the project have also signed an  informed consent forms providing for their willingness regarding participating in the research project (</w:t>
      </w:r>
      <w:r>
        <w:rPr>
          <w:rFonts w:hint="default" w:ascii="Times New Roman" w:hAnsi="Times New Roman" w:eastAsia="SimSun" w:cs="Times New Roman"/>
          <w:i w:val="0"/>
          <w:caps w:val="0"/>
          <w:color w:val="222222"/>
          <w:spacing w:val="0"/>
          <w:sz w:val="24"/>
          <w:szCs w:val="24"/>
          <w:shd w:val="clear" w:fill="FFFFFF"/>
        </w:rPr>
        <w:t>Woo,</w:t>
      </w:r>
      <w:r>
        <w:rPr>
          <w:rFonts w:hint="default" w:cs="Times New Roman"/>
          <w:i/>
          <w:iCs/>
          <w:caps w:val="0"/>
          <w:color w:val="222222"/>
          <w:spacing w:val="0"/>
          <w:sz w:val="24"/>
          <w:szCs w:val="24"/>
          <w:shd w:val="clear" w:fill="FFFFFF"/>
          <w:lang w:val="en-GB"/>
        </w:rPr>
        <w:t xml:space="preserve"> et al., </w:t>
      </w:r>
      <w:r>
        <w:rPr>
          <w:rFonts w:hint="default" w:cs="Times New Roman"/>
          <w:i w:val="0"/>
          <w:iCs w:val="0"/>
          <w:caps w:val="0"/>
          <w:color w:val="222222"/>
          <w:spacing w:val="0"/>
          <w:sz w:val="24"/>
          <w:szCs w:val="24"/>
          <w:shd w:val="clear" w:fill="FFFFFF"/>
          <w:lang w:val="en-GB"/>
        </w:rPr>
        <w:t>2017</w:t>
      </w:r>
      <w:r>
        <w:rPr>
          <w:rFonts w:hint="default"/>
          <w:lang w:val="en-GB"/>
        </w:rPr>
        <w:t>). Also while performing the secondary data analysis the researcher have ensured the avoidance of any kind of issues related with plagiarism and have assured that no information provided by the respondents would be used for any other purposes except that of the research project. The researcher have also confirmed that while performing the research project no information provided by the respondents would be leaked out and no harm would be caused to any respondents participating in the research project. Furthermore the researcher have also assured that the data used in the present research has not in any manner have been manipulated for the attainment of adequate and satisfactory results.</w:t>
      </w:r>
    </w:p>
    <w:p>
      <w:pPr>
        <w:pStyle w:val="2"/>
        <w:bidi w:val="0"/>
        <w:spacing w:line="360" w:lineRule="auto"/>
        <w:rPr>
          <w:rFonts w:hint="default"/>
          <w:lang w:val="en-GB"/>
        </w:rPr>
      </w:pPr>
      <w:bookmarkStart w:id="5" w:name="_Toc27235"/>
      <w:r>
        <w:rPr>
          <w:rFonts w:hint="default"/>
          <w:lang w:val="en-GB"/>
        </w:rPr>
        <w:t>Primary And Secondary Data Analysis</w:t>
      </w:r>
      <w:bookmarkEnd w:id="5"/>
    </w:p>
    <w:p>
      <w:pPr>
        <w:spacing w:line="360" w:lineRule="auto"/>
        <w:rPr>
          <w:rFonts w:hint="default"/>
          <w:lang w:val="en-GB"/>
        </w:rPr>
      </w:pPr>
      <w:r>
        <w:rPr>
          <w:rFonts w:hint="default"/>
          <w:lang w:val="en-GB"/>
        </w:rPr>
        <w:t>While the students have been asked that if use of educational technologies have enhanced their educational experience, then majority of the students provided for a response that their educational experience have enhanced with the use and adoption of educational technology in their campus. The graph of the reply provided by the students for this question has been provided below:</w:t>
      </w:r>
    </w:p>
    <w:p>
      <w:pPr>
        <w:spacing w:line="360" w:lineRule="auto"/>
      </w:pPr>
      <w:r>
        <w:drawing>
          <wp:inline distT="0" distB="0" distL="114300" distR="114300">
            <wp:extent cx="4572000" cy="2743200"/>
            <wp:effectExtent l="4445" t="4445" r="10795" b="10795"/>
            <wp:docPr id="11"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pPr>
        <w:spacing w:line="360" w:lineRule="auto"/>
        <w:rPr>
          <w:rFonts w:hint="default"/>
          <w:lang w:val="en-GB"/>
        </w:rPr>
      </w:pPr>
      <w:r>
        <w:rPr>
          <w:rFonts w:hint="default"/>
          <w:lang w:val="en-GB"/>
        </w:rPr>
        <w:t>While the students have been asked if they have enjoyed being within a virtual learning environment. The the response that has been provided by the students has been represented in the chart below:</w:t>
      </w:r>
    </w:p>
    <w:p>
      <w:pPr>
        <w:spacing w:line="360" w:lineRule="auto"/>
      </w:pPr>
      <w:r>
        <w:drawing>
          <wp:inline distT="0" distB="0" distL="114300" distR="114300">
            <wp:extent cx="4929505" cy="2743200"/>
            <wp:effectExtent l="4445" t="4445" r="11430" b="10795"/>
            <wp:docPr id="1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spacing w:line="360" w:lineRule="auto"/>
        <w:rPr>
          <w:rFonts w:hint="default"/>
          <w:lang w:val="en-GB"/>
        </w:rPr>
      </w:pPr>
      <w:r>
        <w:rPr>
          <w:rFonts w:hint="default"/>
          <w:lang w:val="en-GB"/>
        </w:rPr>
        <w:t>This can be interpreted in the manner that majority of the students who have participated in the research project were enjoying their exposure to the virtual learning environment (Moodle) that has been adopted within their college campus for the enhancement of their learning process. This revealed for the fact that the new technological platform has been providing the students an enjoyable opportunity to learn.</w:t>
      </w:r>
    </w:p>
    <w:p>
      <w:pPr>
        <w:spacing w:line="360" w:lineRule="auto"/>
        <w:rPr>
          <w:rFonts w:hint="default"/>
          <w:lang w:val="en-GB"/>
        </w:rPr>
      </w:pPr>
      <w:r>
        <w:rPr>
          <w:rFonts w:hint="default"/>
          <w:lang w:val="en-GB"/>
        </w:rPr>
        <w:t>Moving ahead the students have been asked regarding the importance of Moodle (VLE) in their study process. The response of the students towards this question has been presented in the chart provided below:</w:t>
      </w:r>
    </w:p>
    <w:p>
      <w:pPr>
        <w:spacing w:line="360" w:lineRule="auto"/>
      </w:pPr>
      <w:r>
        <w:drawing>
          <wp:inline distT="0" distB="0" distL="114300" distR="114300">
            <wp:extent cx="4572000" cy="2743200"/>
            <wp:effectExtent l="4445" t="4445" r="10795" b="10795"/>
            <wp:docPr id="9"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spacing w:line="360" w:lineRule="auto"/>
        <w:rPr>
          <w:rFonts w:hint="default"/>
          <w:lang w:val="en-GB"/>
        </w:rPr>
      </w:pPr>
      <w:r>
        <w:rPr>
          <w:rFonts w:hint="default"/>
          <w:lang w:val="en-GB"/>
        </w:rPr>
        <w:t>This response of the students can be interpreted by saying that the platform of VLE has been important and very much effective regarding the learning process of the students. However, there was also a minor fraction f students who yet felt that Moodle has not been a vital part in their study process.</w:t>
      </w:r>
    </w:p>
    <w:p>
      <w:pPr>
        <w:spacing w:line="360" w:lineRule="auto"/>
        <w:rPr>
          <w:rFonts w:hint="default"/>
          <w:lang w:val="en-GB"/>
        </w:rPr>
      </w:pPr>
      <w:r>
        <w:rPr>
          <w:rFonts w:hint="default"/>
          <w:lang w:val="en-GB"/>
        </w:rPr>
        <w:t>Furthermore the respondents have been queried regarding the frequency of their access to the VLE. The response of the students have been presented in the chart below:</w:t>
      </w:r>
    </w:p>
    <w:p>
      <w:pPr>
        <w:spacing w:line="360" w:lineRule="auto"/>
      </w:pPr>
      <w:r>
        <w:drawing>
          <wp:inline distT="0" distB="0" distL="114300" distR="114300">
            <wp:extent cx="4572000" cy="2743200"/>
            <wp:effectExtent l="4445" t="4445" r="10795" b="10795"/>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spacing w:line="360" w:lineRule="auto"/>
        <w:rPr>
          <w:rFonts w:hint="default"/>
          <w:lang w:val="en-GB"/>
        </w:rPr>
      </w:pPr>
      <w:r>
        <w:rPr>
          <w:rFonts w:hint="default"/>
          <w:lang w:val="en-GB"/>
        </w:rPr>
        <w:t>The response of the students provide for the fact that majority of the students had regular access to the VLE within the college campus. But there were a few who did not had a wider access to the technology based platform even after being a part of the college campus.</w:t>
      </w:r>
    </w:p>
    <w:p>
      <w:pPr>
        <w:spacing w:line="360" w:lineRule="auto"/>
        <w:rPr>
          <w:rFonts w:hint="default"/>
          <w:lang w:val="en-GB"/>
        </w:rPr>
      </w:pPr>
      <w:r>
        <w:rPr>
          <w:rFonts w:hint="default"/>
          <w:lang w:val="en-GB"/>
        </w:rPr>
        <w:t>Later while the students were asked if their scores have enhanced upon getting access to Moodle (VLE), the response of the respondents in the study has been presented below:</w:t>
      </w:r>
    </w:p>
    <w:p>
      <w:pPr>
        <w:spacing w:line="360" w:lineRule="auto"/>
        <w:rPr>
          <w:rFonts w:hint="default"/>
          <w:lang w:val="en-GB"/>
        </w:rPr>
      </w:pPr>
      <w:r>
        <w:drawing>
          <wp:inline distT="0" distB="0" distL="114300" distR="114300">
            <wp:extent cx="4572000" cy="2743200"/>
            <wp:effectExtent l="4445" t="4445" r="10795" b="10795"/>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pPr>
        <w:spacing w:line="360" w:lineRule="auto"/>
        <w:rPr>
          <w:rFonts w:hint="default"/>
          <w:lang w:val="en-GB"/>
        </w:rPr>
      </w:pPr>
      <w:r>
        <w:rPr>
          <w:rFonts w:hint="default"/>
          <w:lang w:val="en-GB"/>
        </w:rPr>
        <w:t xml:space="preserve">This revealed for the fact that use of Moodle has been very popular amongst the students within the campus and majority of the students have agreed that their scores and academic performances have enhanced on being exposed to the VLE platform. </w:t>
      </w:r>
    </w:p>
    <w:p>
      <w:pPr>
        <w:spacing w:line="360" w:lineRule="auto"/>
        <w:rPr>
          <w:rFonts w:hint="default"/>
          <w:lang w:val="en-GB"/>
        </w:rPr>
      </w:pPr>
      <w:r>
        <w:rPr>
          <w:rFonts w:hint="default"/>
          <w:lang w:val="en-GB"/>
        </w:rPr>
        <w:t xml:space="preserve">Finally, while the respondents have been asked if Moodle (VLE) have enhanced their motivation to participate in the learning process then also majority of the students have agreed that their interest in studies have enhanced while they have used the VLE (Moodle) platform. </w:t>
      </w:r>
    </w:p>
    <w:p>
      <w:pPr>
        <w:spacing w:line="360" w:lineRule="auto"/>
      </w:pPr>
      <w:r>
        <w:drawing>
          <wp:inline distT="0" distB="0" distL="114300" distR="114300">
            <wp:extent cx="4572000" cy="2743200"/>
            <wp:effectExtent l="4445" t="4445" r="10795" b="10795"/>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pPr>
        <w:spacing w:line="360" w:lineRule="auto"/>
        <w:rPr>
          <w:rFonts w:hint="default"/>
          <w:lang w:val="en-GB"/>
        </w:rPr>
      </w:pPr>
      <w:r>
        <w:rPr>
          <w:rFonts w:hint="default"/>
          <w:lang w:val="en-GB"/>
        </w:rPr>
        <w:t xml:space="preserve">Thus adoption of the Moodle (VLE) within the campus have motivated the students to remain engaged in the learning process and have also inspired them to develop enhanced interest regarding performing their academic tasks in a satisfactory manner. </w:t>
      </w:r>
    </w:p>
    <w:p>
      <w:pPr>
        <w:spacing w:line="360" w:lineRule="auto"/>
        <w:rPr>
          <w:rFonts w:hint="default"/>
          <w:lang w:val="en-GB"/>
        </w:rPr>
      </w:pPr>
    </w:p>
    <w:p>
      <w:pPr>
        <w:bidi w:val="0"/>
        <w:spacing w:line="360" w:lineRule="auto"/>
        <w:rPr>
          <w:rFonts w:hint="default"/>
          <w:lang w:val="en-GB"/>
        </w:rPr>
      </w:pPr>
      <w:r>
        <w:rPr>
          <w:rFonts w:hint="default"/>
          <w:lang w:val="en-GB"/>
        </w:rPr>
        <w:t>Considering for the educational scenario of the present post modern world, the innovative platform of virtual learning environment has been adopted by almost all the institutions that offer for higher education (</w:t>
      </w:r>
      <w:r>
        <w:rPr>
          <w:rFonts w:hint="default" w:ascii="Times New Roman" w:hAnsi="Times New Roman" w:eastAsia="SimSun" w:cs="Times New Roman"/>
          <w:i w:val="0"/>
          <w:caps w:val="0"/>
          <w:color w:val="222222"/>
          <w:spacing w:val="0"/>
          <w:sz w:val="24"/>
          <w:szCs w:val="24"/>
          <w:shd w:val="clear" w:fill="FFFFFF"/>
        </w:rPr>
        <w:t>Claman, 2015</w:t>
      </w:r>
      <w:r>
        <w:rPr>
          <w:rFonts w:hint="default"/>
          <w:lang w:val="en-GB"/>
        </w:rPr>
        <w:t>). The virtual spaces that the students as well as the teachers are exposed to provide them a scope to further interact and communicate while learning and make the process even more interesting and lucid for developing the understanding of new lessons and sharing ideas. The platform has also been found to develop inspiration and motivation amongst the students by providing adequate feedback against the tasks and activities of the students and providing them a platform to learn from the appropriate application of the lessons learnt by them. The overall virtual space till date is undergoing constant innovations and thus is very much dynamic. Thus it has been a field of interest for the students and have been associated with the chances of bringing further scopes and opportunities for students to explore the various facets of the learning process (</w:t>
      </w:r>
      <w:r>
        <w:rPr>
          <w:rFonts w:hint="default" w:ascii="Times New Roman" w:hAnsi="Times New Roman" w:eastAsia="SimSun" w:cs="Times New Roman"/>
          <w:i w:val="0"/>
          <w:caps w:val="0"/>
          <w:color w:val="222222"/>
          <w:spacing w:val="0"/>
          <w:sz w:val="24"/>
          <w:szCs w:val="24"/>
          <w:shd w:val="clear" w:fill="FFFFFF"/>
        </w:rPr>
        <w:t>Cuthell, 2017</w:t>
      </w:r>
      <w:r>
        <w:rPr>
          <w:rFonts w:hint="default"/>
          <w:lang w:val="en-GB"/>
        </w:rPr>
        <w:t xml:space="preserve">). </w:t>
      </w:r>
    </w:p>
    <w:p>
      <w:pPr>
        <w:pStyle w:val="2"/>
        <w:bidi w:val="0"/>
        <w:spacing w:line="360" w:lineRule="auto"/>
        <w:rPr>
          <w:rFonts w:hint="default"/>
          <w:lang w:val="en-GB"/>
        </w:rPr>
      </w:pPr>
      <w:bookmarkStart w:id="6" w:name="_Toc638"/>
      <w:r>
        <w:rPr>
          <w:rFonts w:hint="default"/>
          <w:lang w:val="en-GB"/>
        </w:rPr>
        <w:t>Conclusion And Recommendations</w:t>
      </w:r>
      <w:bookmarkEnd w:id="6"/>
    </w:p>
    <w:p>
      <w:pPr>
        <w:spacing w:line="360" w:lineRule="auto"/>
        <w:rPr>
          <w:rFonts w:hint="default"/>
          <w:lang w:val="en-GB"/>
        </w:rPr>
      </w:pPr>
      <w:r>
        <w:rPr>
          <w:rFonts w:hint="default"/>
          <w:lang w:val="en-GB"/>
        </w:rPr>
        <w:t>While the present study has been conducted on the students of University of Wales Trinity Saint David London Campus regarding the effectiveness of Moodle on learning experience of students, then it has been found that the presence of the virtual space (Moodle) within the campus have enhanced the learning experience of the students to a significant extent. This platform has also motivated and inspired numerous students within the campus to enhance their academic performance and scores. This has additionally provided the students a platform to communicate with the teachers in an effective manner and also share knowledge and learning with friends even while not in the class. Thus this effective and optimized technology has been appreciated and used in an enhanced manner by the students of University of Wales Trinity Saint David London Campus. However, although very few in count but there have been students within the same campus who have yet not been able to adopt this developed technology in an enhanced manner and incorporate the same in their academic contexts. For the better development of those students it is the teachers and faculty members who need to take further initiatives and come forward to promote the effective usage of the platform. This will enable the students within the campus to attain a brighter and successful career in their upcoming future.</w:t>
      </w:r>
    </w:p>
    <w:p>
      <w:pPr>
        <w:spacing w:line="360" w:lineRule="auto"/>
        <w:rPr>
          <w:rFonts w:hint="default"/>
          <w:lang w:val="en-GB"/>
        </w:rPr>
      </w:pPr>
      <w:r>
        <w:rPr>
          <w:rFonts w:hint="default"/>
          <w:lang w:val="en-GB"/>
        </w:rPr>
        <w:br w:type="page"/>
      </w:r>
    </w:p>
    <w:p>
      <w:pPr>
        <w:pStyle w:val="2"/>
        <w:bidi w:val="0"/>
        <w:spacing w:line="360" w:lineRule="auto"/>
        <w:rPr>
          <w:rFonts w:hint="default" w:ascii="Times New Roman" w:hAnsi="Times New Roman" w:cs="Times New Roman"/>
          <w:color w:val="auto"/>
          <w:sz w:val="24"/>
          <w:szCs w:val="24"/>
          <w:lang w:val="en-GB"/>
        </w:rPr>
      </w:pPr>
      <w:bookmarkStart w:id="7" w:name="_Toc12517"/>
      <w:r>
        <w:rPr>
          <w:rFonts w:hint="default" w:ascii="Times New Roman" w:hAnsi="Times New Roman" w:cs="Times New Roman"/>
          <w:color w:val="auto"/>
          <w:sz w:val="24"/>
          <w:szCs w:val="24"/>
          <w:lang w:val="en-GB"/>
        </w:rPr>
        <w:t>Reference List</w:t>
      </w:r>
      <w:bookmarkEnd w:id="7"/>
      <w:r>
        <w:rPr>
          <w:rFonts w:hint="default" w:ascii="Times New Roman" w:hAnsi="Times New Roman" w:cs="Times New Roman"/>
          <w:color w:val="auto"/>
          <w:sz w:val="24"/>
          <w:szCs w:val="24"/>
          <w:lang w:val="en-GB"/>
        </w:rPr>
        <w:t xml:space="preserve"> </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auto"/>
          <w:spacing w:val="0"/>
          <w:sz w:val="24"/>
          <w:szCs w:val="24"/>
          <w:shd w:val="clear" w:fill="FFFFFF"/>
        </w:rPr>
        <w:t>Cuthell, J.P., 2017. </w:t>
      </w:r>
      <w:r>
        <w:rPr>
          <w:rFonts w:hint="default" w:ascii="Times New Roman" w:hAnsi="Times New Roman" w:eastAsia="SimSun" w:cs="Times New Roman"/>
          <w:i/>
          <w:caps w:val="0"/>
          <w:color w:val="auto"/>
          <w:spacing w:val="0"/>
          <w:sz w:val="24"/>
          <w:szCs w:val="24"/>
          <w:shd w:val="clear" w:fill="FFFFFF"/>
        </w:rPr>
        <w:t>Virtual learning</w:t>
      </w:r>
      <w:r>
        <w:rPr>
          <w:rFonts w:hint="default" w:ascii="Times New Roman" w:hAnsi="Times New Roman" w:eastAsia="SimSun" w:cs="Times New Roman"/>
          <w:i w:val="0"/>
          <w:caps w:val="0"/>
          <w:color w:val="auto"/>
          <w:spacing w:val="0"/>
          <w:sz w:val="24"/>
          <w:szCs w:val="24"/>
          <w:shd w:val="clear" w:fill="FFFFFF"/>
        </w:rPr>
        <w:t>. Routledge.</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auto"/>
          <w:spacing w:val="0"/>
          <w:sz w:val="24"/>
          <w:szCs w:val="24"/>
          <w:shd w:val="clear" w:fill="FFFFFF"/>
        </w:rPr>
        <w:t>Claman, F.L., 2015. The impact of multiuser virtual environments on student engagement. </w:t>
      </w:r>
      <w:r>
        <w:rPr>
          <w:rFonts w:hint="default" w:ascii="Times New Roman" w:hAnsi="Times New Roman" w:eastAsia="SimSun" w:cs="Times New Roman"/>
          <w:i/>
          <w:caps w:val="0"/>
          <w:color w:val="auto"/>
          <w:spacing w:val="0"/>
          <w:sz w:val="24"/>
          <w:szCs w:val="24"/>
          <w:shd w:val="clear" w:fill="FFFFFF"/>
        </w:rPr>
        <w:t>Nurse education in practice</w:t>
      </w:r>
      <w:r>
        <w:rPr>
          <w:rFonts w:hint="default" w:ascii="Times New Roman" w:hAnsi="Times New Roman" w:eastAsia="SimSun" w:cs="Times New Roman"/>
          <w:i w:val="0"/>
          <w:caps w:val="0"/>
          <w:color w:val="auto"/>
          <w:spacing w:val="0"/>
          <w:sz w:val="24"/>
          <w:szCs w:val="24"/>
          <w:shd w:val="clear" w:fill="FFFFFF"/>
        </w:rPr>
        <w:t>, </w:t>
      </w:r>
      <w:r>
        <w:rPr>
          <w:rFonts w:hint="default" w:ascii="Times New Roman" w:hAnsi="Times New Roman" w:eastAsia="SimSun" w:cs="Times New Roman"/>
          <w:i/>
          <w:caps w:val="0"/>
          <w:color w:val="auto"/>
          <w:spacing w:val="0"/>
          <w:sz w:val="24"/>
          <w:szCs w:val="24"/>
          <w:shd w:val="clear" w:fill="FFFFFF"/>
        </w:rPr>
        <w:t>15</w:t>
      </w:r>
      <w:r>
        <w:rPr>
          <w:rFonts w:hint="default" w:ascii="Times New Roman" w:hAnsi="Times New Roman" w:eastAsia="SimSun" w:cs="Times New Roman"/>
          <w:i w:val="0"/>
          <w:caps w:val="0"/>
          <w:color w:val="auto"/>
          <w:spacing w:val="0"/>
          <w:sz w:val="24"/>
          <w:szCs w:val="24"/>
          <w:shd w:val="clear" w:fill="FFFFFF"/>
        </w:rPr>
        <w:t>(1), pp.13-16.</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auto"/>
          <w:spacing w:val="0"/>
          <w:sz w:val="24"/>
          <w:szCs w:val="24"/>
          <w:shd w:val="clear" w:fill="FFFFFF"/>
        </w:rPr>
        <w:t>Fowler, C., 2015. Virtual reality and learning: Where is the pedagogy?. </w:t>
      </w:r>
      <w:r>
        <w:rPr>
          <w:rFonts w:hint="default" w:ascii="Times New Roman" w:hAnsi="Times New Roman" w:eastAsia="SimSun" w:cs="Times New Roman"/>
          <w:i/>
          <w:caps w:val="0"/>
          <w:color w:val="auto"/>
          <w:spacing w:val="0"/>
          <w:sz w:val="24"/>
          <w:szCs w:val="24"/>
          <w:shd w:val="clear" w:fill="FFFFFF"/>
        </w:rPr>
        <w:t>British journal of educational technology</w:t>
      </w:r>
      <w:r>
        <w:rPr>
          <w:rFonts w:hint="default" w:ascii="Times New Roman" w:hAnsi="Times New Roman" w:eastAsia="SimSun" w:cs="Times New Roman"/>
          <w:i w:val="0"/>
          <w:caps w:val="0"/>
          <w:color w:val="auto"/>
          <w:spacing w:val="0"/>
          <w:sz w:val="24"/>
          <w:szCs w:val="24"/>
          <w:shd w:val="clear" w:fill="FFFFFF"/>
        </w:rPr>
        <w:t>, </w:t>
      </w:r>
      <w:r>
        <w:rPr>
          <w:rFonts w:hint="default" w:ascii="Times New Roman" w:hAnsi="Times New Roman" w:eastAsia="SimSun" w:cs="Times New Roman"/>
          <w:i/>
          <w:caps w:val="0"/>
          <w:color w:val="auto"/>
          <w:spacing w:val="0"/>
          <w:sz w:val="24"/>
          <w:szCs w:val="24"/>
          <w:shd w:val="clear" w:fill="FFFFFF"/>
        </w:rPr>
        <w:t>46</w:t>
      </w:r>
      <w:r>
        <w:rPr>
          <w:rFonts w:hint="default" w:ascii="Times New Roman" w:hAnsi="Times New Roman" w:eastAsia="SimSun" w:cs="Times New Roman"/>
          <w:i w:val="0"/>
          <w:caps w:val="0"/>
          <w:color w:val="auto"/>
          <w:spacing w:val="0"/>
          <w:sz w:val="24"/>
          <w:szCs w:val="24"/>
          <w:shd w:val="clear" w:fill="FFFFFF"/>
        </w:rPr>
        <w:t>(2), pp.412-422.</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auto"/>
          <w:spacing w:val="0"/>
          <w:sz w:val="24"/>
          <w:szCs w:val="24"/>
          <w:shd w:val="clear" w:fill="FFFFFF"/>
        </w:rPr>
        <w:t>Hlosta, M., Herrmannova, D., Vachova, L., Kuzilek, J., Zdrahal, Z. and Wolff, A., 2018. Modelling student online behaviour in a virtual learning environment. </w:t>
      </w:r>
      <w:r>
        <w:rPr>
          <w:rFonts w:hint="default" w:ascii="Times New Roman" w:hAnsi="Times New Roman" w:eastAsia="SimSun" w:cs="Times New Roman"/>
          <w:i/>
          <w:caps w:val="0"/>
          <w:color w:val="auto"/>
          <w:spacing w:val="0"/>
          <w:sz w:val="24"/>
          <w:szCs w:val="24"/>
          <w:shd w:val="clear" w:fill="FFFFFF"/>
        </w:rPr>
        <w:t>arXiv preprint arXiv:1811.06369</w:t>
      </w:r>
      <w:r>
        <w:rPr>
          <w:rFonts w:hint="default" w:ascii="Times New Roman" w:hAnsi="Times New Roman" w:eastAsia="SimSun" w:cs="Times New Roman"/>
          <w:i w:val="0"/>
          <w:caps w:val="0"/>
          <w:color w:val="auto"/>
          <w:spacing w:val="0"/>
          <w:sz w:val="24"/>
          <w:szCs w:val="24"/>
          <w:shd w:val="clear" w:fill="FFFFFF"/>
        </w:rPr>
        <w:t>.</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auto"/>
          <w:spacing w:val="0"/>
          <w:sz w:val="24"/>
          <w:szCs w:val="24"/>
          <w:shd w:val="clear" w:fill="FFFFFF"/>
        </w:rPr>
        <w:t>Moore, T., Weathers, A., Onstott, D., McMaster, E. and Harrington, A., 2019. The Impact of Virtual Immersion in the E-Learning Environment.</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auto"/>
          <w:spacing w:val="0"/>
          <w:sz w:val="24"/>
          <w:szCs w:val="24"/>
          <w:shd w:val="clear" w:fill="FFFFFF"/>
        </w:rPr>
        <w:t>Shah, M., Foster, A., Talafian, H. and Barany, A., 2019, October. Examining the Impact of Virtual City Planning on High School Students’ Identity Exploration. In </w:t>
      </w:r>
      <w:r>
        <w:rPr>
          <w:rFonts w:hint="default" w:ascii="Times New Roman" w:hAnsi="Times New Roman" w:eastAsia="SimSun" w:cs="Times New Roman"/>
          <w:i/>
          <w:caps w:val="0"/>
          <w:color w:val="auto"/>
          <w:spacing w:val="0"/>
          <w:sz w:val="24"/>
          <w:szCs w:val="24"/>
          <w:shd w:val="clear" w:fill="FFFFFF"/>
        </w:rPr>
        <w:t>International Conference on Quantitative Ethnography</w:t>
      </w:r>
      <w:r>
        <w:rPr>
          <w:rFonts w:hint="default" w:ascii="Times New Roman" w:hAnsi="Times New Roman" w:eastAsia="SimSun" w:cs="Times New Roman"/>
          <w:i w:val="0"/>
          <w:caps w:val="0"/>
          <w:color w:val="auto"/>
          <w:spacing w:val="0"/>
          <w:sz w:val="24"/>
          <w:szCs w:val="24"/>
          <w:shd w:val="clear" w:fill="FFFFFF"/>
        </w:rPr>
        <w:t> (pp. 199-210). Springer, Cham.</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222222"/>
          <w:spacing w:val="0"/>
          <w:sz w:val="24"/>
          <w:szCs w:val="24"/>
          <w:shd w:val="clear" w:fill="FFFFFF"/>
        </w:rPr>
        <w:t>Sekaran, U. and Bougie, R., 2016. </w:t>
      </w:r>
      <w:r>
        <w:rPr>
          <w:rFonts w:hint="default" w:ascii="Times New Roman" w:hAnsi="Times New Roman" w:eastAsia="SimSun" w:cs="Times New Roman"/>
          <w:i/>
          <w:caps w:val="0"/>
          <w:color w:val="222222"/>
          <w:spacing w:val="0"/>
          <w:sz w:val="24"/>
          <w:szCs w:val="24"/>
          <w:shd w:val="clear" w:fill="FFFFFF"/>
        </w:rPr>
        <w:t>Research methods for business: A skill building approach</w:t>
      </w:r>
      <w:r>
        <w:rPr>
          <w:rFonts w:hint="default" w:ascii="Times New Roman" w:hAnsi="Times New Roman" w:eastAsia="SimSun" w:cs="Times New Roman"/>
          <w:i w:val="0"/>
          <w:caps w:val="0"/>
          <w:color w:val="222222"/>
          <w:spacing w:val="0"/>
          <w:sz w:val="24"/>
          <w:szCs w:val="24"/>
          <w:shd w:val="clear" w:fill="FFFFFF"/>
        </w:rPr>
        <w:t>. John Wiley &amp; Sons.</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auto"/>
          <w:spacing w:val="0"/>
          <w:sz w:val="24"/>
          <w:szCs w:val="24"/>
          <w:shd w:val="clear" w:fill="FFFFFF"/>
        </w:rPr>
        <w:t>Vaganova, O.I., Smirnova, Z.V., Mukhina, M.V., Kutepov, M.M., Kutepova, L.I. and Chernysheva, T.L., 2017. THE ORGANIZATION OF THE TEST CONTROL OF STUDENTS'KNOWLEDGE IN A VIRTUAL LEARNING ENVIRONMENT MOODLE. </w:t>
      </w:r>
      <w:r>
        <w:rPr>
          <w:rFonts w:hint="default" w:ascii="Times New Roman" w:hAnsi="Times New Roman" w:eastAsia="SimSun" w:cs="Times New Roman"/>
          <w:i/>
          <w:caps w:val="0"/>
          <w:color w:val="auto"/>
          <w:spacing w:val="0"/>
          <w:sz w:val="24"/>
          <w:szCs w:val="24"/>
          <w:shd w:val="clear" w:fill="FFFFFF"/>
        </w:rPr>
        <w:t>Journal of Entrepreneurship Education</w:t>
      </w:r>
      <w:r>
        <w:rPr>
          <w:rFonts w:hint="default" w:ascii="Times New Roman" w:hAnsi="Times New Roman" w:eastAsia="SimSun" w:cs="Times New Roman"/>
          <w:i w:val="0"/>
          <w:caps w:val="0"/>
          <w:color w:val="auto"/>
          <w:spacing w:val="0"/>
          <w:sz w:val="24"/>
          <w:szCs w:val="24"/>
          <w:shd w:val="clear" w:fill="FFFFFF"/>
        </w:rPr>
        <w:t>, </w:t>
      </w:r>
      <w:r>
        <w:rPr>
          <w:rFonts w:hint="default" w:ascii="Times New Roman" w:hAnsi="Times New Roman" w:eastAsia="SimSun" w:cs="Times New Roman"/>
          <w:i/>
          <w:caps w:val="0"/>
          <w:color w:val="auto"/>
          <w:spacing w:val="0"/>
          <w:sz w:val="24"/>
          <w:szCs w:val="24"/>
          <w:shd w:val="clear" w:fill="FFFFFF"/>
        </w:rPr>
        <w:t>20</w:t>
      </w:r>
      <w:r>
        <w:rPr>
          <w:rFonts w:hint="default" w:ascii="Times New Roman" w:hAnsi="Times New Roman" w:eastAsia="SimSun" w:cs="Times New Roman"/>
          <w:i w:val="0"/>
          <w:caps w:val="0"/>
          <w:color w:val="auto"/>
          <w:spacing w:val="0"/>
          <w:sz w:val="24"/>
          <w:szCs w:val="24"/>
          <w:shd w:val="clear" w:fill="FFFFFF"/>
        </w:rPr>
        <w:t>(3), pp.1-4.</w:t>
      </w:r>
    </w:p>
    <w:p>
      <w:pPr>
        <w:spacing w:line="360" w:lineRule="auto"/>
        <w:rPr>
          <w:rFonts w:hint="default" w:ascii="Times New Roman" w:hAnsi="Times New Roman" w:eastAsia="SimSun" w:cs="Times New Roman"/>
          <w:i w:val="0"/>
          <w:caps w:val="0"/>
          <w:color w:val="auto"/>
          <w:spacing w:val="0"/>
          <w:sz w:val="24"/>
          <w:szCs w:val="24"/>
          <w:shd w:val="clear" w:fill="FFFFFF"/>
        </w:rPr>
      </w:pPr>
      <w:r>
        <w:rPr>
          <w:rFonts w:hint="default" w:ascii="Times New Roman" w:hAnsi="Times New Roman" w:eastAsia="SimSun" w:cs="Times New Roman"/>
          <w:i w:val="0"/>
          <w:caps w:val="0"/>
          <w:color w:val="auto"/>
          <w:spacing w:val="0"/>
          <w:sz w:val="24"/>
          <w:szCs w:val="24"/>
          <w:shd w:val="clear" w:fill="FFFFFF"/>
        </w:rPr>
        <w:t>Webster, R., 2016. Declarative knowledge acquisition in immersive virtual learning environments. </w:t>
      </w:r>
      <w:r>
        <w:rPr>
          <w:rFonts w:hint="default" w:ascii="Times New Roman" w:hAnsi="Times New Roman" w:eastAsia="SimSun" w:cs="Times New Roman"/>
          <w:i/>
          <w:caps w:val="0"/>
          <w:color w:val="auto"/>
          <w:spacing w:val="0"/>
          <w:sz w:val="24"/>
          <w:szCs w:val="24"/>
          <w:shd w:val="clear" w:fill="FFFFFF"/>
        </w:rPr>
        <w:t>Interactive Learning Environments</w:t>
      </w:r>
      <w:r>
        <w:rPr>
          <w:rFonts w:hint="default" w:ascii="Times New Roman" w:hAnsi="Times New Roman" w:eastAsia="SimSun" w:cs="Times New Roman"/>
          <w:i w:val="0"/>
          <w:caps w:val="0"/>
          <w:color w:val="auto"/>
          <w:spacing w:val="0"/>
          <w:sz w:val="24"/>
          <w:szCs w:val="24"/>
          <w:shd w:val="clear" w:fill="FFFFFF"/>
        </w:rPr>
        <w:t>, </w:t>
      </w:r>
      <w:r>
        <w:rPr>
          <w:rFonts w:hint="default" w:ascii="Times New Roman" w:hAnsi="Times New Roman" w:eastAsia="SimSun" w:cs="Times New Roman"/>
          <w:i/>
          <w:caps w:val="0"/>
          <w:color w:val="auto"/>
          <w:spacing w:val="0"/>
          <w:sz w:val="24"/>
          <w:szCs w:val="24"/>
          <w:shd w:val="clear" w:fill="FFFFFF"/>
        </w:rPr>
        <w:t>24</w:t>
      </w:r>
      <w:r>
        <w:rPr>
          <w:rFonts w:hint="default" w:ascii="Times New Roman" w:hAnsi="Times New Roman" w:eastAsia="SimSun" w:cs="Times New Roman"/>
          <w:i w:val="0"/>
          <w:caps w:val="0"/>
          <w:color w:val="auto"/>
          <w:spacing w:val="0"/>
          <w:sz w:val="24"/>
          <w:szCs w:val="24"/>
          <w:shd w:val="clear" w:fill="FFFFFF"/>
        </w:rPr>
        <w:t>(6), pp.1319-1333.</w:t>
      </w:r>
    </w:p>
    <w:p>
      <w:pPr>
        <w:spacing w:line="360" w:lineRule="auto"/>
        <w:rPr>
          <w:rFonts w:hint="default" w:ascii="Times New Roman" w:hAnsi="Times New Roman" w:eastAsia="SimSun" w:cs="Times New Roman"/>
          <w:i w:val="0"/>
          <w:caps w:val="0"/>
          <w:color w:val="auto"/>
          <w:spacing w:val="0"/>
          <w:sz w:val="24"/>
          <w:szCs w:val="24"/>
          <w:shd w:val="clear" w:fill="FFFFFF"/>
          <w:lang w:val="en-GB"/>
        </w:rPr>
      </w:pPr>
      <w:r>
        <w:rPr>
          <w:rFonts w:hint="default" w:ascii="Times New Roman" w:hAnsi="Times New Roman" w:eastAsia="SimSun" w:cs="Times New Roman"/>
          <w:i w:val="0"/>
          <w:caps w:val="0"/>
          <w:color w:val="222222"/>
          <w:spacing w:val="0"/>
          <w:sz w:val="24"/>
          <w:szCs w:val="24"/>
          <w:shd w:val="clear" w:fill="FFFFFF"/>
        </w:rPr>
        <w:t>Woo, S.E., O'Boyle, E.H. and Spector, P.E., 2017. Best practices in developing, conducting, and evaluating inductive research.</w:t>
      </w:r>
    </w:p>
    <w:p>
      <w:pPr>
        <w:pStyle w:val="2"/>
        <w:bidi w:val="0"/>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br w:type="page"/>
      </w:r>
    </w:p>
    <w:p>
      <w:pPr>
        <w:pStyle w:val="2"/>
        <w:bidi w:val="0"/>
        <w:spacing w:line="360" w:lineRule="auto"/>
        <w:rPr>
          <w:rFonts w:hint="default" w:ascii="Times New Roman" w:hAnsi="Times New Roman" w:cs="Times New Roman"/>
          <w:color w:val="auto"/>
          <w:sz w:val="24"/>
          <w:szCs w:val="24"/>
          <w:lang w:val="en-GB"/>
        </w:rPr>
      </w:pPr>
      <w:bookmarkStart w:id="8" w:name="_Toc29306"/>
      <w:r>
        <w:rPr>
          <w:rFonts w:hint="default" w:ascii="Times New Roman" w:hAnsi="Times New Roman" w:cs="Times New Roman"/>
          <w:color w:val="auto"/>
          <w:sz w:val="24"/>
          <w:szCs w:val="24"/>
          <w:lang w:val="en-GB"/>
        </w:rPr>
        <w:t>Appendix</w:t>
      </w:r>
      <w:bookmarkEnd w:id="8"/>
    </w:p>
    <w:p>
      <w:pPr>
        <w:spacing w:line="360" w:lineRule="auto"/>
        <w:rPr>
          <w:rFonts w:hint="default" w:ascii="Times New Roman" w:hAnsi="Times New Roman" w:cs="Times New Roman"/>
          <w:b/>
          <w:bCs/>
          <w:i/>
          <w:iCs/>
          <w:color w:val="auto"/>
          <w:sz w:val="24"/>
          <w:szCs w:val="24"/>
          <w:u w:val="single"/>
          <w:lang w:val="en-GB"/>
        </w:rPr>
      </w:pPr>
      <w:r>
        <w:rPr>
          <w:rFonts w:hint="default" w:ascii="Times New Roman" w:hAnsi="Times New Roman" w:cs="Times New Roman"/>
          <w:b/>
          <w:bCs/>
          <w:i/>
          <w:iCs/>
          <w:color w:val="auto"/>
          <w:sz w:val="24"/>
          <w:szCs w:val="24"/>
          <w:u w:val="single"/>
          <w:lang w:val="en-GB"/>
        </w:rPr>
        <w:t>Questionnaire</w:t>
      </w:r>
    </w:p>
    <w:p>
      <w:p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 xml:space="preserve">Question 1:  What is your gender? </w:t>
      </w:r>
    </w:p>
    <w:p>
      <w:pPr>
        <w:numPr>
          <w:ilvl w:val="0"/>
          <w:numId w:val="1"/>
        </w:numPr>
        <w:bidi w:val="0"/>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Male    B) Female</w:t>
      </w:r>
    </w:p>
    <w:p>
      <w:pPr>
        <w:numPr>
          <w:ilvl w:val="0"/>
          <w:numId w:val="0"/>
        </w:numPr>
        <w:bidi w:val="0"/>
        <w:spacing w:line="360" w:lineRule="auto"/>
        <w:jc w:val="both"/>
        <w:rPr>
          <w:rFonts w:hint="default" w:ascii="Times New Roman" w:hAnsi="Times New Roman" w:cs="Times New Roman"/>
          <w:color w:val="auto"/>
          <w:sz w:val="24"/>
          <w:szCs w:val="24"/>
          <w:lang w:val="en-GB"/>
        </w:rPr>
      </w:pPr>
    </w:p>
    <w:p>
      <w:p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 xml:space="preserve">Question 2: What is your age group? </w:t>
      </w:r>
    </w:p>
    <w:p>
      <w:pPr>
        <w:pStyle w:val="14"/>
        <w:numPr>
          <w:ilvl w:val="0"/>
          <w:numId w:val="0"/>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GB"/>
        </w:rPr>
        <w:t xml:space="preserve">A) </w:t>
      </w:r>
      <w:r>
        <w:rPr>
          <w:rFonts w:hint="default" w:ascii="Times New Roman" w:hAnsi="Times New Roman" w:cs="Times New Roman"/>
          <w:color w:val="auto"/>
          <w:sz w:val="24"/>
          <w:szCs w:val="24"/>
        </w:rPr>
        <w:t>18-24        B) 25-3</w:t>
      </w:r>
      <w:r>
        <w:rPr>
          <w:rFonts w:hint="default" w:ascii="Times New Roman" w:hAnsi="Times New Roman" w:cs="Times New Roman"/>
          <w:color w:val="auto"/>
          <w:sz w:val="24"/>
          <w:szCs w:val="24"/>
          <w:lang w:val="en-GB"/>
        </w:rPr>
        <w:t>1</w:t>
      </w:r>
      <w:r>
        <w:rPr>
          <w:rFonts w:hint="default" w:ascii="Times New Roman" w:hAnsi="Times New Roman" w:cs="Times New Roman"/>
          <w:color w:val="auto"/>
          <w:sz w:val="24"/>
          <w:szCs w:val="24"/>
        </w:rPr>
        <w:t xml:space="preserve">      C) 3</w:t>
      </w:r>
      <w:r>
        <w:rPr>
          <w:rFonts w:hint="default" w:ascii="Times New Roman" w:hAnsi="Times New Roman" w:cs="Times New Roman"/>
          <w:color w:val="auto"/>
          <w:sz w:val="24"/>
          <w:szCs w:val="24"/>
          <w:lang w:val="en-GB"/>
        </w:rPr>
        <w:t>2</w:t>
      </w:r>
      <w:r>
        <w:rPr>
          <w:rFonts w:hint="default" w:ascii="Times New Roman" w:hAnsi="Times New Roman" w:cs="Times New Roman"/>
          <w:color w:val="auto"/>
          <w:sz w:val="24"/>
          <w:szCs w:val="24"/>
        </w:rPr>
        <w:t>-</w:t>
      </w:r>
      <w:r>
        <w:rPr>
          <w:rFonts w:hint="default" w:ascii="Times New Roman" w:hAnsi="Times New Roman" w:cs="Times New Roman"/>
          <w:color w:val="auto"/>
          <w:sz w:val="24"/>
          <w:szCs w:val="24"/>
          <w:lang w:val="en-GB"/>
        </w:rPr>
        <w:t>39</w:t>
      </w: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GB"/>
        </w:rPr>
        <w:t>D) 40 and above</w:t>
      </w:r>
      <w:r>
        <w:rPr>
          <w:rFonts w:hint="default" w:ascii="Times New Roman" w:hAnsi="Times New Roman" w:cs="Times New Roman"/>
          <w:color w:val="auto"/>
          <w:sz w:val="24"/>
          <w:szCs w:val="24"/>
        </w:rPr>
        <w:t xml:space="preserve"> </w:t>
      </w:r>
    </w:p>
    <w:p>
      <w:p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b/>
          <w:bCs/>
          <w:color w:val="auto"/>
          <w:sz w:val="24"/>
          <w:szCs w:val="24"/>
          <w:lang w:val="en-GB"/>
        </w:rPr>
        <w:t>Question 3: Do you think use of educational technologies will provide enhanced educational experience?</w:t>
      </w:r>
    </w:p>
    <w:p>
      <w:pPr>
        <w:numPr>
          <w:ilvl w:val="0"/>
          <w:numId w:val="2"/>
        </w:num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Yes        B) No      C) Not sure</w:t>
      </w:r>
    </w:p>
    <w:p>
      <w:pPr>
        <w:numPr>
          <w:ilvl w:val="0"/>
          <w:numId w:val="0"/>
        </w:numPr>
        <w:spacing w:line="360" w:lineRule="auto"/>
        <w:jc w:val="both"/>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lang w:val="en-GB"/>
        </w:rPr>
        <w:t xml:space="preserve">Question 4: I enjoy being in virtual learning environment </w:t>
      </w:r>
    </w:p>
    <w:p>
      <w:pPr>
        <w:numPr>
          <w:ilvl w:val="0"/>
          <w:numId w:val="3"/>
        </w:numPr>
        <w:spacing w:line="360" w:lineRule="auto"/>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Strongly Agree</w:t>
      </w:r>
    </w:p>
    <w:p>
      <w:pPr>
        <w:numPr>
          <w:ilvl w:val="0"/>
          <w:numId w:val="3"/>
        </w:numPr>
        <w:spacing w:line="360" w:lineRule="auto"/>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Agree</w:t>
      </w:r>
    </w:p>
    <w:p>
      <w:pPr>
        <w:numPr>
          <w:ilvl w:val="0"/>
          <w:numId w:val="3"/>
        </w:numPr>
        <w:spacing w:line="360" w:lineRule="auto"/>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Neutral</w:t>
      </w:r>
    </w:p>
    <w:p>
      <w:pPr>
        <w:numPr>
          <w:ilvl w:val="0"/>
          <w:numId w:val="3"/>
        </w:numPr>
        <w:spacing w:line="360" w:lineRule="auto"/>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Disagree </w:t>
      </w:r>
    </w:p>
    <w:p>
      <w:pPr>
        <w:numPr>
          <w:ilvl w:val="0"/>
          <w:numId w:val="2"/>
        </w:num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Strongly Disagree</w:t>
      </w:r>
    </w:p>
    <w:p>
      <w:p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 xml:space="preserve">Question </w:t>
      </w:r>
      <w:r>
        <w:rPr>
          <w:rFonts w:hint="default" w:ascii="Times New Roman" w:hAnsi="Times New Roman" w:cs="Times New Roman"/>
          <w:b/>
          <w:bCs/>
          <w:color w:val="auto"/>
          <w:sz w:val="24"/>
          <w:szCs w:val="24"/>
          <w:lang w:val="en-GB"/>
        </w:rPr>
        <w:t>5</w:t>
      </w:r>
      <w:r>
        <w:rPr>
          <w:rFonts w:hint="default" w:ascii="Times New Roman" w:hAnsi="Times New Roman" w:cs="Times New Roman"/>
          <w:b/>
          <w:bCs/>
          <w:color w:val="auto"/>
          <w:sz w:val="24"/>
          <w:szCs w:val="24"/>
        </w:rPr>
        <w:t xml:space="preserve">: Is Moodle (VLE) easy to use? </w:t>
      </w:r>
    </w:p>
    <w:p>
      <w:pPr>
        <w:numPr>
          <w:ilvl w:val="0"/>
          <w:numId w:val="4"/>
        </w:numPr>
        <w:tabs>
          <w:tab w:val="left" w:pos="312"/>
        </w:tabs>
        <w:spacing w:line="360" w:lineRule="auto"/>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Yes    B) No</w:t>
      </w:r>
    </w:p>
    <w:p>
      <w:pPr>
        <w:spacing w:line="360" w:lineRule="auto"/>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rPr>
        <w:t xml:space="preserve">Question </w:t>
      </w:r>
      <w:r>
        <w:rPr>
          <w:rFonts w:hint="default" w:ascii="Times New Roman" w:hAnsi="Times New Roman" w:cs="Times New Roman"/>
          <w:b/>
          <w:bCs/>
          <w:color w:val="auto"/>
          <w:sz w:val="24"/>
          <w:szCs w:val="24"/>
          <w:lang w:val="en-GB"/>
        </w:rPr>
        <w:t>6</w:t>
      </w:r>
      <w:r>
        <w:rPr>
          <w:rFonts w:hint="default" w:ascii="Times New Roman" w:hAnsi="Times New Roman" w:cs="Times New Roman"/>
          <w:b/>
          <w:bCs/>
          <w:color w:val="auto"/>
          <w:sz w:val="24"/>
          <w:szCs w:val="24"/>
        </w:rPr>
        <w:t>: How good are you at using Moodle (VLE) Library?</w:t>
      </w:r>
      <w:r>
        <w:rPr>
          <w:rFonts w:hint="default" w:ascii="Times New Roman" w:hAnsi="Times New Roman" w:cs="Times New Roman"/>
          <w:color w:val="auto"/>
          <w:sz w:val="24"/>
          <w:szCs w:val="24"/>
        </w:rPr>
        <w:t xml:space="preserve"> </w:t>
      </w:r>
    </w:p>
    <w:p>
      <w:pPr>
        <w:pStyle w:val="14"/>
        <w:numPr>
          <w:ilvl w:val="0"/>
          <w:numId w:val="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Good </w:t>
      </w:r>
    </w:p>
    <w:p>
      <w:pPr>
        <w:pStyle w:val="14"/>
        <w:numPr>
          <w:ilvl w:val="0"/>
          <w:numId w:val="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Fairly Good </w:t>
      </w:r>
    </w:p>
    <w:p>
      <w:pPr>
        <w:pStyle w:val="14"/>
        <w:numPr>
          <w:ilvl w:val="0"/>
          <w:numId w:val="5"/>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Moderate </w:t>
      </w:r>
    </w:p>
    <w:p>
      <w:pPr>
        <w:pStyle w:val="14"/>
        <w:numPr>
          <w:ilvl w:val="0"/>
          <w:numId w:val="5"/>
        </w:num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rPr>
        <w:t>Bad</w:t>
      </w:r>
    </w:p>
    <w:p>
      <w:pPr>
        <w:pStyle w:val="14"/>
        <w:numPr>
          <w:ilvl w:val="0"/>
          <w:numId w:val="5"/>
        </w:num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rPr>
        <w:t>Very Bad</w:t>
      </w:r>
    </w:p>
    <w:p>
      <w:p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 xml:space="preserve">Question </w:t>
      </w:r>
      <w:r>
        <w:rPr>
          <w:rFonts w:hint="default" w:ascii="Times New Roman" w:hAnsi="Times New Roman" w:cs="Times New Roman"/>
          <w:b/>
          <w:bCs/>
          <w:color w:val="auto"/>
          <w:sz w:val="24"/>
          <w:szCs w:val="24"/>
          <w:lang w:val="en-GB"/>
        </w:rPr>
        <w:t>7</w:t>
      </w:r>
      <w:r>
        <w:rPr>
          <w:rFonts w:hint="default" w:ascii="Times New Roman" w:hAnsi="Times New Roman" w:cs="Times New Roman"/>
          <w:b/>
          <w:bCs/>
          <w:color w:val="auto"/>
          <w:sz w:val="24"/>
          <w:szCs w:val="24"/>
        </w:rPr>
        <w:t xml:space="preserve">: How important Moodle (VLE) in your study? </w:t>
      </w:r>
    </w:p>
    <w:p>
      <w:pPr>
        <w:pStyle w:val="14"/>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Important </w:t>
      </w:r>
    </w:p>
    <w:p>
      <w:pPr>
        <w:pStyle w:val="14"/>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Fairly important </w:t>
      </w:r>
    </w:p>
    <w:p>
      <w:pPr>
        <w:pStyle w:val="14"/>
        <w:numPr>
          <w:ilvl w:val="0"/>
          <w:numId w:val="6"/>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Very important </w:t>
      </w:r>
    </w:p>
    <w:p>
      <w:pPr>
        <w:pStyle w:val="14"/>
        <w:numPr>
          <w:ilvl w:val="0"/>
          <w:numId w:val="6"/>
        </w:num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rPr>
        <w:t xml:space="preserve">Not important </w:t>
      </w:r>
    </w:p>
    <w:p>
      <w:pPr>
        <w:pStyle w:val="14"/>
        <w:numPr>
          <w:ilvl w:val="0"/>
          <w:numId w:val="6"/>
        </w:num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rPr>
        <w:t xml:space="preserve">No opinion </w:t>
      </w:r>
    </w:p>
    <w:p>
      <w:pPr>
        <w:spacing w:line="360" w:lineRule="auto"/>
        <w:rPr>
          <w:rFonts w:hint="default" w:ascii="Times New Roman" w:hAnsi="Times New Roman" w:cs="Times New Roman"/>
          <w:b/>
          <w:bCs/>
          <w:color w:val="auto"/>
          <w:sz w:val="24"/>
          <w:szCs w:val="24"/>
        </w:rPr>
      </w:pPr>
      <w:r>
        <w:rPr>
          <w:rFonts w:hint="default" w:ascii="Times New Roman" w:hAnsi="Times New Roman" w:cs="Times New Roman"/>
          <w:b/>
          <w:bCs/>
          <w:color w:val="auto"/>
          <w:sz w:val="24"/>
          <w:szCs w:val="24"/>
        </w:rPr>
        <w:t xml:space="preserve">Question </w:t>
      </w:r>
      <w:r>
        <w:rPr>
          <w:rFonts w:hint="default" w:ascii="Times New Roman" w:hAnsi="Times New Roman" w:cs="Times New Roman"/>
          <w:b/>
          <w:bCs/>
          <w:color w:val="auto"/>
          <w:sz w:val="24"/>
          <w:szCs w:val="24"/>
          <w:lang w:val="en-GB"/>
        </w:rPr>
        <w:t>8</w:t>
      </w:r>
      <w:r>
        <w:rPr>
          <w:rFonts w:hint="default" w:ascii="Times New Roman" w:hAnsi="Times New Roman" w:cs="Times New Roman"/>
          <w:b/>
          <w:bCs/>
          <w:color w:val="auto"/>
          <w:sz w:val="24"/>
          <w:szCs w:val="24"/>
        </w:rPr>
        <w:t xml:space="preserve">: How often do you access Moodle (VLE)? </w:t>
      </w:r>
    </w:p>
    <w:p>
      <w:pPr>
        <w:pStyle w:val="14"/>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Daily </w:t>
      </w:r>
    </w:p>
    <w:p>
      <w:pPr>
        <w:pStyle w:val="14"/>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Every other day </w:t>
      </w:r>
    </w:p>
    <w:p>
      <w:pPr>
        <w:pStyle w:val="14"/>
        <w:numPr>
          <w:ilvl w:val="0"/>
          <w:numId w:val="7"/>
        </w:numPr>
        <w:spacing w:line="360" w:lineRule="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Once a week </w:t>
      </w:r>
    </w:p>
    <w:p>
      <w:pPr>
        <w:pStyle w:val="14"/>
        <w:numPr>
          <w:ilvl w:val="0"/>
          <w:numId w:val="7"/>
        </w:num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rPr>
        <w:t xml:space="preserve">Twice a week </w:t>
      </w:r>
    </w:p>
    <w:p>
      <w:pPr>
        <w:pStyle w:val="14"/>
        <w:numPr>
          <w:ilvl w:val="0"/>
          <w:numId w:val="7"/>
        </w:numPr>
        <w:spacing w:line="360" w:lineRule="auto"/>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rPr>
        <w:t>Not accessing</w:t>
      </w:r>
    </w:p>
    <w:p>
      <w:pPr>
        <w:numPr>
          <w:ilvl w:val="0"/>
          <w:numId w:val="0"/>
        </w:numPr>
        <w:spacing w:line="360" w:lineRule="auto"/>
        <w:jc w:val="both"/>
        <w:rPr>
          <w:rFonts w:hint="default" w:ascii="Times New Roman" w:hAnsi="Times New Roman" w:cs="Times New Roman"/>
          <w:color w:val="auto"/>
          <w:sz w:val="24"/>
          <w:szCs w:val="24"/>
          <w:lang w:val="en-GB"/>
        </w:rPr>
      </w:pPr>
      <w:r>
        <w:rPr>
          <w:rFonts w:hint="default" w:ascii="Times New Roman" w:hAnsi="Times New Roman" w:cs="Times New Roman"/>
          <w:b/>
          <w:bCs/>
          <w:color w:val="auto"/>
          <w:sz w:val="24"/>
          <w:szCs w:val="24"/>
          <w:lang w:val="en-GB"/>
        </w:rPr>
        <w:t>Question 9: My scores have improved since I have started getting access to virtual learning environment</w:t>
      </w:r>
    </w:p>
    <w:p>
      <w:pPr>
        <w:numPr>
          <w:ilvl w:val="0"/>
          <w:numId w:val="8"/>
        </w:numPr>
        <w:spacing w:line="360" w:lineRule="auto"/>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Strongly Agree</w:t>
      </w:r>
    </w:p>
    <w:p>
      <w:pPr>
        <w:numPr>
          <w:ilvl w:val="0"/>
          <w:numId w:val="8"/>
        </w:numPr>
        <w:spacing w:line="360" w:lineRule="auto"/>
        <w:ind w:left="0" w:leftChars="0" w:firstLine="0" w:firstLineChars="0"/>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Agree</w:t>
      </w:r>
    </w:p>
    <w:p>
      <w:pPr>
        <w:numPr>
          <w:ilvl w:val="0"/>
          <w:numId w:val="8"/>
        </w:numPr>
        <w:spacing w:line="360" w:lineRule="auto"/>
        <w:ind w:left="0" w:leftChars="0" w:firstLine="0" w:firstLineChars="0"/>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Neutral</w:t>
      </w:r>
    </w:p>
    <w:p>
      <w:pPr>
        <w:numPr>
          <w:ilvl w:val="0"/>
          <w:numId w:val="8"/>
        </w:numPr>
        <w:spacing w:line="360" w:lineRule="auto"/>
        <w:ind w:left="0" w:leftChars="0" w:firstLine="0" w:firstLineChars="0"/>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Disagree </w:t>
      </w:r>
    </w:p>
    <w:p>
      <w:pPr>
        <w:numPr>
          <w:ilvl w:val="0"/>
          <w:numId w:val="8"/>
        </w:numPr>
        <w:spacing w:line="360" w:lineRule="auto"/>
        <w:ind w:left="0" w:leftChars="0" w:firstLine="0" w:firstLineChars="0"/>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Strongly Disagree</w:t>
      </w:r>
    </w:p>
    <w:p>
      <w:pPr>
        <w:numPr>
          <w:ilvl w:val="0"/>
          <w:numId w:val="0"/>
        </w:numPr>
        <w:spacing w:line="360" w:lineRule="auto"/>
        <w:jc w:val="both"/>
        <w:rPr>
          <w:rFonts w:hint="default" w:ascii="Times New Roman" w:hAnsi="Times New Roman" w:cs="Times New Roman"/>
          <w:b/>
          <w:bCs/>
          <w:color w:val="auto"/>
          <w:sz w:val="24"/>
          <w:szCs w:val="24"/>
          <w:lang w:val="en-GB"/>
        </w:rPr>
      </w:pPr>
      <w:r>
        <w:rPr>
          <w:rFonts w:hint="default" w:ascii="Times New Roman" w:hAnsi="Times New Roman" w:cs="Times New Roman"/>
          <w:b/>
          <w:bCs/>
          <w:color w:val="auto"/>
          <w:sz w:val="24"/>
          <w:szCs w:val="24"/>
          <w:lang w:val="en-GB"/>
        </w:rPr>
        <w:t xml:space="preserve">Question 10: Using Moodle </w:t>
      </w:r>
      <w:r>
        <w:rPr>
          <w:rFonts w:hint="default" w:ascii="Times New Roman" w:hAnsi="Times New Roman" w:cs="Times New Roman"/>
          <w:b/>
          <w:bCs/>
          <w:color w:val="auto"/>
          <w:sz w:val="24"/>
          <w:szCs w:val="24"/>
        </w:rPr>
        <w:t>(VLE)</w:t>
      </w:r>
      <w:r>
        <w:rPr>
          <w:rFonts w:hint="default" w:ascii="Times New Roman" w:hAnsi="Times New Roman" w:cs="Times New Roman"/>
          <w:b/>
          <w:bCs/>
          <w:color w:val="auto"/>
          <w:sz w:val="24"/>
          <w:szCs w:val="24"/>
          <w:lang w:val="en-GB"/>
        </w:rPr>
        <w:t xml:space="preserve"> have enhanced my motivation to participate in the learning process</w:t>
      </w:r>
    </w:p>
    <w:p>
      <w:pPr>
        <w:numPr>
          <w:ilvl w:val="0"/>
          <w:numId w:val="9"/>
        </w:numPr>
        <w:spacing w:line="360" w:lineRule="auto"/>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Strongly Agree</w:t>
      </w:r>
    </w:p>
    <w:p>
      <w:pPr>
        <w:numPr>
          <w:ilvl w:val="0"/>
          <w:numId w:val="9"/>
        </w:numPr>
        <w:spacing w:line="360" w:lineRule="auto"/>
        <w:ind w:left="0" w:leftChars="0" w:firstLine="0" w:firstLineChars="0"/>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Agree</w:t>
      </w:r>
    </w:p>
    <w:p>
      <w:pPr>
        <w:numPr>
          <w:ilvl w:val="0"/>
          <w:numId w:val="9"/>
        </w:numPr>
        <w:spacing w:line="360" w:lineRule="auto"/>
        <w:ind w:left="0" w:leftChars="0" w:firstLine="0" w:firstLineChars="0"/>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Neutral</w:t>
      </w:r>
    </w:p>
    <w:p>
      <w:pPr>
        <w:numPr>
          <w:ilvl w:val="0"/>
          <w:numId w:val="9"/>
        </w:numPr>
        <w:spacing w:line="360" w:lineRule="auto"/>
        <w:ind w:left="0" w:leftChars="0" w:firstLine="0" w:firstLineChars="0"/>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 xml:space="preserve">Disagree </w:t>
      </w:r>
    </w:p>
    <w:p>
      <w:pPr>
        <w:numPr>
          <w:ilvl w:val="0"/>
          <w:numId w:val="9"/>
        </w:numPr>
        <w:spacing w:line="360" w:lineRule="auto"/>
        <w:ind w:left="0" w:leftChars="0" w:firstLine="0" w:firstLineChars="0"/>
        <w:jc w:val="both"/>
        <w:rPr>
          <w:rFonts w:hint="default" w:ascii="Times New Roman" w:hAnsi="Times New Roman" w:cs="Times New Roman"/>
          <w:color w:val="auto"/>
          <w:sz w:val="24"/>
          <w:szCs w:val="24"/>
          <w:lang w:val="en-GB"/>
        </w:rPr>
      </w:pPr>
      <w:r>
        <w:rPr>
          <w:rFonts w:hint="default" w:ascii="Times New Roman" w:hAnsi="Times New Roman" w:cs="Times New Roman"/>
          <w:color w:val="auto"/>
          <w:sz w:val="24"/>
          <w:szCs w:val="24"/>
          <w:lang w:val="en-GB"/>
        </w:rPr>
        <w:t>Strongly Disagree</w:t>
      </w:r>
    </w:p>
    <w:p>
      <w:pPr>
        <w:spacing w:line="360" w:lineRule="auto"/>
        <w:rPr>
          <w:rFonts w:hint="default" w:ascii="Times New Roman" w:hAnsi="Times New Roman" w:cs="Times New Roman"/>
          <w:color w:val="auto"/>
          <w:sz w:val="24"/>
          <w:szCs w:val="24"/>
        </w:rPr>
      </w:pPr>
    </w:p>
    <w:p>
      <w:pPr>
        <w:numPr>
          <w:numId w:val="0"/>
        </w:numPr>
        <w:spacing w:line="360" w:lineRule="auto"/>
        <w:jc w:val="both"/>
        <w:rPr>
          <w:rFonts w:hint="default"/>
          <w:b/>
          <w:bCs/>
          <w:lang w:val="en-GB"/>
        </w:rPr>
      </w:pPr>
    </w:p>
    <w:p>
      <w:pPr>
        <w:pStyle w:val="14"/>
        <w:numPr>
          <w:numId w:val="0"/>
        </w:numPr>
        <w:spacing w:line="360" w:lineRule="auto"/>
        <w:ind w:left="360" w:leftChars="0"/>
        <w:rPr>
          <w:rFonts w:hint="default"/>
          <w:lang w:val="en-GB"/>
        </w:rPr>
      </w:pPr>
    </w:p>
    <w:p>
      <w:pPr>
        <w:pStyle w:val="14"/>
        <w:numPr>
          <w:numId w:val="0"/>
        </w:numPr>
        <w:spacing w:line="360" w:lineRule="auto"/>
        <w:contextualSpacing/>
        <w:jc w:val="both"/>
        <w:rPr>
          <w:rFonts w:hint="default"/>
          <w:lang w:val="en-GB"/>
        </w:rPr>
      </w:pPr>
    </w:p>
    <w:p>
      <w:pPr>
        <w:pStyle w:val="14"/>
        <w:numPr>
          <w:numId w:val="0"/>
        </w:numPr>
        <w:spacing w:line="360" w:lineRule="auto"/>
      </w:pPr>
    </w:p>
    <w:p>
      <w:pPr>
        <w:numPr>
          <w:numId w:val="0"/>
        </w:numPr>
        <w:bidi w:val="0"/>
        <w:spacing w:line="360" w:lineRule="auto"/>
        <w:jc w:val="both"/>
        <w:rPr>
          <w:rFonts w:hint="default"/>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Microsoft JhengHei">
    <w:panose1 w:val="020B0604030504040204"/>
    <w:charset w:val="88"/>
    <w:family w:val="auto"/>
    <w:pitch w:val="default"/>
    <w:sig w:usb0="000002A7" w:usb1="28CF4400" w:usb2="00000016" w:usb3="00000000" w:csb0="00100009"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Symbol">
    <w:panose1 w:val="05050102010706020507"/>
    <w:charset w:val="02"/>
    <w:family w:val="decorative"/>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26A5CF"/>
    <w:multiLevelType w:val="singleLevel"/>
    <w:tmpl w:val="C326A5CF"/>
    <w:lvl w:ilvl="0" w:tentative="0">
      <w:start w:val="1"/>
      <w:numFmt w:val="upperLetter"/>
      <w:lvlText w:val="%1)"/>
      <w:lvlJc w:val="left"/>
      <w:pPr>
        <w:tabs>
          <w:tab w:val="left" w:pos="312"/>
        </w:tabs>
      </w:pPr>
    </w:lvl>
  </w:abstractNum>
  <w:abstractNum w:abstractNumId="1">
    <w:nsid w:val="1715585B"/>
    <w:multiLevelType w:val="singleLevel"/>
    <w:tmpl w:val="1715585B"/>
    <w:lvl w:ilvl="0" w:tentative="0">
      <w:start w:val="1"/>
      <w:numFmt w:val="upperLetter"/>
      <w:suff w:val="space"/>
      <w:lvlText w:val="%1)"/>
      <w:lvlJc w:val="left"/>
    </w:lvl>
  </w:abstractNum>
  <w:abstractNum w:abstractNumId="2">
    <w:nsid w:val="19EFB3F8"/>
    <w:multiLevelType w:val="singleLevel"/>
    <w:tmpl w:val="19EFB3F8"/>
    <w:lvl w:ilvl="0" w:tentative="0">
      <w:start w:val="1"/>
      <w:numFmt w:val="upperLetter"/>
      <w:suff w:val="space"/>
      <w:lvlText w:val="%1)"/>
      <w:lvlJc w:val="left"/>
    </w:lvl>
  </w:abstractNum>
  <w:abstractNum w:abstractNumId="3">
    <w:nsid w:val="31CD587A"/>
    <w:multiLevelType w:val="singleLevel"/>
    <w:tmpl w:val="31CD587A"/>
    <w:lvl w:ilvl="0" w:tentative="0">
      <w:start w:val="1"/>
      <w:numFmt w:val="upperLetter"/>
      <w:suff w:val="space"/>
      <w:lvlText w:val="%1)"/>
      <w:lvlJc w:val="left"/>
    </w:lvl>
  </w:abstractNum>
  <w:abstractNum w:abstractNumId="4">
    <w:nsid w:val="3AFD3710"/>
    <w:multiLevelType w:val="multilevel"/>
    <w:tmpl w:val="3AFD371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5">
    <w:nsid w:val="5DC1FEB9"/>
    <w:multiLevelType w:val="singleLevel"/>
    <w:tmpl w:val="5DC1FEB9"/>
    <w:lvl w:ilvl="0" w:tentative="0">
      <w:start w:val="1"/>
      <w:numFmt w:val="upperLetter"/>
      <w:suff w:val="space"/>
      <w:lvlText w:val="%1)"/>
      <w:lvlJc w:val="left"/>
    </w:lvl>
  </w:abstractNum>
  <w:abstractNum w:abstractNumId="6">
    <w:nsid w:val="6758620F"/>
    <w:multiLevelType w:val="multilevel"/>
    <w:tmpl w:val="6758620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7">
    <w:nsid w:val="68FA8B73"/>
    <w:multiLevelType w:val="singleLevel"/>
    <w:tmpl w:val="68FA8B73"/>
    <w:lvl w:ilvl="0" w:tentative="0">
      <w:start w:val="1"/>
      <w:numFmt w:val="upperLetter"/>
      <w:suff w:val="space"/>
      <w:lvlText w:val="%1)"/>
      <w:lvlJc w:val="left"/>
    </w:lvl>
  </w:abstractNum>
  <w:abstractNum w:abstractNumId="8">
    <w:nsid w:val="751D3298"/>
    <w:multiLevelType w:val="multilevel"/>
    <w:tmpl w:val="751D329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7"/>
  </w:num>
  <w:num w:numId="2">
    <w:abstractNumId w:val="0"/>
  </w:num>
  <w:num w:numId="3">
    <w:abstractNumId w:val="1"/>
  </w:num>
  <w:num w:numId="4">
    <w:abstractNumId w:val="2"/>
  </w:num>
  <w:num w:numId="5">
    <w:abstractNumId w:val="8"/>
  </w:num>
  <w:num w:numId="6">
    <w:abstractNumId w:val="4"/>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440200"/>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8139F"/>
    <w:rsid w:val="00CA2C6C"/>
    <w:rsid w:val="00CC0600"/>
    <w:rsid w:val="00CC78AC"/>
    <w:rsid w:val="00CF7953"/>
    <w:rsid w:val="00D07232"/>
    <w:rsid w:val="00D10245"/>
    <w:rsid w:val="00D21BDD"/>
    <w:rsid w:val="00D65F07"/>
    <w:rsid w:val="00D92BB7"/>
    <w:rsid w:val="00DC76D2"/>
    <w:rsid w:val="00DD30ED"/>
    <w:rsid w:val="00E30DF3"/>
    <w:rsid w:val="00E64C21"/>
    <w:rsid w:val="00EC24C6"/>
    <w:rsid w:val="00EF2933"/>
    <w:rsid w:val="00F05146"/>
    <w:rsid w:val="00F1115D"/>
    <w:rsid w:val="00F3513C"/>
    <w:rsid w:val="00F465C5"/>
    <w:rsid w:val="00F5180D"/>
    <w:rsid w:val="00F51B21"/>
    <w:rsid w:val="00F51D87"/>
    <w:rsid w:val="00F8455C"/>
    <w:rsid w:val="019C7EFA"/>
    <w:rsid w:val="01AA3C47"/>
    <w:rsid w:val="032172E5"/>
    <w:rsid w:val="03DF16CE"/>
    <w:rsid w:val="04D253E4"/>
    <w:rsid w:val="0A5B789F"/>
    <w:rsid w:val="0A5C3725"/>
    <w:rsid w:val="0A7B494B"/>
    <w:rsid w:val="0AC7605C"/>
    <w:rsid w:val="0B8A764F"/>
    <w:rsid w:val="0E4E556B"/>
    <w:rsid w:val="0ED46DAE"/>
    <w:rsid w:val="0F1F497B"/>
    <w:rsid w:val="0F2412B0"/>
    <w:rsid w:val="0FFA34F8"/>
    <w:rsid w:val="12325BA5"/>
    <w:rsid w:val="12C37454"/>
    <w:rsid w:val="16E3012F"/>
    <w:rsid w:val="178665EA"/>
    <w:rsid w:val="18682486"/>
    <w:rsid w:val="1D056698"/>
    <w:rsid w:val="1EE25A4D"/>
    <w:rsid w:val="22EA7834"/>
    <w:rsid w:val="249D5397"/>
    <w:rsid w:val="26247DC5"/>
    <w:rsid w:val="267B2C3F"/>
    <w:rsid w:val="26E37FAB"/>
    <w:rsid w:val="26EA1452"/>
    <w:rsid w:val="29BC3E6C"/>
    <w:rsid w:val="29C62DD9"/>
    <w:rsid w:val="2A444790"/>
    <w:rsid w:val="2A5C10A8"/>
    <w:rsid w:val="2B5B06C8"/>
    <w:rsid w:val="2D637003"/>
    <w:rsid w:val="2D674DD3"/>
    <w:rsid w:val="314E5E8E"/>
    <w:rsid w:val="319B1ED0"/>
    <w:rsid w:val="33D971D3"/>
    <w:rsid w:val="35183ADD"/>
    <w:rsid w:val="367D6584"/>
    <w:rsid w:val="36A03C12"/>
    <w:rsid w:val="36EE1D9A"/>
    <w:rsid w:val="388F5B69"/>
    <w:rsid w:val="393A4A21"/>
    <w:rsid w:val="3B5F2729"/>
    <w:rsid w:val="3CBC36D6"/>
    <w:rsid w:val="3D2C3147"/>
    <w:rsid w:val="3DCC6AFA"/>
    <w:rsid w:val="3DF40124"/>
    <w:rsid w:val="3E6D3CBF"/>
    <w:rsid w:val="3F5E2F4C"/>
    <w:rsid w:val="3FBF06C7"/>
    <w:rsid w:val="40133D17"/>
    <w:rsid w:val="41002599"/>
    <w:rsid w:val="414513FD"/>
    <w:rsid w:val="43C132FF"/>
    <w:rsid w:val="43D51195"/>
    <w:rsid w:val="43F33720"/>
    <w:rsid w:val="44190498"/>
    <w:rsid w:val="456B26E0"/>
    <w:rsid w:val="45B30D8D"/>
    <w:rsid w:val="46433FC4"/>
    <w:rsid w:val="47581199"/>
    <w:rsid w:val="47FA4DFF"/>
    <w:rsid w:val="4B501480"/>
    <w:rsid w:val="4BB30D6C"/>
    <w:rsid w:val="4C6F11C4"/>
    <w:rsid w:val="4CA90F81"/>
    <w:rsid w:val="4F1C3502"/>
    <w:rsid w:val="4F8831F9"/>
    <w:rsid w:val="52147D43"/>
    <w:rsid w:val="522E3730"/>
    <w:rsid w:val="53DC29E6"/>
    <w:rsid w:val="55E940AE"/>
    <w:rsid w:val="56CF2700"/>
    <w:rsid w:val="57316905"/>
    <w:rsid w:val="59912D9D"/>
    <w:rsid w:val="5C264880"/>
    <w:rsid w:val="5D3E2BE8"/>
    <w:rsid w:val="5E7F08D8"/>
    <w:rsid w:val="5E9B35F5"/>
    <w:rsid w:val="61440200"/>
    <w:rsid w:val="62A33E0A"/>
    <w:rsid w:val="62F82E01"/>
    <w:rsid w:val="6498703D"/>
    <w:rsid w:val="663A7ADB"/>
    <w:rsid w:val="67A801DF"/>
    <w:rsid w:val="698D713B"/>
    <w:rsid w:val="6C24707C"/>
    <w:rsid w:val="6E9731BC"/>
    <w:rsid w:val="6EA475D8"/>
    <w:rsid w:val="6ED75B1A"/>
    <w:rsid w:val="6F3D490D"/>
    <w:rsid w:val="6F623C7A"/>
    <w:rsid w:val="6F6C47F4"/>
    <w:rsid w:val="707F06AD"/>
    <w:rsid w:val="74990713"/>
    <w:rsid w:val="74DE32DD"/>
    <w:rsid w:val="75B856DE"/>
    <w:rsid w:val="7756530B"/>
    <w:rsid w:val="77D3293A"/>
    <w:rsid w:val="78786EEE"/>
    <w:rsid w:val="78B90030"/>
    <w:rsid w:val="7B3A1931"/>
    <w:rsid w:val="7B7E55AD"/>
    <w:rsid w:val="7C4E63B2"/>
    <w:rsid w:val="7CEE5EDA"/>
    <w:rsid w:val="7EB62E7D"/>
    <w:rsid w:val="7EE841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SimSun" w:cstheme="minorBidi"/>
      <w:kern w:val="2"/>
      <w:sz w:val="24"/>
    </w:rPr>
  </w:style>
  <w:style w:type="paragraph" w:styleId="2">
    <w:name w:val="heading 1"/>
    <w:basedOn w:val="1"/>
    <w:next w:val="1"/>
    <w:link w:val="11"/>
    <w:qFormat/>
    <w:uiPriority w:val="0"/>
    <w:pPr>
      <w:spacing w:before="0" w:beforeAutospacing="1" w:after="0" w:afterAutospacing="1" w:line="480" w:lineRule="auto"/>
      <w:jc w:val="both"/>
      <w:outlineLvl w:val="0"/>
    </w:pPr>
    <w:rPr>
      <w:rFonts w:hint="eastAsia" w:ascii="Times New Roman" w:hAnsi="Times New Roman" w:eastAsia="SimSun" w:cs="SimSun"/>
      <w:b/>
      <w:bCs/>
      <w:color w:val="000000" w:themeColor="text1"/>
      <w:sz w:val="24"/>
      <w:szCs w:val="48"/>
      <w:lang w:eastAsia="zh-CN" w:bidi="ar"/>
      <w14:textFill>
        <w14:solidFill>
          <w14:schemeClr w14:val="tx1"/>
        </w14:solidFill>
      </w14:textFill>
    </w:rPr>
  </w:style>
  <w:style w:type="paragraph" w:styleId="3">
    <w:name w:val="heading 2"/>
    <w:next w:val="1"/>
    <w:link w:val="10"/>
    <w:semiHidden/>
    <w:unhideWhenUsed/>
    <w:qFormat/>
    <w:uiPriority w:val="0"/>
    <w:pPr>
      <w:spacing w:before="0" w:beforeAutospacing="1" w:after="0" w:afterAutospacing="1" w:line="360" w:lineRule="auto"/>
      <w:jc w:val="both"/>
      <w:outlineLvl w:val="1"/>
    </w:pPr>
    <w:rPr>
      <w:rFonts w:hint="eastAsia" w:ascii="Times New Roman" w:hAnsi="Times New Roman" w:eastAsia="SimSun" w:cs="SimSun"/>
      <w:b/>
      <w:color w:val="000000" w:themeColor="text1"/>
      <w:kern w:val="0"/>
      <w:sz w:val="24"/>
      <w:szCs w:val="36"/>
      <w:lang w:val="en-US" w:eastAsia="zh-CN" w:bidi="ar"/>
      <w14:textFill>
        <w14:solidFill>
          <w14:schemeClr w14:val="tx1"/>
        </w14:solidFill>
      </w14:textFill>
    </w:rPr>
  </w:style>
  <w:style w:type="paragraph" w:styleId="4">
    <w:name w:val="heading 3"/>
    <w:basedOn w:val="1"/>
    <w:next w:val="1"/>
    <w:link w:val="13"/>
    <w:semiHidden/>
    <w:unhideWhenUsed/>
    <w:qFormat/>
    <w:uiPriority w:val="0"/>
    <w:pPr>
      <w:keepNext/>
      <w:keepLines/>
      <w:spacing w:before="40" w:after="0"/>
      <w:outlineLvl w:val="2"/>
    </w:pPr>
    <w:rPr>
      <w:rFonts w:ascii="Times New Roman" w:hAnsi="Times New Roman" w:eastAsiaTheme="majorEastAsia" w:cstheme="majorBidi"/>
      <w:b/>
      <w:color w:val="1F4E79" w:themeColor="accent1" w:themeShade="80"/>
      <w:szCs w:val="24"/>
      <w:lang w:val="en-GB" w:eastAsia="en-US" w:bidi="ar-SA"/>
    </w:rPr>
  </w:style>
  <w:style w:type="paragraph" w:styleId="5">
    <w:name w:val="heading 4"/>
    <w:basedOn w:val="1"/>
    <w:next w:val="1"/>
    <w:semiHidden/>
    <w:unhideWhenUsed/>
    <w:qFormat/>
    <w:uiPriority w:val="0"/>
    <w:pPr>
      <w:keepNext/>
      <w:keepLines/>
      <w:spacing w:before="280" w:after="290" w:line="360" w:lineRule="auto"/>
      <w:outlineLvl w:val="3"/>
    </w:pPr>
    <w:rPr>
      <w:b/>
      <w:bCs/>
      <w:szCs w:val="28"/>
    </w:rPr>
  </w:style>
  <w:style w:type="character" w:default="1" w:styleId="8">
    <w:name w:val="Default Paragraph Font"/>
    <w:semiHidden/>
    <w:unhideWhenUsed/>
    <w:uiPriority w:val="1"/>
  </w:style>
  <w:style w:type="table" w:default="1" w:styleId="9">
    <w:name w:val="Normal Table"/>
    <w:semiHidden/>
    <w:qFormat/>
    <w:uiPriority w:val="0"/>
    <w:tblPr>
      <w:tblCellMar>
        <w:top w:w="0" w:type="dxa"/>
        <w:left w:w="108" w:type="dxa"/>
        <w:bottom w:w="0" w:type="dxa"/>
        <w:right w:w="108" w:type="dxa"/>
      </w:tblCellMar>
    </w:tblPr>
  </w:style>
  <w:style w:type="paragraph" w:styleId="6">
    <w:name w:val="Body Text"/>
    <w:basedOn w:val="1"/>
    <w:qFormat/>
    <w:uiPriority w:val="0"/>
    <w:pPr>
      <w:spacing w:after="120" w:line="360" w:lineRule="auto"/>
    </w:pPr>
    <w:rPr>
      <w:rFonts w:ascii="Times New Roman" w:hAnsi="Times New Roman" w:eastAsia="Times New Roman"/>
    </w:rPr>
  </w:style>
  <w:style w:type="paragraph" w:styleId="7">
    <w:name w:val="toc 1"/>
    <w:basedOn w:val="1"/>
    <w:next w:val="1"/>
    <w:uiPriority w:val="0"/>
  </w:style>
  <w:style w:type="character" w:customStyle="1" w:styleId="10">
    <w:name w:val="Heading 2 Char"/>
    <w:basedOn w:val="8"/>
    <w:link w:val="3"/>
    <w:qFormat/>
    <w:uiPriority w:val="9"/>
    <w:rPr>
      <w:rFonts w:ascii="Times New Roman" w:hAnsi="Times New Roman" w:eastAsiaTheme="majorEastAsia" w:cstheme="majorBidi"/>
      <w:b/>
      <w:color w:val="000000" w:themeColor="text1"/>
      <w:sz w:val="24"/>
      <w:szCs w:val="26"/>
      <w:lang w:val="en-IN" w:eastAsia="en-US"/>
      <w14:textFill>
        <w14:solidFill>
          <w14:schemeClr w14:val="tx1"/>
        </w14:solidFill>
      </w14:textFill>
    </w:rPr>
  </w:style>
  <w:style w:type="character" w:customStyle="1" w:styleId="11">
    <w:name w:val="Heading 1 Char"/>
    <w:basedOn w:val="8"/>
    <w:link w:val="2"/>
    <w:qFormat/>
    <w:uiPriority w:val="9"/>
    <w:rPr>
      <w:rFonts w:ascii="Times New Roman" w:hAnsi="Times New Roman" w:eastAsiaTheme="majorEastAsia" w:cstheme="majorBidi"/>
      <w:b/>
      <w:bCs/>
      <w:color w:val="000000" w:themeColor="text1"/>
      <w:sz w:val="24"/>
      <w:szCs w:val="28"/>
      <w:lang w:val="en-US" w:eastAsia="en-US"/>
      <w14:textFill>
        <w14:solidFill>
          <w14:schemeClr w14:val="tx1"/>
        </w14:solidFill>
      </w14:textFill>
    </w:rPr>
  </w:style>
  <w:style w:type="paragraph" w:customStyle="1" w:styleId="12">
    <w:name w:val="Cover / Preliminary Section Titles"/>
    <w:basedOn w:val="2"/>
    <w:next w:val="6"/>
    <w:qFormat/>
    <w:uiPriority w:val="0"/>
    <w:pPr>
      <w:keepNext w:val="0"/>
      <w:pageBreakBefore w:val="0"/>
      <w:tabs>
        <w:tab w:val="left" w:pos="1134"/>
      </w:tabs>
    </w:pPr>
    <w:rPr>
      <w:rFonts w:ascii="Times New Roman" w:hAnsi="Times New Roman" w:cs="Times New Roman"/>
      <w:u w:val="single"/>
    </w:rPr>
  </w:style>
  <w:style w:type="character" w:customStyle="1" w:styleId="13">
    <w:name w:val="Heading 3 Char"/>
    <w:basedOn w:val="8"/>
    <w:link w:val="4"/>
    <w:semiHidden/>
    <w:qFormat/>
    <w:uiPriority w:val="9"/>
    <w:rPr>
      <w:rFonts w:ascii="Times New Roman" w:hAnsi="Times New Roman" w:eastAsiaTheme="majorEastAsia" w:cstheme="majorBidi"/>
      <w:b/>
      <w:color w:val="1F4E79" w:themeColor="accent1" w:themeShade="80"/>
      <w:sz w:val="24"/>
      <w:szCs w:val="24"/>
      <w:lang w:val="en-GB" w:eastAsia="en-US" w:bidi="ar-SA"/>
    </w:rPr>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chart" Target="charts/chart5.xml"/><Relationship Id="rId8" Type="http://schemas.openxmlformats.org/officeDocument/2006/relationships/chart" Target="charts/chart4.xml"/><Relationship Id="rId7" Type="http://schemas.openxmlformats.org/officeDocument/2006/relationships/chart" Target="charts/chart3.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chart" Target="charts/chart6.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Sushovan%20Chakraborty\Documents\Deblina\Pinar.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Sushovan%20Chakraborty\Documents\Deblina\Pinar.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Sushovan%20Chakraborty\Documents\Deblina\Pinar.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Sushovan%20Chakraborty\Documents\Deblina\Pinar.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Sushovan%20Chakraborty\Documents\Deblina\Pinar.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Sushovan%20Chakraborty\Documents\Deblina\Pina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GB" sz="1400" b="1" i="0" u="sng" strike="noStrike" kern="1200" spc="0" baseline="0">
                <a:solidFill>
                  <a:schemeClr val="tx1"/>
                </a:solidFill>
                <a:latin typeface="+mn-lt"/>
                <a:ea typeface="+mn-ea"/>
                <a:cs typeface="+mn-cs"/>
              </a:defRPr>
            </a:pPr>
            <a:r>
              <a:rPr b="1" u="sng">
                <a:solidFill>
                  <a:schemeClr val="tx1"/>
                </a:solidFill>
              </a:rPr>
              <a:t>Use Of Educational Technologies Will Provide Enhanced Educational Experience</a:t>
            </a:r>
            <a:endParaRPr b="1" u="sng">
              <a:solidFill>
                <a:schemeClr val="tx1"/>
              </a:solidFill>
            </a:endParaRPr>
          </a:p>
        </c:rich>
      </c:tx>
      <c:layout/>
      <c:overlay val="0"/>
      <c:spPr>
        <a:noFill/>
        <a:ln>
          <a:noFill/>
        </a:ln>
        <a:effectLst/>
      </c:spPr>
    </c:title>
    <c:autoTitleDeleted val="0"/>
    <c:plotArea>
      <c:layout/>
      <c:barChart>
        <c:barDir val="bar"/>
        <c:grouping val="clustered"/>
        <c:varyColors val="0"/>
        <c:ser>
          <c:idx val="0"/>
          <c:order val="0"/>
          <c:tx>
            <c:strRef>
              <c:f>[Pinar.xlsx]Sheet2!$C$39</c:f>
              <c:strCache>
                <c:ptCount val="1"/>
                <c:pt idx="0">
                  <c:v>Number of Students</c:v>
                </c:pt>
              </c:strCache>
            </c:strRef>
          </c:tx>
          <c:spPr>
            <a:solidFill>
              <a:srgbClr val="FF0000"/>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GB"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[Pinar.xlsx]Sheet2!$B$40:$B$42</c:f>
              <c:strCache>
                <c:ptCount val="3"/>
                <c:pt idx="0">
                  <c:v>Yes </c:v>
                </c:pt>
                <c:pt idx="1">
                  <c:v>No</c:v>
                </c:pt>
                <c:pt idx="2">
                  <c:v>Not Sure</c:v>
                </c:pt>
              </c:strCache>
            </c:strRef>
          </c:cat>
          <c:val>
            <c:numRef>
              <c:f>[Pinar.xlsx]Sheet2!$C$40:$C$42</c:f>
              <c:numCache>
                <c:formatCode>General</c:formatCode>
                <c:ptCount val="3"/>
                <c:pt idx="0">
                  <c:v>176</c:v>
                </c:pt>
                <c:pt idx="1">
                  <c:v>13</c:v>
                </c:pt>
                <c:pt idx="2">
                  <c:v>7</c:v>
                </c:pt>
              </c:numCache>
            </c:numRef>
          </c:val>
        </c:ser>
        <c:dLbls>
          <c:showLegendKey val="0"/>
          <c:showVal val="1"/>
          <c:showCatName val="0"/>
          <c:showSerName val="0"/>
          <c:showPercent val="0"/>
          <c:showBubbleSize val="0"/>
        </c:dLbls>
        <c:gapWidth val="150"/>
        <c:overlap val="0"/>
        <c:axId val="584787587"/>
        <c:axId val="144487117"/>
      </c:barChart>
      <c:catAx>
        <c:axId val="584787587"/>
        <c:scaling>
          <c:orientation val="minMax"/>
        </c:scaling>
        <c:delete val="0"/>
        <c:axPos val="l"/>
        <c:title>
          <c:layout/>
          <c:overlay val="0"/>
          <c:spPr>
            <a:noFill/>
            <a:ln>
              <a:noFill/>
            </a:ln>
            <a:effectLst/>
          </c:spPr>
          <c:txPr>
            <a:bodyPr rot="-5400000" spcFirstLastPara="0" vertOverflow="ellipsis" vert="horz" wrap="square" anchor="ctr" anchorCtr="1"/>
            <a:lstStyle/>
            <a:p>
              <a:pPr>
                <a:defRPr lang="en-GB" sz="1000" b="0" i="0" u="none" strike="noStrike" kern="1200" baseline="0">
                  <a:solidFill>
                    <a:schemeClr val="tx1">
                      <a:lumMod val="65000"/>
                      <a:lumOff val="35000"/>
                    </a:schemeClr>
                  </a:solidFill>
                  <a:latin typeface="+mn-lt"/>
                  <a:ea typeface="+mn-ea"/>
                  <a:cs typeface="+mn-cs"/>
                </a:defRPr>
              </a:pPr>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crossAx val="144487117"/>
        <c:crosses val="autoZero"/>
        <c:auto val="1"/>
        <c:lblAlgn val="ctr"/>
        <c:lblOffset val="100"/>
        <c:noMultiLvlLbl val="0"/>
      </c:catAx>
      <c:valAx>
        <c:axId val="14448711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1"/>
              <a:lstStyle/>
              <a:p>
                <a:pPr defTabSz="914400">
                  <a:defRPr lang="en-GB" sz="1000" b="1" i="0" u="none" strike="noStrike" kern="1200" baseline="0">
                    <a:solidFill>
                      <a:schemeClr val="tx1"/>
                    </a:solidFill>
                    <a:latin typeface="+mn-lt"/>
                    <a:ea typeface="+mn-ea"/>
                    <a:cs typeface="+mn-cs"/>
                  </a:defRPr>
                </a:pPr>
                <a:r>
                  <a:rPr b="1">
                    <a:solidFill>
                      <a:schemeClr val="tx1"/>
                    </a:solidFill>
                  </a:rPr>
                  <a:t>Number of Students</a:t>
                </a:r>
                <a:endParaRPr b="1">
                  <a:solidFill>
                    <a:schemeClr val="tx1"/>
                  </a:solidFill>
                </a:endParaRP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crossAx val="584787587"/>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dTable>
      <c:spPr>
        <a:noFill/>
        <a:ln>
          <a:noFill/>
        </a:ln>
        <a:effectLst/>
      </c:spPr>
    </c:plotArea>
    <c:plotVisOnly val="1"/>
    <c:dispBlanksAs val="gap"/>
    <c:showDLblsOverMax val="0"/>
  </c:chart>
  <c:spPr>
    <a:gradFill>
      <a:gsLst>
        <a:gs pos="0">
          <a:srgbClr val="14CD68"/>
        </a:gs>
        <a:gs pos="100000">
          <a:srgbClr val="035C7D"/>
        </a:gs>
      </a:gsLst>
      <a:lin scaled="0"/>
    </a:gradFill>
    <a:ln w="9525" cap="flat" cmpd="sng" algn="ctr">
      <a:solidFill>
        <a:schemeClr val="tx1">
          <a:lumMod val="15000"/>
          <a:lumOff val="85000"/>
        </a:schemeClr>
      </a:solidFill>
      <a:round/>
    </a:ln>
    <a:effectLst/>
  </c:spPr>
  <c:txPr>
    <a:bodyPr/>
    <a:lstStyle/>
    <a:p>
      <a:pPr>
        <a:defRPr lang="en-GB"/>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GB" sz="1400" b="1" i="0" u="sng" strike="noStrike" kern="1200" spc="0" baseline="0">
                <a:solidFill>
                  <a:schemeClr val="tx1"/>
                </a:solidFill>
                <a:latin typeface="+mn-lt"/>
                <a:ea typeface="+mn-ea"/>
                <a:cs typeface="+mn-cs"/>
              </a:defRPr>
            </a:pPr>
            <a:r>
              <a:rPr b="1" u="sng">
                <a:solidFill>
                  <a:schemeClr val="tx1"/>
                </a:solidFill>
              </a:rPr>
              <a:t>I Enjoy Being In Virtual Learning Environment</a:t>
            </a:r>
            <a:endParaRPr b="1" u="sng">
              <a:solidFill>
                <a:schemeClr val="tx1"/>
              </a:solidFill>
            </a:endParaRPr>
          </a:p>
        </c:rich>
      </c:tx>
      <c:layout/>
      <c:overlay val="0"/>
      <c:spPr>
        <a:noFill/>
        <a:ln>
          <a:noFill/>
        </a:ln>
        <a:effectLst/>
      </c:spPr>
    </c:title>
    <c:autoTitleDeleted val="0"/>
    <c:plotArea>
      <c:layout/>
      <c:barChart>
        <c:barDir val="col"/>
        <c:grouping val="clustered"/>
        <c:varyColors val="0"/>
        <c:ser>
          <c:idx val="0"/>
          <c:order val="0"/>
          <c:tx>
            <c:strRef>
              <c:f>[Pinar.xlsx]Sheet2!$C$56</c:f>
              <c:strCache>
                <c:ptCount val="1"/>
                <c:pt idx="0">
                  <c:v>Number of Students</c:v>
                </c:pt>
              </c:strCache>
            </c:strRef>
          </c:tx>
          <c:spPr>
            <a:gradFill>
              <a:gsLst>
                <a:gs pos="0">
                  <a:srgbClr val="FE4444"/>
                </a:gs>
                <a:gs pos="100000">
                  <a:srgbClr val="832B2B"/>
                </a:gs>
              </a:gsLst>
              <a:lin scaled="0"/>
            </a:gradFill>
            <a:ln>
              <a:noFill/>
            </a:ln>
            <a:effectLst/>
          </c:spPr>
          <c:invertIfNegative val="0"/>
          <c:dLbls>
            <c:delete val="1"/>
          </c:dLbls>
          <c:cat>
            <c:strRef>
              <c:f>[Pinar.xlsx]Sheet2!$B$57:$B$61</c:f>
              <c:strCache>
                <c:ptCount val="5"/>
                <c:pt idx="0">
                  <c:v>Strongly Agree</c:v>
                </c:pt>
                <c:pt idx="1">
                  <c:v>Agree</c:v>
                </c:pt>
                <c:pt idx="2">
                  <c:v>Neutral</c:v>
                </c:pt>
                <c:pt idx="3">
                  <c:v>Disagree</c:v>
                </c:pt>
                <c:pt idx="4">
                  <c:v>Strongly Disagree</c:v>
                </c:pt>
              </c:strCache>
            </c:strRef>
          </c:cat>
          <c:val>
            <c:numRef>
              <c:f>[Pinar.xlsx]Sheet2!$C$57:$C$61</c:f>
              <c:numCache>
                <c:formatCode>General</c:formatCode>
                <c:ptCount val="5"/>
                <c:pt idx="0">
                  <c:v>99</c:v>
                </c:pt>
                <c:pt idx="1">
                  <c:v>76</c:v>
                </c:pt>
                <c:pt idx="2">
                  <c:v>15</c:v>
                </c:pt>
                <c:pt idx="3">
                  <c:v>4</c:v>
                </c:pt>
                <c:pt idx="4">
                  <c:v>2</c:v>
                </c:pt>
              </c:numCache>
            </c:numRef>
          </c:val>
        </c:ser>
        <c:dLbls>
          <c:showLegendKey val="0"/>
          <c:showVal val="0"/>
          <c:showCatName val="0"/>
          <c:showSerName val="0"/>
          <c:showPercent val="0"/>
          <c:showBubbleSize val="0"/>
        </c:dLbls>
        <c:gapWidth val="150"/>
        <c:overlap val="0"/>
        <c:axId val="965081348"/>
        <c:axId val="668681547"/>
      </c:barChart>
      <c:catAx>
        <c:axId val="965081348"/>
        <c:scaling>
          <c:orientation val="minMax"/>
        </c:scaling>
        <c:delete val="0"/>
        <c:axPos val="b"/>
        <c:title>
          <c:layout/>
          <c:overlay val="0"/>
          <c:spPr>
            <a:noFill/>
            <a:ln>
              <a:noFill/>
            </a:ln>
            <a:effectLst/>
          </c:spPr>
          <c:txPr>
            <a:bodyPr rot="0" spcFirstLastPara="0" vertOverflow="ellipsis" vert="horz" wrap="square" anchor="ctr" anchorCtr="1"/>
            <a:lstStyle/>
            <a:p>
              <a:pPr>
                <a:defRPr lang="en-GB" sz="1000" b="0" i="0" u="none" strike="noStrike" kern="1200" baseline="0">
                  <a:solidFill>
                    <a:schemeClr val="tx1"/>
                  </a:solidFill>
                  <a:latin typeface="+mn-lt"/>
                  <a:ea typeface="+mn-ea"/>
                  <a:cs typeface="+mn-cs"/>
                </a:defRPr>
              </a:pPr>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crossAx val="668681547"/>
        <c:crosses val="autoZero"/>
        <c:auto val="1"/>
        <c:lblAlgn val="ctr"/>
        <c:lblOffset val="100"/>
        <c:noMultiLvlLbl val="0"/>
      </c:catAx>
      <c:valAx>
        <c:axId val="6686815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en-GB" sz="1000" b="1" i="0" u="none" strike="noStrike" kern="1200" baseline="0">
                    <a:solidFill>
                      <a:schemeClr val="tx1"/>
                    </a:solidFill>
                    <a:latin typeface="+mn-lt"/>
                    <a:ea typeface="+mn-ea"/>
                    <a:cs typeface="+mn-cs"/>
                  </a:defRPr>
                </a:pPr>
                <a:r>
                  <a:rPr b="1">
                    <a:solidFill>
                      <a:schemeClr val="tx1"/>
                    </a:solidFill>
                  </a:rPr>
                  <a:t>Number Of Students</a:t>
                </a:r>
                <a:endParaRPr b="1">
                  <a:solidFill>
                    <a:schemeClr val="tx1"/>
                  </a:solidFill>
                </a:endParaRP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crossAx val="965081348"/>
        <c:crosses val="autoZero"/>
        <c:crossBetween val="between"/>
      </c:valAx>
      <c:spPr>
        <a:noFill/>
        <a:ln>
          <a:noFill/>
        </a:ln>
        <a:effectLst/>
      </c:spPr>
    </c:plotArea>
    <c:plotVisOnly val="1"/>
    <c:dispBlanksAs val="gap"/>
    <c:showDLblsOverMax val="0"/>
  </c:chart>
  <c:spPr>
    <a:pattFill prst="wdDnDiag">
      <a:fgClr>
        <a:srgbClr val="5B9BD5"/>
      </a:fgClr>
      <a:bgClr>
        <a:srgbClr val="FFFFFF"/>
      </a:bgClr>
    </a:pattFill>
    <a:ln w="9525" cap="flat" cmpd="sng" algn="ctr">
      <a:solidFill>
        <a:schemeClr val="tx1">
          <a:lumMod val="15000"/>
          <a:lumOff val="85000"/>
        </a:schemeClr>
      </a:solidFill>
      <a:round/>
    </a:ln>
    <a:effectLst/>
  </c:spPr>
  <c:txPr>
    <a:bodyPr/>
    <a:lstStyle/>
    <a:p>
      <a:pPr>
        <a:defRPr lang="en-GB">
          <a:solidFill>
            <a:schemeClr val="tx1"/>
          </a:solidFill>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GB" sz="1400" b="1" i="0" u="sng" strike="noStrike" kern="1200" spc="0" baseline="0">
                <a:solidFill>
                  <a:schemeClr val="tx1"/>
                </a:solidFill>
                <a:latin typeface="+mn-lt"/>
                <a:ea typeface="+mn-ea"/>
                <a:cs typeface="+mn-cs"/>
              </a:defRPr>
            </a:pPr>
            <a:r>
              <a:rPr b="1" u="sng">
                <a:solidFill>
                  <a:schemeClr val="tx1"/>
                </a:solidFill>
              </a:rPr>
              <a:t>How Important Is Moodle (VLE) In Your Study</a:t>
            </a:r>
            <a:endParaRPr b="1" u="sng">
              <a:solidFill>
                <a:schemeClr val="tx1"/>
              </a:solidFill>
            </a:endParaRPr>
          </a:p>
        </c:rich>
      </c:tx>
      <c:layout/>
      <c:overlay val="0"/>
      <c:spPr>
        <a:noFill/>
        <a:ln>
          <a:noFill/>
        </a:ln>
        <a:effectLst/>
      </c:spPr>
    </c:title>
    <c:autoTitleDeleted val="0"/>
    <c:plotArea>
      <c:layout/>
      <c:pieChart>
        <c:varyColors val="1"/>
        <c:ser>
          <c:idx val="0"/>
          <c:order val="0"/>
          <c:tx>
            <c:strRef>
              <c:f>[Pinar.xlsx]Sheet2!$C$78</c:f>
              <c:strCache>
                <c:ptCount val="1"/>
                <c:pt idx="0">
                  <c:v>Number of Students</c:v>
                </c:pt>
              </c:strCache>
            </c:strRef>
          </c:tx>
          <c:spPr/>
          <c:explosion val="0"/>
          <c:dPt>
            <c:idx val="0"/>
            <c:bubble3D val="0"/>
            <c:spPr>
              <a:gradFill>
                <a:gsLst>
                  <a:gs pos="0">
                    <a:srgbClr val="FE4444"/>
                  </a:gs>
                  <a:gs pos="100000">
                    <a:srgbClr val="832B2B"/>
                  </a:gs>
                </a:gsLst>
                <a:lin ang="0" scaled="0"/>
              </a:gradFill>
              <a:ln w="19050">
                <a:solidFill>
                  <a:schemeClr val="lt1"/>
                </a:solidFill>
              </a:ln>
              <a:effectLst/>
            </c:spPr>
          </c:dPt>
          <c:dPt>
            <c:idx val="1"/>
            <c:bubble3D val="0"/>
            <c:spPr>
              <a:solidFill>
                <a:schemeClr val="accent2">
                  <a:lumMod val="60000"/>
                  <a:lumOff val="40000"/>
                </a:schemeClr>
              </a:solidFill>
              <a:ln w="19050">
                <a:solidFill>
                  <a:schemeClr val="lt1"/>
                </a:solidFill>
              </a:ln>
              <a:effectLst/>
            </c:spPr>
          </c:dPt>
          <c:dPt>
            <c:idx val="2"/>
            <c:bubble3D val="0"/>
            <c:spPr>
              <a:gradFill>
                <a:gsLst>
                  <a:gs pos="0">
                    <a:srgbClr val="9EE256"/>
                  </a:gs>
                  <a:gs pos="100000">
                    <a:srgbClr val="52762D"/>
                  </a:gs>
                </a:gsLst>
                <a:lin scaled="0"/>
              </a:gra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en-GB" sz="900" b="1" i="0" u="none" strike="noStrike" kern="1200" baseline="0">
                    <a:solidFill>
                      <a:schemeClr val="tx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[Pinar.xlsx]Sheet2!$B$79:$B$83</c:f>
              <c:strCache>
                <c:ptCount val="5"/>
                <c:pt idx="0">
                  <c:v>Important</c:v>
                </c:pt>
                <c:pt idx="1">
                  <c:v>Fairly Important</c:v>
                </c:pt>
                <c:pt idx="2">
                  <c:v>Very Important</c:v>
                </c:pt>
                <c:pt idx="3">
                  <c:v>Not Important</c:v>
                </c:pt>
                <c:pt idx="4">
                  <c:v>No Opinion</c:v>
                </c:pt>
              </c:strCache>
            </c:strRef>
          </c:cat>
          <c:val>
            <c:numRef>
              <c:f>[Pinar.xlsx]Sheet2!$C$79:$C$83</c:f>
              <c:numCache>
                <c:formatCode>General</c:formatCode>
                <c:ptCount val="5"/>
                <c:pt idx="0">
                  <c:v>136</c:v>
                </c:pt>
                <c:pt idx="1">
                  <c:v>32</c:v>
                </c:pt>
                <c:pt idx="2">
                  <c:v>18</c:v>
                </c:pt>
                <c:pt idx="3">
                  <c:v>8</c:v>
                </c:pt>
                <c:pt idx="4">
                  <c:v>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0"/>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egendEntry>
        <c:idx val="2"/>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egendEntry>
        <c:idx val="3"/>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egendEntry>
        <c:idx val="4"/>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
    <c:plotVisOnly val="1"/>
    <c:dispBlanksAs val="gap"/>
    <c:showDLblsOverMax val="0"/>
  </c:chart>
  <c:spPr>
    <a:solidFill>
      <a:schemeClr val="accent4">
        <a:lumMod val="60000"/>
        <a:lumOff val="40000"/>
      </a:schemeClr>
    </a:solidFill>
    <a:ln w="9525" cap="flat" cmpd="sng" algn="ctr">
      <a:solidFill>
        <a:schemeClr val="tx1">
          <a:lumMod val="15000"/>
          <a:lumOff val="85000"/>
        </a:schemeClr>
      </a:solidFill>
      <a:round/>
    </a:ln>
    <a:effectLst/>
  </c:spPr>
  <c:txPr>
    <a:bodyPr/>
    <a:lstStyle/>
    <a:p>
      <a:pPr>
        <a:defRPr lang="en-GB"/>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GB" sz="1400" b="1" i="0" u="sng" strike="noStrike" kern="1200" spc="0" baseline="0">
                <a:solidFill>
                  <a:schemeClr val="tx1"/>
                </a:solidFill>
                <a:latin typeface="+mn-lt"/>
                <a:ea typeface="+mn-ea"/>
                <a:cs typeface="+mn-cs"/>
              </a:defRPr>
            </a:pPr>
            <a:r>
              <a:rPr b="1" u="sng">
                <a:solidFill>
                  <a:schemeClr val="tx1"/>
                </a:solidFill>
              </a:rPr>
              <a:t>How Often Do You access Moodle (VLE)</a:t>
            </a:r>
            <a:endParaRPr b="1" u="sng">
              <a:solidFill>
                <a:schemeClr val="tx1"/>
              </a:solidFill>
            </a:endParaRPr>
          </a:p>
        </c:rich>
      </c:tx>
      <c:layout/>
      <c:overlay val="0"/>
      <c:spPr>
        <a:noFill/>
        <a:ln>
          <a:noFill/>
        </a:ln>
        <a:effectLst/>
      </c:spPr>
    </c:title>
    <c:autoTitleDeleted val="0"/>
    <c:plotArea>
      <c:layout/>
      <c:barChart>
        <c:barDir val="col"/>
        <c:grouping val="clustered"/>
        <c:varyColors val="0"/>
        <c:ser>
          <c:idx val="0"/>
          <c:order val="0"/>
          <c:tx>
            <c:strRef>
              <c:f>[Pinar.xlsx]Sheet2!$C$106</c:f>
              <c:strCache>
                <c:ptCount val="1"/>
                <c:pt idx="0">
                  <c:v>Number of Students</c:v>
                </c:pt>
              </c:strCache>
            </c:strRef>
          </c:tx>
          <c:spPr>
            <a:solidFill>
              <a:srgbClr val="C00000"/>
            </a:solidFill>
            <a:ln>
              <a:noFill/>
            </a:ln>
            <a:effectLst/>
          </c:spPr>
          <c:invertIfNegative val="0"/>
          <c:dLbls>
            <c:delete val="1"/>
          </c:dLbls>
          <c:cat>
            <c:strRef>
              <c:f>[Pinar.xlsx]Sheet2!$B$107:$B$111</c:f>
              <c:strCache>
                <c:ptCount val="5"/>
                <c:pt idx="0">
                  <c:v>Daily </c:v>
                </c:pt>
                <c:pt idx="1">
                  <c:v>Every Other Day</c:v>
                </c:pt>
                <c:pt idx="2">
                  <c:v>Once a week</c:v>
                </c:pt>
                <c:pt idx="3">
                  <c:v>Twice a week</c:v>
                </c:pt>
                <c:pt idx="4">
                  <c:v>Not Accessing</c:v>
                </c:pt>
              </c:strCache>
            </c:strRef>
          </c:cat>
          <c:val>
            <c:numRef>
              <c:f>[Pinar.xlsx]Sheet2!$C$107:$C$111</c:f>
              <c:numCache>
                <c:formatCode>General</c:formatCode>
                <c:ptCount val="5"/>
                <c:pt idx="0">
                  <c:v>146</c:v>
                </c:pt>
                <c:pt idx="1">
                  <c:v>30</c:v>
                </c:pt>
                <c:pt idx="2">
                  <c:v>10</c:v>
                </c:pt>
                <c:pt idx="3">
                  <c:v>8</c:v>
                </c:pt>
                <c:pt idx="4">
                  <c:v>2</c:v>
                </c:pt>
              </c:numCache>
            </c:numRef>
          </c:val>
        </c:ser>
        <c:dLbls>
          <c:showLegendKey val="0"/>
          <c:showVal val="0"/>
          <c:showCatName val="0"/>
          <c:showSerName val="0"/>
          <c:showPercent val="0"/>
          <c:showBubbleSize val="0"/>
        </c:dLbls>
        <c:gapWidth val="150"/>
        <c:overlap val="0"/>
        <c:axId val="794997642"/>
        <c:axId val="226259547"/>
      </c:barChart>
      <c:catAx>
        <c:axId val="794997642"/>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p>
        </c:txPr>
        <c:crossAx val="226259547"/>
        <c:crosses val="autoZero"/>
        <c:auto val="1"/>
        <c:lblAlgn val="ctr"/>
        <c:lblOffset val="100"/>
        <c:noMultiLvlLbl val="0"/>
      </c:catAx>
      <c:valAx>
        <c:axId val="2262595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0" vertOverflow="ellipsis" vert="horz" wrap="square" anchor="ctr" anchorCtr="1"/>
              <a:lstStyle/>
              <a:p>
                <a:pPr defTabSz="914400">
                  <a:defRPr lang="en-GB" sz="1000" b="0" i="0" u="none" strike="noStrike" kern="1200" baseline="0">
                    <a:solidFill>
                      <a:schemeClr val="tx1">
                        <a:lumMod val="65000"/>
                        <a:lumOff val="35000"/>
                      </a:schemeClr>
                    </a:solidFill>
                    <a:latin typeface="+mn-lt"/>
                    <a:ea typeface="+mn-ea"/>
                    <a:cs typeface="+mn-cs"/>
                  </a:defRPr>
                </a:pPr>
                <a:r>
                  <a:rPr b="1">
                    <a:solidFill>
                      <a:schemeClr val="tx1"/>
                    </a:solidFill>
                  </a:rPr>
                  <a:t>Number Of Students</a:t>
                </a:r>
                <a:endParaRPr b="1">
                  <a:solidFill>
                    <a:schemeClr val="tx1"/>
                  </a:solidFill>
                </a:endParaRP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p>
        </c:txPr>
        <c:crossAx val="79499764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dTable>
      <c:spPr>
        <a:noFill/>
        <a:ln>
          <a:noFill/>
        </a:ln>
        <a:effectLst/>
      </c:spPr>
    </c:plotArea>
    <c:plotVisOnly val="1"/>
    <c:dispBlanksAs val="gap"/>
    <c:showDLblsOverMax val="0"/>
  </c:chart>
  <c:spPr>
    <a:gradFill>
      <a:gsLst>
        <a:gs pos="0">
          <a:srgbClr val="007BD3"/>
        </a:gs>
        <a:gs pos="100000">
          <a:srgbClr val="034373"/>
        </a:gs>
      </a:gsLst>
      <a:lin scaled="0"/>
    </a:gradFill>
    <a:ln w="9525" cap="flat" cmpd="sng" algn="ctr">
      <a:solidFill>
        <a:schemeClr val="tx1">
          <a:lumMod val="15000"/>
          <a:lumOff val="85000"/>
        </a:schemeClr>
      </a:solidFill>
      <a:round/>
    </a:ln>
    <a:effectLst/>
  </c:spPr>
  <c:txPr>
    <a:bodyPr/>
    <a:lstStyle/>
    <a:p>
      <a:pPr>
        <a:defRPr lang="en-GB"/>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GB" sz="1400" b="0" i="0" u="none" strike="noStrike" kern="1200" spc="0" baseline="0">
                <a:solidFill>
                  <a:schemeClr val="tx1">
                    <a:lumMod val="65000"/>
                    <a:lumOff val="35000"/>
                  </a:schemeClr>
                </a:solidFill>
                <a:latin typeface="+mn-lt"/>
                <a:ea typeface="+mn-ea"/>
                <a:cs typeface="+mn-cs"/>
              </a:defRPr>
            </a:pPr>
            <a:r>
              <a:rPr b="1" u="sng">
                <a:solidFill>
                  <a:schemeClr val="tx1"/>
                </a:solidFill>
              </a:rPr>
              <a:t>My scores have improved since I have started getting access to virtual learning environment</a:t>
            </a:r>
            <a:endParaRPr b="1" u="sng">
              <a:solidFill>
                <a:schemeClr val="tx1"/>
              </a:solidFill>
            </a:endParaRPr>
          </a:p>
        </c:rich>
      </c:tx>
      <c:layout/>
      <c:overlay val="0"/>
      <c:spPr>
        <a:noFill/>
        <a:ln>
          <a:noFill/>
        </a:ln>
        <a:effectLst/>
      </c:spPr>
    </c:title>
    <c:autoTitleDeleted val="0"/>
    <c:plotArea>
      <c:layout/>
      <c:pieChart>
        <c:varyColors val="1"/>
        <c:ser>
          <c:idx val="0"/>
          <c:order val="0"/>
          <c:tx>
            <c:strRef>
              <c:f>[Pinar.xlsx]Sheet2!$C$125</c:f>
              <c:strCache>
                <c:ptCount val="1"/>
                <c:pt idx="0">
                  <c:v>Number of Students</c:v>
                </c:pt>
              </c:strCache>
            </c:strRef>
          </c:tx>
          <c:spPr/>
          <c:explosion val="0"/>
          <c:dPt>
            <c:idx val="0"/>
            <c:bubble3D val="0"/>
            <c:spPr>
              <a:gradFill>
                <a:gsLst>
                  <a:gs pos="0">
                    <a:srgbClr val="7B32B2"/>
                  </a:gs>
                  <a:gs pos="100000">
                    <a:srgbClr val="401A5D"/>
                  </a:gs>
                </a:gsLst>
                <a:lin scaled="0"/>
              </a:gradFill>
              <a:ln w="19050">
                <a:solidFill>
                  <a:schemeClr val="lt1"/>
                </a:solidFill>
              </a:ln>
              <a:effectLst/>
            </c:spPr>
          </c:dPt>
          <c:dPt>
            <c:idx val="1"/>
            <c:bubble3D val="0"/>
            <c:spPr>
              <a:solidFill>
                <a:srgbClr val="1D41D5"/>
              </a:solidFill>
              <a:ln w="19050">
                <a:solidFill>
                  <a:schemeClr val="lt1"/>
                </a:solidFill>
              </a:ln>
              <a:effectLst/>
            </c:spPr>
          </c:dPt>
          <c:dPt>
            <c:idx val="2"/>
            <c:bubble3D val="0"/>
            <c:spPr>
              <a:gradFill>
                <a:gsLst>
                  <a:gs pos="0">
                    <a:srgbClr val="FE4444"/>
                  </a:gs>
                  <a:gs pos="100000">
                    <a:srgbClr val="832B2B"/>
                  </a:gs>
                </a:gsLst>
                <a:lin scaled="0"/>
              </a:gra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en-GB" sz="900" b="1" i="0" u="none" strike="noStrike" kern="1200" baseline="0">
                    <a:solidFill>
                      <a:schemeClr val="tx1"/>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[Pinar.xlsx]Sheet2!$B$126:$B$130</c:f>
              <c:strCache>
                <c:ptCount val="5"/>
                <c:pt idx="0">
                  <c:v>Strongly Agree</c:v>
                </c:pt>
                <c:pt idx="1">
                  <c:v>Agree</c:v>
                </c:pt>
                <c:pt idx="2">
                  <c:v>Neutral</c:v>
                </c:pt>
                <c:pt idx="3">
                  <c:v>Disagree</c:v>
                </c:pt>
                <c:pt idx="4">
                  <c:v>Strongly Disagree</c:v>
                </c:pt>
              </c:strCache>
            </c:strRef>
          </c:cat>
          <c:val>
            <c:numRef>
              <c:f>[Pinar.xlsx]Sheet2!$C$126:$C$130</c:f>
              <c:numCache>
                <c:formatCode>General</c:formatCode>
                <c:ptCount val="5"/>
                <c:pt idx="0">
                  <c:v>102</c:v>
                </c:pt>
                <c:pt idx="1">
                  <c:v>63</c:v>
                </c:pt>
                <c:pt idx="2">
                  <c:v>20</c:v>
                </c:pt>
                <c:pt idx="3">
                  <c:v>8</c:v>
                </c:pt>
                <c:pt idx="4">
                  <c:v>3</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egendEntry>
        <c:idx val="0"/>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egendEntry>
        <c:idx val="2"/>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egendEntry>
        <c:idx val="3"/>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egendEntry>
        <c:idx val="4"/>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en-GB" sz="900" b="1" i="0" u="none" strike="noStrike" kern="1200" baseline="0">
              <a:solidFill>
                <a:schemeClr val="tx1"/>
              </a:solidFill>
              <a:latin typeface="+mn-lt"/>
              <a:ea typeface="+mn-ea"/>
              <a:cs typeface="+mn-cs"/>
            </a:defRPr>
          </a:pPr>
        </a:p>
      </c:txPr>
    </c:legend>
    <c:plotVisOnly val="1"/>
    <c:dispBlanksAs val="gap"/>
    <c:showDLblsOverMax val="0"/>
  </c:chart>
  <c:spPr>
    <a:pattFill prst="pct30">
      <a:fgClr>
        <a:srgbClr val="FFFF00"/>
      </a:fgClr>
      <a:bgClr>
        <a:srgbClr val="FFFFFF"/>
      </a:bgClr>
    </a:pattFill>
    <a:ln w="9525" cap="flat" cmpd="sng" algn="ctr">
      <a:solidFill>
        <a:schemeClr val="tx1">
          <a:lumMod val="15000"/>
          <a:lumOff val="85000"/>
        </a:schemeClr>
      </a:solidFill>
      <a:round/>
    </a:ln>
    <a:effectLst/>
  </c:spPr>
  <c:txPr>
    <a:bodyPr/>
    <a:lstStyle/>
    <a:p>
      <a:pPr>
        <a:defRPr lang="en-GB"/>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en-GB" sz="1400" b="1" i="0" u="sng" strike="noStrike" kern="1200" spc="0" baseline="0">
                <a:solidFill>
                  <a:schemeClr val="tx1">
                    <a:lumMod val="65000"/>
                    <a:lumOff val="35000"/>
                  </a:schemeClr>
                </a:solidFill>
                <a:latin typeface="+mn-lt"/>
                <a:ea typeface="+mn-ea"/>
                <a:cs typeface="+mn-cs"/>
              </a:defRPr>
            </a:pPr>
            <a:r>
              <a:rPr b="1" u="sng"/>
              <a:t>Using Moodle (VLE) Has Enhanced My Motivation To Participate In The Learning Process</a:t>
            </a:r>
            <a:endParaRPr b="1" u="sng"/>
          </a:p>
        </c:rich>
      </c:tx>
      <c:layout/>
      <c:overlay val="0"/>
      <c:spPr>
        <a:noFill/>
        <a:ln>
          <a:noFill/>
        </a:ln>
        <a:effectLst/>
      </c:spPr>
    </c:title>
    <c:autoTitleDeleted val="0"/>
    <c:plotArea>
      <c:layout/>
      <c:barChart>
        <c:barDir val="bar"/>
        <c:grouping val="clustered"/>
        <c:varyColors val="0"/>
        <c:ser>
          <c:idx val="0"/>
          <c:order val="0"/>
          <c:tx>
            <c:strRef>
              <c:f>[Pinar.xlsx]Sheet2!$C$165</c:f>
              <c:strCache>
                <c:ptCount val="1"/>
                <c:pt idx="0">
                  <c:v>Number of Students</c:v>
                </c:pt>
              </c:strCache>
            </c:strRef>
          </c:tx>
          <c:spPr>
            <a:solidFill>
              <a:srgbClr val="1D41D5"/>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en-GB"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[Pinar.xlsx]Sheet2!$B$166:$B$170</c:f>
              <c:strCache>
                <c:ptCount val="5"/>
                <c:pt idx="0">
                  <c:v>Strongly Agree</c:v>
                </c:pt>
                <c:pt idx="1">
                  <c:v>Agree</c:v>
                </c:pt>
                <c:pt idx="2">
                  <c:v>Neutral</c:v>
                </c:pt>
                <c:pt idx="3">
                  <c:v>Disagree</c:v>
                </c:pt>
                <c:pt idx="4">
                  <c:v>Strongly Disagree</c:v>
                </c:pt>
              </c:strCache>
            </c:strRef>
          </c:cat>
          <c:val>
            <c:numRef>
              <c:f>[Pinar.xlsx]Sheet2!$C$166:$C$170</c:f>
              <c:numCache>
                <c:formatCode>General</c:formatCode>
                <c:ptCount val="5"/>
                <c:pt idx="0">
                  <c:v>89</c:v>
                </c:pt>
                <c:pt idx="1">
                  <c:v>64</c:v>
                </c:pt>
                <c:pt idx="2">
                  <c:v>33</c:v>
                </c:pt>
                <c:pt idx="3">
                  <c:v>8</c:v>
                </c:pt>
                <c:pt idx="4">
                  <c:v>2</c:v>
                </c:pt>
              </c:numCache>
            </c:numRef>
          </c:val>
        </c:ser>
        <c:dLbls>
          <c:showLegendKey val="0"/>
          <c:showVal val="1"/>
          <c:showCatName val="0"/>
          <c:showSerName val="0"/>
          <c:showPercent val="0"/>
          <c:showBubbleSize val="0"/>
        </c:dLbls>
        <c:gapWidth val="182"/>
        <c:overlap val="0"/>
        <c:axId val="261047786"/>
        <c:axId val="766782553"/>
      </c:barChart>
      <c:catAx>
        <c:axId val="261047786"/>
        <c:scaling>
          <c:orientation val="minMax"/>
        </c:scaling>
        <c:delete val="0"/>
        <c:axPos val="l"/>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en-GB" sz="900" b="1" i="0" u="none" strike="noStrike" kern="1200" baseline="0">
                <a:solidFill>
                  <a:schemeClr val="tx1">
                    <a:lumMod val="65000"/>
                    <a:lumOff val="35000"/>
                  </a:schemeClr>
                </a:solidFill>
                <a:latin typeface="+mn-lt"/>
                <a:ea typeface="+mn-ea"/>
                <a:cs typeface="+mn-cs"/>
              </a:defRPr>
            </a:pPr>
          </a:p>
        </c:txPr>
        <c:crossAx val="766782553"/>
        <c:crosses val="autoZero"/>
        <c:auto val="1"/>
        <c:lblAlgn val="ctr"/>
        <c:lblOffset val="100"/>
        <c:noMultiLvlLbl val="0"/>
      </c:catAx>
      <c:valAx>
        <c:axId val="76678255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0" vertOverflow="ellipsis" vert="horz" wrap="square" anchor="ctr" anchorCtr="1"/>
              <a:lstStyle/>
              <a:p>
                <a:pPr defTabSz="914400">
                  <a:defRPr lang="en-GB" sz="1000" b="1" i="0" u="none" strike="noStrike" kern="1200" baseline="0">
                    <a:solidFill>
                      <a:schemeClr val="tx1">
                        <a:lumMod val="65000"/>
                        <a:lumOff val="35000"/>
                      </a:schemeClr>
                    </a:solidFill>
                    <a:latin typeface="+mn-lt"/>
                    <a:ea typeface="+mn-ea"/>
                    <a:cs typeface="+mn-cs"/>
                  </a:defRPr>
                </a:pPr>
                <a:r>
                  <a:rPr b="1"/>
                  <a:t>Number of Students</a:t>
                </a:r>
                <a:endParaRPr b="1"/>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en-GB" sz="900" b="0" i="0" u="none" strike="noStrike" kern="1200" baseline="0">
                <a:solidFill>
                  <a:schemeClr val="tx1">
                    <a:lumMod val="65000"/>
                    <a:lumOff val="35000"/>
                  </a:schemeClr>
                </a:solidFill>
                <a:latin typeface="+mn-lt"/>
                <a:ea typeface="+mn-ea"/>
                <a:cs typeface="+mn-cs"/>
              </a:defRPr>
            </a:pPr>
          </a:p>
        </c:txPr>
        <c:crossAx val="26104778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en-GB" sz="900" b="1"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chart>
  <c:spPr>
    <a:gradFill>
      <a:gsLst>
        <a:gs pos="0">
          <a:srgbClr val="9EE256"/>
        </a:gs>
        <a:gs pos="100000">
          <a:srgbClr val="52762D"/>
        </a:gs>
      </a:gsLst>
      <a:lin scaled="0"/>
    </a:gradFill>
    <a:ln w="9525" cap="flat" cmpd="sng" algn="ctr">
      <a:solidFill>
        <a:schemeClr val="tx1">
          <a:lumMod val="15000"/>
          <a:lumOff val="85000"/>
        </a:schemeClr>
      </a:solidFill>
      <a:round/>
    </a:ln>
    <a:effectLst/>
  </c:spPr>
  <c:txPr>
    <a:bodyPr/>
    <a:lstStyle/>
    <a:p>
      <a:pPr>
        <a:defRPr lang="en-GB"/>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Office_11.2.0.9107_F1E327BC-269C-435d-A152-05C5408002CA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2019-12-24T06:07:00Z</dcterms:created>
  <dc:creator>sushovan chakraborty</dc:creator>
  <cp:lastModifiedBy>sushovan chakraborty</cp:lastModifiedBy>
  <dcterms:modified xsi:type="dcterms:W3CDTF">2019-12-24T12:22:14Z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2057-11.2.0.9107</vt:lpwstr>
  </property>
</Properties>
</file>