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A03F1" w14:textId="77777777" w:rsidR="00EA20ED" w:rsidRPr="00EA20ED" w:rsidRDefault="00EA20ED" w:rsidP="00EA20ED">
      <w:pPr>
        <w:spacing w:before="280" w:after="240" w:line="360" w:lineRule="auto"/>
        <w:rPr>
          <w:rFonts w:ascii="Times New Roman" w:eastAsia="Times New Roman" w:hAnsi="Times New Roman" w:cs="Times New Roman"/>
          <w:b/>
          <w:bCs/>
          <w:sz w:val="28"/>
          <w:szCs w:val="28"/>
          <w:lang w:val="en" w:eastAsia="en-IN"/>
        </w:rPr>
      </w:pPr>
    </w:p>
    <w:p w14:paraId="5DF60579" w14:textId="77777777" w:rsidR="00EA20ED" w:rsidRPr="00EA20ED" w:rsidRDefault="00EA20ED" w:rsidP="00EA20ED">
      <w:pPr>
        <w:spacing w:before="280" w:after="240" w:line="360" w:lineRule="auto"/>
        <w:jc w:val="center"/>
        <w:rPr>
          <w:rFonts w:ascii="Times New Roman" w:eastAsia="Times New Roman" w:hAnsi="Times New Roman" w:cs="Times New Roman"/>
          <w:b/>
          <w:bCs/>
          <w:sz w:val="28"/>
          <w:szCs w:val="28"/>
          <w:lang w:val="en" w:eastAsia="en-IN"/>
        </w:rPr>
      </w:pPr>
      <w:r w:rsidRPr="00EA20ED">
        <w:rPr>
          <w:rFonts w:ascii="Times New Roman" w:eastAsia="Times New Roman" w:hAnsi="Times New Roman" w:cs="Times New Roman"/>
          <w:b/>
          <w:bCs/>
          <w:noProof/>
          <w:sz w:val="28"/>
          <w:szCs w:val="28"/>
          <w:lang w:val="en" w:eastAsia="en-IN"/>
        </w:rPr>
        <w:drawing>
          <wp:inline distT="114300" distB="114300" distL="114300" distR="114300" wp14:anchorId="44B9BE32" wp14:editId="24C266EC">
            <wp:extent cx="2781300" cy="154305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781300" cy="1543050"/>
                    </a:xfrm>
                    <a:prstGeom prst="rect">
                      <a:avLst/>
                    </a:prstGeom>
                    <a:ln/>
                  </pic:spPr>
                </pic:pic>
              </a:graphicData>
            </a:graphic>
          </wp:inline>
        </w:drawing>
      </w:r>
    </w:p>
    <w:p w14:paraId="423CD364" w14:textId="28DD3273" w:rsidR="00EA20ED" w:rsidRPr="00EA20ED" w:rsidRDefault="00EA20ED" w:rsidP="00EA20ED">
      <w:pPr>
        <w:spacing w:before="280" w:after="240" w:line="360" w:lineRule="auto"/>
        <w:jc w:val="center"/>
        <w:rPr>
          <w:rFonts w:ascii="Times New Roman" w:eastAsia="Times New Roman" w:hAnsi="Times New Roman" w:cs="Times New Roman"/>
          <w:b/>
          <w:bCs/>
          <w:sz w:val="28"/>
          <w:szCs w:val="28"/>
          <w:lang w:val="en" w:eastAsia="en-IN"/>
        </w:rPr>
      </w:pPr>
      <w:r w:rsidRPr="00EA20ED">
        <w:rPr>
          <w:rFonts w:ascii="Times New Roman" w:eastAsia="Times New Roman" w:hAnsi="Times New Roman" w:cs="Times New Roman"/>
          <w:b/>
          <w:bCs/>
          <w:sz w:val="28"/>
          <w:szCs w:val="28"/>
          <w:lang w:val="en" w:eastAsia="en-IN"/>
        </w:rPr>
        <w:t>Assessment component: Financial performance and management of T</w:t>
      </w:r>
      <w:r w:rsidR="00F41C2A">
        <w:rPr>
          <w:rFonts w:ascii="Times New Roman" w:eastAsia="Times New Roman" w:hAnsi="Times New Roman" w:cs="Times New Roman"/>
          <w:b/>
          <w:bCs/>
          <w:sz w:val="28"/>
          <w:szCs w:val="28"/>
          <w:lang w:val="en" w:eastAsia="en-IN"/>
        </w:rPr>
        <w:t>oyota</w:t>
      </w:r>
    </w:p>
    <w:p w14:paraId="32867467" w14:textId="5518C781" w:rsidR="00EA20ED" w:rsidRPr="00EA20ED" w:rsidRDefault="00EA20ED" w:rsidP="00EA20ED">
      <w:pPr>
        <w:spacing w:before="280" w:after="240" w:line="360" w:lineRule="auto"/>
        <w:jc w:val="center"/>
        <w:rPr>
          <w:rFonts w:ascii="Times New Roman" w:eastAsia="Times New Roman" w:hAnsi="Times New Roman" w:cs="Times New Roman"/>
          <w:b/>
          <w:bCs/>
          <w:sz w:val="28"/>
          <w:szCs w:val="28"/>
          <w:lang w:val="en" w:eastAsia="en-IN"/>
        </w:rPr>
      </w:pPr>
      <w:r w:rsidRPr="00EA20ED">
        <w:rPr>
          <w:rFonts w:ascii="Times New Roman" w:eastAsia="Times New Roman" w:hAnsi="Times New Roman" w:cs="Times New Roman"/>
          <w:b/>
          <w:bCs/>
          <w:sz w:val="28"/>
          <w:szCs w:val="28"/>
          <w:lang w:val="en" w:eastAsia="en-IN"/>
        </w:rPr>
        <w:t xml:space="preserve">Student ID: </w:t>
      </w:r>
      <w:r w:rsidR="00D51542">
        <w:rPr>
          <w:rFonts w:ascii="Times New Roman" w:eastAsia="Times New Roman" w:hAnsi="Times New Roman" w:cs="Times New Roman"/>
          <w:b/>
          <w:bCs/>
          <w:sz w:val="28"/>
          <w:szCs w:val="28"/>
          <w:lang w:val="en" w:eastAsia="en-IN"/>
        </w:rPr>
        <w:t>2527935</w:t>
      </w:r>
    </w:p>
    <w:p w14:paraId="6B2C5B6C" w14:textId="27050DD4" w:rsidR="00EA20ED" w:rsidRPr="00EA20ED" w:rsidRDefault="00EA20ED" w:rsidP="00EA20ED">
      <w:pPr>
        <w:spacing w:before="280" w:after="240" w:line="360" w:lineRule="auto"/>
        <w:jc w:val="center"/>
        <w:rPr>
          <w:rFonts w:ascii="Times New Roman" w:eastAsia="Times New Roman" w:hAnsi="Times New Roman" w:cs="Times New Roman"/>
          <w:b/>
          <w:bCs/>
          <w:sz w:val="28"/>
          <w:szCs w:val="28"/>
          <w:lang w:val="en" w:eastAsia="en-IN"/>
        </w:rPr>
      </w:pPr>
      <w:r w:rsidRPr="00EA20ED">
        <w:rPr>
          <w:rFonts w:ascii="Times New Roman" w:eastAsia="Times New Roman" w:hAnsi="Times New Roman" w:cs="Times New Roman"/>
          <w:b/>
          <w:bCs/>
          <w:sz w:val="28"/>
          <w:szCs w:val="28"/>
          <w:lang w:val="en" w:eastAsia="en-IN"/>
        </w:rPr>
        <w:t>Student Name: Krish</w:t>
      </w:r>
      <w:r w:rsidR="005A78FC">
        <w:rPr>
          <w:rFonts w:ascii="Times New Roman" w:eastAsia="Times New Roman" w:hAnsi="Times New Roman" w:cs="Times New Roman"/>
          <w:b/>
          <w:bCs/>
          <w:sz w:val="28"/>
          <w:szCs w:val="28"/>
          <w:lang w:val="en" w:eastAsia="en-IN"/>
        </w:rPr>
        <w:t xml:space="preserve"> </w:t>
      </w:r>
      <w:proofErr w:type="spellStart"/>
      <w:r w:rsidR="005A78FC">
        <w:rPr>
          <w:rFonts w:ascii="Times New Roman" w:eastAsia="Times New Roman" w:hAnsi="Times New Roman" w:cs="Times New Roman"/>
          <w:b/>
          <w:bCs/>
          <w:sz w:val="28"/>
          <w:szCs w:val="28"/>
          <w:lang w:val="en" w:eastAsia="en-IN"/>
        </w:rPr>
        <w:t>Ghanshyambhai</w:t>
      </w:r>
      <w:proofErr w:type="spellEnd"/>
      <w:r w:rsidR="005A78FC">
        <w:rPr>
          <w:rFonts w:ascii="Times New Roman" w:eastAsia="Times New Roman" w:hAnsi="Times New Roman" w:cs="Times New Roman"/>
          <w:b/>
          <w:bCs/>
          <w:sz w:val="28"/>
          <w:szCs w:val="28"/>
          <w:lang w:val="en" w:eastAsia="en-IN"/>
        </w:rPr>
        <w:t xml:space="preserve"> Sharma</w:t>
      </w:r>
    </w:p>
    <w:p w14:paraId="1FBC2D6E" w14:textId="77777777" w:rsidR="00EA20ED" w:rsidRPr="00EA20ED" w:rsidRDefault="00EA20ED" w:rsidP="00EA20ED">
      <w:pPr>
        <w:spacing w:before="280" w:after="240" w:line="360" w:lineRule="auto"/>
        <w:jc w:val="center"/>
        <w:rPr>
          <w:rFonts w:ascii="Times New Roman" w:eastAsia="Times New Roman" w:hAnsi="Times New Roman" w:cs="Times New Roman"/>
          <w:b/>
          <w:bCs/>
          <w:sz w:val="28"/>
          <w:szCs w:val="28"/>
          <w:lang w:val="en" w:eastAsia="en-IN"/>
        </w:rPr>
      </w:pPr>
      <w:r w:rsidRPr="00EA20ED">
        <w:rPr>
          <w:rFonts w:ascii="Times New Roman" w:eastAsia="Times New Roman" w:hAnsi="Times New Roman" w:cs="Times New Roman"/>
          <w:b/>
          <w:bCs/>
          <w:sz w:val="28"/>
          <w:szCs w:val="28"/>
          <w:lang w:val="en" w:eastAsia="en-IN"/>
        </w:rPr>
        <w:t>Course Name :- Financial Management</w:t>
      </w:r>
    </w:p>
    <w:p w14:paraId="11279DB8" w14:textId="77777777" w:rsidR="00EA20ED" w:rsidRPr="00EA20ED" w:rsidRDefault="00EA20ED" w:rsidP="00EA20ED">
      <w:pPr>
        <w:spacing w:before="280" w:after="240" w:line="360" w:lineRule="auto"/>
        <w:jc w:val="center"/>
        <w:rPr>
          <w:rFonts w:ascii="Times New Roman" w:eastAsia="Times New Roman" w:hAnsi="Times New Roman" w:cs="Times New Roman"/>
          <w:b/>
          <w:bCs/>
          <w:sz w:val="28"/>
          <w:szCs w:val="28"/>
          <w:lang w:val="en" w:eastAsia="en-IN"/>
        </w:rPr>
      </w:pPr>
      <w:r w:rsidRPr="00EA20ED">
        <w:rPr>
          <w:rFonts w:ascii="Times New Roman" w:eastAsia="Times New Roman" w:hAnsi="Times New Roman" w:cs="Times New Roman"/>
          <w:b/>
          <w:bCs/>
          <w:sz w:val="28"/>
          <w:szCs w:val="28"/>
          <w:lang w:val="en" w:eastAsia="en-IN"/>
        </w:rPr>
        <w:t xml:space="preserve">Lecturer Name :- </w:t>
      </w:r>
      <w:proofErr w:type="spellStart"/>
      <w:r w:rsidRPr="00EA20ED">
        <w:rPr>
          <w:rFonts w:ascii="Times New Roman" w:eastAsia="Times New Roman" w:hAnsi="Times New Roman" w:cs="Times New Roman"/>
          <w:b/>
          <w:bCs/>
          <w:sz w:val="28"/>
          <w:szCs w:val="28"/>
          <w:lang w:val="en" w:eastAsia="en-IN"/>
        </w:rPr>
        <w:t>Shengfeng</w:t>
      </w:r>
      <w:proofErr w:type="spellEnd"/>
      <w:r w:rsidRPr="00EA20ED">
        <w:rPr>
          <w:rFonts w:ascii="Times New Roman" w:eastAsia="Times New Roman" w:hAnsi="Times New Roman" w:cs="Times New Roman"/>
          <w:b/>
          <w:bCs/>
          <w:sz w:val="28"/>
          <w:szCs w:val="28"/>
          <w:lang w:val="en" w:eastAsia="en-IN"/>
        </w:rPr>
        <w:t xml:space="preserve"> Mai</w:t>
      </w:r>
    </w:p>
    <w:p w14:paraId="37DA5DA2" w14:textId="77777777" w:rsidR="00EA20ED" w:rsidRPr="00EA20ED" w:rsidRDefault="00EA20ED" w:rsidP="00EA20ED">
      <w:pPr>
        <w:spacing w:before="280" w:after="240" w:line="360" w:lineRule="auto"/>
        <w:jc w:val="center"/>
        <w:rPr>
          <w:rFonts w:ascii="Times New Roman" w:eastAsia="Times New Roman" w:hAnsi="Times New Roman" w:cs="Times New Roman"/>
          <w:b/>
          <w:bCs/>
          <w:sz w:val="28"/>
          <w:szCs w:val="28"/>
          <w:lang w:val="en" w:eastAsia="en-IN"/>
        </w:rPr>
      </w:pPr>
      <w:r w:rsidRPr="00EA20ED">
        <w:rPr>
          <w:rFonts w:ascii="Times New Roman" w:eastAsia="Times New Roman" w:hAnsi="Times New Roman" w:cs="Times New Roman"/>
          <w:b/>
          <w:bCs/>
          <w:sz w:val="28"/>
          <w:szCs w:val="28"/>
          <w:lang w:val="en" w:eastAsia="en-IN"/>
        </w:rPr>
        <w:t>Term :- February 2026</w:t>
      </w:r>
    </w:p>
    <w:p w14:paraId="4F46D5C2" w14:textId="3EEFB653" w:rsidR="00EA20ED" w:rsidRPr="00EA20ED" w:rsidRDefault="00EA20ED" w:rsidP="00EA20ED">
      <w:pPr>
        <w:spacing w:before="280" w:after="240" w:line="360" w:lineRule="auto"/>
        <w:jc w:val="center"/>
        <w:rPr>
          <w:rFonts w:ascii="Times New Roman" w:eastAsia="Times New Roman" w:hAnsi="Times New Roman" w:cs="Times New Roman"/>
          <w:b/>
          <w:bCs/>
          <w:sz w:val="28"/>
          <w:szCs w:val="28"/>
          <w:lang w:val="en" w:eastAsia="en-IN"/>
        </w:rPr>
      </w:pPr>
      <w:r w:rsidRPr="00EA20ED">
        <w:rPr>
          <w:rFonts w:ascii="Times New Roman" w:eastAsia="Times New Roman" w:hAnsi="Times New Roman" w:cs="Times New Roman"/>
          <w:b/>
          <w:bCs/>
          <w:sz w:val="28"/>
          <w:szCs w:val="28"/>
          <w:lang w:val="en" w:eastAsia="en-IN"/>
        </w:rPr>
        <w:t xml:space="preserve">Word Count :- </w:t>
      </w:r>
      <w:r w:rsidR="005B4AE8">
        <w:rPr>
          <w:rFonts w:ascii="Times New Roman" w:eastAsia="Times New Roman" w:hAnsi="Times New Roman" w:cs="Times New Roman"/>
          <w:b/>
          <w:bCs/>
          <w:sz w:val="28"/>
          <w:szCs w:val="28"/>
          <w:lang w:val="en" w:eastAsia="en-IN"/>
        </w:rPr>
        <w:t>5145</w:t>
      </w:r>
    </w:p>
    <w:p w14:paraId="6B835F5F" w14:textId="77777777" w:rsidR="00EA20ED" w:rsidRPr="00EA20ED" w:rsidRDefault="00EA20ED" w:rsidP="00EA20ED">
      <w:pPr>
        <w:spacing w:before="280" w:after="240" w:line="360" w:lineRule="auto"/>
        <w:jc w:val="center"/>
        <w:rPr>
          <w:rFonts w:ascii="Times New Roman" w:eastAsia="Times New Roman" w:hAnsi="Times New Roman" w:cs="Times New Roman"/>
          <w:b/>
          <w:bCs/>
          <w:sz w:val="28"/>
          <w:szCs w:val="28"/>
          <w:lang w:val="en" w:eastAsia="en-IN"/>
        </w:rPr>
      </w:pPr>
      <w:r w:rsidRPr="00EA20ED">
        <w:rPr>
          <w:rFonts w:ascii="Times New Roman" w:eastAsia="Times New Roman" w:hAnsi="Times New Roman" w:cs="Times New Roman"/>
          <w:b/>
          <w:bCs/>
          <w:sz w:val="28"/>
          <w:szCs w:val="28"/>
          <w:lang w:val="en" w:eastAsia="en-IN"/>
        </w:rPr>
        <w:t>Submission Deadline :- 24</w:t>
      </w:r>
      <w:r w:rsidRPr="00EA20ED">
        <w:rPr>
          <w:rFonts w:ascii="Times New Roman" w:eastAsia="Times New Roman" w:hAnsi="Times New Roman" w:cs="Times New Roman"/>
          <w:b/>
          <w:bCs/>
          <w:sz w:val="28"/>
          <w:szCs w:val="28"/>
          <w:vertAlign w:val="superscript"/>
          <w:lang w:val="en" w:eastAsia="en-IN"/>
        </w:rPr>
        <w:t>th</w:t>
      </w:r>
      <w:r w:rsidRPr="00EA20ED">
        <w:rPr>
          <w:rFonts w:ascii="Times New Roman" w:eastAsia="Times New Roman" w:hAnsi="Times New Roman" w:cs="Times New Roman"/>
          <w:b/>
          <w:bCs/>
          <w:sz w:val="28"/>
          <w:szCs w:val="28"/>
          <w:lang w:val="en" w:eastAsia="en-IN"/>
        </w:rPr>
        <w:t xml:space="preserve"> April 2026</w:t>
      </w:r>
    </w:p>
    <w:p w14:paraId="29EEAEEF" w14:textId="77777777" w:rsidR="00EA20ED" w:rsidRPr="00EA20ED" w:rsidRDefault="00EA20ED" w:rsidP="00EA20ED">
      <w:pPr>
        <w:spacing w:after="160" w:line="278" w:lineRule="auto"/>
        <w:rPr>
          <w:rFonts w:ascii="Aptos" w:eastAsia="Aptos" w:hAnsi="Aptos" w:cs="Times New Roman"/>
          <w:kern w:val="2"/>
          <w:sz w:val="24"/>
          <w:szCs w:val="24"/>
          <w14:ligatures w14:val="standardContextual"/>
        </w:rPr>
      </w:pPr>
    </w:p>
    <w:p w14:paraId="455C4B4D" w14:textId="77777777" w:rsidR="009F5D39" w:rsidRPr="00B108ED" w:rsidRDefault="009F5D39" w:rsidP="00F55BBB">
      <w:pPr>
        <w:spacing w:line="360" w:lineRule="auto"/>
        <w:rPr>
          <w:rFonts w:eastAsia="Times New Roman"/>
          <w:b/>
          <w:bCs/>
          <w:color w:val="000000" w:themeColor="text1"/>
          <w:sz w:val="32"/>
          <w:szCs w:val="32"/>
        </w:rPr>
      </w:pPr>
      <w:r w:rsidRPr="00B108ED">
        <w:rPr>
          <w:rFonts w:eastAsia="Times New Roman"/>
          <w:b/>
          <w:bCs/>
          <w:color w:val="000000" w:themeColor="text1"/>
          <w:sz w:val="32"/>
          <w:szCs w:val="32"/>
        </w:rPr>
        <w:br w:type="page"/>
      </w:r>
    </w:p>
    <w:sdt>
      <w:sdtPr>
        <w:rPr>
          <w:rFonts w:ascii="Arial" w:eastAsia="Arial" w:hAnsi="Arial" w:cs="Arial"/>
          <w:color w:val="auto"/>
          <w:sz w:val="22"/>
          <w:szCs w:val="22"/>
          <w:lang w:val="en-GB"/>
        </w:rPr>
        <w:id w:val="106326325"/>
        <w:docPartObj>
          <w:docPartGallery w:val="Table of Contents"/>
          <w:docPartUnique/>
        </w:docPartObj>
      </w:sdtPr>
      <w:sdtEndPr>
        <w:rPr>
          <w:b/>
          <w:bCs/>
          <w:noProof/>
        </w:rPr>
      </w:sdtEndPr>
      <w:sdtContent>
        <w:p w14:paraId="0CDE6366" w14:textId="2AC28314" w:rsidR="009F5D39" w:rsidRPr="00B108ED" w:rsidRDefault="009F5D39" w:rsidP="00F55BBB">
          <w:pPr>
            <w:pStyle w:val="TOCHeading"/>
            <w:spacing w:before="0" w:line="360" w:lineRule="auto"/>
            <w:jc w:val="center"/>
            <w:rPr>
              <w:rFonts w:ascii="Arial" w:hAnsi="Arial" w:cs="Arial"/>
              <w:b/>
              <w:bCs/>
              <w:color w:val="000000" w:themeColor="text1"/>
              <w:sz w:val="28"/>
              <w:szCs w:val="28"/>
              <w:lang w:val="en-GB"/>
            </w:rPr>
          </w:pPr>
          <w:r w:rsidRPr="00B108ED">
            <w:rPr>
              <w:rFonts w:ascii="Arial" w:hAnsi="Arial" w:cs="Arial"/>
              <w:b/>
              <w:bCs/>
              <w:color w:val="000000" w:themeColor="text1"/>
              <w:sz w:val="28"/>
              <w:szCs w:val="28"/>
              <w:lang w:val="en-GB"/>
            </w:rPr>
            <w:t>Table of Contents</w:t>
          </w:r>
        </w:p>
        <w:p w14:paraId="2FDE669F" w14:textId="424B81A2" w:rsidR="00086371" w:rsidRPr="00086371" w:rsidRDefault="009F5D39" w:rsidP="00086371">
          <w:pPr>
            <w:pStyle w:val="TOC1"/>
            <w:tabs>
              <w:tab w:val="right" w:leader="dot" w:pos="9019"/>
            </w:tabs>
            <w:spacing w:after="0" w:line="360" w:lineRule="auto"/>
            <w:jc w:val="both"/>
            <w:rPr>
              <w:rFonts w:eastAsiaTheme="minorEastAsia"/>
              <w:noProof/>
              <w:kern w:val="2"/>
              <w:sz w:val="24"/>
              <w:szCs w:val="24"/>
              <w:lang w:val="en-US"/>
              <w14:ligatures w14:val="standardContextual"/>
            </w:rPr>
          </w:pPr>
          <w:r w:rsidRPr="00B108ED">
            <w:fldChar w:fldCharType="begin"/>
          </w:r>
          <w:r w:rsidRPr="00B108ED">
            <w:instrText xml:space="preserve"> TOC \o "1-3" \h \z \u </w:instrText>
          </w:r>
          <w:r w:rsidRPr="00B108ED">
            <w:fldChar w:fldCharType="separate"/>
          </w:r>
          <w:hyperlink w:anchor="_Toc224234537" w:history="1">
            <w:r w:rsidR="00086371" w:rsidRPr="00086371">
              <w:rPr>
                <w:rStyle w:val="Hyperlink"/>
                <w:noProof/>
                <w:sz w:val="24"/>
                <w:szCs w:val="24"/>
              </w:rPr>
              <w:t>Introduction</w:t>
            </w:r>
            <w:r w:rsidR="00086371" w:rsidRPr="00086371">
              <w:rPr>
                <w:noProof/>
                <w:webHidden/>
                <w:sz w:val="24"/>
                <w:szCs w:val="24"/>
              </w:rPr>
              <w:tab/>
            </w:r>
            <w:r w:rsidR="00086371" w:rsidRPr="00086371">
              <w:rPr>
                <w:noProof/>
                <w:webHidden/>
                <w:sz w:val="24"/>
                <w:szCs w:val="24"/>
              </w:rPr>
              <w:fldChar w:fldCharType="begin"/>
            </w:r>
            <w:r w:rsidR="00086371" w:rsidRPr="00086371">
              <w:rPr>
                <w:noProof/>
                <w:webHidden/>
                <w:sz w:val="24"/>
                <w:szCs w:val="24"/>
              </w:rPr>
              <w:instrText xml:space="preserve"> PAGEREF _Toc224234537 \h </w:instrText>
            </w:r>
            <w:r w:rsidR="00086371" w:rsidRPr="00086371">
              <w:rPr>
                <w:noProof/>
                <w:webHidden/>
                <w:sz w:val="24"/>
                <w:szCs w:val="24"/>
              </w:rPr>
            </w:r>
            <w:r w:rsidR="00086371" w:rsidRPr="00086371">
              <w:rPr>
                <w:noProof/>
                <w:webHidden/>
                <w:sz w:val="24"/>
                <w:szCs w:val="24"/>
              </w:rPr>
              <w:fldChar w:fldCharType="separate"/>
            </w:r>
            <w:r w:rsidR="00411AC2">
              <w:rPr>
                <w:noProof/>
                <w:webHidden/>
                <w:sz w:val="24"/>
                <w:szCs w:val="24"/>
              </w:rPr>
              <w:t>3</w:t>
            </w:r>
            <w:r w:rsidR="00086371" w:rsidRPr="00086371">
              <w:rPr>
                <w:noProof/>
                <w:webHidden/>
                <w:sz w:val="24"/>
                <w:szCs w:val="24"/>
              </w:rPr>
              <w:fldChar w:fldCharType="end"/>
            </w:r>
          </w:hyperlink>
        </w:p>
        <w:p w14:paraId="0213AC05" w14:textId="0D323598" w:rsidR="00086371" w:rsidRPr="00086371" w:rsidRDefault="00086371" w:rsidP="00086371">
          <w:pPr>
            <w:pStyle w:val="TOC1"/>
            <w:tabs>
              <w:tab w:val="right" w:leader="dot" w:pos="9019"/>
            </w:tabs>
            <w:spacing w:after="0" w:line="360" w:lineRule="auto"/>
            <w:jc w:val="both"/>
            <w:rPr>
              <w:rFonts w:eastAsiaTheme="minorEastAsia"/>
              <w:noProof/>
              <w:kern w:val="2"/>
              <w:sz w:val="24"/>
              <w:szCs w:val="24"/>
              <w:lang w:val="en-US"/>
              <w14:ligatures w14:val="standardContextual"/>
            </w:rPr>
          </w:pPr>
          <w:hyperlink w:anchor="_Toc224234538" w:history="1">
            <w:r w:rsidRPr="00086371">
              <w:rPr>
                <w:rStyle w:val="Hyperlink"/>
                <w:noProof/>
                <w:sz w:val="24"/>
                <w:szCs w:val="24"/>
              </w:rPr>
              <w:t>1. Financial Health check</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_Toc224234538 \h </w:instrText>
            </w:r>
            <w:r w:rsidRPr="00086371">
              <w:rPr>
                <w:noProof/>
                <w:webHidden/>
                <w:sz w:val="24"/>
                <w:szCs w:val="24"/>
              </w:rPr>
            </w:r>
            <w:r w:rsidRPr="00086371">
              <w:rPr>
                <w:noProof/>
                <w:webHidden/>
                <w:sz w:val="24"/>
                <w:szCs w:val="24"/>
              </w:rPr>
              <w:fldChar w:fldCharType="separate"/>
            </w:r>
            <w:r w:rsidR="00411AC2">
              <w:rPr>
                <w:noProof/>
                <w:webHidden/>
                <w:sz w:val="24"/>
                <w:szCs w:val="24"/>
              </w:rPr>
              <w:t>3</w:t>
            </w:r>
            <w:r w:rsidRPr="00086371">
              <w:rPr>
                <w:noProof/>
                <w:webHidden/>
                <w:sz w:val="24"/>
                <w:szCs w:val="24"/>
              </w:rPr>
              <w:fldChar w:fldCharType="end"/>
            </w:r>
          </w:hyperlink>
        </w:p>
        <w:p w14:paraId="47BAEF84" w14:textId="1601F540" w:rsidR="00086371" w:rsidRPr="00086371" w:rsidRDefault="00086371" w:rsidP="00086371">
          <w:pPr>
            <w:pStyle w:val="TOC1"/>
            <w:tabs>
              <w:tab w:val="right" w:leader="dot" w:pos="9019"/>
            </w:tabs>
            <w:spacing w:after="0" w:line="360" w:lineRule="auto"/>
            <w:jc w:val="both"/>
            <w:rPr>
              <w:rFonts w:eastAsiaTheme="minorEastAsia"/>
              <w:noProof/>
              <w:kern w:val="2"/>
              <w:sz w:val="24"/>
              <w:szCs w:val="24"/>
              <w:lang w:val="en-US"/>
              <w14:ligatures w14:val="standardContextual"/>
            </w:rPr>
          </w:pPr>
          <w:hyperlink w:anchor="_Toc224234539" w:history="1">
            <w:r w:rsidRPr="00086371">
              <w:rPr>
                <w:rStyle w:val="Hyperlink"/>
                <w:noProof/>
                <w:sz w:val="24"/>
                <w:szCs w:val="24"/>
              </w:rPr>
              <w:t>2. Working Capital Management Analysis</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_Toc224234539 \h </w:instrText>
            </w:r>
            <w:r w:rsidRPr="00086371">
              <w:rPr>
                <w:noProof/>
                <w:webHidden/>
                <w:sz w:val="24"/>
                <w:szCs w:val="24"/>
              </w:rPr>
            </w:r>
            <w:r w:rsidRPr="00086371">
              <w:rPr>
                <w:noProof/>
                <w:webHidden/>
                <w:sz w:val="24"/>
                <w:szCs w:val="24"/>
              </w:rPr>
              <w:fldChar w:fldCharType="separate"/>
            </w:r>
            <w:r w:rsidR="00411AC2">
              <w:rPr>
                <w:noProof/>
                <w:webHidden/>
                <w:sz w:val="24"/>
                <w:szCs w:val="24"/>
              </w:rPr>
              <w:t>9</w:t>
            </w:r>
            <w:r w:rsidRPr="00086371">
              <w:rPr>
                <w:noProof/>
                <w:webHidden/>
                <w:sz w:val="24"/>
                <w:szCs w:val="24"/>
              </w:rPr>
              <w:fldChar w:fldCharType="end"/>
            </w:r>
          </w:hyperlink>
        </w:p>
        <w:p w14:paraId="69838188" w14:textId="21EC7064" w:rsidR="00086371" w:rsidRPr="00086371" w:rsidRDefault="00086371" w:rsidP="00086371">
          <w:pPr>
            <w:pStyle w:val="TOC1"/>
            <w:tabs>
              <w:tab w:val="right" w:leader="dot" w:pos="9019"/>
            </w:tabs>
            <w:spacing w:after="0" w:line="360" w:lineRule="auto"/>
            <w:jc w:val="both"/>
            <w:rPr>
              <w:rFonts w:eastAsiaTheme="minorEastAsia"/>
              <w:noProof/>
              <w:kern w:val="2"/>
              <w:sz w:val="24"/>
              <w:szCs w:val="24"/>
              <w:lang w:val="en-US"/>
              <w14:ligatures w14:val="standardContextual"/>
            </w:rPr>
          </w:pPr>
          <w:hyperlink w:anchor="_Toc224234540" w:history="1">
            <w:r w:rsidRPr="00086371">
              <w:rPr>
                <w:rStyle w:val="Hyperlink"/>
                <w:noProof/>
                <w:sz w:val="24"/>
                <w:szCs w:val="24"/>
              </w:rPr>
              <w:t>3. Strategic Financial Restructuring Plan</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_Toc224234540 \h </w:instrText>
            </w:r>
            <w:r w:rsidRPr="00086371">
              <w:rPr>
                <w:noProof/>
                <w:webHidden/>
                <w:sz w:val="24"/>
                <w:szCs w:val="24"/>
              </w:rPr>
            </w:r>
            <w:r w:rsidRPr="00086371">
              <w:rPr>
                <w:noProof/>
                <w:webHidden/>
                <w:sz w:val="24"/>
                <w:szCs w:val="24"/>
              </w:rPr>
              <w:fldChar w:fldCharType="separate"/>
            </w:r>
            <w:r w:rsidR="00411AC2">
              <w:rPr>
                <w:noProof/>
                <w:webHidden/>
                <w:sz w:val="24"/>
                <w:szCs w:val="24"/>
              </w:rPr>
              <w:t>11</w:t>
            </w:r>
            <w:r w:rsidRPr="00086371">
              <w:rPr>
                <w:noProof/>
                <w:webHidden/>
                <w:sz w:val="24"/>
                <w:szCs w:val="24"/>
              </w:rPr>
              <w:fldChar w:fldCharType="end"/>
            </w:r>
          </w:hyperlink>
        </w:p>
        <w:p w14:paraId="750D226F" w14:textId="18ACECBF" w:rsidR="00086371" w:rsidRPr="00086371" w:rsidRDefault="00086371" w:rsidP="00086371">
          <w:pPr>
            <w:pStyle w:val="TOC1"/>
            <w:tabs>
              <w:tab w:val="right" w:leader="dot" w:pos="9019"/>
            </w:tabs>
            <w:spacing w:after="0" w:line="360" w:lineRule="auto"/>
            <w:jc w:val="both"/>
            <w:rPr>
              <w:rFonts w:eastAsiaTheme="minorEastAsia"/>
              <w:noProof/>
              <w:kern w:val="2"/>
              <w:sz w:val="24"/>
              <w:szCs w:val="24"/>
              <w:lang w:val="en-US"/>
              <w14:ligatures w14:val="standardContextual"/>
            </w:rPr>
          </w:pPr>
          <w:hyperlink w:anchor="_Toc224234541" w:history="1">
            <w:r w:rsidRPr="00086371">
              <w:rPr>
                <w:rStyle w:val="Hyperlink"/>
                <w:noProof/>
                <w:sz w:val="24"/>
                <w:szCs w:val="24"/>
              </w:rPr>
              <w:t>4. Investment Appraisal and Capital Budgeting</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_Toc224234541 \h </w:instrText>
            </w:r>
            <w:r w:rsidRPr="00086371">
              <w:rPr>
                <w:noProof/>
                <w:webHidden/>
                <w:sz w:val="24"/>
                <w:szCs w:val="24"/>
              </w:rPr>
            </w:r>
            <w:r w:rsidRPr="00086371">
              <w:rPr>
                <w:noProof/>
                <w:webHidden/>
                <w:sz w:val="24"/>
                <w:szCs w:val="24"/>
              </w:rPr>
              <w:fldChar w:fldCharType="separate"/>
            </w:r>
            <w:r w:rsidR="00411AC2">
              <w:rPr>
                <w:noProof/>
                <w:webHidden/>
                <w:sz w:val="24"/>
                <w:szCs w:val="24"/>
              </w:rPr>
              <w:t>16</w:t>
            </w:r>
            <w:r w:rsidRPr="00086371">
              <w:rPr>
                <w:noProof/>
                <w:webHidden/>
                <w:sz w:val="24"/>
                <w:szCs w:val="24"/>
              </w:rPr>
              <w:fldChar w:fldCharType="end"/>
            </w:r>
          </w:hyperlink>
        </w:p>
        <w:p w14:paraId="13EEE8F9" w14:textId="07752D2A" w:rsidR="00086371" w:rsidRPr="00086371" w:rsidRDefault="00086371" w:rsidP="00086371">
          <w:pPr>
            <w:pStyle w:val="TOC1"/>
            <w:tabs>
              <w:tab w:val="right" w:leader="dot" w:pos="9019"/>
            </w:tabs>
            <w:spacing w:after="0" w:line="360" w:lineRule="auto"/>
            <w:jc w:val="both"/>
            <w:rPr>
              <w:rFonts w:eastAsiaTheme="minorEastAsia"/>
              <w:noProof/>
              <w:kern w:val="2"/>
              <w:sz w:val="24"/>
              <w:szCs w:val="24"/>
              <w:lang w:val="en-US"/>
              <w14:ligatures w14:val="standardContextual"/>
            </w:rPr>
          </w:pPr>
          <w:hyperlink w:anchor="_Toc224234542" w:history="1">
            <w:r w:rsidRPr="00086371">
              <w:rPr>
                <w:rStyle w:val="Hyperlink"/>
                <w:noProof/>
                <w:sz w:val="24"/>
                <w:szCs w:val="24"/>
              </w:rPr>
              <w:t>Conclusion</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_Toc224234542 \h </w:instrText>
            </w:r>
            <w:r w:rsidRPr="00086371">
              <w:rPr>
                <w:noProof/>
                <w:webHidden/>
                <w:sz w:val="24"/>
                <w:szCs w:val="24"/>
              </w:rPr>
            </w:r>
            <w:r w:rsidRPr="00086371">
              <w:rPr>
                <w:noProof/>
                <w:webHidden/>
                <w:sz w:val="24"/>
                <w:szCs w:val="24"/>
              </w:rPr>
              <w:fldChar w:fldCharType="separate"/>
            </w:r>
            <w:r w:rsidR="00411AC2">
              <w:rPr>
                <w:noProof/>
                <w:webHidden/>
                <w:sz w:val="24"/>
                <w:szCs w:val="24"/>
              </w:rPr>
              <w:t>20</w:t>
            </w:r>
            <w:r w:rsidRPr="00086371">
              <w:rPr>
                <w:noProof/>
                <w:webHidden/>
                <w:sz w:val="24"/>
                <w:szCs w:val="24"/>
              </w:rPr>
              <w:fldChar w:fldCharType="end"/>
            </w:r>
          </w:hyperlink>
        </w:p>
        <w:p w14:paraId="4F6C5A9E" w14:textId="718AFB9D" w:rsidR="00086371" w:rsidRPr="00086371" w:rsidRDefault="00086371" w:rsidP="00086371">
          <w:pPr>
            <w:pStyle w:val="TOC1"/>
            <w:tabs>
              <w:tab w:val="right" w:leader="dot" w:pos="9019"/>
            </w:tabs>
            <w:spacing w:after="0" w:line="360" w:lineRule="auto"/>
            <w:jc w:val="both"/>
            <w:rPr>
              <w:rFonts w:eastAsiaTheme="minorEastAsia"/>
              <w:noProof/>
              <w:kern w:val="2"/>
              <w:sz w:val="24"/>
              <w:szCs w:val="24"/>
              <w:lang w:val="en-US"/>
              <w14:ligatures w14:val="standardContextual"/>
            </w:rPr>
          </w:pPr>
          <w:hyperlink w:anchor="_Toc224234543" w:history="1">
            <w:r w:rsidRPr="00086371">
              <w:rPr>
                <w:rStyle w:val="Hyperlink"/>
                <w:noProof/>
                <w:sz w:val="24"/>
                <w:szCs w:val="24"/>
              </w:rPr>
              <w:t>Reference list</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_Toc224234543 \h </w:instrText>
            </w:r>
            <w:r w:rsidRPr="00086371">
              <w:rPr>
                <w:noProof/>
                <w:webHidden/>
                <w:sz w:val="24"/>
                <w:szCs w:val="24"/>
              </w:rPr>
            </w:r>
            <w:r w:rsidRPr="00086371">
              <w:rPr>
                <w:noProof/>
                <w:webHidden/>
                <w:sz w:val="24"/>
                <w:szCs w:val="24"/>
              </w:rPr>
              <w:fldChar w:fldCharType="separate"/>
            </w:r>
            <w:r w:rsidR="00411AC2">
              <w:rPr>
                <w:noProof/>
                <w:webHidden/>
                <w:sz w:val="24"/>
                <w:szCs w:val="24"/>
              </w:rPr>
              <w:t>21</w:t>
            </w:r>
            <w:r w:rsidRPr="00086371">
              <w:rPr>
                <w:noProof/>
                <w:webHidden/>
                <w:sz w:val="24"/>
                <w:szCs w:val="24"/>
              </w:rPr>
              <w:fldChar w:fldCharType="end"/>
            </w:r>
          </w:hyperlink>
        </w:p>
        <w:p w14:paraId="0ADD4827" w14:textId="35016D2E" w:rsidR="00086371" w:rsidRPr="00086371" w:rsidRDefault="00086371" w:rsidP="00086371">
          <w:pPr>
            <w:pStyle w:val="TOC1"/>
            <w:tabs>
              <w:tab w:val="right" w:leader="dot" w:pos="9019"/>
            </w:tabs>
            <w:spacing w:after="0" w:line="360" w:lineRule="auto"/>
            <w:jc w:val="both"/>
            <w:rPr>
              <w:rFonts w:eastAsiaTheme="minorEastAsia"/>
              <w:noProof/>
              <w:kern w:val="2"/>
              <w:sz w:val="24"/>
              <w:szCs w:val="24"/>
              <w:lang w:val="en-US"/>
              <w14:ligatures w14:val="standardContextual"/>
            </w:rPr>
          </w:pPr>
          <w:hyperlink w:anchor="_Toc224234544" w:history="1">
            <w:r w:rsidRPr="00086371">
              <w:rPr>
                <w:rStyle w:val="Hyperlink"/>
                <w:noProof/>
                <w:sz w:val="24"/>
                <w:szCs w:val="24"/>
              </w:rPr>
              <w:t>Appendices</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_Toc224234544 \h </w:instrText>
            </w:r>
            <w:r w:rsidRPr="00086371">
              <w:rPr>
                <w:noProof/>
                <w:webHidden/>
                <w:sz w:val="24"/>
                <w:szCs w:val="24"/>
              </w:rPr>
            </w:r>
            <w:r w:rsidRPr="00086371">
              <w:rPr>
                <w:noProof/>
                <w:webHidden/>
                <w:sz w:val="24"/>
                <w:szCs w:val="24"/>
              </w:rPr>
              <w:fldChar w:fldCharType="separate"/>
            </w:r>
            <w:r w:rsidR="00411AC2">
              <w:rPr>
                <w:noProof/>
                <w:webHidden/>
                <w:sz w:val="24"/>
                <w:szCs w:val="24"/>
              </w:rPr>
              <w:t>24</w:t>
            </w:r>
            <w:r w:rsidRPr="00086371">
              <w:rPr>
                <w:noProof/>
                <w:webHidden/>
                <w:sz w:val="24"/>
                <w:szCs w:val="24"/>
              </w:rPr>
              <w:fldChar w:fldCharType="end"/>
            </w:r>
          </w:hyperlink>
        </w:p>
        <w:p w14:paraId="6625B118" w14:textId="7ADB5A29" w:rsidR="00086371" w:rsidRPr="00086371" w:rsidRDefault="00086371" w:rsidP="00086371">
          <w:pPr>
            <w:pStyle w:val="TOC2"/>
            <w:tabs>
              <w:tab w:val="right" w:leader="dot" w:pos="9019"/>
            </w:tabs>
            <w:spacing w:after="0" w:line="360" w:lineRule="auto"/>
            <w:jc w:val="both"/>
            <w:rPr>
              <w:rFonts w:eastAsiaTheme="minorEastAsia"/>
              <w:noProof/>
              <w:kern w:val="2"/>
              <w:sz w:val="24"/>
              <w:szCs w:val="24"/>
              <w:lang w:val="en-US"/>
              <w14:ligatures w14:val="standardContextual"/>
            </w:rPr>
          </w:pPr>
          <w:hyperlink w:anchor="_Toc224234545" w:history="1">
            <w:r w:rsidRPr="00086371">
              <w:rPr>
                <w:rStyle w:val="Hyperlink"/>
                <w:noProof/>
                <w:sz w:val="24"/>
                <w:szCs w:val="24"/>
              </w:rPr>
              <w:t>Appendix 1: Ratio analysis</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_Toc224234545 \h </w:instrText>
            </w:r>
            <w:r w:rsidRPr="00086371">
              <w:rPr>
                <w:noProof/>
                <w:webHidden/>
                <w:sz w:val="24"/>
                <w:szCs w:val="24"/>
              </w:rPr>
            </w:r>
            <w:r w:rsidRPr="00086371">
              <w:rPr>
                <w:noProof/>
                <w:webHidden/>
                <w:sz w:val="24"/>
                <w:szCs w:val="24"/>
              </w:rPr>
              <w:fldChar w:fldCharType="separate"/>
            </w:r>
            <w:r w:rsidR="00411AC2">
              <w:rPr>
                <w:noProof/>
                <w:webHidden/>
                <w:sz w:val="24"/>
                <w:szCs w:val="24"/>
              </w:rPr>
              <w:t>24</w:t>
            </w:r>
            <w:r w:rsidRPr="00086371">
              <w:rPr>
                <w:noProof/>
                <w:webHidden/>
                <w:sz w:val="24"/>
                <w:szCs w:val="24"/>
              </w:rPr>
              <w:fldChar w:fldCharType="end"/>
            </w:r>
          </w:hyperlink>
        </w:p>
        <w:p w14:paraId="4F07D702" w14:textId="0F3EFC8F" w:rsidR="00086371" w:rsidRPr="00086371" w:rsidRDefault="00086371" w:rsidP="00086371">
          <w:pPr>
            <w:pStyle w:val="TOC2"/>
            <w:tabs>
              <w:tab w:val="right" w:leader="dot" w:pos="9019"/>
            </w:tabs>
            <w:spacing w:after="0" w:line="360" w:lineRule="auto"/>
            <w:jc w:val="both"/>
            <w:rPr>
              <w:rFonts w:eastAsiaTheme="minorEastAsia"/>
              <w:noProof/>
              <w:kern w:val="2"/>
              <w:sz w:val="24"/>
              <w:szCs w:val="24"/>
              <w:lang w:val="en-US"/>
              <w14:ligatures w14:val="standardContextual"/>
            </w:rPr>
          </w:pPr>
          <w:hyperlink w:anchor="_Toc224234546" w:history="1">
            <w:r w:rsidRPr="00086371">
              <w:rPr>
                <w:rStyle w:val="Hyperlink"/>
                <w:noProof/>
                <w:sz w:val="24"/>
                <w:szCs w:val="24"/>
              </w:rPr>
              <w:t>Appendix 2: Investment appraisal calculations</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_Toc224234546 \h </w:instrText>
            </w:r>
            <w:r w:rsidRPr="00086371">
              <w:rPr>
                <w:noProof/>
                <w:webHidden/>
                <w:sz w:val="24"/>
                <w:szCs w:val="24"/>
              </w:rPr>
            </w:r>
            <w:r w:rsidRPr="00086371">
              <w:rPr>
                <w:noProof/>
                <w:webHidden/>
                <w:sz w:val="24"/>
                <w:szCs w:val="24"/>
              </w:rPr>
              <w:fldChar w:fldCharType="separate"/>
            </w:r>
            <w:r w:rsidR="00411AC2">
              <w:rPr>
                <w:noProof/>
                <w:webHidden/>
                <w:sz w:val="24"/>
                <w:szCs w:val="24"/>
              </w:rPr>
              <w:t>29</w:t>
            </w:r>
            <w:r w:rsidRPr="00086371">
              <w:rPr>
                <w:noProof/>
                <w:webHidden/>
                <w:sz w:val="24"/>
                <w:szCs w:val="24"/>
              </w:rPr>
              <w:fldChar w:fldCharType="end"/>
            </w:r>
          </w:hyperlink>
        </w:p>
        <w:p w14:paraId="7AD05A24" w14:textId="090D775C" w:rsidR="00086371" w:rsidRDefault="00086371" w:rsidP="00086371">
          <w:pPr>
            <w:pStyle w:val="TOC2"/>
            <w:tabs>
              <w:tab w:val="right" w:leader="dot" w:pos="9019"/>
            </w:tabs>
            <w:spacing w:after="0" w:line="360" w:lineRule="auto"/>
            <w:jc w:val="both"/>
            <w:rPr>
              <w:rFonts w:asciiTheme="minorHAnsi" w:eastAsiaTheme="minorEastAsia" w:hAnsiTheme="minorHAnsi" w:cstheme="minorBidi"/>
              <w:noProof/>
              <w:kern w:val="2"/>
              <w:sz w:val="24"/>
              <w:szCs w:val="24"/>
              <w:lang w:val="en-US"/>
              <w14:ligatures w14:val="standardContextual"/>
            </w:rPr>
          </w:pPr>
          <w:hyperlink w:anchor="_Toc224234547" w:history="1">
            <w:r w:rsidRPr="00086371">
              <w:rPr>
                <w:rStyle w:val="Hyperlink"/>
                <w:noProof/>
                <w:sz w:val="24"/>
                <w:szCs w:val="24"/>
              </w:rPr>
              <w:t>Appendix 3: Tables of three statements</w:t>
            </w:r>
            <w:r w:rsidRPr="00086371">
              <w:rPr>
                <w:noProof/>
                <w:webHidden/>
                <w:sz w:val="24"/>
                <w:szCs w:val="24"/>
              </w:rPr>
              <w:tab/>
            </w:r>
            <w:r w:rsidRPr="00086371">
              <w:rPr>
                <w:noProof/>
                <w:webHidden/>
                <w:sz w:val="24"/>
                <w:szCs w:val="24"/>
              </w:rPr>
              <w:fldChar w:fldCharType="begin"/>
            </w:r>
            <w:r w:rsidRPr="00086371">
              <w:rPr>
                <w:noProof/>
                <w:webHidden/>
                <w:sz w:val="24"/>
                <w:szCs w:val="24"/>
              </w:rPr>
              <w:instrText xml:space="preserve"> PAGEREF _Toc224234547 \h </w:instrText>
            </w:r>
            <w:r w:rsidRPr="00086371">
              <w:rPr>
                <w:noProof/>
                <w:webHidden/>
                <w:sz w:val="24"/>
                <w:szCs w:val="24"/>
              </w:rPr>
            </w:r>
            <w:r w:rsidRPr="00086371">
              <w:rPr>
                <w:noProof/>
                <w:webHidden/>
                <w:sz w:val="24"/>
                <w:szCs w:val="24"/>
              </w:rPr>
              <w:fldChar w:fldCharType="separate"/>
            </w:r>
            <w:r w:rsidR="00411AC2">
              <w:rPr>
                <w:noProof/>
                <w:webHidden/>
                <w:sz w:val="24"/>
                <w:szCs w:val="24"/>
              </w:rPr>
              <w:t>32</w:t>
            </w:r>
            <w:r w:rsidRPr="00086371">
              <w:rPr>
                <w:noProof/>
                <w:webHidden/>
                <w:sz w:val="24"/>
                <w:szCs w:val="24"/>
              </w:rPr>
              <w:fldChar w:fldCharType="end"/>
            </w:r>
          </w:hyperlink>
        </w:p>
        <w:p w14:paraId="4A97FD92" w14:textId="261EFEEE" w:rsidR="009F5D39" w:rsidRPr="00B108ED" w:rsidRDefault="009F5D39" w:rsidP="00F55BBB">
          <w:pPr>
            <w:spacing w:line="360" w:lineRule="auto"/>
          </w:pPr>
          <w:r w:rsidRPr="00B108ED">
            <w:rPr>
              <w:b/>
              <w:bCs/>
              <w:noProof/>
            </w:rPr>
            <w:fldChar w:fldCharType="end"/>
          </w:r>
        </w:p>
      </w:sdtContent>
    </w:sdt>
    <w:p w14:paraId="261626D8" w14:textId="30ABAEC3" w:rsidR="009804C4" w:rsidRPr="00B108ED" w:rsidRDefault="00D0064A" w:rsidP="00F55BBB">
      <w:pPr>
        <w:spacing w:line="360" w:lineRule="auto"/>
        <w:jc w:val="center"/>
        <w:rPr>
          <w:rFonts w:eastAsia="Times New Roman"/>
          <w:b/>
          <w:bCs/>
          <w:color w:val="000000" w:themeColor="text1"/>
          <w:sz w:val="32"/>
          <w:szCs w:val="32"/>
        </w:rPr>
      </w:pPr>
      <w:r w:rsidRPr="00B108ED">
        <w:rPr>
          <w:color w:val="000000" w:themeColor="text1"/>
        </w:rPr>
        <w:br w:type="page"/>
      </w:r>
    </w:p>
    <w:p w14:paraId="3ADCEFAE" w14:textId="77777777" w:rsidR="009804C4" w:rsidRPr="00B108ED" w:rsidRDefault="00D0064A" w:rsidP="00F55BBB">
      <w:pPr>
        <w:pStyle w:val="Heading1"/>
        <w:spacing w:before="0" w:after="0" w:line="360" w:lineRule="auto"/>
        <w:rPr>
          <w:rFonts w:ascii="Arial" w:hAnsi="Arial"/>
          <w:b w:val="0"/>
          <w:color w:val="000000" w:themeColor="text1"/>
        </w:rPr>
      </w:pPr>
      <w:bookmarkStart w:id="0" w:name="_Toc224234537"/>
      <w:r w:rsidRPr="00B108ED">
        <w:rPr>
          <w:rFonts w:ascii="Arial" w:hAnsi="Arial"/>
          <w:color w:val="000000" w:themeColor="text1"/>
        </w:rPr>
        <w:lastRenderedPageBreak/>
        <w:t>Introduction</w:t>
      </w:r>
      <w:bookmarkEnd w:id="0"/>
      <w:r w:rsidRPr="00B108ED">
        <w:rPr>
          <w:rFonts w:ascii="Arial" w:hAnsi="Arial"/>
          <w:color w:val="000000" w:themeColor="text1"/>
        </w:rPr>
        <w:t xml:space="preserve"> </w:t>
      </w:r>
    </w:p>
    <w:p w14:paraId="48E3BD6D"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Financial management plays a pivotal role to analyse and optimise the performance of an organisation. This report is going to evaluate the financial condition of Toyota Motor Corporation based on various key areas of the financial analysis. The financial health of this company is going to be analysed through the financial statements and ratios. This study further evaluates the working capital management of the company to propose a relevant financial structuring plan. In addition, the study applies investment appraisal and capital budgeting methods to assess suitable investment decisions for long-term financial planning. </w:t>
      </w:r>
    </w:p>
    <w:p w14:paraId="63E6E8EB" w14:textId="217D8B0D" w:rsidR="009804C4" w:rsidRPr="00B108ED" w:rsidRDefault="00D0064A" w:rsidP="00F55BBB">
      <w:pPr>
        <w:pStyle w:val="Heading1"/>
        <w:spacing w:before="0" w:after="0" w:line="360" w:lineRule="auto"/>
        <w:rPr>
          <w:rFonts w:ascii="Arial" w:hAnsi="Arial"/>
          <w:color w:val="000000" w:themeColor="text1"/>
        </w:rPr>
      </w:pPr>
      <w:bookmarkStart w:id="1" w:name="_Toc224234538"/>
      <w:r w:rsidRPr="00B108ED">
        <w:rPr>
          <w:rFonts w:ascii="Arial" w:hAnsi="Arial"/>
          <w:color w:val="000000" w:themeColor="text1"/>
        </w:rPr>
        <w:t>1. Financial Health check</w:t>
      </w:r>
      <w:bookmarkEnd w:id="1"/>
      <w:r w:rsidRPr="00B108ED">
        <w:rPr>
          <w:rFonts w:ascii="Arial" w:hAnsi="Arial"/>
          <w:color w:val="000000" w:themeColor="text1"/>
        </w:rPr>
        <w:t xml:space="preserve"> </w:t>
      </w:r>
    </w:p>
    <w:p w14:paraId="2C8275E9" w14:textId="77777777" w:rsidR="009804C4" w:rsidRPr="00B108ED" w:rsidRDefault="00D0064A" w:rsidP="00F55BBB">
      <w:pPr>
        <w:spacing w:line="360" w:lineRule="auto"/>
        <w:jc w:val="both"/>
        <w:rPr>
          <w:rFonts w:eastAsia="Times New Roman"/>
          <w:b/>
          <w:bCs/>
          <w:i/>
          <w:iCs/>
          <w:color w:val="000000" w:themeColor="text1"/>
          <w:sz w:val="24"/>
          <w:szCs w:val="24"/>
        </w:rPr>
      </w:pPr>
      <w:r w:rsidRPr="00B108ED">
        <w:rPr>
          <w:rFonts w:eastAsia="Times New Roman"/>
          <w:b/>
          <w:bCs/>
          <w:i/>
          <w:iCs/>
          <w:color w:val="000000" w:themeColor="text1"/>
          <w:sz w:val="24"/>
          <w:szCs w:val="24"/>
        </w:rPr>
        <w:t xml:space="preserve">Analysis of the past five-year financial statements </w:t>
      </w:r>
    </w:p>
    <w:p w14:paraId="23F22CC2"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color w:val="000000" w:themeColor="text1"/>
          <w:sz w:val="24"/>
          <w:szCs w:val="24"/>
        </w:rPr>
        <w:t xml:space="preserve">Toyota Motor Corporation’s financial health has been evaluated to analyse its financial statements across the five years from 2020-2024. The examination of the financial performance over multiple years helps to recognise trends in cost efficiency, revenue growth and overall financial stability. </w:t>
      </w:r>
    </w:p>
    <w:p w14:paraId="1CABE266" w14:textId="77777777" w:rsidR="009804C4" w:rsidRPr="00B108ED" w:rsidRDefault="00D0064A" w:rsidP="00F55BBB">
      <w:pPr>
        <w:spacing w:line="360" w:lineRule="auto"/>
        <w:jc w:val="center"/>
        <w:rPr>
          <w:rFonts w:eastAsia="Times New Roman"/>
          <w:color w:val="000000" w:themeColor="text1"/>
          <w:sz w:val="24"/>
          <w:szCs w:val="24"/>
        </w:rPr>
      </w:pPr>
      <w:r w:rsidRPr="00B108ED">
        <w:rPr>
          <w:rFonts w:eastAsia="Times New Roman"/>
          <w:noProof/>
          <w:color w:val="000000" w:themeColor="text1"/>
          <w:sz w:val="24"/>
          <w:szCs w:val="24"/>
        </w:rPr>
        <w:drawing>
          <wp:inline distT="114300" distB="114300" distL="114300" distR="114300" wp14:anchorId="03A96E66" wp14:editId="15FCE5CC">
            <wp:extent cx="5846581" cy="1639565"/>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846581" cy="1639565"/>
                    </a:xfrm>
                    <a:prstGeom prst="rect">
                      <a:avLst/>
                    </a:prstGeom>
                    <a:ln w="25400">
                      <a:solidFill>
                        <a:srgbClr val="000000"/>
                      </a:solidFill>
                      <a:prstDash val="solid"/>
                    </a:ln>
                  </pic:spPr>
                </pic:pic>
              </a:graphicData>
            </a:graphic>
          </wp:inline>
        </w:drawing>
      </w:r>
    </w:p>
    <w:p w14:paraId="09192751" w14:textId="77777777" w:rsidR="009804C4" w:rsidRPr="00B108ED" w:rsidRDefault="00D0064A" w:rsidP="00F55BBB">
      <w:pPr>
        <w:spacing w:line="360" w:lineRule="auto"/>
        <w:jc w:val="center"/>
        <w:rPr>
          <w:rFonts w:eastAsia="Times New Roman"/>
          <w:b/>
          <w:bCs/>
          <w:color w:val="000000" w:themeColor="text1"/>
          <w:sz w:val="24"/>
          <w:szCs w:val="24"/>
        </w:rPr>
      </w:pPr>
      <w:r w:rsidRPr="00B108ED">
        <w:rPr>
          <w:rFonts w:eastAsia="Times New Roman"/>
          <w:b/>
          <w:bCs/>
          <w:color w:val="000000" w:themeColor="text1"/>
          <w:sz w:val="24"/>
          <w:szCs w:val="24"/>
        </w:rPr>
        <w:t xml:space="preserve">Figure 1: Financial summary of Toyota </w:t>
      </w:r>
    </w:p>
    <w:p w14:paraId="2506141C" w14:textId="1EF8CB34" w:rsidR="009804C4" w:rsidRPr="00B108ED" w:rsidRDefault="00D0064A" w:rsidP="00F55BBB">
      <w:pPr>
        <w:spacing w:line="360" w:lineRule="auto"/>
        <w:jc w:val="center"/>
        <w:rPr>
          <w:rFonts w:eastAsia="Times New Roman"/>
          <w:color w:val="000000" w:themeColor="text1"/>
          <w:sz w:val="24"/>
          <w:szCs w:val="24"/>
        </w:rPr>
      </w:pPr>
      <w:r w:rsidRPr="00B108ED">
        <w:rPr>
          <w:rFonts w:eastAsia="Times New Roman"/>
          <w:color w:val="000000" w:themeColor="text1"/>
          <w:sz w:val="24"/>
          <w:szCs w:val="24"/>
        </w:rPr>
        <w:t>(Source: Annual</w:t>
      </w:r>
      <w:r w:rsidR="00A51900">
        <w:rPr>
          <w:rFonts w:eastAsia="Times New Roman"/>
          <w:color w:val="000000" w:themeColor="text1"/>
          <w:sz w:val="24"/>
          <w:szCs w:val="24"/>
        </w:rPr>
        <w:t xml:space="preserve"> </w:t>
      </w:r>
      <w:r w:rsidRPr="00B108ED">
        <w:rPr>
          <w:rFonts w:eastAsia="Times New Roman"/>
          <w:color w:val="000000" w:themeColor="text1"/>
          <w:sz w:val="24"/>
          <w:szCs w:val="24"/>
        </w:rPr>
        <w:t>reports, 2024)</w:t>
      </w:r>
    </w:p>
    <w:p w14:paraId="753E4D29" w14:textId="4998472F"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Figure 1 illustrates a consistent growth in profitability and revenue from 2020 to 2024. shows Toyota's total sales revenue has increased to 45.0 trillion yen in 2024 from the previous years (Annual</w:t>
      </w:r>
      <w:r w:rsidR="00A51900">
        <w:rPr>
          <w:rFonts w:eastAsia="Times New Roman"/>
          <w:color w:val="000000" w:themeColor="text1"/>
          <w:sz w:val="24"/>
          <w:szCs w:val="24"/>
        </w:rPr>
        <w:t xml:space="preserve"> </w:t>
      </w:r>
      <w:r w:rsidRPr="00B108ED">
        <w:rPr>
          <w:rFonts w:eastAsia="Times New Roman"/>
          <w:color w:val="000000" w:themeColor="text1"/>
          <w:sz w:val="24"/>
          <w:szCs w:val="24"/>
        </w:rPr>
        <w:t xml:space="preserve">reports, 2024). In 2024, its net income increased to 5,352.9 </w:t>
      </w:r>
      <w:r w:rsidR="0058626F" w:rsidRPr="00B108ED">
        <w:rPr>
          <w:rFonts w:eastAsia="Times New Roman"/>
          <w:color w:val="000000" w:themeColor="text1"/>
          <w:sz w:val="24"/>
          <w:szCs w:val="24"/>
        </w:rPr>
        <w:t>billion</w:t>
      </w:r>
      <w:r w:rsidRPr="00B108ED">
        <w:rPr>
          <w:rFonts w:eastAsia="Times New Roman"/>
          <w:color w:val="000000" w:themeColor="text1"/>
          <w:sz w:val="24"/>
          <w:szCs w:val="24"/>
        </w:rPr>
        <w:t xml:space="preserve"> of yen, along with 9,443 (thousands of units) consolidated vehicle sales from the previous period. Total net income attributable to Toyota has grown to 4644.9 billion yen in 2024. The financial performance of this company has grown significantly in 2024 due to the improvement of international automobile demand and its expansion into technological innovation and manufacturing capacity. This automotive organisation also benefited from the increasing demand for energy-efficient and hybrid vehicles that </w:t>
      </w:r>
      <w:r w:rsidRPr="00B108ED">
        <w:rPr>
          <w:rFonts w:eastAsia="Times New Roman"/>
          <w:color w:val="000000" w:themeColor="text1"/>
          <w:sz w:val="24"/>
          <w:szCs w:val="24"/>
        </w:rPr>
        <w:lastRenderedPageBreak/>
        <w:t xml:space="preserve">has contributed significantly towards its sales performance. Apart from this, Toyota has exhibited some fluctuations in 2020 and 2021 in terms of the supply chain issues and international economic disruptions. Although, this company significantly recovered and gained potential financial performance in the following years. </w:t>
      </w:r>
    </w:p>
    <w:p w14:paraId="722319AC" w14:textId="77777777" w:rsidR="009804C4" w:rsidRPr="00B108ED" w:rsidRDefault="00D0064A" w:rsidP="00F55BBB">
      <w:pPr>
        <w:spacing w:line="360" w:lineRule="auto"/>
        <w:jc w:val="center"/>
        <w:rPr>
          <w:rFonts w:eastAsia="Times New Roman"/>
          <w:color w:val="000000" w:themeColor="text1"/>
          <w:sz w:val="24"/>
          <w:szCs w:val="24"/>
        </w:rPr>
      </w:pPr>
      <w:r w:rsidRPr="00B108ED">
        <w:rPr>
          <w:rFonts w:eastAsia="Times New Roman"/>
          <w:noProof/>
          <w:color w:val="000000" w:themeColor="text1"/>
          <w:sz w:val="24"/>
          <w:szCs w:val="24"/>
        </w:rPr>
        <w:drawing>
          <wp:inline distT="114300" distB="114300" distL="114300" distR="114300" wp14:anchorId="22087311" wp14:editId="3933103E">
            <wp:extent cx="5287295" cy="3622402"/>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287295" cy="3622402"/>
                    </a:xfrm>
                    <a:prstGeom prst="rect">
                      <a:avLst/>
                    </a:prstGeom>
                    <a:ln w="25400">
                      <a:solidFill>
                        <a:srgbClr val="000000"/>
                      </a:solidFill>
                      <a:prstDash val="solid"/>
                    </a:ln>
                  </pic:spPr>
                </pic:pic>
              </a:graphicData>
            </a:graphic>
          </wp:inline>
        </w:drawing>
      </w:r>
    </w:p>
    <w:p w14:paraId="479CDE62" w14:textId="77777777" w:rsidR="009804C4" w:rsidRPr="00B108ED" w:rsidRDefault="00D0064A" w:rsidP="00F55BBB">
      <w:pPr>
        <w:spacing w:line="360" w:lineRule="auto"/>
        <w:jc w:val="center"/>
        <w:rPr>
          <w:rFonts w:eastAsia="Times New Roman"/>
          <w:b/>
          <w:bCs/>
          <w:color w:val="000000" w:themeColor="text1"/>
          <w:sz w:val="24"/>
          <w:szCs w:val="24"/>
        </w:rPr>
      </w:pPr>
      <w:r w:rsidRPr="00B108ED">
        <w:rPr>
          <w:rFonts w:eastAsia="Times New Roman"/>
          <w:b/>
          <w:bCs/>
          <w:color w:val="000000" w:themeColor="text1"/>
          <w:sz w:val="24"/>
          <w:szCs w:val="24"/>
        </w:rPr>
        <w:t xml:space="preserve">Figure 2: Income statement of Toyota </w:t>
      </w:r>
    </w:p>
    <w:p w14:paraId="680C3C07" w14:textId="77777777" w:rsidR="009804C4" w:rsidRPr="00B108ED" w:rsidRDefault="00D0064A" w:rsidP="00F55BBB">
      <w:pPr>
        <w:spacing w:line="360" w:lineRule="auto"/>
        <w:jc w:val="center"/>
        <w:rPr>
          <w:rFonts w:eastAsia="Times New Roman"/>
          <w:b/>
          <w:bCs/>
          <w:color w:val="000000" w:themeColor="text1"/>
          <w:sz w:val="24"/>
          <w:szCs w:val="24"/>
        </w:rPr>
      </w:pPr>
      <w:r w:rsidRPr="00B108ED">
        <w:rPr>
          <w:rFonts w:eastAsia="Times New Roman"/>
          <w:color w:val="000000" w:themeColor="text1"/>
          <w:sz w:val="24"/>
          <w:szCs w:val="24"/>
        </w:rPr>
        <w:t>(Source: Sec.gov, 2024)</w:t>
      </w:r>
    </w:p>
    <w:p w14:paraId="3867BDFF" w14:textId="5841E09C"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The income statement has shown that the company has maintained a strong net profit over the past five years. Figure 2 displays an increase of net income of 5071421 million yen in 2024 in comparison with previous periods (Sec.gov, 2024). Its improved cost management strategies and operational efficiency have allowed it to maintain profitability within the economic uncertainty. Besides this, its major focus on innovation, technological development and international expansion has strengthened its competitive edge within the automotive sector. </w:t>
      </w:r>
    </w:p>
    <w:p w14:paraId="7EF0B739" w14:textId="77777777" w:rsidR="009804C4" w:rsidRPr="00B108ED" w:rsidRDefault="00D0064A" w:rsidP="00F55BBB">
      <w:pPr>
        <w:spacing w:line="360" w:lineRule="auto"/>
        <w:jc w:val="center"/>
        <w:rPr>
          <w:rFonts w:eastAsia="Times New Roman"/>
          <w:color w:val="000000" w:themeColor="text1"/>
          <w:sz w:val="24"/>
          <w:szCs w:val="24"/>
        </w:rPr>
      </w:pPr>
      <w:r w:rsidRPr="00B108ED">
        <w:rPr>
          <w:rFonts w:eastAsia="Times New Roman"/>
          <w:noProof/>
          <w:color w:val="000000" w:themeColor="text1"/>
          <w:sz w:val="24"/>
          <w:szCs w:val="24"/>
        </w:rPr>
        <w:lastRenderedPageBreak/>
        <w:drawing>
          <wp:inline distT="114300" distB="114300" distL="114300" distR="114300" wp14:anchorId="7702F5C8" wp14:editId="479C0300">
            <wp:extent cx="5148263" cy="3685882"/>
            <wp:effectExtent l="25400" t="25400" r="25400" b="254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148263" cy="3685882"/>
                    </a:xfrm>
                    <a:prstGeom prst="rect">
                      <a:avLst/>
                    </a:prstGeom>
                    <a:ln w="25400">
                      <a:solidFill>
                        <a:srgbClr val="000000"/>
                      </a:solidFill>
                      <a:prstDash val="solid"/>
                    </a:ln>
                  </pic:spPr>
                </pic:pic>
              </a:graphicData>
            </a:graphic>
          </wp:inline>
        </w:drawing>
      </w:r>
    </w:p>
    <w:p w14:paraId="73B212DE" w14:textId="77777777" w:rsidR="009804C4" w:rsidRPr="00B108ED" w:rsidRDefault="00D0064A" w:rsidP="00F55BBB">
      <w:pPr>
        <w:spacing w:line="360" w:lineRule="auto"/>
        <w:jc w:val="center"/>
        <w:rPr>
          <w:rFonts w:eastAsia="Times New Roman"/>
          <w:color w:val="000000" w:themeColor="text1"/>
          <w:sz w:val="24"/>
          <w:szCs w:val="24"/>
        </w:rPr>
      </w:pPr>
      <w:r w:rsidRPr="00B108ED">
        <w:rPr>
          <w:rFonts w:eastAsia="Times New Roman"/>
          <w:noProof/>
          <w:color w:val="000000" w:themeColor="text1"/>
          <w:sz w:val="24"/>
          <w:szCs w:val="24"/>
        </w:rPr>
        <w:drawing>
          <wp:inline distT="114300" distB="114300" distL="114300" distR="114300" wp14:anchorId="472BEEE4" wp14:editId="7B787D23">
            <wp:extent cx="5126542" cy="3144775"/>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126542" cy="3144775"/>
                    </a:xfrm>
                    <a:prstGeom prst="rect">
                      <a:avLst/>
                    </a:prstGeom>
                    <a:ln w="25400">
                      <a:solidFill>
                        <a:srgbClr val="000000"/>
                      </a:solidFill>
                      <a:prstDash val="solid"/>
                    </a:ln>
                  </pic:spPr>
                </pic:pic>
              </a:graphicData>
            </a:graphic>
          </wp:inline>
        </w:drawing>
      </w:r>
    </w:p>
    <w:p w14:paraId="118AD6F2" w14:textId="77777777" w:rsidR="009804C4" w:rsidRPr="00B108ED" w:rsidRDefault="00D0064A" w:rsidP="00F55BBB">
      <w:pPr>
        <w:spacing w:line="360" w:lineRule="auto"/>
        <w:jc w:val="center"/>
        <w:rPr>
          <w:rFonts w:eastAsia="Times New Roman"/>
          <w:b/>
          <w:bCs/>
          <w:color w:val="000000" w:themeColor="text1"/>
          <w:sz w:val="24"/>
          <w:szCs w:val="24"/>
        </w:rPr>
      </w:pPr>
      <w:r w:rsidRPr="00B108ED">
        <w:rPr>
          <w:rFonts w:eastAsia="Times New Roman"/>
          <w:b/>
          <w:bCs/>
          <w:color w:val="000000" w:themeColor="text1"/>
          <w:sz w:val="24"/>
          <w:szCs w:val="24"/>
        </w:rPr>
        <w:t xml:space="preserve">Figure 3: Balance sheet of Toyota </w:t>
      </w:r>
    </w:p>
    <w:p w14:paraId="1664C4FA" w14:textId="77777777" w:rsidR="009804C4" w:rsidRPr="00B108ED" w:rsidRDefault="00D0064A" w:rsidP="00F55BBB">
      <w:pPr>
        <w:spacing w:line="360" w:lineRule="auto"/>
        <w:jc w:val="center"/>
        <w:rPr>
          <w:rFonts w:eastAsia="Times New Roman"/>
          <w:color w:val="000000" w:themeColor="text1"/>
          <w:sz w:val="24"/>
          <w:szCs w:val="24"/>
        </w:rPr>
      </w:pPr>
      <w:r w:rsidRPr="00B108ED">
        <w:rPr>
          <w:rFonts w:eastAsia="Times New Roman"/>
          <w:color w:val="000000" w:themeColor="text1"/>
          <w:sz w:val="24"/>
          <w:szCs w:val="24"/>
        </w:rPr>
        <w:t>(Source: Sec.gov, 2024)</w:t>
      </w:r>
    </w:p>
    <w:p w14:paraId="32E5741A" w14:textId="7252AF43"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Figure 3 exhibits Toyota’s balance sheet, highlighting a stable financial position. The total assets have increased to 34,714,279 million yen in 2024 from 26,459,781 million yen in 2023. The current assets of an organisation are enhanced due to the continued investment in research and development, manufacturing facilities and technological advancement (Sec.gov, 2024). In addition, a balanced capital structure has been </w:t>
      </w:r>
      <w:r w:rsidRPr="00B108ED">
        <w:rPr>
          <w:rFonts w:eastAsia="Times New Roman"/>
          <w:color w:val="000000" w:themeColor="text1"/>
          <w:sz w:val="24"/>
          <w:szCs w:val="24"/>
        </w:rPr>
        <w:lastRenderedPageBreak/>
        <w:t xml:space="preserve">maintained by Toyota in terms of the integration of shareholders’ equity and liabilities, reflecting its growth to maintain financial stability. </w:t>
      </w:r>
    </w:p>
    <w:p w14:paraId="27A3D5A6" w14:textId="77777777" w:rsidR="009804C4" w:rsidRPr="00B108ED" w:rsidRDefault="00D0064A" w:rsidP="00F55BBB">
      <w:pPr>
        <w:spacing w:line="360" w:lineRule="auto"/>
        <w:jc w:val="center"/>
        <w:rPr>
          <w:rFonts w:eastAsia="Times New Roman"/>
          <w:color w:val="000000" w:themeColor="text1"/>
          <w:sz w:val="24"/>
          <w:szCs w:val="24"/>
        </w:rPr>
      </w:pPr>
      <w:r w:rsidRPr="00B108ED">
        <w:rPr>
          <w:rFonts w:eastAsia="Times New Roman"/>
          <w:noProof/>
          <w:color w:val="000000" w:themeColor="text1"/>
          <w:sz w:val="24"/>
          <w:szCs w:val="24"/>
        </w:rPr>
        <w:drawing>
          <wp:inline distT="114300" distB="114300" distL="114300" distR="114300" wp14:anchorId="58659F86" wp14:editId="4DA5C29A">
            <wp:extent cx="5259712" cy="4193791"/>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259712" cy="4193791"/>
                    </a:xfrm>
                    <a:prstGeom prst="rect">
                      <a:avLst/>
                    </a:prstGeom>
                    <a:ln w="25400">
                      <a:solidFill>
                        <a:srgbClr val="000000"/>
                      </a:solidFill>
                      <a:prstDash val="solid"/>
                    </a:ln>
                  </pic:spPr>
                </pic:pic>
              </a:graphicData>
            </a:graphic>
          </wp:inline>
        </w:drawing>
      </w:r>
    </w:p>
    <w:p w14:paraId="534810BA" w14:textId="77777777" w:rsidR="009804C4" w:rsidRPr="00B108ED" w:rsidRDefault="00D0064A" w:rsidP="00F55BBB">
      <w:pPr>
        <w:spacing w:line="360" w:lineRule="auto"/>
        <w:jc w:val="center"/>
        <w:rPr>
          <w:rFonts w:eastAsia="Times New Roman"/>
          <w:b/>
          <w:bCs/>
          <w:color w:val="000000" w:themeColor="text1"/>
          <w:sz w:val="24"/>
          <w:szCs w:val="24"/>
        </w:rPr>
      </w:pPr>
      <w:r w:rsidRPr="00B108ED">
        <w:rPr>
          <w:rFonts w:eastAsia="Times New Roman"/>
          <w:b/>
          <w:bCs/>
          <w:color w:val="000000" w:themeColor="text1"/>
          <w:sz w:val="24"/>
          <w:szCs w:val="24"/>
        </w:rPr>
        <w:t xml:space="preserve">Figure 4: Balance sheet of Toyota </w:t>
      </w:r>
    </w:p>
    <w:p w14:paraId="0EB69E18" w14:textId="51925131" w:rsidR="009804C4" w:rsidRPr="00B108ED" w:rsidRDefault="00D0064A" w:rsidP="00F55BBB">
      <w:pPr>
        <w:spacing w:line="360" w:lineRule="auto"/>
        <w:jc w:val="center"/>
        <w:rPr>
          <w:rFonts w:eastAsia="Times New Roman"/>
          <w:color w:val="000000" w:themeColor="text1"/>
          <w:sz w:val="24"/>
          <w:szCs w:val="24"/>
        </w:rPr>
      </w:pPr>
      <w:r w:rsidRPr="00B108ED">
        <w:rPr>
          <w:rFonts w:eastAsia="Times New Roman"/>
          <w:color w:val="000000" w:themeColor="text1"/>
          <w:sz w:val="24"/>
          <w:szCs w:val="24"/>
        </w:rPr>
        <w:t>(Source: Sec.gov, 2024)</w:t>
      </w:r>
    </w:p>
    <w:p w14:paraId="1CDA1F24" w14:textId="691AA170"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Figure 4 shows the cash flow statement, reflecting Toyota’s potential financial management. Its positive operating cash flows have demonstrated that the company has generated the required cash based on its core business operations for investment. </w:t>
      </w:r>
    </w:p>
    <w:p w14:paraId="58F9531B" w14:textId="77777777" w:rsidR="00D40A77" w:rsidRPr="00B108ED" w:rsidRDefault="00D40A77" w:rsidP="00F55BBB">
      <w:pPr>
        <w:spacing w:line="360" w:lineRule="auto"/>
        <w:rPr>
          <w:rFonts w:eastAsia="Times New Roman"/>
          <w:b/>
          <w:bCs/>
          <w:sz w:val="24"/>
          <w:szCs w:val="24"/>
        </w:rPr>
      </w:pPr>
      <w:r w:rsidRPr="00B108ED">
        <w:rPr>
          <w:rFonts w:eastAsia="Times New Roman"/>
          <w:b/>
          <w:bCs/>
          <w:sz w:val="24"/>
          <w:szCs w:val="24"/>
        </w:rPr>
        <w:t xml:space="preserve">Ratio analysis </w:t>
      </w:r>
    </w:p>
    <w:p w14:paraId="6FF6290B" w14:textId="77777777" w:rsidR="00D40A77" w:rsidRPr="00B108ED" w:rsidRDefault="00D40A77" w:rsidP="00F55BBB">
      <w:pPr>
        <w:spacing w:line="360" w:lineRule="auto"/>
        <w:rPr>
          <w:rFonts w:eastAsia="Times New Roman"/>
          <w:b/>
          <w:bCs/>
          <w:i/>
          <w:iCs/>
          <w:sz w:val="24"/>
          <w:szCs w:val="24"/>
        </w:rPr>
      </w:pPr>
      <w:r w:rsidRPr="00B108ED">
        <w:rPr>
          <w:rFonts w:eastAsia="Times New Roman"/>
          <w:b/>
          <w:bCs/>
          <w:i/>
          <w:iCs/>
          <w:sz w:val="24"/>
          <w:szCs w:val="24"/>
        </w:rPr>
        <w:t>Profitability</w:t>
      </w:r>
    </w:p>
    <w:p w14:paraId="51917CF6" w14:textId="28D408FB" w:rsidR="00D40A77" w:rsidRPr="00B108ED" w:rsidRDefault="00D40A77" w:rsidP="00F55BBB">
      <w:pPr>
        <w:spacing w:line="360" w:lineRule="auto"/>
        <w:jc w:val="both"/>
        <w:rPr>
          <w:rFonts w:eastAsia="Times New Roman"/>
          <w:sz w:val="24"/>
          <w:szCs w:val="24"/>
        </w:rPr>
      </w:pPr>
      <w:r w:rsidRPr="00B108ED">
        <w:rPr>
          <w:rFonts w:eastAsia="Times New Roman"/>
          <w:sz w:val="24"/>
          <w:szCs w:val="24"/>
        </w:rPr>
        <w:t xml:space="preserve">Profitability ratio is helpful to analyse the ability of a company to produce earnings through its operations. As stated by </w:t>
      </w:r>
      <w:proofErr w:type="spellStart"/>
      <w:r w:rsidRPr="00B108ED">
        <w:rPr>
          <w:rFonts w:eastAsia="Times New Roman"/>
          <w:sz w:val="24"/>
          <w:szCs w:val="24"/>
        </w:rPr>
        <w:t>Andoko</w:t>
      </w:r>
      <w:proofErr w:type="spellEnd"/>
      <w:r w:rsidRPr="00B108ED">
        <w:rPr>
          <w:rFonts w:eastAsia="Times New Roman"/>
          <w:sz w:val="24"/>
          <w:szCs w:val="24"/>
        </w:rPr>
        <w:t xml:space="preserve"> and Angeline (2023, p.60), the net profit margin shows the portion of income which persists as profit after the deduction of all expenses. The net profit margin of Toyota has increased to 11.25% in 2024 from 7.07% in 2020. Despite a decline in this profit margin in 2024, it has recovered substantially in 2024. Such an improvement has highlighted that operational efficiency and cost management of Toyota have been improved, being supported through higher demand for vehicles and exchange rates. Therefore, ROA has illustrated the ability of </w:t>
      </w:r>
      <w:r w:rsidRPr="00B108ED">
        <w:rPr>
          <w:rFonts w:eastAsia="Times New Roman"/>
          <w:sz w:val="24"/>
          <w:szCs w:val="24"/>
        </w:rPr>
        <w:lastRenderedPageBreak/>
        <w:t xml:space="preserve">Toyota to produce profit from its assets. The value of ROA has risen to 5.63% in 2024 from 3.91% in 2020; however, it has dropped in 2023 to 3.35%. The upward trend of this ratio has shown a greater efficiency of Toyota to utilise its assets more effectively. The level of strong profitability has demonstrated the competitive position of Toyota within the international automotive sector. </w:t>
      </w:r>
    </w:p>
    <w:p w14:paraId="5573CDD8" w14:textId="77777777" w:rsidR="00D40A77" w:rsidRPr="00B108ED" w:rsidRDefault="00D40A77" w:rsidP="00F55BBB">
      <w:pPr>
        <w:spacing w:line="360" w:lineRule="auto"/>
        <w:rPr>
          <w:rFonts w:eastAsia="Times New Roman"/>
          <w:b/>
          <w:bCs/>
          <w:i/>
          <w:iCs/>
          <w:sz w:val="24"/>
          <w:szCs w:val="24"/>
        </w:rPr>
      </w:pPr>
      <w:r w:rsidRPr="00B108ED">
        <w:rPr>
          <w:rFonts w:eastAsia="Times New Roman"/>
          <w:b/>
          <w:bCs/>
          <w:i/>
          <w:iCs/>
          <w:sz w:val="24"/>
          <w:szCs w:val="24"/>
        </w:rPr>
        <w:t>Liquidity</w:t>
      </w:r>
    </w:p>
    <w:p w14:paraId="56ACC78F" w14:textId="77777777" w:rsidR="00D40A77" w:rsidRPr="00B108ED" w:rsidRDefault="00D40A77" w:rsidP="00F55BBB">
      <w:pPr>
        <w:spacing w:line="360" w:lineRule="auto"/>
        <w:jc w:val="both"/>
        <w:rPr>
          <w:rFonts w:eastAsia="Times New Roman"/>
          <w:b/>
          <w:bCs/>
          <w:i/>
          <w:iCs/>
          <w:sz w:val="24"/>
          <w:szCs w:val="24"/>
        </w:rPr>
      </w:pPr>
      <w:r w:rsidRPr="00B108ED">
        <w:rPr>
          <w:rFonts w:eastAsia="Times New Roman"/>
          <w:sz w:val="24"/>
          <w:szCs w:val="24"/>
        </w:rPr>
        <w:t xml:space="preserve">The liquidity ratio can evaluate the financial ability of a company to cover its short-term financial obligations. It has been analysed that the current ratio of Toyota has improved to 1.19 in 2024 from 1.04 in 2020. This has shown an enhancement of its current assets respective to current liabilities. A current ratio above advocates the firm has enough cash assets to meet its liabilities to show a healthy liquidity position (Blessing and </w:t>
      </w:r>
      <w:proofErr w:type="spellStart"/>
      <w:r w:rsidRPr="00B108ED">
        <w:rPr>
          <w:rFonts w:eastAsia="Times New Roman"/>
          <w:sz w:val="24"/>
          <w:szCs w:val="24"/>
        </w:rPr>
        <w:t>Sakouvogui</w:t>
      </w:r>
      <w:proofErr w:type="spellEnd"/>
      <w:r w:rsidRPr="00B108ED">
        <w:rPr>
          <w:rFonts w:eastAsia="Times New Roman"/>
          <w:sz w:val="24"/>
          <w:szCs w:val="24"/>
        </w:rPr>
        <w:t xml:space="preserve">, 2023, p. 110). In addition, the company’s quick ratio has improved to 1.03 in 2024 from 0.90 in 2020. It shows that the liquid assets of this company, including receivables and cash, are capable of covering its short-term obligations. Moreover, the firm’s liquidity position has indicated a cautious improvement, such as effective financial stability with prudent working capital management. </w:t>
      </w:r>
    </w:p>
    <w:p w14:paraId="3D70AEF6" w14:textId="77777777" w:rsidR="00D40A77" w:rsidRPr="00B108ED" w:rsidRDefault="00D40A77" w:rsidP="00F55BBB">
      <w:pPr>
        <w:spacing w:line="360" w:lineRule="auto"/>
        <w:rPr>
          <w:rFonts w:eastAsia="Times New Roman"/>
          <w:b/>
          <w:bCs/>
          <w:i/>
          <w:iCs/>
          <w:sz w:val="24"/>
          <w:szCs w:val="24"/>
        </w:rPr>
      </w:pPr>
      <w:r w:rsidRPr="00B108ED">
        <w:rPr>
          <w:rFonts w:eastAsia="Times New Roman"/>
          <w:b/>
          <w:bCs/>
          <w:i/>
          <w:iCs/>
          <w:sz w:val="24"/>
          <w:szCs w:val="24"/>
        </w:rPr>
        <w:t>Efficiency</w:t>
      </w:r>
    </w:p>
    <w:p w14:paraId="26F4F06E" w14:textId="77777777" w:rsidR="00D40A77" w:rsidRPr="00B108ED" w:rsidRDefault="00D40A77" w:rsidP="00F55BBB">
      <w:pPr>
        <w:spacing w:line="360" w:lineRule="auto"/>
        <w:jc w:val="both"/>
        <w:rPr>
          <w:rFonts w:eastAsia="Times New Roman"/>
          <w:sz w:val="24"/>
          <w:szCs w:val="24"/>
        </w:rPr>
      </w:pPr>
      <w:r w:rsidRPr="00B108ED">
        <w:rPr>
          <w:rFonts w:eastAsia="Times New Roman"/>
          <w:sz w:val="24"/>
          <w:szCs w:val="24"/>
        </w:rPr>
        <w:t xml:space="preserve">The asset-turnover ratio of Toyota has declined to 0.55 in 2024, compared with 0.50 in 2020. It has shown the company’s underutilised inventory, reflecting an inefficient manufacturing process. Besides this, the inventory turnover ratio also reduced from 5.93 in 2020 to 4.99 in 2024, highlighting the problems of reduced liquidity, higher costs and overstocking. Toyota’s inability to control operating costs has indicated inefficiency in supply chain and production management. </w:t>
      </w:r>
    </w:p>
    <w:p w14:paraId="1DB8765E" w14:textId="77777777" w:rsidR="00D40A77" w:rsidRPr="00B108ED" w:rsidRDefault="00D40A77" w:rsidP="00F55BBB">
      <w:pPr>
        <w:spacing w:line="360" w:lineRule="auto"/>
        <w:jc w:val="both"/>
        <w:rPr>
          <w:rFonts w:eastAsia="Times New Roman"/>
          <w:b/>
          <w:bCs/>
          <w:i/>
          <w:iCs/>
          <w:sz w:val="24"/>
          <w:szCs w:val="24"/>
        </w:rPr>
      </w:pPr>
      <w:r w:rsidRPr="00B108ED">
        <w:rPr>
          <w:rFonts w:eastAsia="Times New Roman"/>
          <w:b/>
          <w:bCs/>
          <w:i/>
          <w:iCs/>
          <w:sz w:val="24"/>
          <w:szCs w:val="24"/>
        </w:rPr>
        <w:t>Gearing</w:t>
      </w:r>
    </w:p>
    <w:p w14:paraId="48A1B5C9" w14:textId="77777777" w:rsidR="00D40A77" w:rsidRPr="00B108ED" w:rsidRDefault="00D40A77" w:rsidP="00F55BBB">
      <w:pPr>
        <w:spacing w:line="360" w:lineRule="auto"/>
        <w:jc w:val="both"/>
        <w:rPr>
          <w:rFonts w:eastAsia="Times New Roman"/>
          <w:sz w:val="24"/>
          <w:szCs w:val="24"/>
        </w:rPr>
      </w:pPr>
      <w:r w:rsidRPr="00B108ED">
        <w:rPr>
          <w:rFonts w:eastAsia="Times New Roman"/>
          <w:sz w:val="24"/>
          <w:szCs w:val="24"/>
        </w:rPr>
        <w:t xml:space="preserve">In the context of the analysis of an organisation’s reliance on debt financing and financial leverage, the gearing ratio is mainly used. Toyota’s D/E ratio is considered stable across five years renegade between 1.49 and 1.56. It has been displayed that a balanced capital structure has been maintained through the company, along with a moderate dependency on debt financing. Although financial risk can be increased by higher leverage, a reliable ratio highlights effective management of the company regarding debt obligations. On the other hand, the company’s debt ratio is nearly 0.60–0.61, showing that around 60% assets are financed based on debt. However, it has outlined a substantial borrowing level; the prudent generation of cash flow and profitability has decreased the financial risk. The maintenance of an efficient gearing </w:t>
      </w:r>
      <w:r w:rsidRPr="00B108ED">
        <w:rPr>
          <w:rFonts w:eastAsia="Times New Roman"/>
          <w:sz w:val="24"/>
          <w:szCs w:val="24"/>
        </w:rPr>
        <w:lastRenderedPageBreak/>
        <w:t xml:space="preserve">structure has allowed Toyota in financing towards large-scale investments, including EV technology, R&amp;D and international expansion. </w:t>
      </w:r>
    </w:p>
    <w:p w14:paraId="7EC7BE5A" w14:textId="77777777" w:rsidR="00D40A77" w:rsidRPr="00B108ED" w:rsidRDefault="00D40A77" w:rsidP="00F55BBB">
      <w:pPr>
        <w:spacing w:line="360" w:lineRule="auto"/>
        <w:rPr>
          <w:rFonts w:eastAsia="Times New Roman"/>
          <w:b/>
          <w:bCs/>
          <w:i/>
          <w:iCs/>
          <w:sz w:val="24"/>
          <w:szCs w:val="24"/>
        </w:rPr>
      </w:pPr>
      <w:r w:rsidRPr="00B108ED">
        <w:rPr>
          <w:rFonts w:eastAsia="Times New Roman"/>
          <w:b/>
          <w:bCs/>
          <w:i/>
          <w:iCs/>
          <w:sz w:val="24"/>
          <w:szCs w:val="24"/>
        </w:rPr>
        <w:t>Investment</w:t>
      </w:r>
    </w:p>
    <w:p w14:paraId="4FDE76D5" w14:textId="77777777" w:rsidR="00D40A77" w:rsidRPr="00B108ED" w:rsidRDefault="00D40A77" w:rsidP="00F55BBB">
      <w:pPr>
        <w:spacing w:line="360" w:lineRule="auto"/>
        <w:jc w:val="both"/>
        <w:rPr>
          <w:rFonts w:eastAsia="Times New Roman"/>
          <w:sz w:val="24"/>
          <w:szCs w:val="24"/>
        </w:rPr>
      </w:pPr>
      <w:r w:rsidRPr="00B108ED">
        <w:rPr>
          <w:rFonts w:eastAsia="Times New Roman"/>
          <w:sz w:val="24"/>
          <w:szCs w:val="24"/>
        </w:rPr>
        <w:t xml:space="preserve">Companies use investment ratios to evaluate the returns delivered to the shareholders. EPS of Toyota has increased from 150.79 in 2020 to 365.38 in 2024. It has shown its prudence over financial performance and profitability. In terms of the company’s higher earnings, the dividend payout ratio has reduced to 20.5%. It suggests that Toyota focus on investment to gain future growth with a higher profitability rate. </w:t>
      </w:r>
    </w:p>
    <w:p w14:paraId="2481B833" w14:textId="77777777" w:rsidR="00D40A77" w:rsidRPr="00B108ED" w:rsidRDefault="00D40A77" w:rsidP="00F55BBB">
      <w:pPr>
        <w:spacing w:line="360" w:lineRule="auto"/>
        <w:rPr>
          <w:rFonts w:eastAsia="Times New Roman"/>
          <w:b/>
          <w:bCs/>
          <w:i/>
          <w:iCs/>
          <w:sz w:val="24"/>
          <w:szCs w:val="24"/>
        </w:rPr>
      </w:pPr>
      <w:r w:rsidRPr="00B108ED">
        <w:rPr>
          <w:rFonts w:eastAsia="Times New Roman"/>
          <w:b/>
          <w:bCs/>
          <w:i/>
          <w:iCs/>
          <w:sz w:val="24"/>
          <w:szCs w:val="24"/>
        </w:rPr>
        <w:t>Cash flow</w:t>
      </w:r>
    </w:p>
    <w:p w14:paraId="1F8448CF" w14:textId="77777777" w:rsidR="00D40A77" w:rsidRPr="00B108ED" w:rsidRDefault="00D40A77" w:rsidP="00F55BBB">
      <w:pPr>
        <w:spacing w:line="360" w:lineRule="auto"/>
        <w:jc w:val="both"/>
        <w:rPr>
          <w:rFonts w:eastAsia="Times New Roman"/>
          <w:b/>
          <w:bCs/>
          <w:i/>
          <w:iCs/>
          <w:sz w:val="24"/>
          <w:szCs w:val="24"/>
        </w:rPr>
      </w:pPr>
      <w:r w:rsidRPr="00B108ED">
        <w:rPr>
          <w:rFonts w:eastAsia="Times New Roman"/>
          <w:sz w:val="24"/>
          <w:szCs w:val="24"/>
        </w:rPr>
        <w:t xml:space="preserve">Cash flow ratio is used by the company to analyse its ability to produce cash in meeting financial obligations. Toyota’s operating cash flow has increased to 14.42 in 2024 from 12.71 in 2021. It has shown the company’s potential generation of operating cash in proportion to current liabilities. This has highlighted that the organisation has enough cash flow in the current year to reinforce its financial commitment for the short-term period. Besides this, Toyota has been able to generate sufficient operating cash flows, as its cash flow to debt ratio is reliable between 0.07 and 0.09 in coverage of the total debt. A firm’s financial flexibility has been improved through a robust operating cash flow to support strategic and investment initiatives (Wu </w:t>
      </w:r>
      <w:r w:rsidRPr="00B108ED">
        <w:rPr>
          <w:rFonts w:eastAsia="Times New Roman"/>
          <w:i/>
          <w:iCs/>
          <w:sz w:val="24"/>
          <w:szCs w:val="24"/>
        </w:rPr>
        <w:t>et al.</w:t>
      </w:r>
      <w:r w:rsidRPr="00B108ED">
        <w:rPr>
          <w:rFonts w:eastAsia="Times New Roman"/>
          <w:sz w:val="24"/>
          <w:szCs w:val="24"/>
        </w:rPr>
        <w:t xml:space="preserve"> 2024, p. 1195). </w:t>
      </w:r>
    </w:p>
    <w:p w14:paraId="30E9DD3B" w14:textId="77777777" w:rsidR="00D40A77" w:rsidRPr="00B108ED" w:rsidRDefault="00D40A77" w:rsidP="00F55BBB">
      <w:pPr>
        <w:spacing w:line="360" w:lineRule="auto"/>
        <w:rPr>
          <w:rFonts w:eastAsia="Times New Roman"/>
          <w:b/>
          <w:bCs/>
          <w:sz w:val="24"/>
          <w:szCs w:val="24"/>
        </w:rPr>
      </w:pPr>
      <w:r w:rsidRPr="00B108ED">
        <w:rPr>
          <w:rFonts w:eastAsia="Times New Roman"/>
          <w:b/>
          <w:bCs/>
          <w:sz w:val="24"/>
          <w:szCs w:val="24"/>
        </w:rPr>
        <w:t>Identification of trends, strengths and threats</w:t>
      </w:r>
    </w:p>
    <w:p w14:paraId="16D8E479" w14:textId="73E7B061" w:rsidR="00D40A77" w:rsidRPr="00B108ED" w:rsidRDefault="00D40A77" w:rsidP="00F55BBB">
      <w:pPr>
        <w:spacing w:line="360" w:lineRule="auto"/>
        <w:jc w:val="both"/>
        <w:rPr>
          <w:rFonts w:eastAsia="Times New Roman"/>
          <w:sz w:val="24"/>
          <w:szCs w:val="24"/>
        </w:rPr>
      </w:pPr>
      <w:r w:rsidRPr="00B108ED">
        <w:rPr>
          <w:rFonts w:eastAsia="Times New Roman"/>
          <w:sz w:val="24"/>
          <w:szCs w:val="24"/>
        </w:rPr>
        <w:t>Toyota’s financial analysis from 2020 to 2024 has outlined multiple significant trends. One of the main trends has been considered compatible growth in profitability and revenue across 5 years. This company’s net income and sales have grown, highlighting potential international demand regarding vehicles as well as its ability in adapting towards changing market conditions. An improvement over profitability has shown the operational efficiency of Toyota due to its priority on hybrid vehicles and innovation. Continuous improvement across liquidity position is another major trend (Ayomide and Godwin Olaoye, 2024, P.14). Both the quick and current ratios have displayed the ability of Toyota, highlighting a reliable financial structure in managing operational expenses.</w:t>
      </w:r>
    </w:p>
    <w:p w14:paraId="10B709A2" w14:textId="69695D26" w:rsidR="00D40A77" w:rsidRPr="00B108ED" w:rsidRDefault="00D40A77" w:rsidP="00F55BBB">
      <w:pPr>
        <w:spacing w:line="360" w:lineRule="auto"/>
        <w:jc w:val="both"/>
        <w:rPr>
          <w:rFonts w:eastAsia="Times New Roman"/>
          <w:sz w:val="24"/>
          <w:szCs w:val="24"/>
        </w:rPr>
      </w:pPr>
      <w:r w:rsidRPr="00B108ED">
        <w:rPr>
          <w:rFonts w:eastAsia="Times New Roman"/>
          <w:sz w:val="24"/>
          <w:szCs w:val="24"/>
        </w:rPr>
        <w:t xml:space="preserve">A balanced capital structure has represented a core strength of Toyota. The maintenance of a steady debt level regarding equity has exhibited controlled borrowing and modest financial leverage. Toyota’s investment across R&amp;D, technological innovation, and market expansion has been guided by the inception of cash flow. </w:t>
      </w:r>
      <w:r w:rsidRPr="00B108ED">
        <w:rPr>
          <w:rFonts w:eastAsia="Times New Roman"/>
          <w:sz w:val="24"/>
          <w:szCs w:val="24"/>
        </w:rPr>
        <w:lastRenderedPageBreak/>
        <w:t>Multiple threats have been found in Toyota. Efficiency indicators have shown some reduction in operational efficiency, mainly in utilisation of assets and inventory management. Such issues highlight challenges over the supply chain and fluctuations across manufacturing levels. Toyota has faced external risks including disruption in the supply chain, international economic uncertainty, and growing competition within the automotive sector (</w:t>
      </w:r>
      <w:r w:rsidRPr="00B108ED">
        <w:rPr>
          <w:rFonts w:eastAsia="Times New Roman"/>
          <w:color w:val="000000" w:themeColor="text1"/>
          <w:sz w:val="24"/>
          <w:szCs w:val="24"/>
        </w:rPr>
        <w:t>Annual</w:t>
      </w:r>
      <w:r w:rsidR="00103B75">
        <w:rPr>
          <w:rFonts w:eastAsia="Times New Roman"/>
          <w:color w:val="000000" w:themeColor="text1"/>
          <w:sz w:val="24"/>
          <w:szCs w:val="24"/>
        </w:rPr>
        <w:t xml:space="preserve"> </w:t>
      </w:r>
      <w:r w:rsidRPr="00B108ED">
        <w:rPr>
          <w:rFonts w:eastAsia="Times New Roman"/>
          <w:color w:val="000000" w:themeColor="text1"/>
          <w:sz w:val="24"/>
          <w:szCs w:val="24"/>
        </w:rPr>
        <w:t>reports, 2024</w:t>
      </w:r>
      <w:r w:rsidRPr="00B108ED">
        <w:rPr>
          <w:rFonts w:eastAsia="Times New Roman"/>
          <w:sz w:val="24"/>
          <w:szCs w:val="24"/>
        </w:rPr>
        <w:t xml:space="preserve">). Apart from challenges, substantial cash flow, improving profitability and liquidity have delivered a potential foundation to sustain growth in the long term to maintain its competitive position. </w:t>
      </w:r>
    </w:p>
    <w:p w14:paraId="76E96A9D" w14:textId="7F49E991" w:rsidR="009804C4" w:rsidRPr="00B108ED" w:rsidRDefault="00D0064A" w:rsidP="00F55BBB">
      <w:pPr>
        <w:pStyle w:val="Heading1"/>
        <w:spacing w:before="0" w:after="0" w:line="360" w:lineRule="auto"/>
        <w:rPr>
          <w:rFonts w:ascii="Arial" w:hAnsi="Arial"/>
          <w:color w:val="000000" w:themeColor="text1"/>
        </w:rPr>
      </w:pPr>
      <w:bookmarkStart w:id="2" w:name="_Toc224234539"/>
      <w:r w:rsidRPr="00B108ED">
        <w:rPr>
          <w:rFonts w:ascii="Arial" w:hAnsi="Arial"/>
          <w:color w:val="000000" w:themeColor="text1"/>
        </w:rPr>
        <w:t>2. Working Capital Management Analysis</w:t>
      </w:r>
      <w:bookmarkEnd w:id="2"/>
    </w:p>
    <w:p w14:paraId="73ABEE43"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Working capital management (WCM) stands for the procedure in managing a company’s short-term assets along with liabilities in ensuring sufficient liquidity and business operations. WCM has played a vital role to maintain a firm’s financial stability as it can determine the business’s ability to meet its operational expenses and short-term obligations (Lefebvre, 2022, p.724). In the context of large MNCs such as Toyota, an efficient management of working capital can allow for the decrease of financial risks, optimise cash flows and improve profitability. </w:t>
      </w:r>
    </w:p>
    <w:p w14:paraId="25E06977"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Cash operating cycle</w:t>
      </w:r>
    </w:p>
    <w:p w14:paraId="64197642" w14:textId="25B1165A" w:rsidR="00D40A77"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The cash operating cycle, or the cash conversion cycle (CCC) is used to measure the time needed for a firm in converting its investments regarding inventory and resources into cash inflows from customers. The cash operating cycle shows a company’s working capital efficiency to manage its receivables, inventory and payables (</w:t>
      </w:r>
      <w:proofErr w:type="spellStart"/>
      <w:r w:rsidRPr="00B108ED">
        <w:rPr>
          <w:rFonts w:eastAsia="Times New Roman"/>
          <w:color w:val="000000" w:themeColor="text1"/>
          <w:sz w:val="24"/>
          <w:szCs w:val="24"/>
        </w:rPr>
        <w:t>Ijuwo</w:t>
      </w:r>
      <w:proofErr w:type="spellEnd"/>
      <w:r w:rsidRPr="00B108ED">
        <w:rPr>
          <w:rFonts w:eastAsia="Times New Roman"/>
          <w:color w:val="000000" w:themeColor="text1"/>
          <w:sz w:val="24"/>
          <w:szCs w:val="24"/>
        </w:rPr>
        <w:t xml:space="preserve">, 2024, p. 20). This involves three main elements such as receivables collection period, the inventory conversion period and the payables deferral period. </w:t>
      </w:r>
    </w:p>
    <w:p w14:paraId="3FDAB73D" w14:textId="77777777" w:rsidR="00D40A77" w:rsidRPr="00B108ED" w:rsidRDefault="00D40A77" w:rsidP="00F55BBB">
      <w:pPr>
        <w:spacing w:line="360" w:lineRule="auto"/>
        <w:jc w:val="center"/>
        <w:rPr>
          <w:rFonts w:eastAsia="Times New Roman"/>
          <w:sz w:val="24"/>
          <w:szCs w:val="24"/>
        </w:rPr>
      </w:pPr>
      <w:r w:rsidRPr="00B108ED">
        <w:rPr>
          <w:rFonts w:eastAsia="Times New Roman"/>
          <w:noProof/>
          <w:sz w:val="24"/>
          <w:szCs w:val="24"/>
        </w:rPr>
        <w:drawing>
          <wp:inline distT="114300" distB="114300" distL="114300" distR="114300" wp14:anchorId="2B128461" wp14:editId="006D5941">
            <wp:extent cx="5910263" cy="947099"/>
            <wp:effectExtent l="0" t="0" r="0" b="0"/>
            <wp:docPr id="14382565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10263" cy="947099"/>
                    </a:xfrm>
                    <a:prstGeom prst="rect">
                      <a:avLst/>
                    </a:prstGeom>
                    <a:ln/>
                  </pic:spPr>
                </pic:pic>
              </a:graphicData>
            </a:graphic>
          </wp:inline>
        </w:drawing>
      </w:r>
    </w:p>
    <w:p w14:paraId="44B48344" w14:textId="77777777" w:rsidR="00D40A77" w:rsidRPr="00B108ED" w:rsidRDefault="00D40A77" w:rsidP="00F55BBB">
      <w:pPr>
        <w:spacing w:line="360" w:lineRule="auto"/>
        <w:jc w:val="center"/>
        <w:rPr>
          <w:rFonts w:eastAsia="Times New Roman"/>
          <w:b/>
          <w:bCs/>
          <w:sz w:val="24"/>
          <w:szCs w:val="24"/>
        </w:rPr>
      </w:pPr>
      <w:r w:rsidRPr="00B108ED">
        <w:rPr>
          <w:rFonts w:eastAsia="Times New Roman"/>
          <w:b/>
          <w:bCs/>
          <w:sz w:val="24"/>
          <w:szCs w:val="24"/>
        </w:rPr>
        <w:t>Figure 5: Cash operating cycle</w:t>
      </w:r>
    </w:p>
    <w:p w14:paraId="5C1C94F4" w14:textId="77777777" w:rsidR="00D40A77" w:rsidRPr="00B108ED" w:rsidRDefault="00D40A77" w:rsidP="00F55BBB">
      <w:pPr>
        <w:spacing w:line="360" w:lineRule="auto"/>
        <w:jc w:val="center"/>
        <w:rPr>
          <w:rFonts w:eastAsia="Times New Roman"/>
          <w:sz w:val="24"/>
          <w:szCs w:val="24"/>
        </w:rPr>
      </w:pPr>
      <w:r w:rsidRPr="00B108ED">
        <w:rPr>
          <w:rFonts w:eastAsia="Times New Roman"/>
          <w:sz w:val="24"/>
          <w:szCs w:val="24"/>
        </w:rPr>
        <w:t>(Source: Self-created)</w:t>
      </w:r>
    </w:p>
    <w:p w14:paraId="35F71CD2" w14:textId="6D4D6DB4" w:rsidR="00D40A77" w:rsidRPr="00B108ED" w:rsidRDefault="00D40A77" w:rsidP="00F55BBB">
      <w:pPr>
        <w:spacing w:line="360" w:lineRule="auto"/>
        <w:jc w:val="both"/>
        <w:rPr>
          <w:rFonts w:eastAsia="Times New Roman"/>
          <w:sz w:val="24"/>
          <w:szCs w:val="24"/>
        </w:rPr>
      </w:pPr>
      <w:r w:rsidRPr="00B108ED">
        <w:rPr>
          <w:rFonts w:eastAsia="Times New Roman"/>
          <w:sz w:val="24"/>
          <w:szCs w:val="24"/>
        </w:rPr>
        <w:t xml:space="preserve">Figure 5 denotes that CCC has been computed to add the ICP and RCP and subtract the PDP. During 2020-2024, the CCC values of Toyota have ranged between 17.16 days and 29.47 days. It has been found that the cycle has risen to 29.47 days in 2022 from 17.16 days in 2020, reflecting a slower turnover of inventory and receivable </w:t>
      </w:r>
      <w:r w:rsidRPr="00B108ED">
        <w:rPr>
          <w:rFonts w:eastAsia="Times New Roman"/>
          <w:sz w:val="24"/>
          <w:szCs w:val="24"/>
        </w:rPr>
        <w:lastRenderedPageBreak/>
        <w:t xml:space="preserve">collection. In 2024, effective working capital management has been identified in Toyota with an improvement of the CCC value of 23.65 days. Despite such a slight improvement, the shorter CCC has suggested that Toyota should collect receivables and manage inventory effectively to get benefits from supplier credit terms. </w:t>
      </w:r>
    </w:p>
    <w:p w14:paraId="4400928F"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Recommend strategies to improve liquidity through working capital reforms</w:t>
      </w:r>
    </w:p>
    <w:p w14:paraId="35B1C53D" w14:textId="77777777" w:rsidR="00D40A77"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The improvement of liquidity is necessary to maintain stable business operations and ensure that an organisation can meet its short-term financial obligations. The reform of an effective working capital is helpful for companies to optimise the management of receivables, inventory and payables that influence the efficiency of cash flow. For Toyota Motor Corporation, the maintenance of potential liquidity is significant regarding the capital-centric nature of vehicle manufacturing and the complications related to international supply chains. </w:t>
      </w:r>
    </w:p>
    <w:p w14:paraId="650341C0" w14:textId="4E769152"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Efficient inventory management is one of the significant strategies for improving liquidity. Automation manufacturing needs a large number of raw materials and elements that may result in high inventory holding costs. It has been found that Toyota has implemented the manufacturing system of Just-In-Time (JIT) that ensures that materials are received only for the required producing procedure. The JIT method has been used by Toyota to </w:t>
      </w:r>
      <w:r w:rsidR="00D40A77" w:rsidRPr="00B108ED">
        <w:rPr>
          <w:rFonts w:eastAsia="Times New Roman"/>
          <w:color w:val="000000" w:themeColor="text1"/>
          <w:sz w:val="24"/>
          <w:szCs w:val="24"/>
        </w:rPr>
        <w:t>fulfil</w:t>
      </w:r>
      <w:r w:rsidRPr="00B108ED">
        <w:rPr>
          <w:rFonts w:eastAsia="Times New Roman"/>
          <w:color w:val="000000" w:themeColor="text1"/>
          <w:sz w:val="24"/>
          <w:szCs w:val="24"/>
        </w:rPr>
        <w:t xml:space="preserve"> orders from customers as fast as possible (Toyota, 2026). Such an approach has lowered storage costs, decreased excess inventory and shortened the inventory conversion period to improve the position of cash flow. </w:t>
      </w:r>
    </w:p>
    <w:p w14:paraId="48FE5FBB" w14:textId="7283BED5"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Another key strategy includes strengthening the policies of credit management. Toyota has sold vehicles based on credit arrangements and dealership networks. This depicts that for the maintenance of </w:t>
      </w:r>
      <w:r w:rsidR="0058626F" w:rsidRPr="00B108ED">
        <w:rPr>
          <w:rFonts w:eastAsia="Times New Roman"/>
          <w:color w:val="000000" w:themeColor="text1"/>
          <w:sz w:val="24"/>
          <w:szCs w:val="24"/>
        </w:rPr>
        <w:t>liquidity;</w:t>
      </w:r>
      <w:r w:rsidRPr="00B108ED">
        <w:rPr>
          <w:rFonts w:eastAsia="Times New Roman"/>
          <w:color w:val="000000" w:themeColor="text1"/>
          <w:sz w:val="24"/>
          <w:szCs w:val="24"/>
        </w:rPr>
        <w:t xml:space="preserve"> receivable management has played a key role. This organisation can improve its liquidity to assess customers’ and dealers' creditworthiness before the extension of credit. The provision of incentives, including the implementation of automated invoicing systems and earlier payment discounts, can decrease receivables collection period and encourage quick payments (</w:t>
      </w:r>
      <w:proofErr w:type="spellStart"/>
      <w:r w:rsidRPr="00B108ED">
        <w:rPr>
          <w:rFonts w:eastAsia="Times New Roman"/>
          <w:color w:val="000000" w:themeColor="text1"/>
          <w:sz w:val="24"/>
          <w:szCs w:val="24"/>
        </w:rPr>
        <w:t>Bessonova</w:t>
      </w:r>
      <w:proofErr w:type="spellEnd"/>
      <w:r w:rsidRPr="00B108ED">
        <w:rPr>
          <w:rFonts w:eastAsia="Times New Roman"/>
          <w:color w:val="000000" w:themeColor="text1"/>
          <w:sz w:val="24"/>
          <w:szCs w:val="24"/>
        </w:rPr>
        <w:t xml:space="preserve">, </w:t>
      </w:r>
      <w:proofErr w:type="spellStart"/>
      <w:r w:rsidRPr="00B108ED">
        <w:rPr>
          <w:rFonts w:eastAsia="Times New Roman"/>
          <w:color w:val="000000" w:themeColor="text1"/>
          <w:sz w:val="24"/>
          <w:szCs w:val="24"/>
        </w:rPr>
        <w:t>Bessonova</w:t>
      </w:r>
      <w:proofErr w:type="spellEnd"/>
      <w:r w:rsidRPr="00B108ED">
        <w:rPr>
          <w:rFonts w:eastAsia="Times New Roman"/>
          <w:color w:val="000000" w:themeColor="text1"/>
          <w:sz w:val="24"/>
          <w:szCs w:val="24"/>
        </w:rPr>
        <w:t xml:space="preserve"> and Shevchenko, 2024, p.148). Supplier relationship management is another strategy to improve the efficiency of working capital. The company can maintain its long-term partnerships with international suppliers to negotiate favourable payment terms.</w:t>
      </w:r>
    </w:p>
    <w:p w14:paraId="61AB61DF"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color w:val="000000" w:themeColor="text1"/>
          <w:sz w:val="24"/>
          <w:szCs w:val="24"/>
        </w:rPr>
        <w:t xml:space="preserve">The extension of the payable deferral period can enable Toyota to reserve cash for a longer time beyond disrupting supplier relationships. As opined by Dorrah and McCabe (2024, p.244), effective cash flow management is supported through the </w:t>
      </w:r>
      <w:r w:rsidRPr="00B108ED">
        <w:rPr>
          <w:rFonts w:eastAsia="Times New Roman"/>
          <w:color w:val="000000" w:themeColor="text1"/>
          <w:sz w:val="24"/>
          <w:szCs w:val="24"/>
        </w:rPr>
        <w:lastRenderedPageBreak/>
        <w:t xml:space="preserve">negotiation of strategic suppliers. Besides this, the improvement of operational efficiency would offer potential liquidity in the business. The improvement of logistics coordination, streamlining the manufacturing process and reduction of production delays would help to enhance inventory turnover and shorten manufacturing cycles. Digital analytical tools and advanced financial monitoring systems can assist managers to track the performance of working capital. Based on the implementation of such working capital reforms, Toyota will be able to strengthen its liquidity position to maintain sustainable and efficient business operations. </w:t>
      </w:r>
    </w:p>
    <w:p w14:paraId="06D69928"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Comparison of short-term vs long-term financing options</w:t>
      </w:r>
    </w:p>
    <w:p w14:paraId="71BE51A5"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Organisations mainly depend on types of financing such as long-term financing and short-term financing. Such financing options differ in the context of purpose, duration and financial implications. Long-term financing is funds which can be repaid in terms of a long time, generally more than one year.  An organisation’s financial stability is achieved through long-term financing as repayment is outspread over multiple periods (Rambaud, Pascual and </w:t>
      </w:r>
      <w:proofErr w:type="spellStart"/>
      <w:r w:rsidRPr="00B108ED">
        <w:rPr>
          <w:rFonts w:eastAsia="Times New Roman"/>
          <w:color w:val="000000" w:themeColor="text1"/>
          <w:sz w:val="24"/>
          <w:szCs w:val="24"/>
        </w:rPr>
        <w:t>Santandreu</w:t>
      </w:r>
      <w:proofErr w:type="spellEnd"/>
      <w:r w:rsidRPr="00B108ED">
        <w:rPr>
          <w:rFonts w:eastAsia="Times New Roman"/>
          <w:color w:val="000000" w:themeColor="text1"/>
          <w:sz w:val="24"/>
          <w:szCs w:val="24"/>
        </w:rPr>
        <w:t>, 2022, p.553). The main examples include corporate bonds, long-term bank loans and equity financing. Such sources are used for the investments, involving funding R&amp;D, buying machinery and market expansion.</w:t>
      </w:r>
    </w:p>
    <w:p w14:paraId="2D4F1709"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A short-term financing option is a type of fund which should be repaid within one year. Bank overdrafts, trade credit, short-term bank loans and commercial paper are identified as main examples. Short-term financing has delivered fast access to funds, offering higher flexibility (Fallahi </w:t>
      </w:r>
      <w:r w:rsidRPr="00B108ED">
        <w:rPr>
          <w:rFonts w:eastAsia="Times New Roman"/>
          <w:i/>
          <w:iCs/>
          <w:color w:val="000000" w:themeColor="text1"/>
          <w:sz w:val="24"/>
          <w:szCs w:val="24"/>
        </w:rPr>
        <w:t>et al.</w:t>
      </w:r>
      <w:r w:rsidRPr="00B108ED">
        <w:rPr>
          <w:rFonts w:eastAsia="Times New Roman"/>
          <w:color w:val="000000" w:themeColor="text1"/>
          <w:sz w:val="24"/>
          <w:szCs w:val="24"/>
        </w:rPr>
        <w:t xml:space="preserve"> 2023, p.3245). The sources of short-term financing have been used to support regular operations, including the management of the shortages of working capital, payment of wages and buying raw materials. Although, it includes refinancing risks and higher interest costs whether the organisation is unable in repaying the borrowed funds over the given period. For Toyota, a balanced integration of long-term and short-term financing is frequently used. It has been analysed that short-term financing has supported the requirement of working capital, while long-term financing has funded long-term growth and strategic investments. </w:t>
      </w:r>
    </w:p>
    <w:p w14:paraId="4E3383EB" w14:textId="6CFA5E1A" w:rsidR="009804C4" w:rsidRPr="00B108ED" w:rsidRDefault="00D0064A" w:rsidP="00F55BBB">
      <w:pPr>
        <w:pStyle w:val="Heading1"/>
        <w:spacing w:before="0" w:after="0" w:line="360" w:lineRule="auto"/>
        <w:rPr>
          <w:rFonts w:ascii="Arial" w:hAnsi="Arial"/>
        </w:rPr>
      </w:pPr>
      <w:bookmarkStart w:id="3" w:name="_Toc224234540"/>
      <w:r w:rsidRPr="00B108ED">
        <w:rPr>
          <w:rFonts w:ascii="Arial" w:hAnsi="Arial"/>
        </w:rPr>
        <w:t>3. Strategic Financial Restructuring Plan</w:t>
      </w:r>
      <w:bookmarkEnd w:id="3"/>
      <w:r w:rsidRPr="00B108ED">
        <w:rPr>
          <w:rFonts w:ascii="Arial" w:hAnsi="Arial"/>
        </w:rPr>
        <w:t xml:space="preserve"> </w:t>
      </w:r>
    </w:p>
    <w:p w14:paraId="2958AB6F"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 xml:space="preserve">Recommend financial restructuring options </w:t>
      </w:r>
    </w:p>
    <w:p w14:paraId="49B58BBA"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Financial restructuring is considered one of the significant strategies used by organisations in strengthening capital structure and improving financial performance </w:t>
      </w:r>
      <w:r w:rsidRPr="00B108ED">
        <w:rPr>
          <w:rFonts w:eastAsia="Times New Roman"/>
          <w:color w:val="000000" w:themeColor="text1"/>
          <w:sz w:val="24"/>
          <w:szCs w:val="24"/>
        </w:rPr>
        <w:lastRenderedPageBreak/>
        <w:t xml:space="preserve">to increase long-term growth. The recommendation of financial restructuring can help Toyota to maintain competitiveness within the evolving automotive sector, which is influenced through sustainability requirements, technological innovation and electrification. Divestiture is a significant restructuring option that includes the sale of underperforming or non-core business units. Toyota needs to prioritise the resources regarding high-growth potential areas, such as hybrid and electric vehicles along with new mobility technologies. As mentioned by Wu, Gao and Hu (2024, p.3098), divestiture can produce additional cash inflows, which may be reinvested in technological innovation or research and development. Mergers or strategic alliances in order to mobility and technology firms can be another vital option. The automotive sector has been experiencing rapid transformation due to the development of artificial intelligence, autonomous driving and digital mobility services. In this case, mergers can allow Toyota to access advanced technologies, share research costs and expand market reach to minimise financial risk.   </w:t>
      </w:r>
    </w:p>
    <w:p w14:paraId="54BE4692" w14:textId="77777777" w:rsidR="009804C4" w:rsidRPr="00B108ED" w:rsidRDefault="00D0064A" w:rsidP="00F55BBB">
      <w:pPr>
        <w:spacing w:line="360" w:lineRule="auto"/>
        <w:jc w:val="both"/>
        <w:rPr>
          <w:rFonts w:eastAsia="Times New Roman"/>
          <w:b/>
          <w:bCs/>
          <w:i/>
          <w:iCs/>
          <w:color w:val="000000" w:themeColor="text1"/>
          <w:sz w:val="24"/>
          <w:szCs w:val="24"/>
        </w:rPr>
      </w:pPr>
      <w:r w:rsidRPr="00B108ED">
        <w:rPr>
          <w:rFonts w:eastAsia="Times New Roman"/>
          <w:color w:val="000000" w:themeColor="text1"/>
          <w:sz w:val="24"/>
          <w:szCs w:val="24"/>
        </w:rPr>
        <w:t xml:space="preserve">Debt restructuring or refinancing can be recommended as a suitable restructuring for Toyota. Equity injection refers to increasing capital to issue new shares for investors. Equity financing would deliver substantial funds regarding long-term investments, including the development of electric vehicles, expansion of production capacity and improvement of technological infrastructure. However, it may dilute ownership; it can strengthen the capital base of the organisation to minimise dependency on debt financing. Debt restructuring or refinancing can be another effective restructuring approach for Toyota. This company would improve cash flow management and minimise financial costs to refinance loans at lower interest rates and negotiate existing debt terms. In this case, this restructuring option can increase the organisation’s ability and strengthen its financial stability for investment in future growth opportunities. </w:t>
      </w:r>
    </w:p>
    <w:p w14:paraId="22A62D60" w14:textId="78143B9B" w:rsidR="009804C4" w:rsidRPr="00B108ED" w:rsidRDefault="00D40A77"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Impact on shareholder value, debt structure, and operational flexibility</w:t>
      </w:r>
    </w:p>
    <w:p w14:paraId="5C2789A6"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An organisation’s shareholder value, capital structure and operational flexibility have been influenced through financial restructuring decisions. The adoption of financial restructuring strategies can provide both operational and financial implications to Toyota Motor Corporation.</w:t>
      </w:r>
    </w:p>
    <w:p w14:paraId="73D893F9"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Shareholder value</w:t>
      </w:r>
    </w:p>
    <w:p w14:paraId="56B19C29"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Shareholder value is one of the effective impacts of financial restructuring. Shareholder value stands for the return which investors perceive based on dividend </w:t>
      </w:r>
      <w:r w:rsidRPr="00B108ED">
        <w:rPr>
          <w:rFonts w:eastAsia="Times New Roman"/>
          <w:color w:val="000000" w:themeColor="text1"/>
          <w:sz w:val="24"/>
          <w:szCs w:val="24"/>
        </w:rPr>
        <w:lastRenderedPageBreak/>
        <w:t>payments and capital appreciation (</w:t>
      </w:r>
      <w:proofErr w:type="spellStart"/>
      <w:r w:rsidRPr="00B108ED">
        <w:rPr>
          <w:rFonts w:eastAsia="Times New Roman"/>
          <w:color w:val="000000" w:themeColor="text1"/>
          <w:sz w:val="24"/>
          <w:szCs w:val="24"/>
        </w:rPr>
        <w:t>Arhinful</w:t>
      </w:r>
      <w:proofErr w:type="spellEnd"/>
      <w:r w:rsidRPr="00B108ED">
        <w:rPr>
          <w:rFonts w:eastAsia="Times New Roman"/>
          <w:color w:val="000000" w:themeColor="text1"/>
          <w:sz w:val="24"/>
          <w:szCs w:val="24"/>
        </w:rPr>
        <w:t xml:space="preserve"> </w:t>
      </w:r>
      <w:r w:rsidRPr="00B108ED">
        <w:rPr>
          <w:rFonts w:eastAsia="Times New Roman"/>
          <w:i/>
          <w:iCs/>
          <w:color w:val="000000" w:themeColor="text1"/>
          <w:sz w:val="24"/>
          <w:szCs w:val="24"/>
        </w:rPr>
        <w:t>et al.</w:t>
      </w:r>
      <w:r w:rsidRPr="00B108ED">
        <w:rPr>
          <w:rFonts w:eastAsia="Times New Roman"/>
          <w:color w:val="000000" w:themeColor="text1"/>
          <w:sz w:val="24"/>
          <w:szCs w:val="24"/>
        </w:rPr>
        <w:t xml:space="preserve"> 2024, p.99). In this case, the initiatives of restructuring, such as divesting non-core assets, will improve shareholder value to allow the firm to focus on the resources related to the segment of profitable business. For instance, if Toyota focuses on high-growth areas, including hybrid technologies and electric vehicles, this will increase its profitability and revenue growth to enhance shareholder wealth. In addition, technological partnerships and strategic alliances can create value to expand market opportunities and accelerate innovation. </w:t>
      </w:r>
    </w:p>
    <w:p w14:paraId="76C0AF87"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 xml:space="preserve">Debt structure </w:t>
      </w:r>
    </w:p>
    <w:p w14:paraId="591AB7B1"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For Toyota, the debt structure will be another key consideration. Debt restructuring can help the company to minimise its borrowing costs in improving financial stability. Through the negotiation of existing debt firms with lower-cost financing, the organisation can decrease its financial risk to improve capital structure. As stated by Putri and Willim (2024, p.28), a balanced capital structure of both equity financing and debt helps a company to maintain financial flexibility to control the cost of capital. Although, higher dependency on debt can decrease investor confidence and enhance financial risk. </w:t>
      </w:r>
    </w:p>
    <w:p w14:paraId="7105DFA2"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 xml:space="preserve">Operational flexibility </w:t>
      </w:r>
    </w:p>
    <w:p w14:paraId="09613DFE" w14:textId="77777777" w:rsidR="009804C4" w:rsidRPr="00B108ED" w:rsidRDefault="00D0064A" w:rsidP="00F55BBB">
      <w:pPr>
        <w:spacing w:line="360" w:lineRule="auto"/>
        <w:jc w:val="both"/>
        <w:rPr>
          <w:rFonts w:eastAsia="Times New Roman"/>
          <w:b/>
          <w:bCs/>
          <w:i/>
          <w:iCs/>
          <w:color w:val="000000" w:themeColor="text1"/>
          <w:sz w:val="24"/>
          <w:szCs w:val="24"/>
        </w:rPr>
      </w:pPr>
      <w:r w:rsidRPr="00B108ED">
        <w:rPr>
          <w:rFonts w:eastAsia="Times New Roman"/>
          <w:color w:val="000000" w:themeColor="text1"/>
          <w:sz w:val="24"/>
          <w:szCs w:val="24"/>
        </w:rPr>
        <w:t xml:space="preserve">Financial restructuring can influence a firm’s operational flexibility that refers to the business’s capability in adapting towards the changes of technological developments and market conditions. For instance, mergers or strategic partnerships with technology organisations can provide Toyota with access towards advanced innovations. It will allow the organisation in responding effectively towards regulatory requirements and consumer preferences. Therefore, the improvement of capital structure based on refinancing or equity injections can deliver greater financial resources to Toyota to invest in sustainable technologies and production expansion. Such investments will increase operational flexibility to enable the organisation in pursuing new business opportunities to maintain potential financial stability. Moreover, well-planned financial restructuring will strengthen the long-term competitiveness of Toyota to support effective value creation for shareholders. </w:t>
      </w:r>
    </w:p>
    <w:p w14:paraId="729401BA" w14:textId="6A3DE5EE" w:rsidR="009804C4" w:rsidRPr="00B108ED" w:rsidRDefault="00D40A77"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 xml:space="preserve">International and ethical considerations </w:t>
      </w:r>
    </w:p>
    <w:p w14:paraId="33132F36"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In the context of implementation of the strategic financial restructuring plan, organisations should consider various international and ethical factors which may influence long-term sustainability and financial performance. For Toyota, operating the business in multiple international markets has exposed the company towards </w:t>
      </w:r>
      <w:r w:rsidRPr="00B108ED">
        <w:rPr>
          <w:rFonts w:eastAsia="Times New Roman"/>
          <w:color w:val="000000" w:themeColor="text1"/>
          <w:sz w:val="24"/>
          <w:szCs w:val="24"/>
        </w:rPr>
        <w:lastRenderedPageBreak/>
        <w:t xml:space="preserve">challenges associated with currency fluctuations, taxation policies, inflationary pressures and CSR. </w:t>
      </w:r>
    </w:p>
    <w:p w14:paraId="0207012A"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 xml:space="preserve">Taxation policy </w:t>
      </w:r>
    </w:p>
    <w:p w14:paraId="61C453DD"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One of the significant global considerations is taxation policy. Multiple countries have applied varying tax incentives, corporate tax rates and regulatory framework which influence a business’s corporate financial decisions. While Toyota restructures its investments and operations, it should evaluate the forming of international partnerships, tax implications regarding relocating manufacturing facilities or divesting business units. As mentioned by Levia and Wahyudi (2025), prudent tax planning can improve profitability of a firm to minimise financial burdens. Although, the company should avoid the aggressive tax avoidance strategies which may disrupt its reputation in the market leading towards regulatory penalties. In this case, the transparency of the compliance and transparency with tax regulations is necessary to sustain corporate credibility and investor confidence. </w:t>
      </w:r>
    </w:p>
    <w:p w14:paraId="43D23A8D"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Currency risk</w:t>
      </w:r>
    </w:p>
    <w:p w14:paraId="731D07F7"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color w:val="000000" w:themeColor="text1"/>
          <w:sz w:val="24"/>
          <w:szCs w:val="24"/>
        </w:rPr>
        <w:t xml:space="preserve">Currency risk is another important factor that arises when an organisation conducts transactions over several countries. Toyota has sold its products in more than 170 countries and regions with 72 producing companies worldwide (Toyota, 2026). As an international manufacturer with operations across Europe, Asia and North America, it has generated revenue and incurred costs within various currencies. The fluctuations of exchange rate can affect profitability, mainly when revenue is generated in one currency and manufacturing cost occurs in another. The strategies of financial restructuring may involve diversified production locations and currency hedging methods to minimise exposure over foreign exchange risk. </w:t>
      </w:r>
    </w:p>
    <w:p w14:paraId="3BC77947"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 xml:space="preserve">Inflation </w:t>
      </w:r>
    </w:p>
    <w:p w14:paraId="6E847E05"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Inflation is another significant consideration within financial restructuring. Increasing inflation enhances production costs such as labour, raw materials and transportation expenses. Within the automotive sector, inflation can impact supply chain management and production operations. High inflation rate has increased in 2022 and 2023 to challenge this sector, leading to fluctuation in car buying intentions of customers in many markets (Statista, 2025). </w:t>
      </w:r>
    </w:p>
    <w:p w14:paraId="6BE36EDD" w14:textId="77777777" w:rsidR="009804C4" w:rsidRPr="00B108ED" w:rsidRDefault="00D0064A" w:rsidP="00F55BBB">
      <w:pPr>
        <w:spacing w:line="360" w:lineRule="auto"/>
        <w:jc w:val="center"/>
        <w:rPr>
          <w:rFonts w:eastAsia="Times New Roman"/>
          <w:b/>
          <w:bCs/>
          <w:color w:val="000000" w:themeColor="text1"/>
          <w:sz w:val="24"/>
          <w:szCs w:val="24"/>
        </w:rPr>
      </w:pPr>
      <w:r w:rsidRPr="00B108ED">
        <w:rPr>
          <w:rFonts w:eastAsia="Times New Roman"/>
          <w:b/>
          <w:bCs/>
          <w:noProof/>
          <w:color w:val="000000" w:themeColor="text1"/>
          <w:sz w:val="24"/>
          <w:szCs w:val="24"/>
        </w:rPr>
        <w:lastRenderedPageBreak/>
        <w:drawing>
          <wp:inline distT="114300" distB="114300" distL="114300" distR="114300" wp14:anchorId="6B276F80" wp14:editId="62ED6E5E">
            <wp:extent cx="5272088" cy="3250727"/>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272088" cy="3250727"/>
                    </a:xfrm>
                    <a:prstGeom prst="rect">
                      <a:avLst/>
                    </a:prstGeom>
                    <a:ln w="25400">
                      <a:solidFill>
                        <a:srgbClr val="000000"/>
                      </a:solidFill>
                      <a:prstDash val="solid"/>
                    </a:ln>
                  </pic:spPr>
                </pic:pic>
              </a:graphicData>
            </a:graphic>
          </wp:inline>
        </w:drawing>
      </w:r>
    </w:p>
    <w:p w14:paraId="0F21079A" w14:textId="28952A27" w:rsidR="009804C4" w:rsidRPr="00B108ED" w:rsidRDefault="00D0064A" w:rsidP="00F55BBB">
      <w:pPr>
        <w:spacing w:line="360" w:lineRule="auto"/>
        <w:jc w:val="center"/>
        <w:rPr>
          <w:rFonts w:eastAsia="Times New Roman"/>
          <w:b/>
          <w:bCs/>
          <w:color w:val="000000" w:themeColor="text1"/>
          <w:sz w:val="24"/>
          <w:szCs w:val="24"/>
        </w:rPr>
      </w:pPr>
      <w:r w:rsidRPr="00B108ED">
        <w:rPr>
          <w:rFonts w:eastAsia="Times New Roman"/>
          <w:b/>
          <w:bCs/>
          <w:color w:val="000000" w:themeColor="text1"/>
          <w:sz w:val="24"/>
          <w:szCs w:val="24"/>
        </w:rPr>
        <w:t xml:space="preserve">Figure </w:t>
      </w:r>
      <w:r w:rsidR="00D40A77" w:rsidRPr="00B108ED">
        <w:rPr>
          <w:rFonts w:eastAsia="Times New Roman"/>
          <w:b/>
          <w:bCs/>
          <w:color w:val="000000" w:themeColor="text1"/>
          <w:sz w:val="24"/>
          <w:szCs w:val="24"/>
        </w:rPr>
        <w:t>6</w:t>
      </w:r>
      <w:r w:rsidRPr="00B108ED">
        <w:rPr>
          <w:rFonts w:eastAsia="Times New Roman"/>
          <w:b/>
          <w:bCs/>
          <w:color w:val="000000" w:themeColor="text1"/>
          <w:sz w:val="24"/>
          <w:szCs w:val="24"/>
        </w:rPr>
        <w:t>: Worldwide motor vehicle production 2000-2024</w:t>
      </w:r>
    </w:p>
    <w:p w14:paraId="012D6768" w14:textId="77777777" w:rsidR="009804C4" w:rsidRPr="00B108ED" w:rsidRDefault="00D0064A" w:rsidP="00F55BBB">
      <w:pPr>
        <w:spacing w:line="360" w:lineRule="auto"/>
        <w:jc w:val="center"/>
        <w:rPr>
          <w:rFonts w:eastAsia="Times New Roman"/>
          <w:color w:val="000000" w:themeColor="text1"/>
          <w:sz w:val="24"/>
          <w:szCs w:val="24"/>
        </w:rPr>
      </w:pPr>
      <w:r w:rsidRPr="00B108ED">
        <w:rPr>
          <w:rFonts w:eastAsia="Times New Roman"/>
          <w:color w:val="000000" w:themeColor="text1"/>
          <w:sz w:val="24"/>
          <w:szCs w:val="24"/>
        </w:rPr>
        <w:t>(Source: Statista, 2025)</w:t>
      </w:r>
    </w:p>
    <w:p w14:paraId="45E4A6B2" w14:textId="083EBB1A"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color w:val="000000" w:themeColor="text1"/>
          <w:sz w:val="24"/>
          <w:szCs w:val="24"/>
        </w:rPr>
        <w:t xml:space="preserve">Figure </w:t>
      </w:r>
      <w:r w:rsidR="00D40A77" w:rsidRPr="00B108ED">
        <w:rPr>
          <w:rFonts w:eastAsia="Times New Roman"/>
          <w:color w:val="000000" w:themeColor="text1"/>
          <w:sz w:val="24"/>
          <w:szCs w:val="24"/>
        </w:rPr>
        <w:t xml:space="preserve">6 </w:t>
      </w:r>
      <w:r w:rsidRPr="00B108ED">
        <w:rPr>
          <w:rFonts w:eastAsia="Times New Roman"/>
          <w:color w:val="000000" w:themeColor="text1"/>
          <w:sz w:val="24"/>
          <w:szCs w:val="24"/>
        </w:rPr>
        <w:t xml:space="preserve">shows that 93 million motor vehicles are manufactured worldwide in 2024, decreasing slightly in comparison with previous years (Statista, 2025). Hence, it is important to Toyota to adjust its cost management practices, pricing strategies and capital investment decisions in maintaining profitability in terms of the inflationary conditions. In addition, proactive cost control mechanisms and long-term financial planning are necessary to mitigate the inflation-associated risks. </w:t>
      </w:r>
    </w:p>
    <w:p w14:paraId="6FDBD10E" w14:textId="77777777" w:rsidR="009804C4" w:rsidRPr="00B108ED" w:rsidRDefault="00D0064A" w:rsidP="00F55BBB">
      <w:pPr>
        <w:spacing w:line="360" w:lineRule="auto"/>
        <w:jc w:val="both"/>
        <w:rPr>
          <w:rFonts w:eastAsia="Times New Roman"/>
          <w:b/>
          <w:bCs/>
          <w:color w:val="000000" w:themeColor="text1"/>
          <w:sz w:val="24"/>
          <w:szCs w:val="24"/>
        </w:rPr>
      </w:pPr>
      <w:r w:rsidRPr="00B108ED">
        <w:rPr>
          <w:rFonts w:eastAsia="Times New Roman"/>
          <w:b/>
          <w:bCs/>
          <w:color w:val="000000" w:themeColor="text1"/>
          <w:sz w:val="24"/>
          <w:szCs w:val="24"/>
        </w:rPr>
        <w:t xml:space="preserve">CSR </w:t>
      </w:r>
    </w:p>
    <w:p w14:paraId="5EEFFBF2" w14:textId="77777777" w:rsidR="009804C4" w:rsidRPr="00B108ED" w:rsidRDefault="00D0064A"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Toyota should address ethical responsibilities and corporate social responsibility (CSR) along with financial considerations. For investors, consumers and regulators, social, environmental and ethical responsibility are important. It has been found that a criticism has been faced by the company associated with CSR and environmental transparency. Greenpeace Australia has filed a complaint to accuse Toyota in 2023 regarding greenwashing in the year 2023 (Theguardian, 2023). Financial restructuring strategies of Toyota must align with its potential commitment towards environmental protection and sustainable mobility. In addition, its investment into hybrid technologies, electric vehicles and environmentally friendly production processes can illustrate how financial decisions may support its sustainability goals for the long-term. Based on the integration of ethical consideration over restructuring plans, Toyota would be able to </w:t>
      </w:r>
      <w:r w:rsidRPr="00B108ED">
        <w:rPr>
          <w:rFonts w:eastAsia="Times New Roman"/>
          <w:color w:val="000000" w:themeColor="text1"/>
          <w:sz w:val="24"/>
          <w:szCs w:val="24"/>
        </w:rPr>
        <w:lastRenderedPageBreak/>
        <w:t xml:space="preserve">increase its corporate reputation within the automotive sector to ensure sustainable business growth and maintain stakeholder trust. </w:t>
      </w:r>
    </w:p>
    <w:p w14:paraId="68676C3C" w14:textId="1257F9CF" w:rsidR="00210A22" w:rsidRPr="00B108ED" w:rsidRDefault="00210A22" w:rsidP="00F55BBB">
      <w:pPr>
        <w:pStyle w:val="Heading1"/>
        <w:spacing w:before="0" w:after="0" w:line="360" w:lineRule="auto"/>
        <w:rPr>
          <w:rFonts w:ascii="Arial" w:hAnsi="Arial"/>
        </w:rPr>
      </w:pPr>
      <w:bookmarkStart w:id="4" w:name="_Toc224234541"/>
      <w:r w:rsidRPr="00B108ED">
        <w:rPr>
          <w:rFonts w:ascii="Arial" w:hAnsi="Arial"/>
        </w:rPr>
        <w:t>4. Investment Appraisal and Capital Budgeting</w:t>
      </w:r>
      <w:bookmarkEnd w:id="4"/>
      <w:r w:rsidRPr="00B108ED">
        <w:rPr>
          <w:rFonts w:ascii="Arial" w:hAnsi="Arial"/>
        </w:rPr>
        <w:t xml:space="preserve"> </w:t>
      </w:r>
    </w:p>
    <w:p w14:paraId="62B01848" w14:textId="77777777"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Investment appraisal is considered one of the most significant methods of financial management for the evaluation of a company’s viability over a long-term investment project. Investment appraisal helps to analyse whether a project can make an effective financial return regarding capital invested (Olayinka, 2022, p.55). Capital budgeting techniques, including Net Present Value (NPV), Average Rate of Return (ARR), Payback Period (PBP), Internal Rate of Return (IRR) and Profitability Index (PI) have been used for making proper decisions within investment. </w:t>
      </w:r>
    </w:p>
    <w:p w14:paraId="18A05DDF" w14:textId="77777777" w:rsidR="00210A22" w:rsidRPr="00B108ED" w:rsidRDefault="00210A22" w:rsidP="00F55BBB">
      <w:pPr>
        <w:spacing w:line="360" w:lineRule="auto"/>
        <w:jc w:val="both"/>
        <w:rPr>
          <w:rFonts w:eastAsia="Times New Roman"/>
          <w:b/>
          <w:bCs/>
          <w:sz w:val="24"/>
          <w:szCs w:val="24"/>
        </w:rPr>
      </w:pPr>
      <w:r w:rsidRPr="00B108ED">
        <w:rPr>
          <w:rFonts w:eastAsia="Times New Roman"/>
          <w:b/>
          <w:bCs/>
          <w:sz w:val="24"/>
          <w:szCs w:val="24"/>
        </w:rPr>
        <w:t xml:space="preserve">NPV </w:t>
      </w:r>
    </w:p>
    <w:p w14:paraId="5B3DF413" w14:textId="29A1F67F"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An investment’s profitability has been evaluated by the net present value to compare the PV over future cash flows within the initial investment. A positive NPV shows that a project can produce value for shareholders, and a negative NPV denotes a lower return compared with the required rate of return (Czipf, 2025, p.161). In the context of calculation, –£8.68 million and –£8.30 million of NPV have been generated by Project A, while Project C has performed better with –£1.98 million of NPV. However, a positive NPV cannot be generated by any of the projects regarding 10% of discount rate. Project C has indicated the least negative value, which is closer to the required return. </w:t>
      </w:r>
    </w:p>
    <w:p w14:paraId="72C9625A" w14:textId="77777777" w:rsidR="00210A22" w:rsidRPr="00B108ED" w:rsidRDefault="00210A22" w:rsidP="00F55BBB">
      <w:pPr>
        <w:spacing w:line="360" w:lineRule="auto"/>
        <w:jc w:val="both"/>
        <w:rPr>
          <w:rFonts w:eastAsia="Times New Roman"/>
          <w:b/>
          <w:bCs/>
          <w:sz w:val="24"/>
          <w:szCs w:val="24"/>
        </w:rPr>
      </w:pPr>
      <w:r w:rsidRPr="00B108ED">
        <w:rPr>
          <w:rFonts w:eastAsia="Times New Roman"/>
          <w:b/>
          <w:bCs/>
          <w:sz w:val="24"/>
          <w:szCs w:val="24"/>
        </w:rPr>
        <w:t>Payback Period (PBP)</w:t>
      </w:r>
    </w:p>
    <w:p w14:paraId="32CF14A7" w14:textId="77777777" w:rsidR="00210A22" w:rsidRPr="00B108ED" w:rsidRDefault="00210A22" w:rsidP="00F55BBB">
      <w:pPr>
        <w:spacing w:line="360" w:lineRule="auto"/>
        <w:jc w:val="both"/>
        <w:rPr>
          <w:rFonts w:eastAsia="Times New Roman"/>
          <w:b/>
          <w:bCs/>
          <w:sz w:val="24"/>
          <w:szCs w:val="24"/>
        </w:rPr>
      </w:pPr>
      <w:r w:rsidRPr="00B108ED">
        <w:rPr>
          <w:rFonts w:eastAsia="Times New Roman"/>
          <w:sz w:val="24"/>
          <w:szCs w:val="24"/>
        </w:rPr>
        <w:t xml:space="preserve">The PBP can access the required time for a firm in coverage the initial investment based on the cash inflows of the project. A shorter payback period is less risky due to recover the investment faster. Based on the calculation, 4.50 years of payback period has been generated by Project A, while Project B has taken a longer period of 4.55 years. In addition, Project C has recovered its investment more quickly with 3.60 years of payback period. It has been shown that Project C has allowed the organisation to meet its capital needs earlier in comparison with the projects of A and B. In terms of the perspective of liquidity, Project C is regarded as the most effective option. </w:t>
      </w:r>
    </w:p>
    <w:p w14:paraId="4D580B2E" w14:textId="77777777" w:rsidR="00210A22" w:rsidRPr="00B108ED" w:rsidRDefault="00210A22" w:rsidP="00F55BBB">
      <w:pPr>
        <w:spacing w:line="360" w:lineRule="auto"/>
        <w:jc w:val="both"/>
        <w:rPr>
          <w:rFonts w:eastAsia="Times New Roman"/>
          <w:b/>
          <w:bCs/>
          <w:sz w:val="24"/>
          <w:szCs w:val="24"/>
        </w:rPr>
      </w:pPr>
      <w:r w:rsidRPr="00B108ED">
        <w:rPr>
          <w:rFonts w:eastAsia="Times New Roman"/>
          <w:b/>
          <w:bCs/>
          <w:sz w:val="24"/>
          <w:szCs w:val="24"/>
        </w:rPr>
        <w:t>Average Rate of Return (ARR)</w:t>
      </w:r>
    </w:p>
    <w:p w14:paraId="45B1CC9C" w14:textId="77777777"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ARR analyses an investment’s profitability in terms of the accounting profit to evaluate the average profit from the average investment. ARR is computed 3.2% in Project A, 4% in Project B and 12% in Project C. It has been found that stronger profitability has </w:t>
      </w:r>
      <w:r w:rsidRPr="00B108ED">
        <w:rPr>
          <w:rFonts w:eastAsia="Times New Roman"/>
          <w:sz w:val="24"/>
          <w:szCs w:val="24"/>
        </w:rPr>
        <w:lastRenderedPageBreak/>
        <w:t xml:space="preserve">been achieved by Project C to generate higher average earnings in comparison with the other two projects. </w:t>
      </w:r>
    </w:p>
    <w:p w14:paraId="510361E6" w14:textId="77777777" w:rsidR="00210A22" w:rsidRPr="00B108ED" w:rsidRDefault="00210A22" w:rsidP="00F55BBB">
      <w:pPr>
        <w:spacing w:line="360" w:lineRule="auto"/>
        <w:jc w:val="both"/>
        <w:rPr>
          <w:rFonts w:eastAsia="Times New Roman"/>
          <w:b/>
          <w:bCs/>
          <w:sz w:val="24"/>
          <w:szCs w:val="24"/>
        </w:rPr>
      </w:pPr>
      <w:r w:rsidRPr="00B108ED">
        <w:rPr>
          <w:rFonts w:eastAsia="Times New Roman"/>
          <w:b/>
          <w:bCs/>
          <w:sz w:val="24"/>
          <w:szCs w:val="24"/>
        </w:rPr>
        <w:t>Internal Rate of Return (IRR)</w:t>
      </w:r>
    </w:p>
    <w:p w14:paraId="09CF9D9C" w14:textId="26B3D01F"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IRR refers to the discount rate at which a project’s NPV has become zero. When a project’s IRR exceeds its required rate of return, a project is accepted. Investors prefer IRR to anticipate the best return through the investment within a project (Wangchuk, 2022, p. 27). The IRR of the project has been computed 2.72% in Project A, 3.26% in Project B and 8.59% in Project C. Hence, Project C has illustrated its strongest performance regarding the IRR value of 8.59%. However, the IRR of the three projects is lower than 10% of the cost of capital. Project C has been considered significant in offering a higher return rate than Projects A and B. </w:t>
      </w:r>
    </w:p>
    <w:p w14:paraId="7CDE101B" w14:textId="77777777" w:rsidR="00210A22" w:rsidRPr="00B108ED" w:rsidRDefault="00210A22" w:rsidP="00F55BBB">
      <w:pPr>
        <w:spacing w:line="360" w:lineRule="auto"/>
        <w:jc w:val="both"/>
        <w:rPr>
          <w:rFonts w:eastAsia="Times New Roman"/>
          <w:b/>
          <w:bCs/>
          <w:sz w:val="24"/>
          <w:szCs w:val="24"/>
        </w:rPr>
      </w:pPr>
      <w:r w:rsidRPr="00B108ED">
        <w:rPr>
          <w:rFonts w:eastAsia="Times New Roman"/>
          <w:b/>
          <w:bCs/>
          <w:sz w:val="24"/>
          <w:szCs w:val="24"/>
        </w:rPr>
        <w:t>Profitability Index (PI)</w:t>
      </w:r>
    </w:p>
    <w:p w14:paraId="6E1CE2FA" w14:textId="77777777"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PI has been used by the company to measure the value generated per unit of the investment. Profitability index displays the absolute monetary achievement to measure efficiency and account for the time value of </w:t>
      </w:r>
      <w:r w:rsidRPr="00B108ED">
        <w:rPr>
          <w:rFonts w:eastAsia="Times New Roman"/>
          <w:color w:val="000000" w:themeColor="text1"/>
          <w:sz w:val="24"/>
          <w:szCs w:val="24"/>
        </w:rPr>
        <w:t xml:space="preserve">money (Trevisan </w:t>
      </w:r>
      <w:r w:rsidRPr="00B108ED">
        <w:rPr>
          <w:rFonts w:eastAsia="Times New Roman"/>
          <w:i/>
          <w:iCs/>
          <w:color w:val="000000" w:themeColor="text1"/>
          <w:sz w:val="24"/>
          <w:szCs w:val="24"/>
        </w:rPr>
        <w:t>et al.</w:t>
      </w:r>
      <w:r w:rsidRPr="00B108ED">
        <w:rPr>
          <w:rFonts w:eastAsia="Times New Roman"/>
          <w:color w:val="000000" w:themeColor="text1"/>
          <w:sz w:val="24"/>
          <w:szCs w:val="24"/>
        </w:rPr>
        <w:t xml:space="preserve"> 2024, p.2076). Both Proje</w:t>
      </w:r>
      <w:r w:rsidRPr="00B108ED">
        <w:rPr>
          <w:rFonts w:eastAsia="Times New Roman"/>
          <w:sz w:val="24"/>
          <w:szCs w:val="24"/>
        </w:rPr>
        <w:t xml:space="preserve">ct A and Project B have generated 0.83 of PI, the highest PI has been created by Project C with the value of 0.96. Despite having the value of 1 in all projects, Project C has exhibited one of the most effective outcomes to deliver the highest value in proportion to the initial investment. </w:t>
      </w:r>
    </w:p>
    <w:p w14:paraId="653C84BC" w14:textId="77777777" w:rsidR="00210A22" w:rsidRPr="00B108ED" w:rsidRDefault="00210A22" w:rsidP="00F55BBB">
      <w:pPr>
        <w:spacing w:line="360" w:lineRule="auto"/>
        <w:jc w:val="both"/>
        <w:rPr>
          <w:rFonts w:eastAsia="Times New Roman"/>
          <w:b/>
          <w:bCs/>
          <w:i/>
          <w:iCs/>
          <w:sz w:val="24"/>
          <w:szCs w:val="24"/>
        </w:rPr>
      </w:pPr>
      <w:r w:rsidRPr="00B108ED">
        <w:rPr>
          <w:rFonts w:eastAsia="Times New Roman"/>
          <w:b/>
          <w:bCs/>
          <w:i/>
          <w:iCs/>
          <w:sz w:val="24"/>
          <w:szCs w:val="24"/>
        </w:rPr>
        <w:t xml:space="preserve">Recommendation of the project with justification </w:t>
      </w:r>
    </w:p>
    <w:p w14:paraId="5DBCFA22" w14:textId="77777777"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On the basis of the investment appraisal method, the most relevant option of investment is considered as Project C. This is suitable due to having the shortest payback period, the highest IRR, ARR and PI in comparison with other projects. However, its NPV is recognised as slightly negative in order to the discount rate of 10%, Project C has illustrated one of the significant options with extensive financial performance. </w:t>
      </w:r>
    </w:p>
    <w:p w14:paraId="35D4E263" w14:textId="77777777"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Project C’s selection can be justified to consider the operational stability and financial condition of Toyota. Based on the ratio analysis, it has been analysed that a prudent financial position has been maintained by the company with sufficient liquidity, substantial operating cash flows and rising profitability. Such financial abilities can enable this automotive company in undertaking appropriate investment in guiding through innovation and business growth. </w:t>
      </w:r>
    </w:p>
    <w:p w14:paraId="42FDC95B" w14:textId="5BCF9924"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Toyota has been able in financing project with enough cash generation, which may offer higher returns in the future. Project C is most relevant to produce larger inflows </w:t>
      </w:r>
      <w:r w:rsidRPr="00B108ED">
        <w:rPr>
          <w:rFonts w:eastAsia="Times New Roman"/>
          <w:sz w:val="24"/>
          <w:szCs w:val="24"/>
        </w:rPr>
        <w:lastRenderedPageBreak/>
        <w:t>within the investment period’s middle years. As opined by Sinaga</w:t>
      </w:r>
      <w:r w:rsidRPr="00B108ED">
        <w:rPr>
          <w:rFonts w:eastAsia="Times New Roman"/>
          <w:i/>
          <w:iCs/>
          <w:sz w:val="24"/>
          <w:szCs w:val="24"/>
        </w:rPr>
        <w:t xml:space="preserve"> et al.</w:t>
      </w:r>
      <w:r w:rsidRPr="00B108ED">
        <w:rPr>
          <w:rFonts w:eastAsia="Times New Roman"/>
          <w:sz w:val="24"/>
          <w:szCs w:val="24"/>
        </w:rPr>
        <w:t xml:space="preserve"> (2023, p.1080), the payback period is a simple technique that helps to identify the length of time of an investment can take to reach towards the break-even point. This structure can improve the company’s ability and internal cash production in the competitive automobile sector, in funding additional projects associated with advanced EV technologies and Research and Development. Besides this, potential cash flows in the midterm may increase flexibility and liquidity to manage investment in the supply chain, operational costs and the strategies of international expansion. In this case, with the long-term strategic goals and financial strength of Toyota, Project C is aligned effectively to improve business success for the future. </w:t>
      </w:r>
    </w:p>
    <w:p w14:paraId="1D227649" w14:textId="77777777" w:rsidR="00210A22" w:rsidRPr="00B108ED" w:rsidRDefault="00210A22" w:rsidP="00F55BBB">
      <w:pPr>
        <w:spacing w:line="360" w:lineRule="auto"/>
        <w:jc w:val="both"/>
        <w:rPr>
          <w:rFonts w:eastAsia="Times New Roman"/>
          <w:b/>
          <w:bCs/>
          <w:i/>
          <w:iCs/>
          <w:sz w:val="24"/>
          <w:szCs w:val="24"/>
        </w:rPr>
      </w:pPr>
      <w:r w:rsidRPr="00B108ED">
        <w:rPr>
          <w:rFonts w:eastAsia="Times New Roman"/>
          <w:sz w:val="24"/>
          <w:szCs w:val="24"/>
        </w:rPr>
        <w:t xml:space="preserve">In terms of non-financial factors, the selection of Project C is also effective to support the business growth. A major transformation has been recognised in the automotive sector due to rising demand for EV and hybrid vehicles, environmental regulations and innovation in technology. Hence, for the maintenance of the competitive edge, Toyota should invest in technologies. The potential revenue of Project C can support business expansion, solutions in sustainable mobility and R &amp; D. As stated by (2022, p. 15400), the technology development plan of an automobile company is a key to innovation to improve business growth within the dynamic sector. Moreover, this project would increase the loyalty of customers to assist product innovation to meet their changing preferences. Overall, the consideration of both financial and non-financial factors, Project C, exemplifies the most appropriate decision for investment to maintain competitiveness and increase business growth. </w:t>
      </w:r>
    </w:p>
    <w:p w14:paraId="4E209A46" w14:textId="77777777" w:rsidR="00210A22" w:rsidRPr="00B108ED" w:rsidRDefault="00210A22" w:rsidP="00F55BBB">
      <w:pPr>
        <w:spacing w:line="360" w:lineRule="auto"/>
        <w:jc w:val="both"/>
        <w:rPr>
          <w:rFonts w:eastAsia="Times New Roman"/>
          <w:b/>
          <w:bCs/>
          <w:sz w:val="24"/>
          <w:szCs w:val="24"/>
        </w:rPr>
      </w:pPr>
      <w:r w:rsidRPr="00B108ED">
        <w:rPr>
          <w:rFonts w:eastAsia="Times New Roman"/>
          <w:b/>
          <w:bCs/>
          <w:sz w:val="24"/>
          <w:szCs w:val="24"/>
        </w:rPr>
        <w:t>Best project combination with justification of using capital rationing</w:t>
      </w:r>
    </w:p>
    <w:p w14:paraId="53CB3B68" w14:textId="77777777"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Capital rationing stands for the procedure of limiting or rationing the available money regarding new and profitable projects. Managers should choose the combination of projects which can increase the financial return of the company over the investment constraint. Hence, Toyota has a maximum limit of £100 million of investment, with the initial investment of each project being £50 million. In this case, the organisation would perceive only two projects among the three available projects. </w:t>
      </w:r>
    </w:p>
    <w:p w14:paraId="36B2E5AA" w14:textId="77777777" w:rsidR="00210A22" w:rsidRPr="00B108ED" w:rsidRDefault="00210A22" w:rsidP="00F55BBB">
      <w:pPr>
        <w:spacing w:line="360" w:lineRule="auto"/>
        <w:jc w:val="both"/>
        <w:rPr>
          <w:rFonts w:eastAsia="Times New Roman"/>
          <w:b/>
          <w:bCs/>
          <w:sz w:val="24"/>
          <w:szCs w:val="24"/>
        </w:rPr>
      </w:pPr>
      <w:r w:rsidRPr="00B108ED">
        <w:rPr>
          <w:rFonts w:eastAsia="Times New Roman"/>
          <w:b/>
          <w:bCs/>
          <w:sz w:val="24"/>
          <w:szCs w:val="24"/>
        </w:rPr>
        <w:t xml:space="preserve">Possible project combinations: </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67"/>
        <w:gridCol w:w="2041"/>
      </w:tblGrid>
      <w:tr w:rsidR="00210A22" w:rsidRPr="00B108ED" w14:paraId="4CAA3FC4" w14:textId="77777777" w:rsidTr="00612E1F">
        <w:trPr>
          <w:trHeight w:val="247"/>
          <w:jc w:val="center"/>
        </w:trPr>
        <w:tc>
          <w:tcPr>
            <w:tcW w:w="0" w:type="auto"/>
            <w:tcMar>
              <w:top w:w="100" w:type="dxa"/>
              <w:left w:w="100" w:type="dxa"/>
              <w:bottom w:w="100" w:type="dxa"/>
              <w:right w:w="100" w:type="dxa"/>
            </w:tcMar>
          </w:tcPr>
          <w:p w14:paraId="08217F48" w14:textId="77777777" w:rsidR="00210A22" w:rsidRPr="00B108ED" w:rsidRDefault="00210A22" w:rsidP="00F55BBB">
            <w:pPr>
              <w:widowControl w:val="0"/>
              <w:pBdr>
                <w:top w:val="nil"/>
                <w:left w:val="nil"/>
                <w:bottom w:val="nil"/>
                <w:right w:val="nil"/>
                <w:between w:val="nil"/>
              </w:pBdr>
              <w:spacing w:line="360" w:lineRule="auto"/>
              <w:rPr>
                <w:rFonts w:eastAsia="Times New Roman"/>
                <w:b/>
                <w:bCs/>
                <w:sz w:val="24"/>
                <w:szCs w:val="24"/>
              </w:rPr>
            </w:pPr>
            <w:r w:rsidRPr="00B108ED">
              <w:rPr>
                <w:rFonts w:eastAsia="Times New Roman"/>
                <w:b/>
                <w:bCs/>
                <w:sz w:val="24"/>
                <w:szCs w:val="24"/>
              </w:rPr>
              <w:t xml:space="preserve">Combination </w:t>
            </w:r>
          </w:p>
        </w:tc>
        <w:tc>
          <w:tcPr>
            <w:tcW w:w="0" w:type="auto"/>
            <w:tcMar>
              <w:top w:w="100" w:type="dxa"/>
              <w:left w:w="100" w:type="dxa"/>
              <w:bottom w:w="100" w:type="dxa"/>
              <w:right w:w="100" w:type="dxa"/>
            </w:tcMar>
          </w:tcPr>
          <w:p w14:paraId="081C9C71" w14:textId="77777777" w:rsidR="00210A22" w:rsidRPr="00B108ED" w:rsidRDefault="00210A22" w:rsidP="00F55BBB">
            <w:pPr>
              <w:widowControl w:val="0"/>
              <w:pBdr>
                <w:top w:val="nil"/>
                <w:left w:val="nil"/>
                <w:bottom w:val="nil"/>
                <w:right w:val="nil"/>
                <w:between w:val="nil"/>
              </w:pBdr>
              <w:spacing w:line="360" w:lineRule="auto"/>
              <w:rPr>
                <w:rFonts w:eastAsia="Times New Roman"/>
                <w:b/>
                <w:bCs/>
                <w:sz w:val="24"/>
                <w:szCs w:val="24"/>
              </w:rPr>
            </w:pPr>
            <w:r w:rsidRPr="00B108ED">
              <w:rPr>
                <w:rFonts w:eastAsia="Times New Roman"/>
                <w:b/>
                <w:bCs/>
                <w:sz w:val="24"/>
                <w:szCs w:val="24"/>
              </w:rPr>
              <w:t>Investment (£m)</w:t>
            </w:r>
          </w:p>
        </w:tc>
      </w:tr>
      <w:tr w:rsidR="00210A22" w:rsidRPr="00B108ED" w14:paraId="6665844A" w14:textId="77777777" w:rsidTr="00612E1F">
        <w:trPr>
          <w:trHeight w:val="247"/>
          <w:jc w:val="center"/>
        </w:trPr>
        <w:tc>
          <w:tcPr>
            <w:tcW w:w="0" w:type="auto"/>
            <w:tcMar>
              <w:top w:w="100" w:type="dxa"/>
              <w:left w:w="100" w:type="dxa"/>
              <w:bottom w:w="100" w:type="dxa"/>
              <w:right w:w="100" w:type="dxa"/>
            </w:tcMar>
          </w:tcPr>
          <w:p w14:paraId="3A5D1C31" w14:textId="77777777" w:rsidR="00210A22" w:rsidRPr="00B108ED" w:rsidRDefault="00210A22" w:rsidP="00F55BBB">
            <w:pPr>
              <w:widowControl w:val="0"/>
              <w:pBdr>
                <w:top w:val="nil"/>
                <w:left w:val="nil"/>
                <w:bottom w:val="nil"/>
                <w:right w:val="nil"/>
                <w:between w:val="nil"/>
              </w:pBdr>
              <w:spacing w:line="360" w:lineRule="auto"/>
              <w:rPr>
                <w:rFonts w:eastAsia="Times New Roman"/>
                <w:sz w:val="24"/>
                <w:szCs w:val="24"/>
              </w:rPr>
            </w:pPr>
            <w:r w:rsidRPr="00B108ED">
              <w:rPr>
                <w:rFonts w:eastAsia="Times New Roman"/>
                <w:sz w:val="24"/>
                <w:szCs w:val="24"/>
              </w:rPr>
              <w:t>A+B</w:t>
            </w:r>
          </w:p>
        </w:tc>
        <w:tc>
          <w:tcPr>
            <w:tcW w:w="0" w:type="auto"/>
            <w:tcMar>
              <w:top w:w="100" w:type="dxa"/>
              <w:left w:w="100" w:type="dxa"/>
              <w:bottom w:w="100" w:type="dxa"/>
              <w:right w:w="100" w:type="dxa"/>
            </w:tcMar>
          </w:tcPr>
          <w:p w14:paraId="210F6369" w14:textId="77777777" w:rsidR="00210A22" w:rsidRPr="00B108ED" w:rsidRDefault="00210A22" w:rsidP="00F55BBB">
            <w:pPr>
              <w:widowControl w:val="0"/>
              <w:pBdr>
                <w:top w:val="nil"/>
                <w:left w:val="nil"/>
                <w:bottom w:val="nil"/>
                <w:right w:val="nil"/>
                <w:between w:val="nil"/>
              </w:pBdr>
              <w:spacing w:line="360" w:lineRule="auto"/>
              <w:rPr>
                <w:rFonts w:eastAsia="Times New Roman"/>
                <w:sz w:val="24"/>
                <w:szCs w:val="24"/>
              </w:rPr>
            </w:pPr>
            <w:r w:rsidRPr="00B108ED">
              <w:rPr>
                <w:rFonts w:eastAsia="Times New Roman"/>
                <w:sz w:val="24"/>
                <w:szCs w:val="24"/>
              </w:rPr>
              <w:t>100</w:t>
            </w:r>
          </w:p>
        </w:tc>
      </w:tr>
      <w:tr w:rsidR="00210A22" w:rsidRPr="00B108ED" w14:paraId="316D8501" w14:textId="77777777" w:rsidTr="00612E1F">
        <w:trPr>
          <w:trHeight w:val="247"/>
          <w:jc w:val="center"/>
        </w:trPr>
        <w:tc>
          <w:tcPr>
            <w:tcW w:w="0" w:type="auto"/>
            <w:tcMar>
              <w:top w:w="100" w:type="dxa"/>
              <w:left w:w="100" w:type="dxa"/>
              <w:bottom w:w="100" w:type="dxa"/>
              <w:right w:w="100" w:type="dxa"/>
            </w:tcMar>
          </w:tcPr>
          <w:p w14:paraId="5F910038" w14:textId="77777777" w:rsidR="00210A22" w:rsidRPr="00B108ED" w:rsidRDefault="00210A22" w:rsidP="00F55BBB">
            <w:pPr>
              <w:widowControl w:val="0"/>
              <w:pBdr>
                <w:top w:val="nil"/>
                <w:left w:val="nil"/>
                <w:bottom w:val="nil"/>
                <w:right w:val="nil"/>
                <w:between w:val="nil"/>
              </w:pBdr>
              <w:spacing w:line="360" w:lineRule="auto"/>
              <w:rPr>
                <w:rFonts w:eastAsia="Times New Roman"/>
                <w:sz w:val="24"/>
                <w:szCs w:val="24"/>
              </w:rPr>
            </w:pPr>
            <w:r w:rsidRPr="00B108ED">
              <w:rPr>
                <w:rFonts w:eastAsia="Times New Roman"/>
                <w:sz w:val="24"/>
                <w:szCs w:val="24"/>
              </w:rPr>
              <w:lastRenderedPageBreak/>
              <w:t>A+C</w:t>
            </w:r>
          </w:p>
        </w:tc>
        <w:tc>
          <w:tcPr>
            <w:tcW w:w="0" w:type="auto"/>
            <w:tcMar>
              <w:top w:w="100" w:type="dxa"/>
              <w:left w:w="100" w:type="dxa"/>
              <w:bottom w:w="100" w:type="dxa"/>
              <w:right w:w="100" w:type="dxa"/>
            </w:tcMar>
          </w:tcPr>
          <w:p w14:paraId="58C24F6A" w14:textId="77777777" w:rsidR="00210A22" w:rsidRPr="00B108ED" w:rsidRDefault="00210A22" w:rsidP="00F55BBB">
            <w:pPr>
              <w:widowControl w:val="0"/>
              <w:pBdr>
                <w:top w:val="nil"/>
                <w:left w:val="nil"/>
                <w:bottom w:val="nil"/>
                <w:right w:val="nil"/>
                <w:between w:val="nil"/>
              </w:pBdr>
              <w:spacing w:line="360" w:lineRule="auto"/>
              <w:rPr>
                <w:rFonts w:eastAsia="Times New Roman"/>
                <w:sz w:val="24"/>
                <w:szCs w:val="24"/>
              </w:rPr>
            </w:pPr>
            <w:r w:rsidRPr="00B108ED">
              <w:rPr>
                <w:rFonts w:eastAsia="Times New Roman"/>
                <w:sz w:val="24"/>
                <w:szCs w:val="24"/>
              </w:rPr>
              <w:t>100</w:t>
            </w:r>
          </w:p>
        </w:tc>
      </w:tr>
      <w:tr w:rsidR="00210A22" w:rsidRPr="00B108ED" w14:paraId="77CF7AEF" w14:textId="77777777" w:rsidTr="00612E1F">
        <w:trPr>
          <w:trHeight w:val="261"/>
          <w:jc w:val="center"/>
        </w:trPr>
        <w:tc>
          <w:tcPr>
            <w:tcW w:w="0" w:type="auto"/>
            <w:tcMar>
              <w:top w:w="100" w:type="dxa"/>
              <w:left w:w="100" w:type="dxa"/>
              <w:bottom w:w="100" w:type="dxa"/>
              <w:right w:w="100" w:type="dxa"/>
            </w:tcMar>
          </w:tcPr>
          <w:p w14:paraId="519435A1" w14:textId="77777777" w:rsidR="00210A22" w:rsidRPr="00B108ED" w:rsidRDefault="00210A22" w:rsidP="00F55BBB">
            <w:pPr>
              <w:widowControl w:val="0"/>
              <w:pBdr>
                <w:top w:val="nil"/>
                <w:left w:val="nil"/>
                <w:bottom w:val="nil"/>
                <w:right w:val="nil"/>
                <w:between w:val="nil"/>
              </w:pBdr>
              <w:spacing w:line="360" w:lineRule="auto"/>
              <w:rPr>
                <w:rFonts w:eastAsia="Times New Roman"/>
                <w:sz w:val="24"/>
                <w:szCs w:val="24"/>
              </w:rPr>
            </w:pPr>
            <w:r w:rsidRPr="00B108ED">
              <w:rPr>
                <w:rFonts w:eastAsia="Times New Roman"/>
                <w:sz w:val="24"/>
                <w:szCs w:val="24"/>
              </w:rPr>
              <w:t>B+C</w:t>
            </w:r>
          </w:p>
        </w:tc>
        <w:tc>
          <w:tcPr>
            <w:tcW w:w="0" w:type="auto"/>
            <w:tcMar>
              <w:top w:w="100" w:type="dxa"/>
              <w:left w:w="100" w:type="dxa"/>
              <w:bottom w:w="100" w:type="dxa"/>
              <w:right w:w="100" w:type="dxa"/>
            </w:tcMar>
          </w:tcPr>
          <w:p w14:paraId="3DDA3928" w14:textId="77777777" w:rsidR="00210A22" w:rsidRPr="00B108ED" w:rsidRDefault="00210A22" w:rsidP="00F55BBB">
            <w:pPr>
              <w:widowControl w:val="0"/>
              <w:pBdr>
                <w:top w:val="nil"/>
                <w:left w:val="nil"/>
                <w:bottom w:val="nil"/>
                <w:right w:val="nil"/>
                <w:between w:val="nil"/>
              </w:pBdr>
              <w:spacing w:line="360" w:lineRule="auto"/>
              <w:rPr>
                <w:rFonts w:eastAsia="Times New Roman"/>
                <w:sz w:val="24"/>
                <w:szCs w:val="24"/>
              </w:rPr>
            </w:pPr>
            <w:r w:rsidRPr="00B108ED">
              <w:rPr>
                <w:rFonts w:eastAsia="Times New Roman"/>
                <w:sz w:val="24"/>
                <w:szCs w:val="24"/>
              </w:rPr>
              <w:t>100</w:t>
            </w:r>
          </w:p>
        </w:tc>
      </w:tr>
    </w:tbl>
    <w:p w14:paraId="4328C3FF" w14:textId="52ADE6AD" w:rsidR="00210A22" w:rsidRPr="00B108ED" w:rsidRDefault="00210A22" w:rsidP="00F55BBB">
      <w:pPr>
        <w:spacing w:line="360" w:lineRule="auto"/>
        <w:jc w:val="center"/>
        <w:rPr>
          <w:rFonts w:eastAsia="Times New Roman"/>
          <w:b/>
          <w:bCs/>
          <w:sz w:val="24"/>
          <w:szCs w:val="24"/>
        </w:rPr>
      </w:pPr>
      <w:r w:rsidRPr="00B108ED">
        <w:rPr>
          <w:rFonts w:eastAsia="Times New Roman"/>
          <w:b/>
          <w:bCs/>
          <w:sz w:val="24"/>
          <w:szCs w:val="24"/>
        </w:rPr>
        <w:t>Table 1: Project combinations</w:t>
      </w:r>
    </w:p>
    <w:p w14:paraId="201B5F92" w14:textId="20DF6A0D" w:rsidR="00210A22" w:rsidRPr="00B108ED" w:rsidRDefault="00210A22" w:rsidP="00F55BBB">
      <w:pPr>
        <w:spacing w:line="360" w:lineRule="auto"/>
        <w:jc w:val="center"/>
        <w:rPr>
          <w:rFonts w:eastAsia="Times New Roman"/>
          <w:sz w:val="24"/>
          <w:szCs w:val="24"/>
        </w:rPr>
      </w:pPr>
      <w:r w:rsidRPr="00B108ED">
        <w:rPr>
          <w:rFonts w:eastAsia="Times New Roman"/>
          <w:sz w:val="24"/>
          <w:szCs w:val="24"/>
        </w:rPr>
        <w:t>(Source: Self-created)</w:t>
      </w:r>
    </w:p>
    <w:p w14:paraId="2F803C15" w14:textId="66989EBA"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Table 1 depicts the total investment of each combination to identify reliable projects for Toyota. </w:t>
      </w:r>
    </w:p>
    <w:p w14:paraId="6DAC26FF" w14:textId="442A8D6C" w:rsidR="00210A22" w:rsidRPr="00B108ED" w:rsidRDefault="00210A22" w:rsidP="00F55BBB">
      <w:pPr>
        <w:spacing w:line="360" w:lineRule="auto"/>
        <w:jc w:val="both"/>
        <w:rPr>
          <w:rFonts w:eastAsia="Times New Roman"/>
          <w:b/>
          <w:bCs/>
          <w:sz w:val="24"/>
          <w:szCs w:val="24"/>
        </w:rPr>
      </w:pPr>
      <w:r w:rsidRPr="00B108ED">
        <w:rPr>
          <w:rFonts w:eastAsia="Times New Roman"/>
          <w:b/>
          <w:bCs/>
          <w:sz w:val="24"/>
          <w:szCs w:val="24"/>
        </w:rPr>
        <w:t xml:space="preserve">Using the results of NPV </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014"/>
        <w:gridCol w:w="1267"/>
      </w:tblGrid>
      <w:tr w:rsidR="00210A22" w:rsidRPr="00B108ED" w14:paraId="577BDD5B" w14:textId="77777777" w:rsidTr="00035FA8">
        <w:trPr>
          <w:jc w:val="center"/>
        </w:trPr>
        <w:tc>
          <w:tcPr>
            <w:tcW w:w="0" w:type="auto"/>
            <w:tcMar>
              <w:top w:w="100" w:type="dxa"/>
              <w:left w:w="100" w:type="dxa"/>
              <w:bottom w:w="100" w:type="dxa"/>
              <w:right w:w="100" w:type="dxa"/>
            </w:tcMar>
          </w:tcPr>
          <w:p w14:paraId="0060EE5D" w14:textId="791AFB6D" w:rsidR="00210A22" w:rsidRPr="00B108ED" w:rsidRDefault="00210A22" w:rsidP="008460F6">
            <w:pPr>
              <w:widowControl w:val="0"/>
              <w:spacing w:line="360" w:lineRule="auto"/>
              <w:jc w:val="center"/>
              <w:rPr>
                <w:rFonts w:eastAsia="Times New Roman"/>
                <w:b/>
                <w:bCs/>
                <w:sz w:val="24"/>
                <w:szCs w:val="24"/>
              </w:rPr>
            </w:pPr>
            <w:r w:rsidRPr="00B108ED">
              <w:rPr>
                <w:rFonts w:eastAsia="Times New Roman"/>
                <w:b/>
                <w:bCs/>
                <w:sz w:val="24"/>
                <w:szCs w:val="24"/>
              </w:rPr>
              <w:t>Project</w:t>
            </w:r>
          </w:p>
        </w:tc>
        <w:tc>
          <w:tcPr>
            <w:tcW w:w="0" w:type="auto"/>
            <w:tcMar>
              <w:top w:w="100" w:type="dxa"/>
              <w:left w:w="100" w:type="dxa"/>
              <w:bottom w:w="100" w:type="dxa"/>
              <w:right w:w="100" w:type="dxa"/>
            </w:tcMar>
          </w:tcPr>
          <w:p w14:paraId="21A524A7" w14:textId="77777777" w:rsidR="00210A22" w:rsidRPr="00B108ED" w:rsidRDefault="00210A22" w:rsidP="008460F6">
            <w:pPr>
              <w:widowControl w:val="0"/>
              <w:spacing w:line="360" w:lineRule="auto"/>
              <w:jc w:val="center"/>
              <w:rPr>
                <w:rFonts w:eastAsia="Times New Roman"/>
                <w:b/>
                <w:bCs/>
                <w:sz w:val="24"/>
                <w:szCs w:val="24"/>
              </w:rPr>
            </w:pPr>
            <w:r w:rsidRPr="00B108ED">
              <w:rPr>
                <w:rFonts w:eastAsia="Times New Roman"/>
                <w:b/>
                <w:bCs/>
                <w:sz w:val="24"/>
                <w:szCs w:val="24"/>
              </w:rPr>
              <w:t>NPV (£m)</w:t>
            </w:r>
          </w:p>
        </w:tc>
      </w:tr>
      <w:tr w:rsidR="00210A22" w:rsidRPr="00B108ED" w14:paraId="3B772E7E" w14:textId="77777777" w:rsidTr="00035FA8">
        <w:trPr>
          <w:jc w:val="center"/>
        </w:trPr>
        <w:tc>
          <w:tcPr>
            <w:tcW w:w="0" w:type="auto"/>
            <w:tcMar>
              <w:top w:w="100" w:type="dxa"/>
              <w:left w:w="100" w:type="dxa"/>
              <w:bottom w:w="100" w:type="dxa"/>
              <w:right w:w="100" w:type="dxa"/>
            </w:tcMar>
          </w:tcPr>
          <w:p w14:paraId="45E7C73F" w14:textId="77777777" w:rsidR="00210A22" w:rsidRPr="00B108ED" w:rsidRDefault="00210A22" w:rsidP="00F55BBB">
            <w:pPr>
              <w:widowControl w:val="0"/>
              <w:spacing w:line="360" w:lineRule="auto"/>
              <w:rPr>
                <w:rFonts w:eastAsia="Times New Roman"/>
                <w:sz w:val="24"/>
                <w:szCs w:val="24"/>
              </w:rPr>
            </w:pPr>
            <w:r w:rsidRPr="00B108ED">
              <w:rPr>
                <w:rFonts w:eastAsia="Times New Roman"/>
                <w:sz w:val="24"/>
                <w:szCs w:val="24"/>
              </w:rPr>
              <w:t>A</w:t>
            </w:r>
          </w:p>
        </w:tc>
        <w:tc>
          <w:tcPr>
            <w:tcW w:w="0" w:type="auto"/>
            <w:tcMar>
              <w:top w:w="100" w:type="dxa"/>
              <w:left w:w="100" w:type="dxa"/>
              <w:bottom w:w="100" w:type="dxa"/>
              <w:right w:w="100" w:type="dxa"/>
            </w:tcMar>
          </w:tcPr>
          <w:p w14:paraId="67D397E6" w14:textId="77777777" w:rsidR="00210A22" w:rsidRPr="00B108ED" w:rsidRDefault="00210A22" w:rsidP="00F55BBB">
            <w:pPr>
              <w:widowControl w:val="0"/>
              <w:spacing w:line="360" w:lineRule="auto"/>
              <w:rPr>
                <w:rFonts w:eastAsia="Times New Roman"/>
                <w:sz w:val="24"/>
                <w:szCs w:val="24"/>
              </w:rPr>
            </w:pPr>
            <w:r w:rsidRPr="00B108ED">
              <w:rPr>
                <w:rFonts w:eastAsia="Times New Roman"/>
                <w:sz w:val="24"/>
                <w:szCs w:val="24"/>
              </w:rPr>
              <w:t>-8.68</w:t>
            </w:r>
          </w:p>
        </w:tc>
      </w:tr>
      <w:tr w:rsidR="00210A22" w:rsidRPr="00B108ED" w14:paraId="49C7C740" w14:textId="77777777" w:rsidTr="00035FA8">
        <w:trPr>
          <w:jc w:val="center"/>
        </w:trPr>
        <w:tc>
          <w:tcPr>
            <w:tcW w:w="0" w:type="auto"/>
            <w:tcMar>
              <w:top w:w="100" w:type="dxa"/>
              <w:left w:w="100" w:type="dxa"/>
              <w:bottom w:w="100" w:type="dxa"/>
              <w:right w:w="100" w:type="dxa"/>
            </w:tcMar>
          </w:tcPr>
          <w:p w14:paraId="663F6CBD" w14:textId="77777777" w:rsidR="00210A22" w:rsidRPr="00B108ED" w:rsidRDefault="00210A22" w:rsidP="00F55BBB">
            <w:pPr>
              <w:widowControl w:val="0"/>
              <w:spacing w:line="360" w:lineRule="auto"/>
              <w:rPr>
                <w:rFonts w:eastAsia="Times New Roman"/>
                <w:sz w:val="24"/>
                <w:szCs w:val="24"/>
              </w:rPr>
            </w:pPr>
            <w:r w:rsidRPr="00B108ED">
              <w:rPr>
                <w:rFonts w:eastAsia="Times New Roman"/>
                <w:sz w:val="24"/>
                <w:szCs w:val="24"/>
              </w:rPr>
              <w:t>B</w:t>
            </w:r>
          </w:p>
        </w:tc>
        <w:tc>
          <w:tcPr>
            <w:tcW w:w="0" w:type="auto"/>
            <w:tcMar>
              <w:top w:w="100" w:type="dxa"/>
              <w:left w:w="100" w:type="dxa"/>
              <w:bottom w:w="100" w:type="dxa"/>
              <w:right w:w="100" w:type="dxa"/>
            </w:tcMar>
          </w:tcPr>
          <w:p w14:paraId="2A3B8E1D" w14:textId="77777777" w:rsidR="00210A22" w:rsidRPr="00B108ED" w:rsidRDefault="00210A22" w:rsidP="00F55BBB">
            <w:pPr>
              <w:widowControl w:val="0"/>
              <w:spacing w:line="360" w:lineRule="auto"/>
              <w:rPr>
                <w:rFonts w:eastAsia="Times New Roman"/>
                <w:sz w:val="24"/>
                <w:szCs w:val="24"/>
              </w:rPr>
            </w:pPr>
            <w:r w:rsidRPr="00B108ED">
              <w:rPr>
                <w:rFonts w:eastAsia="Times New Roman"/>
                <w:sz w:val="24"/>
                <w:szCs w:val="24"/>
              </w:rPr>
              <w:t>-8.30</w:t>
            </w:r>
          </w:p>
        </w:tc>
      </w:tr>
      <w:tr w:rsidR="00210A22" w:rsidRPr="00B108ED" w14:paraId="5146726F" w14:textId="77777777" w:rsidTr="00035FA8">
        <w:trPr>
          <w:jc w:val="center"/>
        </w:trPr>
        <w:tc>
          <w:tcPr>
            <w:tcW w:w="0" w:type="auto"/>
            <w:tcMar>
              <w:top w:w="100" w:type="dxa"/>
              <w:left w:w="100" w:type="dxa"/>
              <w:bottom w:w="100" w:type="dxa"/>
              <w:right w:w="100" w:type="dxa"/>
            </w:tcMar>
          </w:tcPr>
          <w:p w14:paraId="1033BE7D" w14:textId="77777777" w:rsidR="00210A22" w:rsidRPr="00B108ED" w:rsidRDefault="00210A22" w:rsidP="00F55BBB">
            <w:pPr>
              <w:widowControl w:val="0"/>
              <w:spacing w:line="360" w:lineRule="auto"/>
              <w:rPr>
                <w:rFonts w:eastAsia="Times New Roman"/>
                <w:sz w:val="24"/>
                <w:szCs w:val="24"/>
              </w:rPr>
            </w:pPr>
            <w:r w:rsidRPr="00B108ED">
              <w:rPr>
                <w:rFonts w:eastAsia="Times New Roman"/>
                <w:sz w:val="24"/>
                <w:szCs w:val="24"/>
              </w:rPr>
              <w:t>C</w:t>
            </w:r>
          </w:p>
        </w:tc>
        <w:tc>
          <w:tcPr>
            <w:tcW w:w="0" w:type="auto"/>
            <w:tcMar>
              <w:top w:w="100" w:type="dxa"/>
              <w:left w:w="100" w:type="dxa"/>
              <w:bottom w:w="100" w:type="dxa"/>
              <w:right w:w="100" w:type="dxa"/>
            </w:tcMar>
          </w:tcPr>
          <w:p w14:paraId="2C1F8BE4" w14:textId="77777777" w:rsidR="00210A22" w:rsidRPr="00B108ED" w:rsidRDefault="00210A22" w:rsidP="00F55BBB">
            <w:pPr>
              <w:widowControl w:val="0"/>
              <w:spacing w:line="360" w:lineRule="auto"/>
              <w:rPr>
                <w:rFonts w:eastAsia="Times New Roman"/>
                <w:sz w:val="24"/>
                <w:szCs w:val="24"/>
              </w:rPr>
            </w:pPr>
            <w:r w:rsidRPr="00B108ED">
              <w:rPr>
                <w:rFonts w:eastAsia="Times New Roman"/>
                <w:sz w:val="24"/>
                <w:szCs w:val="24"/>
              </w:rPr>
              <w:t>-1.98</w:t>
            </w:r>
          </w:p>
        </w:tc>
      </w:tr>
    </w:tbl>
    <w:p w14:paraId="2A6D54A1" w14:textId="7AFFD8BC" w:rsidR="00210A22" w:rsidRPr="00B108ED" w:rsidRDefault="00210A22" w:rsidP="00F55BBB">
      <w:pPr>
        <w:spacing w:line="360" w:lineRule="auto"/>
        <w:jc w:val="center"/>
        <w:rPr>
          <w:rFonts w:eastAsia="Times New Roman"/>
          <w:b/>
          <w:bCs/>
          <w:sz w:val="24"/>
          <w:szCs w:val="24"/>
        </w:rPr>
      </w:pPr>
      <w:r w:rsidRPr="00B108ED">
        <w:rPr>
          <w:rFonts w:eastAsia="Times New Roman"/>
          <w:b/>
          <w:bCs/>
          <w:sz w:val="24"/>
          <w:szCs w:val="24"/>
        </w:rPr>
        <w:t xml:space="preserve">Table 2: Project combinations after using NPV </w:t>
      </w:r>
    </w:p>
    <w:p w14:paraId="3F54769C" w14:textId="77777777" w:rsidR="00210A22" w:rsidRPr="00B108ED" w:rsidRDefault="00210A22" w:rsidP="00F55BBB">
      <w:pPr>
        <w:spacing w:line="360" w:lineRule="auto"/>
        <w:jc w:val="center"/>
        <w:rPr>
          <w:rFonts w:eastAsia="Times New Roman"/>
          <w:sz w:val="24"/>
          <w:szCs w:val="24"/>
        </w:rPr>
      </w:pPr>
      <w:r w:rsidRPr="00B108ED">
        <w:rPr>
          <w:rFonts w:eastAsia="Times New Roman"/>
          <w:sz w:val="24"/>
          <w:szCs w:val="24"/>
        </w:rPr>
        <w:t>(Source: Self-created)</w:t>
      </w:r>
    </w:p>
    <w:p w14:paraId="3DDB8AEC" w14:textId="3905EEFD"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Table 2 shows NPV of each project to consider appropriate projects for Toyota. </w:t>
      </w:r>
    </w:p>
    <w:p w14:paraId="16A0E68A" w14:textId="192F123E" w:rsidR="00210A22" w:rsidRPr="00B108ED" w:rsidRDefault="00210A22" w:rsidP="00F55BBB">
      <w:pPr>
        <w:spacing w:line="360" w:lineRule="auto"/>
        <w:jc w:val="both"/>
        <w:rPr>
          <w:rFonts w:eastAsia="Times New Roman"/>
          <w:b/>
          <w:bCs/>
          <w:sz w:val="24"/>
          <w:szCs w:val="24"/>
        </w:rPr>
      </w:pPr>
      <w:r w:rsidRPr="00B108ED">
        <w:rPr>
          <w:rFonts w:eastAsia="Times New Roman"/>
          <w:b/>
          <w:bCs/>
          <w:sz w:val="24"/>
          <w:szCs w:val="24"/>
        </w:rPr>
        <w:t>Calculation of total NPV:</w:t>
      </w:r>
    </w:p>
    <w:p w14:paraId="35B90A49" w14:textId="77777777" w:rsidR="00210A22" w:rsidRPr="00B108ED" w:rsidRDefault="00210A22" w:rsidP="00F55BBB">
      <w:pPr>
        <w:spacing w:line="360" w:lineRule="auto"/>
        <w:jc w:val="both"/>
        <w:rPr>
          <w:rFonts w:eastAsia="Times New Roman"/>
          <w:sz w:val="24"/>
          <w:szCs w:val="24"/>
        </w:rPr>
      </w:pPr>
      <w:r w:rsidRPr="00B108ED">
        <w:rPr>
          <w:rFonts w:eastAsia="Gungsuh"/>
          <w:b/>
          <w:bCs/>
          <w:sz w:val="24"/>
          <w:szCs w:val="24"/>
        </w:rPr>
        <w:t>A+B = −</w:t>
      </w:r>
      <w:r w:rsidRPr="00B108ED">
        <w:rPr>
          <w:rFonts w:eastAsia="Gungsuh"/>
          <w:sz w:val="24"/>
          <w:szCs w:val="24"/>
        </w:rPr>
        <w:t>8.68+(−8.30)</w:t>
      </w:r>
    </w:p>
    <w:p w14:paraId="16CC574E" w14:textId="77777777" w:rsidR="00210A22" w:rsidRPr="00B108ED" w:rsidRDefault="00210A22" w:rsidP="00F55BBB">
      <w:pPr>
        <w:spacing w:line="360" w:lineRule="auto"/>
        <w:ind w:firstLine="720"/>
        <w:jc w:val="both"/>
        <w:rPr>
          <w:rFonts w:eastAsia="Times New Roman"/>
          <w:sz w:val="24"/>
          <w:szCs w:val="24"/>
        </w:rPr>
      </w:pPr>
      <w:r w:rsidRPr="00B108ED">
        <w:rPr>
          <w:rFonts w:eastAsia="Times New Roman"/>
          <w:b/>
          <w:bCs/>
          <w:sz w:val="24"/>
          <w:szCs w:val="24"/>
        </w:rPr>
        <w:t xml:space="preserve">= </w:t>
      </w:r>
      <w:r w:rsidRPr="00B108ED">
        <w:rPr>
          <w:rFonts w:eastAsia="Times New Roman"/>
          <w:sz w:val="24"/>
          <w:szCs w:val="24"/>
        </w:rPr>
        <w:t>-16.98</w:t>
      </w:r>
    </w:p>
    <w:p w14:paraId="383E1B6F" w14:textId="77777777" w:rsidR="00210A22" w:rsidRPr="00B108ED" w:rsidRDefault="00210A22" w:rsidP="00F55BBB">
      <w:pPr>
        <w:spacing w:line="360" w:lineRule="auto"/>
        <w:jc w:val="both"/>
        <w:rPr>
          <w:rFonts w:eastAsia="Times New Roman"/>
          <w:sz w:val="24"/>
          <w:szCs w:val="24"/>
        </w:rPr>
      </w:pPr>
      <w:r w:rsidRPr="00B108ED">
        <w:rPr>
          <w:rFonts w:eastAsia="Times New Roman"/>
          <w:b/>
          <w:bCs/>
          <w:sz w:val="24"/>
          <w:szCs w:val="24"/>
        </w:rPr>
        <w:t xml:space="preserve">A+C = </w:t>
      </w:r>
      <w:r w:rsidRPr="00B108ED">
        <w:rPr>
          <w:rFonts w:eastAsia="Gungsuh"/>
          <w:sz w:val="24"/>
          <w:szCs w:val="24"/>
        </w:rPr>
        <w:t>−8.68+(−1.98)</w:t>
      </w:r>
    </w:p>
    <w:p w14:paraId="41AF51D5" w14:textId="77777777" w:rsidR="00210A22" w:rsidRPr="00B108ED" w:rsidRDefault="00210A22" w:rsidP="00F55BBB">
      <w:pPr>
        <w:spacing w:line="360" w:lineRule="auto"/>
        <w:jc w:val="both"/>
        <w:rPr>
          <w:rFonts w:eastAsia="Times New Roman"/>
          <w:sz w:val="24"/>
          <w:szCs w:val="24"/>
        </w:rPr>
      </w:pPr>
      <w:r w:rsidRPr="00B108ED">
        <w:rPr>
          <w:rFonts w:eastAsia="Times New Roman"/>
          <w:b/>
          <w:bCs/>
          <w:sz w:val="24"/>
          <w:szCs w:val="24"/>
        </w:rPr>
        <w:tab/>
        <w:t>=</w:t>
      </w:r>
      <w:r w:rsidRPr="00B108ED">
        <w:rPr>
          <w:rFonts w:eastAsia="Times New Roman"/>
          <w:sz w:val="24"/>
          <w:szCs w:val="24"/>
        </w:rPr>
        <w:t>-10.66</w:t>
      </w:r>
    </w:p>
    <w:p w14:paraId="7DE3306B" w14:textId="77777777" w:rsidR="00210A22" w:rsidRPr="00B108ED" w:rsidRDefault="00210A22" w:rsidP="00F55BBB">
      <w:pPr>
        <w:spacing w:line="360" w:lineRule="auto"/>
        <w:jc w:val="both"/>
        <w:rPr>
          <w:rFonts w:eastAsia="Times New Roman"/>
          <w:sz w:val="24"/>
          <w:szCs w:val="24"/>
        </w:rPr>
      </w:pPr>
      <w:r w:rsidRPr="00B108ED">
        <w:rPr>
          <w:rFonts w:eastAsia="Times New Roman"/>
          <w:b/>
          <w:bCs/>
          <w:sz w:val="24"/>
          <w:szCs w:val="24"/>
        </w:rPr>
        <w:t xml:space="preserve">B+C = </w:t>
      </w:r>
      <w:r w:rsidRPr="00B108ED">
        <w:rPr>
          <w:rFonts w:eastAsia="Gungsuh"/>
          <w:sz w:val="24"/>
          <w:szCs w:val="24"/>
        </w:rPr>
        <w:t>−8.30+(−1.98)</w:t>
      </w:r>
    </w:p>
    <w:p w14:paraId="0FC5631F" w14:textId="77777777"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ab/>
        <w:t>= -10.28</w:t>
      </w:r>
    </w:p>
    <w:p w14:paraId="2278659E" w14:textId="77777777" w:rsidR="00210A22" w:rsidRPr="00B108ED" w:rsidRDefault="00210A22" w:rsidP="00F55BBB">
      <w:pPr>
        <w:spacing w:line="360" w:lineRule="auto"/>
        <w:jc w:val="both"/>
        <w:rPr>
          <w:rFonts w:eastAsia="Times New Roman"/>
          <w:b/>
          <w:bCs/>
          <w:sz w:val="24"/>
          <w:szCs w:val="24"/>
        </w:rPr>
      </w:pPr>
      <w:r w:rsidRPr="00B108ED">
        <w:rPr>
          <w:rFonts w:eastAsia="Times New Roman"/>
          <w:sz w:val="24"/>
          <w:szCs w:val="24"/>
        </w:rPr>
        <w:t xml:space="preserve">Based on the above, it has been found that all combinations of projects have generated a negative value of NPVs by 10% discount rate. However, the combination of Project B and Project C has resulted in the least negative NPV.  It has been shown that this combination can reduce financial loss and contribute a higher return in comparison with other combinations. In the context of a strategic perspective, the selection of Projects B and C will contribute several operational benefits to Toyota. Project C can generate higher cash inflows to support the company’s future investments to improve its cash flow position. Additionally, Project B can deliver a reliable and consistent cash inflow to minimise financial uncertainty. In terms of £100 </w:t>
      </w:r>
      <w:r w:rsidRPr="00B108ED">
        <w:rPr>
          <w:rFonts w:eastAsia="Times New Roman"/>
          <w:sz w:val="24"/>
          <w:szCs w:val="24"/>
        </w:rPr>
        <w:lastRenderedPageBreak/>
        <w:t xml:space="preserve">million of capital rationing constraint, Toyota must undertake Project B and Project C for investment in supporting financial stability and return in the long-term. </w:t>
      </w:r>
    </w:p>
    <w:p w14:paraId="7FDF3191" w14:textId="77777777" w:rsidR="00210A22" w:rsidRPr="00B108ED" w:rsidRDefault="00210A22" w:rsidP="00F55BBB">
      <w:pPr>
        <w:pStyle w:val="Heading1"/>
        <w:spacing w:before="0" w:after="0" w:line="360" w:lineRule="auto"/>
        <w:rPr>
          <w:rFonts w:ascii="Arial" w:hAnsi="Arial"/>
        </w:rPr>
      </w:pPr>
      <w:bookmarkStart w:id="5" w:name="_Toc224234542"/>
      <w:r w:rsidRPr="00B108ED">
        <w:rPr>
          <w:rFonts w:ascii="Arial" w:hAnsi="Arial"/>
        </w:rPr>
        <w:t>Conclusion</w:t>
      </w:r>
      <w:bookmarkEnd w:id="5"/>
      <w:r w:rsidRPr="00B108ED">
        <w:rPr>
          <w:rFonts w:ascii="Arial" w:hAnsi="Arial"/>
        </w:rPr>
        <w:t xml:space="preserve"> </w:t>
      </w:r>
    </w:p>
    <w:p w14:paraId="307D7958" w14:textId="0DF4B998" w:rsidR="00210A22" w:rsidRPr="00B108ED" w:rsidRDefault="00210A22" w:rsidP="00F55BBB">
      <w:pPr>
        <w:spacing w:line="360" w:lineRule="auto"/>
        <w:jc w:val="both"/>
        <w:rPr>
          <w:rFonts w:eastAsia="Times New Roman"/>
          <w:sz w:val="24"/>
          <w:szCs w:val="24"/>
        </w:rPr>
      </w:pPr>
      <w:r w:rsidRPr="00B108ED">
        <w:rPr>
          <w:rFonts w:eastAsia="Times New Roman"/>
          <w:sz w:val="24"/>
          <w:szCs w:val="24"/>
        </w:rPr>
        <w:t xml:space="preserve">It has been concluded based on the above analysis that between 2020 and 2024, a consistent performance and financial stability of Toyota have been identified. This organisation has illustrated its significant revenue, operating cash flow and growth, highlighting a robust operational effectiveness and financial management. Ratio analysis indicates a stable capital structure along with improved liquidity, which is important for long-term investment. However, various efficiency-related issues are associated with supply chain management and inventory; financial flexibility has been maintained through the organisation. Therefore, the working capital has highlighted its efficient management over short-term resources. The project is recommended as the most relevant project for the investment of Toyota, along with the consideration of integrating Projects B and C under capital rationing. </w:t>
      </w:r>
    </w:p>
    <w:p w14:paraId="03E858F5" w14:textId="699C9B66" w:rsidR="0058626F" w:rsidRPr="00B108ED" w:rsidRDefault="0058626F" w:rsidP="00F55BBB">
      <w:pPr>
        <w:spacing w:line="360" w:lineRule="auto"/>
        <w:rPr>
          <w:rFonts w:eastAsia="Times New Roman"/>
          <w:b/>
          <w:bCs/>
          <w:color w:val="000000" w:themeColor="text1"/>
          <w:sz w:val="24"/>
          <w:szCs w:val="24"/>
        </w:rPr>
      </w:pPr>
    </w:p>
    <w:p w14:paraId="759272C1" w14:textId="77777777" w:rsidR="00210A22" w:rsidRPr="00B108ED" w:rsidRDefault="00210A22" w:rsidP="00F55BBB">
      <w:pPr>
        <w:spacing w:line="360" w:lineRule="auto"/>
        <w:rPr>
          <w:b/>
          <w:sz w:val="28"/>
          <w:szCs w:val="40"/>
        </w:rPr>
      </w:pPr>
      <w:r w:rsidRPr="00B108ED">
        <w:br w:type="page"/>
      </w:r>
    </w:p>
    <w:p w14:paraId="6F274C15" w14:textId="25164EF7" w:rsidR="00210A22" w:rsidRPr="00B108ED" w:rsidRDefault="0058626F" w:rsidP="00F55BBB">
      <w:pPr>
        <w:pStyle w:val="Heading1"/>
        <w:spacing w:before="0" w:after="0" w:line="360" w:lineRule="auto"/>
        <w:rPr>
          <w:rFonts w:ascii="Arial" w:hAnsi="Arial"/>
        </w:rPr>
      </w:pPr>
      <w:bookmarkStart w:id="6" w:name="_Toc224234543"/>
      <w:r w:rsidRPr="00B108ED">
        <w:rPr>
          <w:rFonts w:ascii="Arial" w:hAnsi="Arial"/>
        </w:rPr>
        <w:lastRenderedPageBreak/>
        <w:t>Reference list</w:t>
      </w:r>
      <w:bookmarkEnd w:id="6"/>
      <w:r w:rsidRPr="00B108ED">
        <w:rPr>
          <w:rFonts w:ascii="Arial" w:hAnsi="Arial"/>
        </w:rPr>
        <w:t xml:space="preserve"> </w:t>
      </w:r>
    </w:p>
    <w:p w14:paraId="45BAF32D" w14:textId="77777777" w:rsidR="000F793E" w:rsidRPr="00B108ED" w:rsidRDefault="000F793E"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Andoko, A. and Angeline, A., (2023). The Influence </w:t>
      </w:r>
      <w:proofErr w:type="gramStart"/>
      <w:r w:rsidRPr="00B108ED">
        <w:rPr>
          <w:rFonts w:eastAsia="Times New Roman"/>
          <w:color w:val="000000" w:themeColor="text1"/>
          <w:sz w:val="24"/>
          <w:szCs w:val="24"/>
        </w:rPr>
        <w:t>Of</w:t>
      </w:r>
      <w:proofErr w:type="gramEnd"/>
      <w:r w:rsidRPr="00B108ED">
        <w:rPr>
          <w:rFonts w:eastAsia="Times New Roman"/>
          <w:color w:val="000000" w:themeColor="text1"/>
          <w:sz w:val="24"/>
          <w:szCs w:val="24"/>
        </w:rPr>
        <w:t xml:space="preserve"> Debt </w:t>
      </w:r>
      <w:proofErr w:type="gramStart"/>
      <w:r w:rsidRPr="00B108ED">
        <w:rPr>
          <w:rFonts w:eastAsia="Times New Roman"/>
          <w:color w:val="000000" w:themeColor="text1"/>
          <w:sz w:val="24"/>
          <w:szCs w:val="24"/>
        </w:rPr>
        <w:t>To</w:t>
      </w:r>
      <w:proofErr w:type="gramEnd"/>
      <w:r w:rsidRPr="00B108ED">
        <w:rPr>
          <w:rFonts w:eastAsia="Times New Roman"/>
          <w:color w:val="000000" w:themeColor="text1"/>
          <w:sz w:val="24"/>
          <w:szCs w:val="24"/>
        </w:rPr>
        <w:t xml:space="preserve"> Equity Ratio, Operating Profit Margin Ratio </w:t>
      </w:r>
      <w:proofErr w:type="gramStart"/>
      <w:r w:rsidRPr="00B108ED">
        <w:rPr>
          <w:rFonts w:eastAsia="Times New Roman"/>
          <w:color w:val="000000" w:themeColor="text1"/>
          <w:sz w:val="24"/>
          <w:szCs w:val="24"/>
        </w:rPr>
        <w:t>And</w:t>
      </w:r>
      <w:proofErr w:type="gramEnd"/>
      <w:r w:rsidRPr="00B108ED">
        <w:rPr>
          <w:rFonts w:eastAsia="Times New Roman"/>
          <w:color w:val="000000" w:themeColor="text1"/>
          <w:sz w:val="24"/>
          <w:szCs w:val="24"/>
        </w:rPr>
        <w:t xml:space="preserve"> Operating Expense Toward Entity Income Tax </w:t>
      </w:r>
      <w:proofErr w:type="gramStart"/>
      <w:r w:rsidRPr="00B108ED">
        <w:rPr>
          <w:rFonts w:eastAsia="Times New Roman"/>
          <w:color w:val="000000" w:themeColor="text1"/>
          <w:sz w:val="24"/>
          <w:szCs w:val="24"/>
        </w:rPr>
        <w:t>Of</w:t>
      </w:r>
      <w:proofErr w:type="gramEnd"/>
      <w:r w:rsidRPr="00B108ED">
        <w:rPr>
          <w:rFonts w:eastAsia="Times New Roman"/>
          <w:color w:val="000000" w:themeColor="text1"/>
          <w:sz w:val="24"/>
          <w:szCs w:val="24"/>
        </w:rPr>
        <w:t xml:space="preserve"> Infrastructure, Utility </w:t>
      </w:r>
      <w:proofErr w:type="gramStart"/>
      <w:r w:rsidRPr="00B108ED">
        <w:rPr>
          <w:rFonts w:eastAsia="Times New Roman"/>
          <w:color w:val="000000" w:themeColor="text1"/>
          <w:sz w:val="24"/>
          <w:szCs w:val="24"/>
        </w:rPr>
        <w:t>And</w:t>
      </w:r>
      <w:proofErr w:type="gramEnd"/>
      <w:r w:rsidRPr="00B108ED">
        <w:rPr>
          <w:rFonts w:eastAsia="Times New Roman"/>
          <w:color w:val="000000" w:themeColor="text1"/>
          <w:sz w:val="24"/>
          <w:szCs w:val="24"/>
        </w:rPr>
        <w:t xml:space="preserve"> Transportation Companies Listed </w:t>
      </w:r>
      <w:proofErr w:type="gramStart"/>
      <w:r w:rsidRPr="00B108ED">
        <w:rPr>
          <w:rFonts w:eastAsia="Times New Roman"/>
          <w:color w:val="000000" w:themeColor="text1"/>
          <w:sz w:val="24"/>
          <w:szCs w:val="24"/>
        </w:rPr>
        <w:t>On</w:t>
      </w:r>
      <w:proofErr w:type="gramEnd"/>
      <w:r w:rsidRPr="00B108ED">
        <w:rPr>
          <w:rFonts w:eastAsia="Times New Roman"/>
          <w:color w:val="000000" w:themeColor="text1"/>
          <w:sz w:val="24"/>
          <w:szCs w:val="24"/>
        </w:rPr>
        <w:t xml:space="preserve"> </w:t>
      </w:r>
      <w:proofErr w:type="gramStart"/>
      <w:r w:rsidRPr="00B108ED">
        <w:rPr>
          <w:rFonts w:eastAsia="Times New Roman"/>
          <w:color w:val="000000" w:themeColor="text1"/>
          <w:sz w:val="24"/>
          <w:szCs w:val="24"/>
        </w:rPr>
        <w:t>The</w:t>
      </w:r>
      <w:proofErr w:type="gramEnd"/>
      <w:r w:rsidRPr="00B108ED">
        <w:rPr>
          <w:rFonts w:eastAsia="Times New Roman"/>
          <w:color w:val="000000" w:themeColor="text1"/>
          <w:sz w:val="24"/>
          <w:szCs w:val="24"/>
        </w:rPr>
        <w:t xml:space="preserve"> Indonesia Stock Exchange. </w:t>
      </w:r>
      <w:r w:rsidRPr="00B108ED">
        <w:rPr>
          <w:rFonts w:eastAsia="Times New Roman"/>
          <w:i/>
          <w:iCs/>
          <w:color w:val="000000" w:themeColor="text1"/>
          <w:sz w:val="24"/>
          <w:szCs w:val="24"/>
        </w:rPr>
        <w:t>IJOSPOL-International Journal of Social, Policy and Law</w:t>
      </w:r>
      <w:r w:rsidRPr="00B108ED">
        <w:rPr>
          <w:rFonts w:eastAsia="Times New Roman"/>
          <w:color w:val="000000" w:themeColor="text1"/>
          <w:sz w:val="24"/>
          <w:szCs w:val="24"/>
        </w:rPr>
        <w:t>, </w:t>
      </w:r>
      <w:r w:rsidRPr="00B108ED">
        <w:rPr>
          <w:rFonts w:eastAsia="Times New Roman"/>
          <w:i/>
          <w:iCs/>
          <w:color w:val="000000" w:themeColor="text1"/>
          <w:sz w:val="24"/>
          <w:szCs w:val="24"/>
        </w:rPr>
        <w:t>4</w:t>
      </w:r>
      <w:r w:rsidRPr="00B108ED">
        <w:rPr>
          <w:rFonts w:eastAsia="Times New Roman"/>
          <w:color w:val="000000" w:themeColor="text1"/>
          <w:sz w:val="24"/>
          <w:szCs w:val="24"/>
        </w:rPr>
        <w:t>(1), pp.58-68.</w:t>
      </w:r>
    </w:p>
    <w:p w14:paraId="300FE3C2" w14:textId="77777777" w:rsidR="000F793E" w:rsidRPr="00B108ED" w:rsidRDefault="000F793E" w:rsidP="00F55BBB">
      <w:pPr>
        <w:spacing w:line="360" w:lineRule="auto"/>
        <w:jc w:val="both"/>
        <w:rPr>
          <w:rFonts w:eastAsia="Times New Roman"/>
          <w:sz w:val="24"/>
          <w:szCs w:val="24"/>
        </w:rPr>
      </w:pPr>
      <w:proofErr w:type="spellStart"/>
      <w:r w:rsidRPr="00B108ED">
        <w:rPr>
          <w:rFonts w:eastAsia="Times New Roman"/>
          <w:sz w:val="24"/>
          <w:szCs w:val="24"/>
        </w:rPr>
        <w:t>Annualreports</w:t>
      </w:r>
      <w:proofErr w:type="spellEnd"/>
      <w:r w:rsidRPr="00B108ED">
        <w:rPr>
          <w:rFonts w:eastAsia="Times New Roman"/>
          <w:sz w:val="24"/>
          <w:szCs w:val="24"/>
        </w:rPr>
        <w:t>, (2024).</w:t>
      </w:r>
      <w:r w:rsidRPr="00B108ED">
        <w:rPr>
          <w:rFonts w:eastAsia="Times New Roman"/>
          <w:i/>
          <w:iCs/>
          <w:sz w:val="24"/>
          <w:szCs w:val="24"/>
        </w:rPr>
        <w:t xml:space="preserve"> Annual Report.</w:t>
      </w:r>
      <w:r w:rsidRPr="00B108ED">
        <w:rPr>
          <w:rFonts w:eastAsia="Times New Roman"/>
          <w:sz w:val="24"/>
          <w:szCs w:val="24"/>
        </w:rPr>
        <w:t xml:space="preserve"> Available at: </w:t>
      </w:r>
      <w:hyperlink r:id="rId16" w:history="1">
        <w:r w:rsidRPr="00B108ED">
          <w:rPr>
            <w:rStyle w:val="Hyperlink"/>
            <w:rFonts w:eastAsia="Times New Roman"/>
            <w:sz w:val="24"/>
            <w:szCs w:val="24"/>
          </w:rPr>
          <w:t>https://www.annualreports.com/Company/toyota-motor-corp</w:t>
        </w:r>
      </w:hyperlink>
      <w:r w:rsidRPr="00B108ED">
        <w:rPr>
          <w:rFonts w:eastAsia="Times New Roman"/>
          <w:sz w:val="24"/>
          <w:szCs w:val="24"/>
        </w:rPr>
        <w:t xml:space="preserve"> [Accessed on 12.03.2026]</w:t>
      </w:r>
    </w:p>
    <w:p w14:paraId="6CA15E38" w14:textId="77777777" w:rsidR="000F793E" w:rsidRPr="00B108ED" w:rsidRDefault="000F793E" w:rsidP="00F55BBB">
      <w:pPr>
        <w:spacing w:line="360" w:lineRule="auto"/>
        <w:jc w:val="both"/>
        <w:rPr>
          <w:rFonts w:eastAsia="Times New Roman"/>
          <w:sz w:val="24"/>
          <w:szCs w:val="24"/>
        </w:rPr>
      </w:pPr>
      <w:proofErr w:type="spellStart"/>
      <w:r w:rsidRPr="00B108ED">
        <w:rPr>
          <w:rFonts w:eastAsia="Times New Roman"/>
          <w:sz w:val="24"/>
          <w:szCs w:val="24"/>
        </w:rPr>
        <w:t>Arhinful</w:t>
      </w:r>
      <w:proofErr w:type="spellEnd"/>
      <w:r w:rsidRPr="00B108ED">
        <w:rPr>
          <w:rFonts w:eastAsia="Times New Roman"/>
          <w:sz w:val="24"/>
          <w:szCs w:val="24"/>
        </w:rPr>
        <w:t>, R., Mensah, L., Amin, H.I.M. and Obeng, H.A., (2024). The influence of cost of debt, cost of equity and weighted average cost of capital on dividend policy decision: Evidence from non-financial companies listed on the Frankfurt Stock Exchange. </w:t>
      </w:r>
      <w:r w:rsidRPr="00B108ED">
        <w:rPr>
          <w:rFonts w:eastAsia="Times New Roman"/>
          <w:i/>
          <w:iCs/>
          <w:sz w:val="24"/>
          <w:szCs w:val="24"/>
        </w:rPr>
        <w:t>Future Business Journal</w:t>
      </w:r>
      <w:r w:rsidRPr="00B108ED">
        <w:rPr>
          <w:rFonts w:eastAsia="Times New Roman"/>
          <w:sz w:val="24"/>
          <w:szCs w:val="24"/>
        </w:rPr>
        <w:t>, </w:t>
      </w:r>
      <w:r w:rsidRPr="00B108ED">
        <w:rPr>
          <w:rFonts w:eastAsia="Times New Roman"/>
          <w:i/>
          <w:iCs/>
          <w:sz w:val="24"/>
          <w:szCs w:val="24"/>
        </w:rPr>
        <w:t>10</w:t>
      </w:r>
      <w:r w:rsidRPr="00B108ED">
        <w:rPr>
          <w:rFonts w:eastAsia="Times New Roman"/>
          <w:sz w:val="24"/>
          <w:szCs w:val="24"/>
        </w:rPr>
        <w:t>(1), p.99.</w:t>
      </w:r>
    </w:p>
    <w:p w14:paraId="05A874E5" w14:textId="77777777" w:rsidR="000F793E" w:rsidRPr="00B108ED" w:rsidRDefault="000F793E"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Ayomide, A. and Godwin Olaoye, E.O., (2024). Technological Innovations Enhancing Short-Term Liquidity in Financial Institutions. </w:t>
      </w:r>
      <w:r w:rsidRPr="00B108ED">
        <w:rPr>
          <w:rFonts w:eastAsia="Times New Roman"/>
          <w:i/>
          <w:iCs/>
          <w:color w:val="000000" w:themeColor="text1"/>
          <w:sz w:val="24"/>
          <w:szCs w:val="24"/>
        </w:rPr>
        <w:t>Financial Economics</w:t>
      </w:r>
      <w:r w:rsidRPr="00B108ED">
        <w:rPr>
          <w:rFonts w:eastAsia="Times New Roman"/>
          <w:color w:val="000000" w:themeColor="text1"/>
          <w:sz w:val="24"/>
          <w:szCs w:val="24"/>
        </w:rPr>
        <w:t>, pp.1-14.</w:t>
      </w:r>
    </w:p>
    <w:p w14:paraId="2A99340F" w14:textId="77777777" w:rsidR="000F793E" w:rsidRPr="00B108ED" w:rsidRDefault="000F793E" w:rsidP="00F55BBB">
      <w:pPr>
        <w:spacing w:line="360" w:lineRule="auto"/>
        <w:jc w:val="both"/>
        <w:rPr>
          <w:rFonts w:eastAsia="Times New Roman"/>
          <w:sz w:val="24"/>
          <w:szCs w:val="24"/>
        </w:rPr>
      </w:pPr>
      <w:proofErr w:type="spellStart"/>
      <w:r w:rsidRPr="00B108ED">
        <w:rPr>
          <w:rFonts w:eastAsia="Times New Roman"/>
          <w:sz w:val="24"/>
          <w:szCs w:val="24"/>
        </w:rPr>
        <w:t>Bessonova</w:t>
      </w:r>
      <w:proofErr w:type="spellEnd"/>
      <w:r w:rsidRPr="00B108ED">
        <w:rPr>
          <w:rFonts w:eastAsia="Times New Roman"/>
          <w:sz w:val="24"/>
          <w:szCs w:val="24"/>
        </w:rPr>
        <w:t xml:space="preserve">, A., </w:t>
      </w:r>
      <w:proofErr w:type="spellStart"/>
      <w:r w:rsidRPr="00B108ED">
        <w:rPr>
          <w:rFonts w:eastAsia="Times New Roman"/>
          <w:sz w:val="24"/>
          <w:szCs w:val="24"/>
        </w:rPr>
        <w:t>Bessonova</w:t>
      </w:r>
      <w:proofErr w:type="spellEnd"/>
      <w:r w:rsidRPr="00B108ED">
        <w:rPr>
          <w:rFonts w:eastAsia="Times New Roman"/>
          <w:sz w:val="24"/>
          <w:szCs w:val="24"/>
        </w:rPr>
        <w:t>, S. and Shevchenko, A., (2024). Optimization of Receivables of an Enterprise as a Tool for Strengthening Financial Efficiency. </w:t>
      </w:r>
      <w:proofErr w:type="spellStart"/>
      <w:r w:rsidRPr="00B108ED">
        <w:rPr>
          <w:rFonts w:eastAsia="Times New Roman"/>
          <w:i/>
          <w:iCs/>
          <w:sz w:val="24"/>
          <w:szCs w:val="24"/>
        </w:rPr>
        <w:t>Економіка</w:t>
      </w:r>
      <w:proofErr w:type="spellEnd"/>
      <w:r w:rsidRPr="00B108ED">
        <w:rPr>
          <w:rFonts w:eastAsia="Times New Roman"/>
          <w:i/>
          <w:iCs/>
          <w:sz w:val="24"/>
          <w:szCs w:val="24"/>
        </w:rPr>
        <w:t xml:space="preserve"> </w:t>
      </w:r>
      <w:proofErr w:type="spellStart"/>
      <w:r w:rsidRPr="00B108ED">
        <w:rPr>
          <w:rFonts w:eastAsia="Times New Roman"/>
          <w:i/>
          <w:iCs/>
          <w:sz w:val="24"/>
          <w:szCs w:val="24"/>
        </w:rPr>
        <w:t>розвитку</w:t>
      </w:r>
      <w:proofErr w:type="spellEnd"/>
      <w:r w:rsidRPr="00B108ED">
        <w:rPr>
          <w:rFonts w:eastAsia="Times New Roman"/>
          <w:i/>
          <w:iCs/>
          <w:sz w:val="24"/>
          <w:szCs w:val="24"/>
        </w:rPr>
        <w:t xml:space="preserve"> </w:t>
      </w:r>
      <w:proofErr w:type="spellStart"/>
      <w:r w:rsidRPr="00B108ED">
        <w:rPr>
          <w:rFonts w:eastAsia="Times New Roman"/>
          <w:i/>
          <w:iCs/>
          <w:sz w:val="24"/>
          <w:szCs w:val="24"/>
        </w:rPr>
        <w:t>систем</w:t>
      </w:r>
      <w:proofErr w:type="spellEnd"/>
      <w:r w:rsidRPr="00B108ED">
        <w:rPr>
          <w:rFonts w:eastAsia="Times New Roman"/>
          <w:sz w:val="24"/>
          <w:szCs w:val="24"/>
        </w:rPr>
        <w:t>, </w:t>
      </w:r>
      <w:r w:rsidRPr="00B108ED">
        <w:rPr>
          <w:rFonts w:eastAsia="Times New Roman"/>
          <w:i/>
          <w:iCs/>
          <w:sz w:val="24"/>
          <w:szCs w:val="24"/>
        </w:rPr>
        <w:t>6</w:t>
      </w:r>
      <w:r w:rsidRPr="00B108ED">
        <w:rPr>
          <w:rFonts w:eastAsia="Times New Roman"/>
          <w:sz w:val="24"/>
          <w:szCs w:val="24"/>
        </w:rPr>
        <w:t>(2), pp.146-150.</w:t>
      </w:r>
    </w:p>
    <w:p w14:paraId="526EE622" w14:textId="77777777" w:rsidR="000F793E" w:rsidRPr="00B108ED" w:rsidRDefault="000F793E"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Blessing, H. and </w:t>
      </w:r>
      <w:proofErr w:type="spellStart"/>
      <w:r w:rsidRPr="00B108ED">
        <w:rPr>
          <w:rFonts w:eastAsia="Times New Roman"/>
          <w:color w:val="000000" w:themeColor="text1"/>
          <w:sz w:val="24"/>
          <w:szCs w:val="24"/>
        </w:rPr>
        <w:t>Sakouvogui</w:t>
      </w:r>
      <w:proofErr w:type="spellEnd"/>
      <w:r w:rsidRPr="00B108ED">
        <w:rPr>
          <w:rFonts w:eastAsia="Times New Roman"/>
          <w:color w:val="000000" w:themeColor="text1"/>
          <w:sz w:val="24"/>
          <w:szCs w:val="24"/>
        </w:rPr>
        <w:t>, G., (2023). Impact of liquidity and solvency ratios on financial performance: a comprehensive analysis. </w:t>
      </w:r>
      <w:r w:rsidRPr="00B108ED">
        <w:rPr>
          <w:rFonts w:eastAsia="Times New Roman"/>
          <w:i/>
          <w:iCs/>
          <w:color w:val="000000" w:themeColor="text1"/>
          <w:sz w:val="24"/>
          <w:szCs w:val="24"/>
        </w:rPr>
        <w:t>Indonesia Auditing Research Journal</w:t>
      </w:r>
      <w:r w:rsidRPr="00B108ED">
        <w:rPr>
          <w:rFonts w:eastAsia="Times New Roman"/>
          <w:color w:val="000000" w:themeColor="text1"/>
          <w:sz w:val="24"/>
          <w:szCs w:val="24"/>
        </w:rPr>
        <w:t>, </w:t>
      </w:r>
      <w:r w:rsidRPr="00B108ED">
        <w:rPr>
          <w:rFonts w:eastAsia="Times New Roman"/>
          <w:i/>
          <w:iCs/>
          <w:color w:val="000000" w:themeColor="text1"/>
          <w:sz w:val="24"/>
          <w:szCs w:val="24"/>
        </w:rPr>
        <w:t>12</w:t>
      </w:r>
      <w:r w:rsidRPr="00B108ED">
        <w:rPr>
          <w:rFonts w:eastAsia="Times New Roman"/>
          <w:color w:val="000000" w:themeColor="text1"/>
          <w:sz w:val="24"/>
          <w:szCs w:val="24"/>
        </w:rPr>
        <w:t>(3), pp.102-115.</w:t>
      </w:r>
    </w:p>
    <w:p w14:paraId="037F9985" w14:textId="77777777" w:rsidR="000F793E" w:rsidRPr="00B108ED" w:rsidRDefault="000F793E"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Chen, Y., (2022). Research on collaborative innovation of key common technologies in new energy vehicle industry based on digital twin technology. </w:t>
      </w:r>
      <w:r w:rsidRPr="00B108ED">
        <w:rPr>
          <w:rFonts w:eastAsia="Times New Roman"/>
          <w:i/>
          <w:iCs/>
          <w:color w:val="000000" w:themeColor="text1"/>
          <w:sz w:val="24"/>
          <w:szCs w:val="24"/>
        </w:rPr>
        <w:t>Energy Reports</w:t>
      </w:r>
      <w:r w:rsidRPr="00B108ED">
        <w:rPr>
          <w:rFonts w:eastAsia="Times New Roman"/>
          <w:color w:val="000000" w:themeColor="text1"/>
          <w:sz w:val="24"/>
          <w:szCs w:val="24"/>
        </w:rPr>
        <w:t>, </w:t>
      </w:r>
      <w:r w:rsidRPr="00B108ED">
        <w:rPr>
          <w:rFonts w:eastAsia="Times New Roman"/>
          <w:i/>
          <w:iCs/>
          <w:color w:val="000000" w:themeColor="text1"/>
          <w:sz w:val="24"/>
          <w:szCs w:val="24"/>
        </w:rPr>
        <w:t>8</w:t>
      </w:r>
      <w:r w:rsidRPr="00B108ED">
        <w:rPr>
          <w:rFonts w:eastAsia="Times New Roman"/>
          <w:color w:val="000000" w:themeColor="text1"/>
          <w:sz w:val="24"/>
          <w:szCs w:val="24"/>
        </w:rPr>
        <w:t>, pp.15399-15407.</w:t>
      </w:r>
    </w:p>
    <w:p w14:paraId="51313DC2"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Czipf, C., (2025). The impact of changing energy prices, interest rates, and investment costs on the net present value and internal rate of return for alternative energy projects. </w:t>
      </w:r>
      <w:r w:rsidRPr="00B108ED">
        <w:rPr>
          <w:rFonts w:eastAsia="Times New Roman"/>
          <w:i/>
          <w:iCs/>
          <w:sz w:val="24"/>
          <w:szCs w:val="24"/>
        </w:rPr>
        <w:t>Discover Sustainability</w:t>
      </w:r>
      <w:r w:rsidRPr="00B108ED">
        <w:rPr>
          <w:rFonts w:eastAsia="Times New Roman"/>
          <w:sz w:val="24"/>
          <w:szCs w:val="24"/>
        </w:rPr>
        <w:t>, </w:t>
      </w:r>
      <w:r w:rsidRPr="00B108ED">
        <w:rPr>
          <w:rFonts w:eastAsia="Times New Roman"/>
          <w:i/>
          <w:iCs/>
          <w:sz w:val="24"/>
          <w:szCs w:val="24"/>
        </w:rPr>
        <w:t>6</w:t>
      </w:r>
      <w:r w:rsidRPr="00B108ED">
        <w:rPr>
          <w:rFonts w:eastAsia="Times New Roman"/>
          <w:sz w:val="24"/>
          <w:szCs w:val="24"/>
        </w:rPr>
        <w:t>(1), p.161.</w:t>
      </w:r>
    </w:p>
    <w:p w14:paraId="691B2F63"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Dorrah, D.H. and McCabe, B., (2024). Integrated agent-based simulation and game theory decision support framework for cash flow and payment management in construction projects. </w:t>
      </w:r>
      <w:r w:rsidRPr="00B108ED">
        <w:rPr>
          <w:rFonts w:eastAsia="Times New Roman"/>
          <w:i/>
          <w:iCs/>
          <w:sz w:val="24"/>
          <w:szCs w:val="24"/>
        </w:rPr>
        <w:t>Sustainability</w:t>
      </w:r>
      <w:r w:rsidRPr="00B108ED">
        <w:rPr>
          <w:rFonts w:eastAsia="Times New Roman"/>
          <w:sz w:val="24"/>
          <w:szCs w:val="24"/>
        </w:rPr>
        <w:t>, </w:t>
      </w:r>
      <w:r w:rsidRPr="00B108ED">
        <w:rPr>
          <w:rFonts w:eastAsia="Times New Roman"/>
          <w:i/>
          <w:iCs/>
          <w:sz w:val="24"/>
          <w:szCs w:val="24"/>
        </w:rPr>
        <w:t>16</w:t>
      </w:r>
      <w:r w:rsidRPr="00B108ED">
        <w:rPr>
          <w:rFonts w:eastAsia="Times New Roman"/>
          <w:sz w:val="24"/>
          <w:szCs w:val="24"/>
        </w:rPr>
        <w:t>(1), p.244.</w:t>
      </w:r>
    </w:p>
    <w:p w14:paraId="52F5E917"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 xml:space="preserve">Fallahi, S., </w:t>
      </w:r>
      <w:proofErr w:type="spellStart"/>
      <w:r w:rsidRPr="00B108ED">
        <w:rPr>
          <w:rFonts w:eastAsia="Times New Roman"/>
          <w:sz w:val="24"/>
          <w:szCs w:val="24"/>
        </w:rPr>
        <w:t>Mellquist</w:t>
      </w:r>
      <w:proofErr w:type="spellEnd"/>
      <w:r w:rsidRPr="00B108ED">
        <w:rPr>
          <w:rFonts w:eastAsia="Times New Roman"/>
          <w:sz w:val="24"/>
          <w:szCs w:val="24"/>
        </w:rPr>
        <w:t xml:space="preserve">, A.C., Mogren, O., Listo Zec, E., </w:t>
      </w:r>
      <w:proofErr w:type="spellStart"/>
      <w:r w:rsidRPr="00B108ED">
        <w:rPr>
          <w:rFonts w:eastAsia="Times New Roman"/>
          <w:sz w:val="24"/>
          <w:szCs w:val="24"/>
        </w:rPr>
        <w:t>Algurén</w:t>
      </w:r>
      <w:proofErr w:type="spellEnd"/>
      <w:r w:rsidRPr="00B108ED">
        <w:rPr>
          <w:rFonts w:eastAsia="Times New Roman"/>
          <w:sz w:val="24"/>
          <w:szCs w:val="24"/>
        </w:rPr>
        <w:t>, P. and Hallquist, L., (2023). Financing solutions for circular business models: Exploring the role of business ecosystems and artificial intelligence. </w:t>
      </w:r>
      <w:r w:rsidRPr="00B108ED">
        <w:rPr>
          <w:rFonts w:eastAsia="Times New Roman"/>
          <w:i/>
          <w:iCs/>
          <w:sz w:val="24"/>
          <w:szCs w:val="24"/>
        </w:rPr>
        <w:t>Business Strategy and the Environment</w:t>
      </w:r>
      <w:r w:rsidRPr="00B108ED">
        <w:rPr>
          <w:rFonts w:eastAsia="Times New Roman"/>
          <w:sz w:val="24"/>
          <w:szCs w:val="24"/>
        </w:rPr>
        <w:t>, </w:t>
      </w:r>
      <w:r w:rsidRPr="00B108ED">
        <w:rPr>
          <w:rFonts w:eastAsia="Times New Roman"/>
          <w:i/>
          <w:iCs/>
          <w:sz w:val="24"/>
          <w:szCs w:val="24"/>
        </w:rPr>
        <w:t>32</w:t>
      </w:r>
      <w:r w:rsidRPr="00B108ED">
        <w:rPr>
          <w:rFonts w:eastAsia="Times New Roman"/>
          <w:sz w:val="24"/>
          <w:szCs w:val="24"/>
        </w:rPr>
        <w:t>(6), pp.3233-3248.</w:t>
      </w:r>
    </w:p>
    <w:p w14:paraId="3EFC086C" w14:textId="77777777" w:rsidR="000F793E" w:rsidRPr="00B108ED" w:rsidRDefault="000F793E" w:rsidP="00F55BBB">
      <w:pPr>
        <w:spacing w:line="360" w:lineRule="auto"/>
        <w:jc w:val="both"/>
        <w:rPr>
          <w:rFonts w:eastAsia="Times New Roman"/>
          <w:sz w:val="24"/>
          <w:szCs w:val="24"/>
        </w:rPr>
      </w:pPr>
      <w:proofErr w:type="spellStart"/>
      <w:r w:rsidRPr="00B108ED">
        <w:rPr>
          <w:rFonts w:eastAsia="Times New Roman"/>
          <w:sz w:val="24"/>
          <w:szCs w:val="24"/>
        </w:rPr>
        <w:lastRenderedPageBreak/>
        <w:t>Ijuwo</w:t>
      </w:r>
      <w:proofErr w:type="spellEnd"/>
      <w:r w:rsidRPr="00B108ED">
        <w:rPr>
          <w:rFonts w:eastAsia="Times New Roman"/>
          <w:sz w:val="24"/>
          <w:szCs w:val="24"/>
        </w:rPr>
        <w:t>, A., (2024). Effect of Working Capital Management on Profitability of Listed Consumer Good Companies in Nigeria. </w:t>
      </w:r>
      <w:r w:rsidRPr="00B108ED">
        <w:rPr>
          <w:rFonts w:eastAsia="Times New Roman"/>
          <w:i/>
          <w:iCs/>
          <w:sz w:val="24"/>
          <w:szCs w:val="24"/>
        </w:rPr>
        <w:t>Journal of Advance Research in Business, Management and Accounting (ISSN: 2456-3544)</w:t>
      </w:r>
      <w:r w:rsidRPr="00B108ED">
        <w:rPr>
          <w:rFonts w:eastAsia="Times New Roman"/>
          <w:sz w:val="24"/>
          <w:szCs w:val="24"/>
        </w:rPr>
        <w:t>, </w:t>
      </w:r>
      <w:r w:rsidRPr="00B108ED">
        <w:rPr>
          <w:rFonts w:eastAsia="Times New Roman"/>
          <w:i/>
          <w:iCs/>
          <w:sz w:val="24"/>
          <w:szCs w:val="24"/>
        </w:rPr>
        <w:t>10</w:t>
      </w:r>
      <w:r w:rsidRPr="00B108ED">
        <w:rPr>
          <w:rFonts w:eastAsia="Times New Roman"/>
          <w:sz w:val="24"/>
          <w:szCs w:val="24"/>
        </w:rPr>
        <w:t>(1), pp.12-25.</w:t>
      </w:r>
    </w:p>
    <w:p w14:paraId="65DBF4BE"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Lefebvre, V., (2022). Performance, working capital management, and the liability of smallness: a question of opportunity costs?. </w:t>
      </w:r>
      <w:r w:rsidRPr="00B108ED">
        <w:rPr>
          <w:rFonts w:eastAsia="Times New Roman"/>
          <w:i/>
          <w:iCs/>
          <w:sz w:val="24"/>
          <w:szCs w:val="24"/>
        </w:rPr>
        <w:t>Journal of Small Business Management</w:t>
      </w:r>
      <w:r w:rsidRPr="00B108ED">
        <w:rPr>
          <w:rFonts w:eastAsia="Times New Roman"/>
          <w:sz w:val="24"/>
          <w:szCs w:val="24"/>
        </w:rPr>
        <w:t>, </w:t>
      </w:r>
      <w:r w:rsidRPr="00B108ED">
        <w:rPr>
          <w:rFonts w:eastAsia="Times New Roman"/>
          <w:i/>
          <w:iCs/>
          <w:sz w:val="24"/>
          <w:szCs w:val="24"/>
        </w:rPr>
        <w:t>60</w:t>
      </w:r>
      <w:r w:rsidRPr="00B108ED">
        <w:rPr>
          <w:rFonts w:eastAsia="Times New Roman"/>
          <w:sz w:val="24"/>
          <w:szCs w:val="24"/>
        </w:rPr>
        <w:t>(3), pp.704-733.</w:t>
      </w:r>
    </w:p>
    <w:p w14:paraId="4249113D"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Levia, C.M. and Wahyudi, I., (2025). The Influence of Tax Planning, Profitability, And Costs Operations For Earning Management. </w:t>
      </w:r>
      <w:r w:rsidRPr="00B108ED">
        <w:rPr>
          <w:rFonts w:eastAsia="Times New Roman"/>
          <w:i/>
          <w:iCs/>
          <w:sz w:val="24"/>
          <w:szCs w:val="24"/>
        </w:rPr>
        <w:t>Best Journal of Administration and Management</w:t>
      </w:r>
      <w:r w:rsidRPr="00B108ED">
        <w:rPr>
          <w:rFonts w:eastAsia="Times New Roman"/>
          <w:sz w:val="24"/>
          <w:szCs w:val="24"/>
        </w:rPr>
        <w:t>, </w:t>
      </w:r>
      <w:r w:rsidRPr="00B108ED">
        <w:rPr>
          <w:rFonts w:eastAsia="Times New Roman"/>
          <w:i/>
          <w:iCs/>
          <w:sz w:val="24"/>
          <w:szCs w:val="24"/>
        </w:rPr>
        <w:t>3</w:t>
      </w:r>
      <w:r w:rsidRPr="00B108ED">
        <w:rPr>
          <w:rFonts w:eastAsia="Times New Roman"/>
          <w:sz w:val="24"/>
          <w:szCs w:val="24"/>
        </w:rPr>
        <w:t>(3), pp.156-169.</w:t>
      </w:r>
    </w:p>
    <w:p w14:paraId="08272070" w14:textId="77777777" w:rsidR="000F793E" w:rsidRPr="00B108ED" w:rsidRDefault="000F793E"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Olayinka, A.A., (2022). Financial statement analysis as a tool for investment decisions and assessment of companies’ performance. </w:t>
      </w:r>
      <w:r w:rsidRPr="00B108ED">
        <w:rPr>
          <w:rFonts w:eastAsia="Times New Roman"/>
          <w:i/>
          <w:iCs/>
          <w:color w:val="000000" w:themeColor="text1"/>
          <w:sz w:val="24"/>
          <w:szCs w:val="24"/>
        </w:rPr>
        <w:t>International Journal of Financial, Accounting, and Management</w:t>
      </w:r>
      <w:r w:rsidRPr="00B108ED">
        <w:rPr>
          <w:rFonts w:eastAsia="Times New Roman"/>
          <w:color w:val="000000" w:themeColor="text1"/>
          <w:sz w:val="24"/>
          <w:szCs w:val="24"/>
        </w:rPr>
        <w:t>, </w:t>
      </w:r>
      <w:r w:rsidRPr="00B108ED">
        <w:rPr>
          <w:rFonts w:eastAsia="Times New Roman"/>
          <w:i/>
          <w:iCs/>
          <w:color w:val="000000" w:themeColor="text1"/>
          <w:sz w:val="24"/>
          <w:szCs w:val="24"/>
        </w:rPr>
        <w:t>4</w:t>
      </w:r>
      <w:r w:rsidRPr="00B108ED">
        <w:rPr>
          <w:rFonts w:eastAsia="Times New Roman"/>
          <w:color w:val="000000" w:themeColor="text1"/>
          <w:sz w:val="24"/>
          <w:szCs w:val="24"/>
        </w:rPr>
        <w:t>(1), pp.49-66.</w:t>
      </w:r>
    </w:p>
    <w:p w14:paraId="601422E8"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Putri, R.L. and Willim, A.P., (2024). Analysis of the effect of assets structure, earning volatility and financial flexibility on capital structure in consumer goods industry sector companies on the Indonesia stock exchange. </w:t>
      </w:r>
      <w:r w:rsidRPr="00B108ED">
        <w:rPr>
          <w:rFonts w:eastAsia="Times New Roman"/>
          <w:i/>
          <w:iCs/>
          <w:sz w:val="24"/>
          <w:szCs w:val="24"/>
        </w:rPr>
        <w:t>LBS Journal of Management &amp; Research</w:t>
      </w:r>
      <w:r w:rsidRPr="00B108ED">
        <w:rPr>
          <w:rFonts w:eastAsia="Times New Roman"/>
          <w:sz w:val="24"/>
          <w:szCs w:val="24"/>
        </w:rPr>
        <w:t>, </w:t>
      </w:r>
      <w:r w:rsidRPr="00B108ED">
        <w:rPr>
          <w:rFonts w:eastAsia="Times New Roman"/>
          <w:i/>
          <w:iCs/>
          <w:sz w:val="24"/>
          <w:szCs w:val="24"/>
        </w:rPr>
        <w:t>22</w:t>
      </w:r>
      <w:r w:rsidRPr="00B108ED">
        <w:rPr>
          <w:rFonts w:eastAsia="Times New Roman"/>
          <w:sz w:val="24"/>
          <w:szCs w:val="24"/>
        </w:rPr>
        <w:t>(1), pp.25-36.</w:t>
      </w:r>
    </w:p>
    <w:p w14:paraId="7F8BFD49"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 xml:space="preserve">Rambaud, S.C., Pascual, J.L. and </w:t>
      </w:r>
      <w:proofErr w:type="spellStart"/>
      <w:r w:rsidRPr="00B108ED">
        <w:rPr>
          <w:rFonts w:eastAsia="Times New Roman"/>
          <w:sz w:val="24"/>
          <w:szCs w:val="24"/>
        </w:rPr>
        <w:t>Santandreu</w:t>
      </w:r>
      <w:proofErr w:type="spellEnd"/>
      <w:r w:rsidRPr="00B108ED">
        <w:rPr>
          <w:rFonts w:eastAsia="Times New Roman"/>
          <w:sz w:val="24"/>
          <w:szCs w:val="24"/>
        </w:rPr>
        <w:t>, E.M., (2022). Staggered loans: a flexible modality of long-term financing for SMEs in global health emergencies. </w:t>
      </w:r>
      <w:r w:rsidRPr="00B108ED">
        <w:rPr>
          <w:rFonts w:eastAsia="Times New Roman"/>
          <w:i/>
          <w:iCs/>
          <w:sz w:val="24"/>
          <w:szCs w:val="24"/>
        </w:rPr>
        <w:t>Quantitative Finance and Economics</w:t>
      </w:r>
      <w:r w:rsidRPr="00B108ED">
        <w:rPr>
          <w:rFonts w:eastAsia="Times New Roman"/>
          <w:sz w:val="24"/>
          <w:szCs w:val="24"/>
        </w:rPr>
        <w:t>, </w:t>
      </w:r>
      <w:r w:rsidRPr="00B108ED">
        <w:rPr>
          <w:rFonts w:eastAsia="Times New Roman"/>
          <w:i/>
          <w:iCs/>
          <w:sz w:val="24"/>
          <w:szCs w:val="24"/>
        </w:rPr>
        <w:t>6</w:t>
      </w:r>
      <w:r w:rsidRPr="00B108ED">
        <w:rPr>
          <w:rFonts w:eastAsia="Times New Roman"/>
          <w:sz w:val="24"/>
          <w:szCs w:val="24"/>
        </w:rPr>
        <w:t>(4), p.553.</w:t>
      </w:r>
    </w:p>
    <w:p w14:paraId="3880E603" w14:textId="77777777" w:rsidR="000F793E" w:rsidRPr="00B108ED" w:rsidRDefault="000F793E" w:rsidP="00F55BBB">
      <w:pPr>
        <w:spacing w:line="360" w:lineRule="auto"/>
        <w:jc w:val="both"/>
        <w:rPr>
          <w:rFonts w:eastAsia="Times New Roman"/>
          <w:color w:val="EE0000"/>
          <w:sz w:val="24"/>
          <w:szCs w:val="24"/>
        </w:rPr>
      </w:pPr>
      <w:r w:rsidRPr="00B108ED">
        <w:rPr>
          <w:rFonts w:eastAsia="Times New Roman"/>
          <w:color w:val="000000" w:themeColor="text1"/>
          <w:sz w:val="24"/>
          <w:szCs w:val="24"/>
        </w:rPr>
        <w:t xml:space="preserve">Sec.gov (2022). </w:t>
      </w:r>
      <w:r w:rsidRPr="00B108ED">
        <w:rPr>
          <w:rFonts w:eastAsia="Times New Roman"/>
          <w:i/>
          <w:iCs/>
          <w:color w:val="000000" w:themeColor="text1"/>
          <w:sz w:val="24"/>
          <w:szCs w:val="24"/>
        </w:rPr>
        <w:t>Financial result of 2020</w:t>
      </w:r>
      <w:r w:rsidRPr="00B108ED">
        <w:rPr>
          <w:rFonts w:eastAsia="Times New Roman"/>
          <w:color w:val="EE0000"/>
          <w:sz w:val="24"/>
          <w:szCs w:val="24"/>
        </w:rPr>
        <w:t xml:space="preserve">. </w:t>
      </w:r>
      <w:hyperlink r:id="rId17" w:anchor=":~:text=Due%20to%20the%20effects%20of,on%20equity%20securities%20in%20FY2020" w:history="1">
        <w:r w:rsidRPr="00B108ED">
          <w:rPr>
            <w:rStyle w:val="Hyperlink"/>
            <w:rFonts w:eastAsia="Times New Roman"/>
            <w:sz w:val="24"/>
            <w:szCs w:val="24"/>
          </w:rPr>
          <w:t>https://www.sec.gov/Archives/edgar/data/1094517/000119312520139717/d792902dex991.htm#:~:text=Due%20to%20the%20effects%20of,on%20equity%20securities%20in%20FY2020</w:t>
        </w:r>
      </w:hyperlink>
      <w:r w:rsidRPr="00B108ED">
        <w:rPr>
          <w:rFonts w:eastAsia="Times New Roman"/>
          <w:color w:val="EE0000"/>
          <w:sz w:val="24"/>
          <w:szCs w:val="24"/>
        </w:rPr>
        <w:t xml:space="preserve">. </w:t>
      </w:r>
      <w:r w:rsidRPr="00B108ED">
        <w:rPr>
          <w:rFonts w:eastAsia="Times New Roman"/>
          <w:sz w:val="24"/>
          <w:szCs w:val="24"/>
        </w:rPr>
        <w:t>[Accessed on 12.03.2026]</w:t>
      </w:r>
    </w:p>
    <w:p w14:paraId="4404CABF" w14:textId="77777777" w:rsidR="000F793E" w:rsidRPr="00B108ED" w:rsidRDefault="000F793E" w:rsidP="00F55BBB">
      <w:pPr>
        <w:spacing w:line="360" w:lineRule="auto"/>
        <w:jc w:val="both"/>
        <w:rPr>
          <w:rFonts w:eastAsia="Times New Roman"/>
          <w:color w:val="EE0000"/>
          <w:sz w:val="24"/>
          <w:szCs w:val="24"/>
        </w:rPr>
      </w:pPr>
      <w:r w:rsidRPr="00B108ED">
        <w:rPr>
          <w:rFonts w:eastAsia="Times New Roman"/>
          <w:color w:val="000000" w:themeColor="text1"/>
          <w:sz w:val="24"/>
          <w:szCs w:val="24"/>
        </w:rPr>
        <w:t xml:space="preserve">Sec.gov (2022). </w:t>
      </w:r>
      <w:r w:rsidRPr="00B108ED">
        <w:rPr>
          <w:rFonts w:eastAsia="Times New Roman"/>
          <w:i/>
          <w:iCs/>
          <w:color w:val="000000" w:themeColor="text1"/>
          <w:sz w:val="24"/>
          <w:szCs w:val="24"/>
        </w:rPr>
        <w:t>Financial result of 2022 and 2021</w:t>
      </w:r>
      <w:r w:rsidRPr="00B108ED">
        <w:rPr>
          <w:rFonts w:eastAsia="Times New Roman"/>
          <w:color w:val="000000" w:themeColor="text1"/>
          <w:sz w:val="24"/>
          <w:szCs w:val="24"/>
        </w:rPr>
        <w:t xml:space="preserve">. </w:t>
      </w:r>
      <w:hyperlink r:id="rId18" w:anchor=":~:text=For%20reasons%20such%20as%20government,like%20through%20%E2%80%9CToyota%20Times.%E2%80%9D" w:history="1">
        <w:r w:rsidRPr="00B108ED">
          <w:rPr>
            <w:rStyle w:val="Hyperlink"/>
            <w:rFonts w:eastAsia="Times New Roman"/>
            <w:sz w:val="24"/>
            <w:szCs w:val="24"/>
          </w:rPr>
          <w:t>https://www.sec.gov/Archives/edgar/data/1094517/000119312522146839/d323794dex991.htm#:~:text=For%20reasons%20such%20as%20government,like%20through%20%E2%80%9CToyota%20Times.%E2%80%9D</w:t>
        </w:r>
      </w:hyperlink>
      <w:r w:rsidRPr="00B108ED">
        <w:rPr>
          <w:rFonts w:eastAsia="Times New Roman"/>
          <w:color w:val="EE0000"/>
          <w:sz w:val="24"/>
          <w:szCs w:val="24"/>
        </w:rPr>
        <w:t xml:space="preserve"> </w:t>
      </w:r>
      <w:r w:rsidRPr="00B108ED">
        <w:rPr>
          <w:rFonts w:eastAsia="Times New Roman"/>
          <w:sz w:val="24"/>
          <w:szCs w:val="24"/>
        </w:rPr>
        <w:t>[Accessed on 12.03.2026]</w:t>
      </w:r>
    </w:p>
    <w:p w14:paraId="06E2CA12" w14:textId="77777777" w:rsidR="000F793E" w:rsidRPr="00B108ED" w:rsidRDefault="000F793E" w:rsidP="00F55BBB">
      <w:pPr>
        <w:spacing w:line="360" w:lineRule="auto"/>
        <w:jc w:val="both"/>
        <w:rPr>
          <w:rFonts w:eastAsia="Times New Roman"/>
          <w:sz w:val="24"/>
          <w:szCs w:val="24"/>
        </w:rPr>
      </w:pPr>
      <w:r w:rsidRPr="00B108ED">
        <w:rPr>
          <w:rFonts w:eastAsia="Times New Roman"/>
          <w:color w:val="000000" w:themeColor="text1"/>
          <w:sz w:val="24"/>
          <w:szCs w:val="24"/>
        </w:rPr>
        <w:t xml:space="preserve">Sec.gov (2023). </w:t>
      </w:r>
      <w:r w:rsidRPr="00B108ED">
        <w:rPr>
          <w:rFonts w:eastAsia="Times New Roman"/>
          <w:i/>
          <w:iCs/>
          <w:color w:val="000000" w:themeColor="text1"/>
          <w:sz w:val="24"/>
          <w:szCs w:val="24"/>
        </w:rPr>
        <w:t>Financial result of 2023</w:t>
      </w:r>
      <w:r w:rsidRPr="00B108ED">
        <w:rPr>
          <w:rFonts w:eastAsia="Times New Roman"/>
          <w:color w:val="000000" w:themeColor="text1"/>
          <w:sz w:val="24"/>
          <w:szCs w:val="24"/>
        </w:rPr>
        <w:t xml:space="preserve">. </w:t>
      </w:r>
      <w:hyperlink r:id="rId19" w:history="1">
        <w:r w:rsidRPr="00B108ED">
          <w:rPr>
            <w:rStyle w:val="Hyperlink"/>
            <w:rFonts w:eastAsia="Times New Roman"/>
            <w:sz w:val="24"/>
            <w:szCs w:val="24"/>
          </w:rPr>
          <w:t>https://www.sec.gov/Archives/edgar/data/1094517/000119312523179181/d360541d20f.htm</w:t>
        </w:r>
      </w:hyperlink>
      <w:r w:rsidRPr="00B108ED">
        <w:rPr>
          <w:rFonts w:eastAsia="Times New Roman"/>
          <w:color w:val="EE0000"/>
          <w:sz w:val="24"/>
          <w:szCs w:val="24"/>
        </w:rPr>
        <w:t xml:space="preserve"> </w:t>
      </w:r>
      <w:r w:rsidRPr="00B108ED">
        <w:rPr>
          <w:rFonts w:eastAsia="Times New Roman"/>
          <w:sz w:val="24"/>
          <w:szCs w:val="24"/>
        </w:rPr>
        <w:t>[Accessed on 12.03.2026]</w:t>
      </w:r>
    </w:p>
    <w:p w14:paraId="456ECF5C" w14:textId="77777777" w:rsidR="000F793E" w:rsidRPr="00B108ED" w:rsidRDefault="000F793E" w:rsidP="00F55BBB">
      <w:pPr>
        <w:spacing w:line="360" w:lineRule="auto"/>
        <w:jc w:val="both"/>
        <w:rPr>
          <w:rFonts w:eastAsia="Times New Roman"/>
          <w:color w:val="EE0000"/>
          <w:sz w:val="24"/>
          <w:szCs w:val="24"/>
        </w:rPr>
      </w:pPr>
      <w:r w:rsidRPr="00B108ED">
        <w:rPr>
          <w:rFonts w:eastAsia="Times New Roman"/>
          <w:color w:val="000000" w:themeColor="text1"/>
          <w:sz w:val="24"/>
          <w:szCs w:val="24"/>
        </w:rPr>
        <w:t xml:space="preserve">Sec.gov (2024). </w:t>
      </w:r>
      <w:r w:rsidRPr="00B108ED">
        <w:rPr>
          <w:rFonts w:eastAsia="Times New Roman"/>
          <w:i/>
          <w:iCs/>
          <w:color w:val="000000" w:themeColor="text1"/>
          <w:sz w:val="24"/>
          <w:szCs w:val="24"/>
        </w:rPr>
        <w:t>Financial result of 2024</w:t>
      </w:r>
      <w:r w:rsidRPr="00B108ED">
        <w:rPr>
          <w:rFonts w:eastAsia="Times New Roman"/>
          <w:color w:val="000000" w:themeColor="text1"/>
          <w:sz w:val="24"/>
          <w:szCs w:val="24"/>
        </w:rPr>
        <w:t xml:space="preserve">. </w:t>
      </w:r>
      <w:hyperlink r:id="rId20" w:history="1">
        <w:r w:rsidRPr="00B108ED">
          <w:rPr>
            <w:rStyle w:val="Hyperlink"/>
            <w:rFonts w:eastAsia="Times New Roman"/>
            <w:sz w:val="24"/>
            <w:szCs w:val="24"/>
          </w:rPr>
          <w:t>https://www.sec.gov/Archives/edgar/data/1094517/000119312524167462/d807954d20f.htm</w:t>
        </w:r>
      </w:hyperlink>
      <w:r w:rsidRPr="00B108ED">
        <w:rPr>
          <w:rFonts w:eastAsia="Times New Roman"/>
          <w:color w:val="EE0000"/>
          <w:sz w:val="24"/>
          <w:szCs w:val="24"/>
        </w:rPr>
        <w:t xml:space="preserve"> </w:t>
      </w:r>
      <w:r w:rsidRPr="00B108ED">
        <w:rPr>
          <w:rFonts w:eastAsia="Times New Roman"/>
          <w:sz w:val="24"/>
          <w:szCs w:val="24"/>
        </w:rPr>
        <w:t>[Accessed on 12.03.2026]</w:t>
      </w:r>
    </w:p>
    <w:p w14:paraId="4715C673" w14:textId="77777777" w:rsidR="000F793E" w:rsidRPr="00B108ED" w:rsidRDefault="000F793E"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lastRenderedPageBreak/>
        <w:t xml:space="preserve">Sinaga, A.S., Sari, M.M., </w:t>
      </w:r>
      <w:proofErr w:type="spellStart"/>
      <w:r w:rsidRPr="00B108ED">
        <w:rPr>
          <w:rFonts w:eastAsia="Times New Roman"/>
          <w:color w:val="000000" w:themeColor="text1"/>
          <w:sz w:val="24"/>
          <w:szCs w:val="24"/>
        </w:rPr>
        <w:t>Hutasuhut</w:t>
      </w:r>
      <w:proofErr w:type="spellEnd"/>
      <w:r w:rsidRPr="00B108ED">
        <w:rPr>
          <w:rFonts w:eastAsia="Times New Roman"/>
          <w:color w:val="000000" w:themeColor="text1"/>
          <w:sz w:val="24"/>
          <w:szCs w:val="24"/>
        </w:rPr>
        <w:t>, A.A., Zahara, S.T., Amanda, A., Fitri, A. and Caesario, M.A., (2023). Comparison of capital budgeting methods: NPV, IRR, PAYBACK PERIOD. </w:t>
      </w:r>
      <w:r w:rsidRPr="00B108ED">
        <w:rPr>
          <w:rFonts w:eastAsia="Times New Roman"/>
          <w:i/>
          <w:iCs/>
          <w:color w:val="000000" w:themeColor="text1"/>
          <w:sz w:val="24"/>
          <w:szCs w:val="24"/>
        </w:rPr>
        <w:t>World Journal of Advanced Research and Reviews</w:t>
      </w:r>
      <w:r w:rsidRPr="00B108ED">
        <w:rPr>
          <w:rFonts w:eastAsia="Times New Roman"/>
          <w:color w:val="000000" w:themeColor="text1"/>
          <w:sz w:val="24"/>
          <w:szCs w:val="24"/>
        </w:rPr>
        <w:t>, </w:t>
      </w:r>
      <w:r w:rsidRPr="00B108ED">
        <w:rPr>
          <w:rFonts w:eastAsia="Times New Roman"/>
          <w:i/>
          <w:iCs/>
          <w:color w:val="000000" w:themeColor="text1"/>
          <w:sz w:val="24"/>
          <w:szCs w:val="24"/>
        </w:rPr>
        <w:t>19</w:t>
      </w:r>
      <w:r w:rsidRPr="00B108ED">
        <w:rPr>
          <w:rFonts w:eastAsia="Times New Roman"/>
          <w:color w:val="000000" w:themeColor="text1"/>
          <w:sz w:val="24"/>
          <w:szCs w:val="24"/>
        </w:rPr>
        <w:t>(2), pp.1078-1081.</w:t>
      </w:r>
    </w:p>
    <w:p w14:paraId="296B154D"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Statista, (2025).</w:t>
      </w:r>
      <w:r w:rsidRPr="00B108ED">
        <w:rPr>
          <w:rFonts w:eastAsia="Times New Roman"/>
          <w:i/>
          <w:iCs/>
          <w:sz w:val="24"/>
          <w:szCs w:val="24"/>
        </w:rPr>
        <w:t xml:space="preserve"> Automobile production. </w:t>
      </w:r>
      <w:r w:rsidRPr="00B108ED">
        <w:rPr>
          <w:rFonts w:eastAsia="Times New Roman"/>
          <w:sz w:val="24"/>
          <w:szCs w:val="24"/>
        </w:rPr>
        <w:t xml:space="preserve">Available at: </w:t>
      </w:r>
      <w:hyperlink r:id="rId21" w:tgtFrame="_blank" w:history="1">
        <w:r w:rsidRPr="00B108ED">
          <w:rPr>
            <w:rStyle w:val="Hyperlink"/>
            <w:rFonts w:eastAsia="Times New Roman"/>
            <w:sz w:val="24"/>
            <w:szCs w:val="24"/>
          </w:rPr>
          <w:t>https://www.statista.com/statistics/262747/worldwide-automobile-production-since-2000/?srsltid=AfmBOoreEEiKFedWKQZyNQSXrRq0-hcYLU2mlinh9MwVJ5ul9KtJqdE1</w:t>
        </w:r>
      </w:hyperlink>
      <w:r w:rsidRPr="00B108ED">
        <w:rPr>
          <w:rFonts w:eastAsia="Times New Roman"/>
          <w:sz w:val="24"/>
          <w:szCs w:val="24"/>
        </w:rPr>
        <w:t xml:space="preserve"> [Accessed on 12.03.2026]</w:t>
      </w:r>
    </w:p>
    <w:p w14:paraId="0C1CF78E"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 xml:space="preserve">Statista, (2025). </w:t>
      </w:r>
      <w:r w:rsidRPr="00B108ED">
        <w:rPr>
          <w:rFonts w:eastAsia="Times New Roman"/>
          <w:i/>
          <w:iCs/>
          <w:sz w:val="24"/>
          <w:szCs w:val="24"/>
        </w:rPr>
        <w:t xml:space="preserve">Inflation in automotive sector. </w:t>
      </w:r>
      <w:r w:rsidRPr="00B108ED">
        <w:rPr>
          <w:rFonts w:eastAsia="Times New Roman"/>
          <w:sz w:val="24"/>
          <w:szCs w:val="24"/>
        </w:rPr>
        <w:t xml:space="preserve">Available at: </w:t>
      </w:r>
      <w:hyperlink r:id="rId22" w:anchor="editorsPicks" w:history="1">
        <w:r w:rsidRPr="00B108ED">
          <w:rPr>
            <w:rStyle w:val="Hyperlink"/>
            <w:rFonts w:eastAsia="Times New Roman"/>
            <w:sz w:val="24"/>
            <w:szCs w:val="24"/>
          </w:rPr>
          <w:t>https://www.statista.com/topics/1487/automotive-industry/?srsltid=AfmBOoowK11vuGR_SKIpIm19biUI_SB39TZJYEwy9e_6frcBnbG50PNc#editorsPicks</w:t>
        </w:r>
      </w:hyperlink>
      <w:r w:rsidRPr="00B108ED">
        <w:rPr>
          <w:rFonts w:eastAsia="Times New Roman"/>
          <w:sz w:val="24"/>
          <w:szCs w:val="24"/>
        </w:rPr>
        <w:t xml:space="preserve"> [Accessed on 12.03.2026]</w:t>
      </w:r>
    </w:p>
    <w:p w14:paraId="4E51A820"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 xml:space="preserve">Theguardian, (2023). </w:t>
      </w:r>
      <w:r w:rsidRPr="00B108ED">
        <w:rPr>
          <w:rFonts w:eastAsia="Times New Roman"/>
          <w:i/>
          <w:iCs/>
          <w:sz w:val="24"/>
          <w:szCs w:val="24"/>
        </w:rPr>
        <w:t>Greenwashing.</w:t>
      </w:r>
      <w:r w:rsidRPr="00B108ED">
        <w:rPr>
          <w:rFonts w:eastAsia="Times New Roman"/>
          <w:sz w:val="24"/>
          <w:szCs w:val="24"/>
        </w:rPr>
        <w:t xml:space="preserve"> Available at: </w:t>
      </w:r>
      <w:hyperlink r:id="rId23" w:history="1">
        <w:r w:rsidRPr="00B108ED">
          <w:rPr>
            <w:rStyle w:val="Hyperlink"/>
            <w:rFonts w:eastAsia="Times New Roman"/>
            <w:sz w:val="24"/>
            <w:szCs w:val="24"/>
          </w:rPr>
          <w:t>https://www.theguardian.com/business/2023/mar/03/toyota-accused-of-greenwashing-in-greenpeace-complaint-filed-to-accc</w:t>
        </w:r>
      </w:hyperlink>
      <w:r w:rsidRPr="00B108ED">
        <w:rPr>
          <w:rFonts w:eastAsia="Times New Roman"/>
          <w:sz w:val="24"/>
          <w:szCs w:val="24"/>
        </w:rPr>
        <w:t xml:space="preserve">  [Accessed on 12.03.2026]</w:t>
      </w:r>
    </w:p>
    <w:p w14:paraId="2DABAD8A"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 xml:space="preserve">Toyota, (2026). </w:t>
      </w:r>
      <w:r w:rsidRPr="00B108ED">
        <w:rPr>
          <w:rFonts w:eastAsia="Times New Roman"/>
          <w:i/>
          <w:iCs/>
          <w:sz w:val="24"/>
          <w:szCs w:val="24"/>
        </w:rPr>
        <w:t xml:space="preserve">About company. </w:t>
      </w:r>
      <w:r w:rsidRPr="00B108ED">
        <w:rPr>
          <w:rFonts w:eastAsia="Times New Roman"/>
          <w:sz w:val="24"/>
          <w:szCs w:val="24"/>
        </w:rPr>
        <w:t xml:space="preserve">Available at: </w:t>
      </w:r>
      <w:hyperlink r:id="rId24" w:history="1">
        <w:r w:rsidRPr="00B108ED">
          <w:rPr>
            <w:rStyle w:val="Hyperlink"/>
            <w:rFonts w:eastAsia="Times New Roman"/>
            <w:sz w:val="24"/>
            <w:szCs w:val="24"/>
          </w:rPr>
          <w:t>https://www.toyota-europe.com/about-us/toyota-in-the-world</w:t>
        </w:r>
      </w:hyperlink>
      <w:r w:rsidRPr="00B108ED">
        <w:rPr>
          <w:rFonts w:eastAsia="Times New Roman"/>
          <w:sz w:val="24"/>
          <w:szCs w:val="24"/>
        </w:rPr>
        <w:t xml:space="preserve"> [Accessed on 12.03.2026]</w:t>
      </w:r>
    </w:p>
    <w:p w14:paraId="2E2D5FC6" w14:textId="77777777" w:rsidR="000F793E" w:rsidRPr="00B108ED" w:rsidRDefault="000F793E"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Trevisan, R., Ladu, M., Ghiani, E. and Balletto, G., (2024). Achieving net zero condominiums through energy community sharing. </w:t>
      </w:r>
      <w:r w:rsidRPr="00B108ED">
        <w:rPr>
          <w:rFonts w:eastAsia="Times New Roman"/>
          <w:i/>
          <w:iCs/>
          <w:color w:val="000000" w:themeColor="text1"/>
          <w:sz w:val="24"/>
          <w:szCs w:val="24"/>
        </w:rPr>
        <w:t>Sustainability</w:t>
      </w:r>
      <w:r w:rsidRPr="00B108ED">
        <w:rPr>
          <w:rFonts w:eastAsia="Times New Roman"/>
          <w:color w:val="000000" w:themeColor="text1"/>
          <w:sz w:val="24"/>
          <w:szCs w:val="24"/>
        </w:rPr>
        <w:t>, </w:t>
      </w:r>
      <w:r w:rsidRPr="00B108ED">
        <w:rPr>
          <w:rFonts w:eastAsia="Times New Roman"/>
          <w:i/>
          <w:iCs/>
          <w:color w:val="000000" w:themeColor="text1"/>
          <w:sz w:val="24"/>
          <w:szCs w:val="24"/>
        </w:rPr>
        <w:t>16</w:t>
      </w:r>
      <w:r w:rsidRPr="00B108ED">
        <w:rPr>
          <w:rFonts w:eastAsia="Times New Roman"/>
          <w:color w:val="000000" w:themeColor="text1"/>
          <w:sz w:val="24"/>
          <w:szCs w:val="24"/>
        </w:rPr>
        <w:t>(5), p.2076.</w:t>
      </w:r>
    </w:p>
    <w:p w14:paraId="1DC00433" w14:textId="77777777" w:rsidR="000F793E" w:rsidRPr="00B108ED" w:rsidRDefault="000F793E"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Wangchuk, P., (2022). Application of depreciation net present value and internal rate of return in engineering projects a brief literature review. </w:t>
      </w:r>
      <w:r w:rsidRPr="00B108ED">
        <w:rPr>
          <w:rFonts w:eastAsia="Times New Roman"/>
          <w:i/>
          <w:iCs/>
          <w:color w:val="000000" w:themeColor="text1"/>
          <w:sz w:val="24"/>
          <w:szCs w:val="24"/>
        </w:rPr>
        <w:t>Journal of Applied Engineering, Technology and Management</w:t>
      </w:r>
      <w:r w:rsidRPr="00B108ED">
        <w:rPr>
          <w:rFonts w:eastAsia="Times New Roman"/>
          <w:color w:val="000000" w:themeColor="text1"/>
          <w:sz w:val="24"/>
          <w:szCs w:val="24"/>
        </w:rPr>
        <w:t>, </w:t>
      </w:r>
      <w:r w:rsidRPr="00B108ED">
        <w:rPr>
          <w:rFonts w:eastAsia="Times New Roman"/>
          <w:i/>
          <w:iCs/>
          <w:color w:val="000000" w:themeColor="text1"/>
          <w:sz w:val="24"/>
          <w:szCs w:val="24"/>
        </w:rPr>
        <w:t>2</w:t>
      </w:r>
      <w:r w:rsidRPr="00B108ED">
        <w:rPr>
          <w:rFonts w:eastAsia="Times New Roman"/>
          <w:color w:val="000000" w:themeColor="text1"/>
          <w:sz w:val="24"/>
          <w:szCs w:val="24"/>
        </w:rPr>
        <w:t>(1), pp.25-30.</w:t>
      </w:r>
    </w:p>
    <w:p w14:paraId="6A6DE720" w14:textId="77777777" w:rsidR="000F793E" w:rsidRPr="00B108ED" w:rsidRDefault="000F793E" w:rsidP="00F55BBB">
      <w:pPr>
        <w:spacing w:line="360" w:lineRule="auto"/>
        <w:jc w:val="both"/>
        <w:rPr>
          <w:rFonts w:eastAsia="Times New Roman"/>
          <w:color w:val="000000" w:themeColor="text1"/>
          <w:sz w:val="24"/>
          <w:szCs w:val="24"/>
        </w:rPr>
      </w:pPr>
      <w:r w:rsidRPr="00B108ED">
        <w:rPr>
          <w:rFonts w:eastAsia="Times New Roman"/>
          <w:color w:val="000000" w:themeColor="text1"/>
          <w:sz w:val="24"/>
          <w:szCs w:val="24"/>
        </w:rPr>
        <w:t xml:space="preserve">Wu, W., Le, C., Shi, Y. and </w:t>
      </w:r>
      <w:proofErr w:type="spellStart"/>
      <w:r w:rsidRPr="00B108ED">
        <w:rPr>
          <w:rFonts w:eastAsia="Times New Roman"/>
          <w:color w:val="000000" w:themeColor="text1"/>
          <w:sz w:val="24"/>
          <w:szCs w:val="24"/>
        </w:rPr>
        <w:t>Alkaraan</w:t>
      </w:r>
      <w:proofErr w:type="spellEnd"/>
      <w:r w:rsidRPr="00B108ED">
        <w:rPr>
          <w:rFonts w:eastAsia="Times New Roman"/>
          <w:color w:val="000000" w:themeColor="text1"/>
          <w:sz w:val="24"/>
          <w:szCs w:val="24"/>
        </w:rPr>
        <w:t>, F., (2024). The influence of financial flexibility on firm performance: the moderating effects of investment efficiency and investment scale. </w:t>
      </w:r>
      <w:r w:rsidRPr="00B108ED">
        <w:rPr>
          <w:rFonts w:eastAsia="Times New Roman"/>
          <w:i/>
          <w:iCs/>
          <w:color w:val="000000" w:themeColor="text1"/>
          <w:sz w:val="24"/>
          <w:szCs w:val="24"/>
        </w:rPr>
        <w:t>Journal of Applied Accounting Research</w:t>
      </w:r>
      <w:r w:rsidRPr="00B108ED">
        <w:rPr>
          <w:rFonts w:eastAsia="Times New Roman"/>
          <w:color w:val="000000" w:themeColor="text1"/>
          <w:sz w:val="24"/>
          <w:szCs w:val="24"/>
        </w:rPr>
        <w:t>, </w:t>
      </w:r>
      <w:r w:rsidRPr="00B108ED">
        <w:rPr>
          <w:rFonts w:eastAsia="Times New Roman"/>
          <w:i/>
          <w:iCs/>
          <w:color w:val="000000" w:themeColor="text1"/>
          <w:sz w:val="24"/>
          <w:szCs w:val="24"/>
        </w:rPr>
        <w:t>25</w:t>
      </w:r>
      <w:r w:rsidRPr="00B108ED">
        <w:rPr>
          <w:rFonts w:eastAsia="Times New Roman"/>
          <w:color w:val="000000" w:themeColor="text1"/>
          <w:sz w:val="24"/>
          <w:szCs w:val="24"/>
        </w:rPr>
        <w:t>(5), pp.1183-1202.</w:t>
      </w:r>
    </w:p>
    <w:p w14:paraId="1548A539" w14:textId="77777777" w:rsidR="000F793E" w:rsidRPr="00B108ED" w:rsidRDefault="000F793E" w:rsidP="00F55BBB">
      <w:pPr>
        <w:spacing w:line="360" w:lineRule="auto"/>
        <w:jc w:val="both"/>
        <w:rPr>
          <w:rFonts w:eastAsia="Times New Roman"/>
          <w:sz w:val="24"/>
          <w:szCs w:val="24"/>
        </w:rPr>
      </w:pPr>
      <w:r w:rsidRPr="00B108ED">
        <w:rPr>
          <w:rFonts w:eastAsia="Times New Roman"/>
          <w:sz w:val="24"/>
          <w:szCs w:val="24"/>
        </w:rPr>
        <w:t>Wu, X., Gao, Y. and Hu, Y., (2024). Examining the effect of technology-related divestitures on exploratory innovation: evidence from China. </w:t>
      </w:r>
      <w:r w:rsidRPr="00B108ED">
        <w:rPr>
          <w:rFonts w:eastAsia="Times New Roman"/>
          <w:i/>
          <w:iCs/>
          <w:sz w:val="24"/>
          <w:szCs w:val="24"/>
        </w:rPr>
        <w:t>European Journal of Innovation Management</w:t>
      </w:r>
      <w:r w:rsidRPr="00B108ED">
        <w:rPr>
          <w:rFonts w:eastAsia="Times New Roman"/>
          <w:sz w:val="24"/>
          <w:szCs w:val="24"/>
        </w:rPr>
        <w:t>, </w:t>
      </w:r>
      <w:r w:rsidRPr="00B108ED">
        <w:rPr>
          <w:rFonts w:eastAsia="Times New Roman"/>
          <w:i/>
          <w:iCs/>
          <w:sz w:val="24"/>
          <w:szCs w:val="24"/>
        </w:rPr>
        <w:t>27</w:t>
      </w:r>
      <w:r w:rsidRPr="00B108ED">
        <w:rPr>
          <w:rFonts w:eastAsia="Times New Roman"/>
          <w:sz w:val="24"/>
          <w:szCs w:val="24"/>
        </w:rPr>
        <w:t>(8), pp.3083-3112.</w:t>
      </w:r>
    </w:p>
    <w:p w14:paraId="5540A43A" w14:textId="77777777" w:rsidR="00B41D33" w:rsidRPr="00B108ED" w:rsidRDefault="00B41D33" w:rsidP="00F55BBB">
      <w:pPr>
        <w:spacing w:line="360" w:lineRule="auto"/>
        <w:rPr>
          <w:b/>
          <w:sz w:val="28"/>
          <w:szCs w:val="40"/>
        </w:rPr>
      </w:pPr>
      <w:r w:rsidRPr="00B108ED">
        <w:br w:type="page"/>
      </w:r>
    </w:p>
    <w:p w14:paraId="7812BE4E" w14:textId="5ACBBDE3" w:rsidR="004133BC" w:rsidRPr="00B108ED" w:rsidRDefault="004133BC" w:rsidP="00F55BBB">
      <w:pPr>
        <w:pStyle w:val="Heading1"/>
        <w:spacing w:before="0" w:after="0" w:line="360" w:lineRule="auto"/>
        <w:rPr>
          <w:rFonts w:ascii="Arial" w:hAnsi="Arial"/>
        </w:rPr>
      </w:pPr>
      <w:bookmarkStart w:id="7" w:name="_Toc224234544"/>
      <w:r w:rsidRPr="00B108ED">
        <w:rPr>
          <w:rFonts w:ascii="Arial" w:hAnsi="Arial"/>
        </w:rPr>
        <w:lastRenderedPageBreak/>
        <w:t>Appendices</w:t>
      </w:r>
      <w:bookmarkEnd w:id="7"/>
    </w:p>
    <w:p w14:paraId="00AFBB65" w14:textId="10A6A819" w:rsidR="004133BC" w:rsidRPr="00B108ED" w:rsidRDefault="004133BC" w:rsidP="00F55BBB">
      <w:pPr>
        <w:pStyle w:val="Heading2"/>
        <w:spacing w:before="0" w:after="0" w:line="360" w:lineRule="auto"/>
        <w:rPr>
          <w:rFonts w:ascii="Arial" w:hAnsi="Arial"/>
        </w:rPr>
      </w:pPr>
      <w:bookmarkStart w:id="8" w:name="_Toc224234545"/>
      <w:r w:rsidRPr="00B108ED">
        <w:rPr>
          <w:rFonts w:ascii="Arial" w:hAnsi="Arial"/>
        </w:rPr>
        <w:t>Appendix 1: Ratio analysis</w:t>
      </w:r>
      <w:bookmarkEnd w:id="8"/>
      <w:r w:rsidRPr="00B108ED">
        <w:rPr>
          <w:rFonts w:ascii="Arial" w:hAnsi="Arial"/>
        </w:rPr>
        <w:t xml:space="preserve"> </w:t>
      </w:r>
    </w:p>
    <w:p w14:paraId="54D9942E" w14:textId="72024096" w:rsidR="00B41D33" w:rsidRPr="00B108ED" w:rsidRDefault="00B41D33" w:rsidP="00F55BBB">
      <w:pPr>
        <w:spacing w:line="360" w:lineRule="auto"/>
        <w:rPr>
          <w:b/>
          <w:bCs/>
          <w:sz w:val="24"/>
          <w:szCs w:val="24"/>
        </w:rPr>
      </w:pPr>
      <w:r w:rsidRPr="00B108ED">
        <w:rPr>
          <w:b/>
          <w:bCs/>
          <w:sz w:val="24"/>
          <w:szCs w:val="24"/>
        </w:rPr>
        <w:t xml:space="preserve">Profitability ratios </w:t>
      </w:r>
    </w:p>
    <w:tbl>
      <w:tblPr>
        <w:tblW w:w="9460" w:type="dxa"/>
        <w:tblLook w:val="04A0" w:firstRow="1" w:lastRow="0" w:firstColumn="1" w:lastColumn="0" w:noHBand="0" w:noVBand="1"/>
      </w:tblPr>
      <w:tblGrid>
        <w:gridCol w:w="3117"/>
        <w:gridCol w:w="1284"/>
        <w:gridCol w:w="1284"/>
        <w:gridCol w:w="1284"/>
        <w:gridCol w:w="1284"/>
        <w:gridCol w:w="1463"/>
      </w:tblGrid>
      <w:tr w:rsidR="00B41D33" w:rsidRPr="00B41D33" w14:paraId="1F88FE0B" w14:textId="77777777" w:rsidTr="00B41D33">
        <w:trPr>
          <w:trHeight w:val="300"/>
        </w:trPr>
        <w:tc>
          <w:tcPr>
            <w:tcW w:w="3117" w:type="dxa"/>
            <w:tcBorders>
              <w:top w:val="single" w:sz="4" w:space="0" w:color="auto"/>
              <w:left w:val="single" w:sz="4" w:space="0" w:color="auto"/>
              <w:bottom w:val="single" w:sz="4" w:space="0" w:color="auto"/>
              <w:right w:val="single" w:sz="4" w:space="0" w:color="auto"/>
            </w:tcBorders>
            <w:noWrap/>
            <w:vAlign w:val="bottom"/>
            <w:hideMark/>
          </w:tcPr>
          <w:p w14:paraId="3877185C"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Net profit margin</w:t>
            </w:r>
          </w:p>
        </w:tc>
        <w:tc>
          <w:tcPr>
            <w:tcW w:w="1220" w:type="dxa"/>
            <w:tcBorders>
              <w:top w:val="single" w:sz="4" w:space="0" w:color="auto"/>
              <w:left w:val="nil"/>
              <w:bottom w:val="single" w:sz="4" w:space="0" w:color="auto"/>
              <w:right w:val="single" w:sz="4" w:space="0" w:color="auto"/>
            </w:tcBorders>
            <w:noWrap/>
            <w:vAlign w:val="bottom"/>
            <w:hideMark/>
          </w:tcPr>
          <w:p w14:paraId="4BEE466E"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220" w:type="dxa"/>
            <w:tcBorders>
              <w:top w:val="single" w:sz="4" w:space="0" w:color="auto"/>
              <w:left w:val="nil"/>
              <w:bottom w:val="single" w:sz="4" w:space="0" w:color="auto"/>
              <w:right w:val="single" w:sz="4" w:space="0" w:color="auto"/>
            </w:tcBorders>
            <w:noWrap/>
            <w:vAlign w:val="bottom"/>
            <w:hideMark/>
          </w:tcPr>
          <w:p w14:paraId="0F10CEF8"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220" w:type="dxa"/>
            <w:tcBorders>
              <w:top w:val="single" w:sz="4" w:space="0" w:color="auto"/>
              <w:left w:val="nil"/>
              <w:bottom w:val="single" w:sz="4" w:space="0" w:color="auto"/>
              <w:right w:val="single" w:sz="4" w:space="0" w:color="auto"/>
            </w:tcBorders>
            <w:noWrap/>
            <w:vAlign w:val="bottom"/>
            <w:hideMark/>
          </w:tcPr>
          <w:p w14:paraId="12E0ADE1"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220" w:type="dxa"/>
            <w:tcBorders>
              <w:top w:val="single" w:sz="4" w:space="0" w:color="auto"/>
              <w:left w:val="nil"/>
              <w:bottom w:val="single" w:sz="4" w:space="0" w:color="auto"/>
              <w:right w:val="single" w:sz="4" w:space="0" w:color="auto"/>
            </w:tcBorders>
            <w:noWrap/>
            <w:vAlign w:val="bottom"/>
            <w:hideMark/>
          </w:tcPr>
          <w:p w14:paraId="507B438A"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463" w:type="dxa"/>
            <w:tcBorders>
              <w:top w:val="single" w:sz="4" w:space="0" w:color="auto"/>
              <w:left w:val="nil"/>
              <w:bottom w:val="single" w:sz="4" w:space="0" w:color="auto"/>
              <w:right w:val="single" w:sz="4" w:space="0" w:color="auto"/>
            </w:tcBorders>
            <w:noWrap/>
            <w:vAlign w:val="bottom"/>
            <w:hideMark/>
          </w:tcPr>
          <w:p w14:paraId="23DAE4D1"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r>
      <w:tr w:rsidR="00B41D33" w:rsidRPr="00B41D33" w14:paraId="41FE6B75" w14:textId="77777777" w:rsidTr="00B41D33">
        <w:trPr>
          <w:trHeight w:val="300"/>
        </w:trPr>
        <w:tc>
          <w:tcPr>
            <w:tcW w:w="3117" w:type="dxa"/>
            <w:tcBorders>
              <w:top w:val="nil"/>
              <w:left w:val="single" w:sz="4" w:space="0" w:color="auto"/>
              <w:bottom w:val="single" w:sz="4" w:space="0" w:color="auto"/>
              <w:right w:val="single" w:sz="4" w:space="0" w:color="auto"/>
            </w:tcBorders>
            <w:noWrap/>
            <w:vAlign w:val="bottom"/>
            <w:hideMark/>
          </w:tcPr>
          <w:p w14:paraId="6586B6D9"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220" w:type="dxa"/>
            <w:tcBorders>
              <w:top w:val="nil"/>
              <w:left w:val="nil"/>
              <w:bottom w:val="single" w:sz="4" w:space="0" w:color="auto"/>
              <w:right w:val="single" w:sz="4" w:space="0" w:color="auto"/>
            </w:tcBorders>
            <w:noWrap/>
            <w:vAlign w:val="bottom"/>
            <w:hideMark/>
          </w:tcPr>
          <w:p w14:paraId="7C218E47"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2024</w:t>
            </w:r>
          </w:p>
        </w:tc>
        <w:tc>
          <w:tcPr>
            <w:tcW w:w="1220" w:type="dxa"/>
            <w:tcBorders>
              <w:top w:val="nil"/>
              <w:left w:val="nil"/>
              <w:bottom w:val="single" w:sz="4" w:space="0" w:color="auto"/>
              <w:right w:val="single" w:sz="4" w:space="0" w:color="auto"/>
            </w:tcBorders>
            <w:noWrap/>
            <w:vAlign w:val="bottom"/>
            <w:hideMark/>
          </w:tcPr>
          <w:p w14:paraId="2E5C25C4"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2023</w:t>
            </w:r>
          </w:p>
        </w:tc>
        <w:tc>
          <w:tcPr>
            <w:tcW w:w="1220" w:type="dxa"/>
            <w:tcBorders>
              <w:top w:val="nil"/>
              <w:left w:val="nil"/>
              <w:bottom w:val="single" w:sz="4" w:space="0" w:color="auto"/>
              <w:right w:val="single" w:sz="4" w:space="0" w:color="auto"/>
            </w:tcBorders>
            <w:noWrap/>
            <w:vAlign w:val="bottom"/>
            <w:hideMark/>
          </w:tcPr>
          <w:p w14:paraId="2021A04E"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2022</w:t>
            </w:r>
          </w:p>
        </w:tc>
        <w:tc>
          <w:tcPr>
            <w:tcW w:w="1220" w:type="dxa"/>
            <w:tcBorders>
              <w:top w:val="nil"/>
              <w:left w:val="nil"/>
              <w:bottom w:val="single" w:sz="4" w:space="0" w:color="auto"/>
              <w:right w:val="single" w:sz="4" w:space="0" w:color="auto"/>
            </w:tcBorders>
            <w:noWrap/>
            <w:vAlign w:val="bottom"/>
            <w:hideMark/>
          </w:tcPr>
          <w:p w14:paraId="450F8A7B"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2021</w:t>
            </w:r>
          </w:p>
        </w:tc>
        <w:tc>
          <w:tcPr>
            <w:tcW w:w="1463" w:type="dxa"/>
            <w:tcBorders>
              <w:top w:val="nil"/>
              <w:left w:val="nil"/>
              <w:bottom w:val="single" w:sz="4" w:space="0" w:color="auto"/>
              <w:right w:val="single" w:sz="4" w:space="0" w:color="auto"/>
            </w:tcBorders>
            <w:noWrap/>
            <w:vAlign w:val="bottom"/>
            <w:hideMark/>
          </w:tcPr>
          <w:p w14:paraId="004068BB"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2020</w:t>
            </w:r>
          </w:p>
        </w:tc>
      </w:tr>
      <w:tr w:rsidR="00B41D33" w:rsidRPr="00B41D33" w14:paraId="3A4DC5CA" w14:textId="77777777" w:rsidTr="00B41D33">
        <w:trPr>
          <w:trHeight w:val="285"/>
        </w:trPr>
        <w:tc>
          <w:tcPr>
            <w:tcW w:w="3117" w:type="dxa"/>
            <w:tcBorders>
              <w:top w:val="nil"/>
              <w:left w:val="single" w:sz="4" w:space="0" w:color="auto"/>
              <w:bottom w:val="single" w:sz="4" w:space="0" w:color="auto"/>
              <w:right w:val="single" w:sz="4" w:space="0" w:color="auto"/>
            </w:tcBorders>
            <w:noWrap/>
            <w:vAlign w:val="bottom"/>
            <w:hideMark/>
          </w:tcPr>
          <w:p w14:paraId="586D30B6" w14:textId="77777777" w:rsidR="00B41D33" w:rsidRPr="00B41D33" w:rsidRDefault="00B41D33" w:rsidP="00F55BBB">
            <w:pPr>
              <w:spacing w:line="360" w:lineRule="auto"/>
              <w:rPr>
                <w:rFonts w:eastAsia="Times New Roman"/>
                <w:sz w:val="24"/>
                <w:szCs w:val="24"/>
              </w:rPr>
            </w:pPr>
            <w:r w:rsidRPr="00B41D33">
              <w:rPr>
                <w:rFonts w:eastAsia="Times New Roman"/>
                <w:sz w:val="24"/>
                <w:szCs w:val="24"/>
              </w:rPr>
              <w:t>Net profit</w:t>
            </w:r>
          </w:p>
        </w:tc>
        <w:tc>
          <w:tcPr>
            <w:tcW w:w="1220" w:type="dxa"/>
            <w:tcBorders>
              <w:top w:val="nil"/>
              <w:left w:val="nil"/>
              <w:bottom w:val="single" w:sz="4" w:space="0" w:color="auto"/>
              <w:right w:val="single" w:sz="4" w:space="0" w:color="auto"/>
            </w:tcBorders>
            <w:noWrap/>
            <w:vAlign w:val="bottom"/>
            <w:hideMark/>
          </w:tcPr>
          <w:p w14:paraId="6FF289BC"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5071421</w:t>
            </w:r>
          </w:p>
        </w:tc>
        <w:tc>
          <w:tcPr>
            <w:tcW w:w="1220" w:type="dxa"/>
            <w:tcBorders>
              <w:top w:val="nil"/>
              <w:left w:val="nil"/>
              <w:bottom w:val="single" w:sz="4" w:space="0" w:color="auto"/>
              <w:right w:val="single" w:sz="4" w:space="0" w:color="auto"/>
            </w:tcBorders>
            <w:noWrap/>
            <w:vAlign w:val="bottom"/>
            <w:hideMark/>
          </w:tcPr>
          <w:p w14:paraId="469AE669"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2492967</w:t>
            </w:r>
          </w:p>
        </w:tc>
        <w:tc>
          <w:tcPr>
            <w:tcW w:w="1220" w:type="dxa"/>
            <w:tcBorders>
              <w:top w:val="nil"/>
              <w:left w:val="nil"/>
              <w:bottom w:val="single" w:sz="4" w:space="0" w:color="auto"/>
              <w:right w:val="single" w:sz="4" w:space="0" w:color="auto"/>
            </w:tcBorders>
            <w:noWrap/>
            <w:vAlign w:val="bottom"/>
            <w:hideMark/>
          </w:tcPr>
          <w:p w14:paraId="3F862063"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2874614</w:t>
            </w:r>
          </w:p>
        </w:tc>
        <w:tc>
          <w:tcPr>
            <w:tcW w:w="1220" w:type="dxa"/>
            <w:tcBorders>
              <w:top w:val="nil"/>
              <w:left w:val="nil"/>
              <w:bottom w:val="single" w:sz="4" w:space="0" w:color="auto"/>
              <w:right w:val="single" w:sz="4" w:space="0" w:color="auto"/>
            </w:tcBorders>
            <w:noWrap/>
            <w:vAlign w:val="bottom"/>
            <w:hideMark/>
          </w:tcPr>
          <w:p w14:paraId="1795526E"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2282378</w:t>
            </w:r>
          </w:p>
        </w:tc>
        <w:tc>
          <w:tcPr>
            <w:tcW w:w="1463" w:type="dxa"/>
            <w:tcBorders>
              <w:top w:val="nil"/>
              <w:left w:val="nil"/>
              <w:bottom w:val="single" w:sz="4" w:space="0" w:color="auto"/>
              <w:right w:val="single" w:sz="4" w:space="0" w:color="auto"/>
            </w:tcBorders>
            <w:noWrap/>
            <w:vAlign w:val="bottom"/>
            <w:hideMark/>
          </w:tcPr>
          <w:p w14:paraId="5687FEFB"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2111125</w:t>
            </w:r>
          </w:p>
        </w:tc>
      </w:tr>
      <w:tr w:rsidR="00B41D33" w:rsidRPr="00B41D33" w14:paraId="66CF90E6" w14:textId="77777777" w:rsidTr="00B41D33">
        <w:trPr>
          <w:trHeight w:val="285"/>
        </w:trPr>
        <w:tc>
          <w:tcPr>
            <w:tcW w:w="3117" w:type="dxa"/>
            <w:tcBorders>
              <w:top w:val="nil"/>
              <w:left w:val="single" w:sz="4" w:space="0" w:color="auto"/>
              <w:bottom w:val="single" w:sz="4" w:space="0" w:color="auto"/>
              <w:right w:val="single" w:sz="4" w:space="0" w:color="auto"/>
            </w:tcBorders>
            <w:noWrap/>
            <w:vAlign w:val="bottom"/>
            <w:hideMark/>
          </w:tcPr>
          <w:p w14:paraId="54A9B1B8" w14:textId="77777777" w:rsidR="00B41D33" w:rsidRPr="00B41D33" w:rsidRDefault="00B41D33" w:rsidP="00F55BBB">
            <w:pPr>
              <w:spacing w:line="360" w:lineRule="auto"/>
              <w:rPr>
                <w:rFonts w:eastAsia="Times New Roman"/>
                <w:sz w:val="24"/>
                <w:szCs w:val="24"/>
              </w:rPr>
            </w:pPr>
            <w:r w:rsidRPr="00B41D33">
              <w:rPr>
                <w:rFonts w:eastAsia="Times New Roman"/>
                <w:sz w:val="24"/>
                <w:szCs w:val="24"/>
              </w:rPr>
              <w:t xml:space="preserve">Revenue </w:t>
            </w:r>
          </w:p>
        </w:tc>
        <w:tc>
          <w:tcPr>
            <w:tcW w:w="1220" w:type="dxa"/>
            <w:tcBorders>
              <w:top w:val="nil"/>
              <w:left w:val="nil"/>
              <w:bottom w:val="single" w:sz="4" w:space="0" w:color="auto"/>
              <w:right w:val="single" w:sz="4" w:space="0" w:color="auto"/>
            </w:tcBorders>
            <w:noWrap/>
            <w:vAlign w:val="bottom"/>
            <w:hideMark/>
          </w:tcPr>
          <w:p w14:paraId="0D13C9CC"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45095325</w:t>
            </w:r>
          </w:p>
        </w:tc>
        <w:tc>
          <w:tcPr>
            <w:tcW w:w="1220" w:type="dxa"/>
            <w:tcBorders>
              <w:top w:val="nil"/>
              <w:left w:val="nil"/>
              <w:bottom w:val="single" w:sz="4" w:space="0" w:color="auto"/>
              <w:right w:val="single" w:sz="4" w:space="0" w:color="auto"/>
            </w:tcBorders>
            <w:noWrap/>
            <w:vAlign w:val="bottom"/>
            <w:hideMark/>
          </w:tcPr>
          <w:p w14:paraId="4B314471"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37154298</w:t>
            </w:r>
          </w:p>
        </w:tc>
        <w:tc>
          <w:tcPr>
            <w:tcW w:w="1220" w:type="dxa"/>
            <w:tcBorders>
              <w:top w:val="nil"/>
              <w:left w:val="nil"/>
              <w:bottom w:val="single" w:sz="4" w:space="0" w:color="auto"/>
              <w:right w:val="single" w:sz="4" w:space="0" w:color="auto"/>
            </w:tcBorders>
            <w:noWrap/>
            <w:vAlign w:val="bottom"/>
            <w:hideMark/>
          </w:tcPr>
          <w:p w14:paraId="3C1B78C5"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31379507</w:t>
            </w:r>
          </w:p>
        </w:tc>
        <w:tc>
          <w:tcPr>
            <w:tcW w:w="1220" w:type="dxa"/>
            <w:tcBorders>
              <w:top w:val="nil"/>
              <w:left w:val="nil"/>
              <w:bottom w:val="single" w:sz="4" w:space="0" w:color="auto"/>
              <w:right w:val="single" w:sz="4" w:space="0" w:color="auto"/>
            </w:tcBorders>
            <w:noWrap/>
            <w:vAlign w:val="bottom"/>
            <w:hideMark/>
          </w:tcPr>
          <w:p w14:paraId="04F4EF9E"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27214594</w:t>
            </w:r>
          </w:p>
        </w:tc>
        <w:tc>
          <w:tcPr>
            <w:tcW w:w="1463" w:type="dxa"/>
            <w:tcBorders>
              <w:top w:val="nil"/>
              <w:left w:val="nil"/>
              <w:bottom w:val="single" w:sz="4" w:space="0" w:color="auto"/>
              <w:right w:val="single" w:sz="4" w:space="0" w:color="auto"/>
            </w:tcBorders>
            <w:noWrap/>
            <w:vAlign w:val="bottom"/>
            <w:hideMark/>
          </w:tcPr>
          <w:p w14:paraId="43992FE7"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29866547</w:t>
            </w:r>
          </w:p>
        </w:tc>
      </w:tr>
      <w:tr w:rsidR="00B41D33" w:rsidRPr="00B41D33" w14:paraId="5B1FAD9B" w14:textId="77777777" w:rsidTr="00B41D33">
        <w:trPr>
          <w:trHeight w:val="285"/>
        </w:trPr>
        <w:tc>
          <w:tcPr>
            <w:tcW w:w="3117" w:type="dxa"/>
            <w:tcBorders>
              <w:top w:val="nil"/>
              <w:left w:val="single" w:sz="4" w:space="0" w:color="auto"/>
              <w:bottom w:val="single" w:sz="4" w:space="0" w:color="auto"/>
              <w:right w:val="single" w:sz="4" w:space="0" w:color="auto"/>
            </w:tcBorders>
            <w:noWrap/>
            <w:vAlign w:val="bottom"/>
            <w:hideMark/>
          </w:tcPr>
          <w:p w14:paraId="43F6BB8B" w14:textId="77777777" w:rsidR="00B41D33" w:rsidRPr="00B41D33" w:rsidRDefault="00B41D33" w:rsidP="00F55BBB">
            <w:pPr>
              <w:spacing w:line="360" w:lineRule="auto"/>
              <w:rPr>
                <w:rFonts w:eastAsia="Times New Roman"/>
                <w:sz w:val="24"/>
                <w:szCs w:val="24"/>
              </w:rPr>
            </w:pPr>
            <w:r w:rsidRPr="00B41D33">
              <w:rPr>
                <w:rFonts w:eastAsia="Times New Roman"/>
                <w:sz w:val="24"/>
                <w:szCs w:val="24"/>
              </w:rPr>
              <w:t>Net profit/Revenue *100</w:t>
            </w:r>
          </w:p>
        </w:tc>
        <w:tc>
          <w:tcPr>
            <w:tcW w:w="1220" w:type="dxa"/>
            <w:tcBorders>
              <w:top w:val="nil"/>
              <w:left w:val="nil"/>
              <w:bottom w:val="single" w:sz="4" w:space="0" w:color="auto"/>
              <w:right w:val="single" w:sz="4" w:space="0" w:color="auto"/>
            </w:tcBorders>
            <w:noWrap/>
            <w:vAlign w:val="bottom"/>
            <w:hideMark/>
          </w:tcPr>
          <w:p w14:paraId="6B85A43A"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11.25</w:t>
            </w:r>
          </w:p>
        </w:tc>
        <w:tc>
          <w:tcPr>
            <w:tcW w:w="1220" w:type="dxa"/>
            <w:tcBorders>
              <w:top w:val="nil"/>
              <w:left w:val="nil"/>
              <w:bottom w:val="single" w:sz="4" w:space="0" w:color="auto"/>
              <w:right w:val="single" w:sz="4" w:space="0" w:color="auto"/>
            </w:tcBorders>
            <w:noWrap/>
            <w:vAlign w:val="bottom"/>
            <w:hideMark/>
          </w:tcPr>
          <w:p w14:paraId="00FA3205"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6.71</w:t>
            </w:r>
          </w:p>
        </w:tc>
        <w:tc>
          <w:tcPr>
            <w:tcW w:w="1220" w:type="dxa"/>
            <w:tcBorders>
              <w:top w:val="nil"/>
              <w:left w:val="nil"/>
              <w:bottom w:val="single" w:sz="4" w:space="0" w:color="auto"/>
              <w:right w:val="single" w:sz="4" w:space="0" w:color="auto"/>
            </w:tcBorders>
            <w:noWrap/>
            <w:vAlign w:val="bottom"/>
            <w:hideMark/>
          </w:tcPr>
          <w:p w14:paraId="195DA17E"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9.16</w:t>
            </w:r>
          </w:p>
        </w:tc>
        <w:tc>
          <w:tcPr>
            <w:tcW w:w="1220" w:type="dxa"/>
            <w:tcBorders>
              <w:top w:val="nil"/>
              <w:left w:val="nil"/>
              <w:bottom w:val="single" w:sz="4" w:space="0" w:color="auto"/>
              <w:right w:val="single" w:sz="4" w:space="0" w:color="auto"/>
            </w:tcBorders>
            <w:noWrap/>
            <w:vAlign w:val="bottom"/>
            <w:hideMark/>
          </w:tcPr>
          <w:p w14:paraId="380910AD"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8.39</w:t>
            </w:r>
          </w:p>
        </w:tc>
        <w:tc>
          <w:tcPr>
            <w:tcW w:w="1463" w:type="dxa"/>
            <w:tcBorders>
              <w:top w:val="nil"/>
              <w:left w:val="nil"/>
              <w:bottom w:val="single" w:sz="4" w:space="0" w:color="auto"/>
              <w:right w:val="single" w:sz="4" w:space="0" w:color="auto"/>
            </w:tcBorders>
            <w:noWrap/>
            <w:vAlign w:val="bottom"/>
            <w:hideMark/>
          </w:tcPr>
          <w:p w14:paraId="4ED1A123"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7.07</w:t>
            </w:r>
          </w:p>
        </w:tc>
      </w:tr>
    </w:tbl>
    <w:p w14:paraId="16656FDC" w14:textId="2BE91B17" w:rsidR="00BB255D" w:rsidRPr="00B108ED" w:rsidRDefault="00BB255D" w:rsidP="00F55BBB">
      <w:pPr>
        <w:spacing w:line="360" w:lineRule="auto"/>
        <w:jc w:val="center"/>
      </w:pPr>
    </w:p>
    <w:tbl>
      <w:tblPr>
        <w:tblW w:w="9800" w:type="dxa"/>
        <w:tblLook w:val="04A0" w:firstRow="1" w:lastRow="0" w:firstColumn="1" w:lastColumn="0" w:noHBand="0" w:noVBand="1"/>
      </w:tblPr>
      <w:tblGrid>
        <w:gridCol w:w="3280"/>
        <w:gridCol w:w="1284"/>
        <w:gridCol w:w="1284"/>
        <w:gridCol w:w="1284"/>
        <w:gridCol w:w="1284"/>
        <w:gridCol w:w="1540"/>
      </w:tblGrid>
      <w:tr w:rsidR="00B41D33" w:rsidRPr="00B41D33" w14:paraId="30C460A9" w14:textId="77777777" w:rsidTr="00B41D33">
        <w:trPr>
          <w:trHeight w:val="315"/>
        </w:trPr>
        <w:tc>
          <w:tcPr>
            <w:tcW w:w="3280" w:type="dxa"/>
            <w:tcBorders>
              <w:top w:val="single" w:sz="4" w:space="0" w:color="auto"/>
              <w:left w:val="single" w:sz="4" w:space="0" w:color="auto"/>
              <w:bottom w:val="single" w:sz="4" w:space="0" w:color="auto"/>
              <w:right w:val="single" w:sz="4" w:space="0" w:color="auto"/>
            </w:tcBorders>
            <w:noWrap/>
            <w:vAlign w:val="bottom"/>
            <w:hideMark/>
          </w:tcPr>
          <w:p w14:paraId="02CEA992"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Return on Assets (ROA)</w:t>
            </w:r>
          </w:p>
        </w:tc>
        <w:tc>
          <w:tcPr>
            <w:tcW w:w="1260" w:type="dxa"/>
            <w:tcBorders>
              <w:top w:val="single" w:sz="4" w:space="0" w:color="auto"/>
              <w:left w:val="nil"/>
              <w:bottom w:val="single" w:sz="4" w:space="0" w:color="auto"/>
              <w:right w:val="single" w:sz="4" w:space="0" w:color="auto"/>
            </w:tcBorders>
            <w:noWrap/>
            <w:vAlign w:val="bottom"/>
            <w:hideMark/>
          </w:tcPr>
          <w:p w14:paraId="4D4BF2C5"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240" w:type="dxa"/>
            <w:tcBorders>
              <w:top w:val="single" w:sz="4" w:space="0" w:color="auto"/>
              <w:left w:val="nil"/>
              <w:bottom w:val="single" w:sz="4" w:space="0" w:color="auto"/>
              <w:right w:val="single" w:sz="4" w:space="0" w:color="auto"/>
            </w:tcBorders>
            <w:noWrap/>
            <w:vAlign w:val="bottom"/>
            <w:hideMark/>
          </w:tcPr>
          <w:p w14:paraId="75AD5A44"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220" w:type="dxa"/>
            <w:tcBorders>
              <w:top w:val="single" w:sz="4" w:space="0" w:color="auto"/>
              <w:left w:val="nil"/>
              <w:bottom w:val="single" w:sz="4" w:space="0" w:color="auto"/>
              <w:right w:val="single" w:sz="4" w:space="0" w:color="auto"/>
            </w:tcBorders>
            <w:noWrap/>
            <w:vAlign w:val="bottom"/>
            <w:hideMark/>
          </w:tcPr>
          <w:p w14:paraId="166CC65C"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260" w:type="dxa"/>
            <w:tcBorders>
              <w:top w:val="single" w:sz="4" w:space="0" w:color="auto"/>
              <w:left w:val="nil"/>
              <w:bottom w:val="single" w:sz="4" w:space="0" w:color="auto"/>
              <w:right w:val="single" w:sz="4" w:space="0" w:color="auto"/>
            </w:tcBorders>
            <w:noWrap/>
            <w:vAlign w:val="bottom"/>
            <w:hideMark/>
          </w:tcPr>
          <w:p w14:paraId="66028160"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540" w:type="dxa"/>
            <w:tcBorders>
              <w:top w:val="single" w:sz="4" w:space="0" w:color="auto"/>
              <w:left w:val="nil"/>
              <w:bottom w:val="single" w:sz="4" w:space="0" w:color="auto"/>
              <w:right w:val="single" w:sz="4" w:space="0" w:color="auto"/>
            </w:tcBorders>
            <w:noWrap/>
            <w:vAlign w:val="bottom"/>
            <w:hideMark/>
          </w:tcPr>
          <w:p w14:paraId="092A246F"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r>
      <w:tr w:rsidR="00B41D33" w:rsidRPr="00B41D33" w14:paraId="4FE860C1" w14:textId="77777777" w:rsidTr="00B41D33">
        <w:trPr>
          <w:trHeight w:val="315"/>
        </w:trPr>
        <w:tc>
          <w:tcPr>
            <w:tcW w:w="3280" w:type="dxa"/>
            <w:tcBorders>
              <w:top w:val="nil"/>
              <w:left w:val="single" w:sz="4" w:space="0" w:color="auto"/>
              <w:bottom w:val="single" w:sz="4" w:space="0" w:color="auto"/>
              <w:right w:val="single" w:sz="4" w:space="0" w:color="auto"/>
            </w:tcBorders>
            <w:noWrap/>
            <w:vAlign w:val="bottom"/>
            <w:hideMark/>
          </w:tcPr>
          <w:p w14:paraId="78BCFEEB" w14:textId="77777777" w:rsidR="00B41D33" w:rsidRPr="00B41D33" w:rsidRDefault="00B41D33" w:rsidP="00F55BBB">
            <w:pPr>
              <w:spacing w:line="360" w:lineRule="auto"/>
              <w:rPr>
                <w:rFonts w:eastAsia="Times New Roman"/>
                <w:b/>
                <w:bCs/>
                <w:sz w:val="24"/>
                <w:szCs w:val="24"/>
              </w:rPr>
            </w:pPr>
            <w:r w:rsidRPr="00B41D33">
              <w:rPr>
                <w:rFonts w:eastAsia="Times New Roman"/>
                <w:b/>
                <w:bCs/>
                <w:sz w:val="24"/>
                <w:szCs w:val="24"/>
              </w:rPr>
              <w:t> </w:t>
            </w:r>
          </w:p>
        </w:tc>
        <w:tc>
          <w:tcPr>
            <w:tcW w:w="1260" w:type="dxa"/>
            <w:tcBorders>
              <w:top w:val="nil"/>
              <w:left w:val="nil"/>
              <w:bottom w:val="single" w:sz="4" w:space="0" w:color="auto"/>
              <w:right w:val="single" w:sz="4" w:space="0" w:color="auto"/>
            </w:tcBorders>
            <w:noWrap/>
            <w:vAlign w:val="bottom"/>
            <w:hideMark/>
          </w:tcPr>
          <w:p w14:paraId="058C812D"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2024</w:t>
            </w:r>
          </w:p>
        </w:tc>
        <w:tc>
          <w:tcPr>
            <w:tcW w:w="1240" w:type="dxa"/>
            <w:tcBorders>
              <w:top w:val="nil"/>
              <w:left w:val="nil"/>
              <w:bottom w:val="single" w:sz="4" w:space="0" w:color="auto"/>
              <w:right w:val="single" w:sz="4" w:space="0" w:color="auto"/>
            </w:tcBorders>
            <w:noWrap/>
            <w:vAlign w:val="bottom"/>
            <w:hideMark/>
          </w:tcPr>
          <w:p w14:paraId="7A443BF0"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2023</w:t>
            </w:r>
          </w:p>
        </w:tc>
        <w:tc>
          <w:tcPr>
            <w:tcW w:w="1220" w:type="dxa"/>
            <w:tcBorders>
              <w:top w:val="nil"/>
              <w:left w:val="nil"/>
              <w:bottom w:val="single" w:sz="4" w:space="0" w:color="auto"/>
              <w:right w:val="single" w:sz="4" w:space="0" w:color="auto"/>
            </w:tcBorders>
            <w:noWrap/>
            <w:vAlign w:val="bottom"/>
            <w:hideMark/>
          </w:tcPr>
          <w:p w14:paraId="26BC66EB"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2022</w:t>
            </w:r>
          </w:p>
        </w:tc>
        <w:tc>
          <w:tcPr>
            <w:tcW w:w="1260" w:type="dxa"/>
            <w:tcBorders>
              <w:top w:val="nil"/>
              <w:left w:val="nil"/>
              <w:bottom w:val="single" w:sz="4" w:space="0" w:color="auto"/>
              <w:right w:val="single" w:sz="4" w:space="0" w:color="auto"/>
            </w:tcBorders>
            <w:noWrap/>
            <w:vAlign w:val="bottom"/>
            <w:hideMark/>
          </w:tcPr>
          <w:p w14:paraId="24C4FB3F"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2021</w:t>
            </w:r>
          </w:p>
        </w:tc>
        <w:tc>
          <w:tcPr>
            <w:tcW w:w="1540" w:type="dxa"/>
            <w:tcBorders>
              <w:top w:val="nil"/>
              <w:left w:val="nil"/>
              <w:bottom w:val="single" w:sz="4" w:space="0" w:color="auto"/>
              <w:right w:val="single" w:sz="4" w:space="0" w:color="auto"/>
            </w:tcBorders>
            <w:noWrap/>
            <w:vAlign w:val="bottom"/>
            <w:hideMark/>
          </w:tcPr>
          <w:p w14:paraId="33E76A5E" w14:textId="77777777" w:rsidR="00B41D33" w:rsidRPr="00B41D33" w:rsidRDefault="00B41D33" w:rsidP="00F55BBB">
            <w:pPr>
              <w:spacing w:line="360" w:lineRule="auto"/>
              <w:jc w:val="right"/>
              <w:rPr>
                <w:rFonts w:eastAsia="Times New Roman"/>
                <w:b/>
                <w:bCs/>
                <w:sz w:val="24"/>
                <w:szCs w:val="24"/>
              </w:rPr>
            </w:pPr>
            <w:r w:rsidRPr="00B41D33">
              <w:rPr>
                <w:rFonts w:eastAsia="Times New Roman"/>
                <w:b/>
                <w:bCs/>
                <w:sz w:val="24"/>
                <w:szCs w:val="24"/>
              </w:rPr>
              <w:t>2020</w:t>
            </w:r>
          </w:p>
        </w:tc>
      </w:tr>
      <w:tr w:rsidR="00B41D33" w:rsidRPr="00B41D33" w14:paraId="36993DD9" w14:textId="77777777" w:rsidTr="00B41D33">
        <w:trPr>
          <w:trHeight w:val="300"/>
        </w:trPr>
        <w:tc>
          <w:tcPr>
            <w:tcW w:w="3280" w:type="dxa"/>
            <w:tcBorders>
              <w:top w:val="nil"/>
              <w:left w:val="single" w:sz="4" w:space="0" w:color="auto"/>
              <w:bottom w:val="single" w:sz="4" w:space="0" w:color="auto"/>
              <w:right w:val="single" w:sz="4" w:space="0" w:color="auto"/>
            </w:tcBorders>
            <w:noWrap/>
            <w:vAlign w:val="bottom"/>
            <w:hideMark/>
          </w:tcPr>
          <w:p w14:paraId="20D4A654" w14:textId="77777777" w:rsidR="00B41D33" w:rsidRPr="00B41D33" w:rsidRDefault="00B41D33" w:rsidP="00F55BBB">
            <w:pPr>
              <w:spacing w:line="360" w:lineRule="auto"/>
              <w:rPr>
                <w:rFonts w:eastAsia="Times New Roman"/>
                <w:sz w:val="24"/>
                <w:szCs w:val="24"/>
              </w:rPr>
            </w:pPr>
            <w:r w:rsidRPr="00B41D33">
              <w:rPr>
                <w:rFonts w:eastAsia="Times New Roman"/>
                <w:sz w:val="24"/>
                <w:szCs w:val="24"/>
              </w:rPr>
              <w:t>Net profit</w:t>
            </w:r>
          </w:p>
        </w:tc>
        <w:tc>
          <w:tcPr>
            <w:tcW w:w="1260" w:type="dxa"/>
            <w:tcBorders>
              <w:top w:val="nil"/>
              <w:left w:val="nil"/>
              <w:bottom w:val="single" w:sz="4" w:space="0" w:color="auto"/>
              <w:right w:val="single" w:sz="4" w:space="0" w:color="auto"/>
            </w:tcBorders>
            <w:noWrap/>
            <w:vAlign w:val="bottom"/>
            <w:hideMark/>
          </w:tcPr>
          <w:p w14:paraId="18FDB2AB"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5071421</w:t>
            </w:r>
          </w:p>
        </w:tc>
        <w:tc>
          <w:tcPr>
            <w:tcW w:w="1240" w:type="dxa"/>
            <w:tcBorders>
              <w:top w:val="nil"/>
              <w:left w:val="nil"/>
              <w:bottom w:val="single" w:sz="4" w:space="0" w:color="auto"/>
              <w:right w:val="single" w:sz="4" w:space="0" w:color="auto"/>
            </w:tcBorders>
            <w:noWrap/>
            <w:vAlign w:val="bottom"/>
            <w:hideMark/>
          </w:tcPr>
          <w:p w14:paraId="57BC0EE7"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2492967</w:t>
            </w:r>
          </w:p>
        </w:tc>
        <w:tc>
          <w:tcPr>
            <w:tcW w:w="1220" w:type="dxa"/>
            <w:tcBorders>
              <w:top w:val="nil"/>
              <w:left w:val="nil"/>
              <w:bottom w:val="single" w:sz="4" w:space="0" w:color="auto"/>
              <w:right w:val="single" w:sz="4" w:space="0" w:color="auto"/>
            </w:tcBorders>
            <w:noWrap/>
            <w:vAlign w:val="bottom"/>
            <w:hideMark/>
          </w:tcPr>
          <w:p w14:paraId="6494AA61"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2874614</w:t>
            </w:r>
          </w:p>
        </w:tc>
        <w:tc>
          <w:tcPr>
            <w:tcW w:w="1260" w:type="dxa"/>
            <w:tcBorders>
              <w:top w:val="nil"/>
              <w:left w:val="nil"/>
              <w:bottom w:val="single" w:sz="4" w:space="0" w:color="auto"/>
              <w:right w:val="single" w:sz="4" w:space="0" w:color="auto"/>
            </w:tcBorders>
            <w:noWrap/>
            <w:vAlign w:val="bottom"/>
            <w:hideMark/>
          </w:tcPr>
          <w:p w14:paraId="36592BBF"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2282378</w:t>
            </w:r>
          </w:p>
        </w:tc>
        <w:tc>
          <w:tcPr>
            <w:tcW w:w="1540" w:type="dxa"/>
            <w:tcBorders>
              <w:top w:val="nil"/>
              <w:left w:val="nil"/>
              <w:bottom w:val="single" w:sz="4" w:space="0" w:color="auto"/>
              <w:right w:val="single" w:sz="4" w:space="0" w:color="auto"/>
            </w:tcBorders>
            <w:noWrap/>
            <w:vAlign w:val="bottom"/>
            <w:hideMark/>
          </w:tcPr>
          <w:p w14:paraId="15F0166E"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2111125</w:t>
            </w:r>
          </w:p>
        </w:tc>
      </w:tr>
      <w:tr w:rsidR="00B41D33" w:rsidRPr="00B41D33" w14:paraId="77EF65C0" w14:textId="77777777" w:rsidTr="00B41D33">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E6770A" w14:textId="77777777" w:rsidR="00B41D33" w:rsidRPr="00B41D33" w:rsidRDefault="00B41D33" w:rsidP="00F55BBB">
            <w:pPr>
              <w:spacing w:line="360" w:lineRule="auto"/>
              <w:rPr>
                <w:rFonts w:eastAsia="Times New Roman"/>
                <w:sz w:val="24"/>
                <w:szCs w:val="24"/>
              </w:rPr>
            </w:pPr>
            <w:r w:rsidRPr="00B41D33">
              <w:rPr>
                <w:rFonts w:eastAsia="Times New Roman"/>
                <w:sz w:val="24"/>
                <w:szCs w:val="24"/>
              </w:rPr>
              <w:t>Total Assets</w:t>
            </w:r>
          </w:p>
        </w:tc>
        <w:tc>
          <w:tcPr>
            <w:tcW w:w="1260" w:type="dxa"/>
            <w:tcBorders>
              <w:top w:val="nil"/>
              <w:left w:val="nil"/>
              <w:bottom w:val="single" w:sz="4" w:space="0" w:color="auto"/>
              <w:right w:val="single" w:sz="4" w:space="0" w:color="auto"/>
            </w:tcBorders>
            <w:noWrap/>
            <w:vAlign w:val="bottom"/>
            <w:hideMark/>
          </w:tcPr>
          <w:p w14:paraId="37717FDE"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90114296</w:t>
            </w:r>
          </w:p>
        </w:tc>
        <w:tc>
          <w:tcPr>
            <w:tcW w:w="1240" w:type="dxa"/>
            <w:tcBorders>
              <w:top w:val="nil"/>
              <w:left w:val="nil"/>
              <w:bottom w:val="single" w:sz="4" w:space="0" w:color="auto"/>
              <w:right w:val="single" w:sz="4" w:space="0" w:color="auto"/>
            </w:tcBorders>
            <w:noWrap/>
            <w:vAlign w:val="bottom"/>
            <w:hideMark/>
          </w:tcPr>
          <w:p w14:paraId="18433B32"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74303180</w:t>
            </w:r>
          </w:p>
        </w:tc>
        <w:tc>
          <w:tcPr>
            <w:tcW w:w="1220" w:type="dxa"/>
            <w:tcBorders>
              <w:top w:val="nil"/>
              <w:left w:val="nil"/>
              <w:bottom w:val="single" w:sz="4" w:space="0" w:color="auto"/>
              <w:right w:val="single" w:sz="4" w:space="0" w:color="auto"/>
            </w:tcBorders>
            <w:noWrap/>
            <w:vAlign w:val="bottom"/>
            <w:hideMark/>
          </w:tcPr>
          <w:p w14:paraId="6642B4F1"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67688771</w:t>
            </w:r>
          </w:p>
        </w:tc>
        <w:tc>
          <w:tcPr>
            <w:tcW w:w="1260" w:type="dxa"/>
            <w:tcBorders>
              <w:top w:val="nil"/>
              <w:left w:val="nil"/>
              <w:bottom w:val="single" w:sz="4" w:space="0" w:color="auto"/>
              <w:right w:val="single" w:sz="4" w:space="0" w:color="auto"/>
            </w:tcBorders>
            <w:noWrap/>
            <w:vAlign w:val="bottom"/>
            <w:hideMark/>
          </w:tcPr>
          <w:p w14:paraId="28248234"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62267140</w:t>
            </w:r>
          </w:p>
        </w:tc>
        <w:tc>
          <w:tcPr>
            <w:tcW w:w="1540" w:type="dxa"/>
            <w:tcBorders>
              <w:top w:val="nil"/>
              <w:left w:val="nil"/>
              <w:bottom w:val="single" w:sz="4" w:space="0" w:color="auto"/>
              <w:right w:val="single" w:sz="4" w:space="0" w:color="auto"/>
            </w:tcBorders>
            <w:noWrap/>
            <w:vAlign w:val="bottom"/>
            <w:hideMark/>
          </w:tcPr>
          <w:p w14:paraId="1BA3DA03"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53972363</w:t>
            </w:r>
          </w:p>
        </w:tc>
      </w:tr>
      <w:tr w:rsidR="00B41D33" w:rsidRPr="00B41D33" w14:paraId="4093390F" w14:textId="77777777" w:rsidTr="00B41D33">
        <w:trPr>
          <w:trHeight w:val="300"/>
        </w:trPr>
        <w:tc>
          <w:tcPr>
            <w:tcW w:w="3280" w:type="dxa"/>
            <w:tcBorders>
              <w:top w:val="nil"/>
              <w:left w:val="single" w:sz="4" w:space="0" w:color="auto"/>
              <w:bottom w:val="single" w:sz="4" w:space="0" w:color="auto"/>
              <w:right w:val="single" w:sz="4" w:space="0" w:color="auto"/>
            </w:tcBorders>
            <w:noWrap/>
            <w:vAlign w:val="bottom"/>
            <w:hideMark/>
          </w:tcPr>
          <w:p w14:paraId="361F6D96" w14:textId="77777777" w:rsidR="00B41D33" w:rsidRPr="00B41D33" w:rsidRDefault="00B41D33" w:rsidP="00F55BBB">
            <w:pPr>
              <w:spacing w:line="360" w:lineRule="auto"/>
              <w:rPr>
                <w:rFonts w:eastAsia="Times New Roman"/>
                <w:sz w:val="24"/>
                <w:szCs w:val="24"/>
              </w:rPr>
            </w:pPr>
            <w:r w:rsidRPr="00B41D33">
              <w:rPr>
                <w:rFonts w:eastAsia="Times New Roman"/>
                <w:sz w:val="24"/>
                <w:szCs w:val="24"/>
              </w:rPr>
              <w:t>Total income/ Total Assets</w:t>
            </w:r>
          </w:p>
        </w:tc>
        <w:tc>
          <w:tcPr>
            <w:tcW w:w="1260" w:type="dxa"/>
            <w:tcBorders>
              <w:top w:val="nil"/>
              <w:left w:val="nil"/>
              <w:bottom w:val="single" w:sz="4" w:space="0" w:color="auto"/>
              <w:right w:val="single" w:sz="4" w:space="0" w:color="auto"/>
            </w:tcBorders>
            <w:noWrap/>
            <w:vAlign w:val="bottom"/>
            <w:hideMark/>
          </w:tcPr>
          <w:p w14:paraId="6EBBF0A0"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5.63</w:t>
            </w:r>
          </w:p>
        </w:tc>
        <w:tc>
          <w:tcPr>
            <w:tcW w:w="1240" w:type="dxa"/>
            <w:tcBorders>
              <w:top w:val="nil"/>
              <w:left w:val="nil"/>
              <w:bottom w:val="single" w:sz="4" w:space="0" w:color="auto"/>
              <w:right w:val="single" w:sz="4" w:space="0" w:color="auto"/>
            </w:tcBorders>
            <w:noWrap/>
            <w:vAlign w:val="bottom"/>
            <w:hideMark/>
          </w:tcPr>
          <w:p w14:paraId="3B0B21DC"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3.36</w:t>
            </w:r>
          </w:p>
        </w:tc>
        <w:tc>
          <w:tcPr>
            <w:tcW w:w="1220" w:type="dxa"/>
            <w:tcBorders>
              <w:top w:val="nil"/>
              <w:left w:val="nil"/>
              <w:bottom w:val="single" w:sz="4" w:space="0" w:color="auto"/>
              <w:right w:val="single" w:sz="4" w:space="0" w:color="auto"/>
            </w:tcBorders>
            <w:noWrap/>
            <w:vAlign w:val="bottom"/>
            <w:hideMark/>
          </w:tcPr>
          <w:p w14:paraId="351ED8F4"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4.25</w:t>
            </w:r>
          </w:p>
        </w:tc>
        <w:tc>
          <w:tcPr>
            <w:tcW w:w="1260" w:type="dxa"/>
            <w:tcBorders>
              <w:top w:val="nil"/>
              <w:left w:val="nil"/>
              <w:bottom w:val="single" w:sz="4" w:space="0" w:color="auto"/>
              <w:right w:val="single" w:sz="4" w:space="0" w:color="auto"/>
            </w:tcBorders>
            <w:noWrap/>
            <w:vAlign w:val="bottom"/>
            <w:hideMark/>
          </w:tcPr>
          <w:p w14:paraId="7B75CEEC"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3.67</w:t>
            </w:r>
          </w:p>
        </w:tc>
        <w:tc>
          <w:tcPr>
            <w:tcW w:w="1540" w:type="dxa"/>
            <w:tcBorders>
              <w:top w:val="nil"/>
              <w:left w:val="nil"/>
              <w:bottom w:val="single" w:sz="4" w:space="0" w:color="auto"/>
              <w:right w:val="single" w:sz="4" w:space="0" w:color="auto"/>
            </w:tcBorders>
            <w:noWrap/>
            <w:vAlign w:val="bottom"/>
            <w:hideMark/>
          </w:tcPr>
          <w:p w14:paraId="71901C1B" w14:textId="77777777" w:rsidR="00B41D33" w:rsidRPr="00B41D33" w:rsidRDefault="00B41D33" w:rsidP="00F55BBB">
            <w:pPr>
              <w:spacing w:line="360" w:lineRule="auto"/>
              <w:jc w:val="right"/>
              <w:rPr>
                <w:rFonts w:eastAsia="Times New Roman"/>
                <w:sz w:val="24"/>
                <w:szCs w:val="24"/>
              </w:rPr>
            </w:pPr>
            <w:r w:rsidRPr="00B41D33">
              <w:rPr>
                <w:rFonts w:eastAsia="Times New Roman"/>
                <w:sz w:val="24"/>
                <w:szCs w:val="24"/>
              </w:rPr>
              <w:t>3.91</w:t>
            </w:r>
          </w:p>
        </w:tc>
      </w:tr>
    </w:tbl>
    <w:p w14:paraId="75FC17E1" w14:textId="77777777" w:rsidR="00B41D33" w:rsidRPr="00B108ED" w:rsidRDefault="00B41D33" w:rsidP="00F55BBB">
      <w:pPr>
        <w:spacing w:line="360" w:lineRule="auto"/>
        <w:jc w:val="center"/>
      </w:pPr>
    </w:p>
    <w:p w14:paraId="22B39A30" w14:textId="4CD40CEA" w:rsidR="00BB255D" w:rsidRPr="00B108ED" w:rsidRDefault="00B41D33" w:rsidP="00F55BBB">
      <w:pPr>
        <w:spacing w:line="360" w:lineRule="auto"/>
        <w:jc w:val="both"/>
        <w:rPr>
          <w:b/>
          <w:bCs/>
          <w:sz w:val="24"/>
          <w:szCs w:val="24"/>
        </w:rPr>
      </w:pPr>
      <w:r w:rsidRPr="00B108ED">
        <w:rPr>
          <w:b/>
          <w:bCs/>
          <w:sz w:val="24"/>
          <w:szCs w:val="24"/>
        </w:rPr>
        <w:t>Efficiency Ratio</w:t>
      </w:r>
    </w:p>
    <w:tbl>
      <w:tblPr>
        <w:tblW w:w="9800" w:type="dxa"/>
        <w:tblLook w:val="04A0" w:firstRow="1" w:lastRow="0" w:firstColumn="1" w:lastColumn="0" w:noHBand="0" w:noVBand="1"/>
      </w:tblPr>
      <w:tblGrid>
        <w:gridCol w:w="3280"/>
        <w:gridCol w:w="1284"/>
        <w:gridCol w:w="1284"/>
        <w:gridCol w:w="1284"/>
        <w:gridCol w:w="1284"/>
        <w:gridCol w:w="1540"/>
      </w:tblGrid>
      <w:tr w:rsidR="00F55BBB" w:rsidRPr="00F55BBB" w14:paraId="0D4BFEC1" w14:textId="77777777" w:rsidTr="00F55BBB">
        <w:trPr>
          <w:trHeight w:val="315"/>
        </w:trPr>
        <w:tc>
          <w:tcPr>
            <w:tcW w:w="3280" w:type="dxa"/>
            <w:tcBorders>
              <w:top w:val="single" w:sz="4" w:space="0" w:color="auto"/>
              <w:left w:val="single" w:sz="4" w:space="0" w:color="auto"/>
              <w:bottom w:val="single" w:sz="4" w:space="0" w:color="auto"/>
              <w:right w:val="single" w:sz="4" w:space="0" w:color="auto"/>
            </w:tcBorders>
            <w:noWrap/>
            <w:vAlign w:val="bottom"/>
            <w:hideMark/>
          </w:tcPr>
          <w:p w14:paraId="55CCE9BA"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xml:space="preserve">Asset turnover ratio </w:t>
            </w:r>
          </w:p>
        </w:tc>
        <w:tc>
          <w:tcPr>
            <w:tcW w:w="1260" w:type="dxa"/>
            <w:tcBorders>
              <w:top w:val="single" w:sz="4" w:space="0" w:color="auto"/>
              <w:left w:val="nil"/>
              <w:bottom w:val="single" w:sz="4" w:space="0" w:color="auto"/>
              <w:right w:val="single" w:sz="4" w:space="0" w:color="auto"/>
            </w:tcBorders>
            <w:noWrap/>
            <w:vAlign w:val="bottom"/>
            <w:hideMark/>
          </w:tcPr>
          <w:p w14:paraId="312F6707"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1240" w:type="dxa"/>
            <w:tcBorders>
              <w:top w:val="single" w:sz="4" w:space="0" w:color="auto"/>
              <w:left w:val="nil"/>
              <w:bottom w:val="single" w:sz="4" w:space="0" w:color="auto"/>
              <w:right w:val="single" w:sz="4" w:space="0" w:color="auto"/>
            </w:tcBorders>
            <w:noWrap/>
            <w:vAlign w:val="bottom"/>
            <w:hideMark/>
          </w:tcPr>
          <w:p w14:paraId="029044F3"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1220" w:type="dxa"/>
            <w:tcBorders>
              <w:top w:val="single" w:sz="4" w:space="0" w:color="auto"/>
              <w:left w:val="nil"/>
              <w:bottom w:val="single" w:sz="4" w:space="0" w:color="auto"/>
              <w:right w:val="single" w:sz="4" w:space="0" w:color="auto"/>
            </w:tcBorders>
            <w:noWrap/>
            <w:vAlign w:val="bottom"/>
            <w:hideMark/>
          </w:tcPr>
          <w:p w14:paraId="73B1C3BD"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1260" w:type="dxa"/>
            <w:tcBorders>
              <w:top w:val="single" w:sz="4" w:space="0" w:color="auto"/>
              <w:left w:val="nil"/>
              <w:bottom w:val="single" w:sz="4" w:space="0" w:color="auto"/>
              <w:right w:val="single" w:sz="4" w:space="0" w:color="auto"/>
            </w:tcBorders>
            <w:noWrap/>
            <w:vAlign w:val="bottom"/>
            <w:hideMark/>
          </w:tcPr>
          <w:p w14:paraId="05AF22FA"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1540" w:type="dxa"/>
            <w:tcBorders>
              <w:top w:val="single" w:sz="4" w:space="0" w:color="auto"/>
              <w:left w:val="nil"/>
              <w:bottom w:val="single" w:sz="4" w:space="0" w:color="auto"/>
              <w:right w:val="single" w:sz="4" w:space="0" w:color="auto"/>
            </w:tcBorders>
            <w:noWrap/>
            <w:vAlign w:val="bottom"/>
            <w:hideMark/>
          </w:tcPr>
          <w:p w14:paraId="2ADD77DC"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r>
      <w:tr w:rsidR="00F55BBB" w:rsidRPr="00F55BBB" w14:paraId="312CF5A7" w14:textId="77777777" w:rsidTr="00F55BBB">
        <w:trPr>
          <w:trHeight w:val="315"/>
        </w:trPr>
        <w:tc>
          <w:tcPr>
            <w:tcW w:w="3280" w:type="dxa"/>
            <w:tcBorders>
              <w:top w:val="nil"/>
              <w:left w:val="single" w:sz="4" w:space="0" w:color="auto"/>
              <w:bottom w:val="single" w:sz="4" w:space="0" w:color="auto"/>
              <w:right w:val="single" w:sz="4" w:space="0" w:color="auto"/>
            </w:tcBorders>
            <w:noWrap/>
            <w:vAlign w:val="bottom"/>
            <w:hideMark/>
          </w:tcPr>
          <w:p w14:paraId="3778DEB2"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1260" w:type="dxa"/>
            <w:tcBorders>
              <w:top w:val="nil"/>
              <w:left w:val="nil"/>
              <w:bottom w:val="single" w:sz="4" w:space="0" w:color="auto"/>
              <w:right w:val="single" w:sz="4" w:space="0" w:color="auto"/>
            </w:tcBorders>
            <w:noWrap/>
            <w:vAlign w:val="bottom"/>
            <w:hideMark/>
          </w:tcPr>
          <w:p w14:paraId="33042F6D"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2024</w:t>
            </w:r>
          </w:p>
        </w:tc>
        <w:tc>
          <w:tcPr>
            <w:tcW w:w="1240" w:type="dxa"/>
            <w:tcBorders>
              <w:top w:val="nil"/>
              <w:left w:val="nil"/>
              <w:bottom w:val="single" w:sz="4" w:space="0" w:color="auto"/>
              <w:right w:val="single" w:sz="4" w:space="0" w:color="auto"/>
            </w:tcBorders>
            <w:noWrap/>
            <w:vAlign w:val="bottom"/>
            <w:hideMark/>
          </w:tcPr>
          <w:p w14:paraId="429C3D7E"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2023</w:t>
            </w:r>
          </w:p>
        </w:tc>
        <w:tc>
          <w:tcPr>
            <w:tcW w:w="1220" w:type="dxa"/>
            <w:tcBorders>
              <w:top w:val="nil"/>
              <w:left w:val="nil"/>
              <w:bottom w:val="single" w:sz="4" w:space="0" w:color="auto"/>
              <w:right w:val="single" w:sz="4" w:space="0" w:color="auto"/>
            </w:tcBorders>
            <w:noWrap/>
            <w:vAlign w:val="bottom"/>
            <w:hideMark/>
          </w:tcPr>
          <w:p w14:paraId="7EEFDCE4"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2022</w:t>
            </w:r>
          </w:p>
        </w:tc>
        <w:tc>
          <w:tcPr>
            <w:tcW w:w="1260" w:type="dxa"/>
            <w:tcBorders>
              <w:top w:val="nil"/>
              <w:left w:val="nil"/>
              <w:bottom w:val="single" w:sz="4" w:space="0" w:color="auto"/>
              <w:right w:val="single" w:sz="4" w:space="0" w:color="auto"/>
            </w:tcBorders>
            <w:noWrap/>
            <w:vAlign w:val="bottom"/>
            <w:hideMark/>
          </w:tcPr>
          <w:p w14:paraId="52FA1A07"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2021</w:t>
            </w:r>
          </w:p>
        </w:tc>
        <w:tc>
          <w:tcPr>
            <w:tcW w:w="1540" w:type="dxa"/>
            <w:tcBorders>
              <w:top w:val="nil"/>
              <w:left w:val="nil"/>
              <w:bottom w:val="single" w:sz="4" w:space="0" w:color="auto"/>
              <w:right w:val="single" w:sz="4" w:space="0" w:color="auto"/>
            </w:tcBorders>
            <w:noWrap/>
            <w:vAlign w:val="bottom"/>
            <w:hideMark/>
          </w:tcPr>
          <w:p w14:paraId="5FC55A7A"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2020</w:t>
            </w:r>
          </w:p>
        </w:tc>
      </w:tr>
      <w:tr w:rsidR="00F55BBB" w:rsidRPr="00F55BBB" w14:paraId="6DF52C65" w14:textId="77777777" w:rsidTr="00F55BBB">
        <w:trPr>
          <w:trHeight w:val="300"/>
        </w:trPr>
        <w:tc>
          <w:tcPr>
            <w:tcW w:w="3280" w:type="dxa"/>
            <w:tcBorders>
              <w:top w:val="nil"/>
              <w:left w:val="single" w:sz="4" w:space="0" w:color="auto"/>
              <w:bottom w:val="single" w:sz="4" w:space="0" w:color="auto"/>
              <w:right w:val="single" w:sz="4" w:space="0" w:color="auto"/>
            </w:tcBorders>
            <w:noWrap/>
            <w:vAlign w:val="bottom"/>
            <w:hideMark/>
          </w:tcPr>
          <w:p w14:paraId="24D8E0C2"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Revenue </w:t>
            </w:r>
          </w:p>
        </w:tc>
        <w:tc>
          <w:tcPr>
            <w:tcW w:w="1260" w:type="dxa"/>
            <w:tcBorders>
              <w:top w:val="nil"/>
              <w:left w:val="nil"/>
              <w:bottom w:val="single" w:sz="4" w:space="0" w:color="auto"/>
              <w:right w:val="single" w:sz="4" w:space="0" w:color="auto"/>
            </w:tcBorders>
            <w:noWrap/>
            <w:vAlign w:val="bottom"/>
            <w:hideMark/>
          </w:tcPr>
          <w:p w14:paraId="2F334B31"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45095325</w:t>
            </w:r>
          </w:p>
        </w:tc>
        <w:tc>
          <w:tcPr>
            <w:tcW w:w="1240" w:type="dxa"/>
            <w:tcBorders>
              <w:top w:val="nil"/>
              <w:left w:val="nil"/>
              <w:bottom w:val="single" w:sz="4" w:space="0" w:color="auto"/>
              <w:right w:val="single" w:sz="4" w:space="0" w:color="auto"/>
            </w:tcBorders>
            <w:noWrap/>
            <w:vAlign w:val="bottom"/>
            <w:hideMark/>
          </w:tcPr>
          <w:p w14:paraId="5DD8730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37154298</w:t>
            </w:r>
          </w:p>
        </w:tc>
        <w:tc>
          <w:tcPr>
            <w:tcW w:w="1220" w:type="dxa"/>
            <w:tcBorders>
              <w:top w:val="nil"/>
              <w:left w:val="nil"/>
              <w:bottom w:val="single" w:sz="4" w:space="0" w:color="auto"/>
              <w:right w:val="single" w:sz="4" w:space="0" w:color="auto"/>
            </w:tcBorders>
            <w:noWrap/>
            <w:vAlign w:val="bottom"/>
            <w:hideMark/>
          </w:tcPr>
          <w:p w14:paraId="53C2111C"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31379507</w:t>
            </w:r>
          </w:p>
        </w:tc>
        <w:tc>
          <w:tcPr>
            <w:tcW w:w="1260" w:type="dxa"/>
            <w:tcBorders>
              <w:top w:val="nil"/>
              <w:left w:val="nil"/>
              <w:bottom w:val="single" w:sz="4" w:space="0" w:color="auto"/>
              <w:right w:val="single" w:sz="4" w:space="0" w:color="auto"/>
            </w:tcBorders>
            <w:noWrap/>
            <w:vAlign w:val="bottom"/>
            <w:hideMark/>
          </w:tcPr>
          <w:p w14:paraId="57174E24"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27214594</w:t>
            </w:r>
          </w:p>
        </w:tc>
        <w:tc>
          <w:tcPr>
            <w:tcW w:w="1540" w:type="dxa"/>
            <w:tcBorders>
              <w:top w:val="nil"/>
              <w:left w:val="nil"/>
              <w:bottom w:val="single" w:sz="4" w:space="0" w:color="auto"/>
              <w:right w:val="single" w:sz="4" w:space="0" w:color="auto"/>
            </w:tcBorders>
            <w:noWrap/>
            <w:vAlign w:val="bottom"/>
            <w:hideMark/>
          </w:tcPr>
          <w:p w14:paraId="341D954B"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29866547</w:t>
            </w:r>
          </w:p>
        </w:tc>
      </w:tr>
      <w:tr w:rsidR="00F55BBB" w:rsidRPr="00F55BBB" w14:paraId="763F6E42" w14:textId="77777777" w:rsidTr="00F55BBB">
        <w:trPr>
          <w:trHeight w:val="300"/>
        </w:trPr>
        <w:tc>
          <w:tcPr>
            <w:tcW w:w="3280" w:type="dxa"/>
            <w:tcBorders>
              <w:top w:val="nil"/>
              <w:left w:val="single" w:sz="4" w:space="0" w:color="auto"/>
              <w:bottom w:val="single" w:sz="4" w:space="0" w:color="auto"/>
              <w:right w:val="single" w:sz="4" w:space="0" w:color="auto"/>
            </w:tcBorders>
            <w:noWrap/>
            <w:vAlign w:val="bottom"/>
            <w:hideMark/>
          </w:tcPr>
          <w:p w14:paraId="71B509D6"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Assets </w:t>
            </w:r>
          </w:p>
        </w:tc>
        <w:tc>
          <w:tcPr>
            <w:tcW w:w="1260" w:type="dxa"/>
            <w:tcBorders>
              <w:top w:val="nil"/>
              <w:left w:val="nil"/>
              <w:bottom w:val="single" w:sz="4" w:space="0" w:color="auto"/>
              <w:right w:val="single" w:sz="4" w:space="0" w:color="auto"/>
            </w:tcBorders>
            <w:noWrap/>
            <w:vAlign w:val="bottom"/>
            <w:hideMark/>
          </w:tcPr>
          <w:p w14:paraId="49474D5A"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90114296</w:t>
            </w:r>
          </w:p>
        </w:tc>
        <w:tc>
          <w:tcPr>
            <w:tcW w:w="1240" w:type="dxa"/>
            <w:tcBorders>
              <w:top w:val="nil"/>
              <w:left w:val="nil"/>
              <w:bottom w:val="single" w:sz="4" w:space="0" w:color="auto"/>
              <w:right w:val="single" w:sz="4" w:space="0" w:color="auto"/>
            </w:tcBorders>
            <w:noWrap/>
            <w:vAlign w:val="bottom"/>
            <w:hideMark/>
          </w:tcPr>
          <w:p w14:paraId="4F6F6437"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74303180</w:t>
            </w:r>
          </w:p>
        </w:tc>
        <w:tc>
          <w:tcPr>
            <w:tcW w:w="1220" w:type="dxa"/>
            <w:tcBorders>
              <w:top w:val="nil"/>
              <w:left w:val="nil"/>
              <w:bottom w:val="single" w:sz="4" w:space="0" w:color="auto"/>
              <w:right w:val="single" w:sz="4" w:space="0" w:color="auto"/>
            </w:tcBorders>
            <w:noWrap/>
            <w:vAlign w:val="bottom"/>
            <w:hideMark/>
          </w:tcPr>
          <w:p w14:paraId="7F6468BE"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67688771</w:t>
            </w:r>
          </w:p>
        </w:tc>
        <w:tc>
          <w:tcPr>
            <w:tcW w:w="1260" w:type="dxa"/>
            <w:tcBorders>
              <w:top w:val="nil"/>
              <w:left w:val="nil"/>
              <w:bottom w:val="single" w:sz="4" w:space="0" w:color="auto"/>
              <w:right w:val="single" w:sz="4" w:space="0" w:color="auto"/>
            </w:tcBorders>
            <w:noWrap/>
            <w:vAlign w:val="bottom"/>
            <w:hideMark/>
          </w:tcPr>
          <w:p w14:paraId="4A134E43"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62267140</w:t>
            </w:r>
          </w:p>
        </w:tc>
        <w:tc>
          <w:tcPr>
            <w:tcW w:w="1540" w:type="dxa"/>
            <w:tcBorders>
              <w:top w:val="nil"/>
              <w:left w:val="nil"/>
              <w:bottom w:val="single" w:sz="4" w:space="0" w:color="auto"/>
              <w:right w:val="single" w:sz="4" w:space="0" w:color="auto"/>
            </w:tcBorders>
            <w:noWrap/>
            <w:vAlign w:val="bottom"/>
            <w:hideMark/>
          </w:tcPr>
          <w:p w14:paraId="61AE4950"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53972363</w:t>
            </w:r>
          </w:p>
        </w:tc>
      </w:tr>
      <w:tr w:rsidR="00F55BBB" w:rsidRPr="00F55BBB" w14:paraId="320698CB" w14:textId="77777777" w:rsidTr="00F55BBB">
        <w:trPr>
          <w:trHeight w:val="300"/>
        </w:trPr>
        <w:tc>
          <w:tcPr>
            <w:tcW w:w="3280" w:type="dxa"/>
            <w:tcBorders>
              <w:top w:val="nil"/>
              <w:left w:val="single" w:sz="4" w:space="0" w:color="auto"/>
              <w:bottom w:val="single" w:sz="4" w:space="0" w:color="auto"/>
              <w:right w:val="single" w:sz="4" w:space="0" w:color="auto"/>
            </w:tcBorders>
            <w:noWrap/>
            <w:vAlign w:val="bottom"/>
            <w:hideMark/>
          </w:tcPr>
          <w:p w14:paraId="7A75BEE7"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Revenue/Assets</w:t>
            </w:r>
          </w:p>
        </w:tc>
        <w:tc>
          <w:tcPr>
            <w:tcW w:w="1260" w:type="dxa"/>
            <w:tcBorders>
              <w:top w:val="nil"/>
              <w:left w:val="nil"/>
              <w:bottom w:val="single" w:sz="4" w:space="0" w:color="auto"/>
              <w:right w:val="single" w:sz="4" w:space="0" w:color="auto"/>
            </w:tcBorders>
            <w:noWrap/>
            <w:vAlign w:val="bottom"/>
            <w:hideMark/>
          </w:tcPr>
          <w:p w14:paraId="1229978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0.50</w:t>
            </w:r>
          </w:p>
        </w:tc>
        <w:tc>
          <w:tcPr>
            <w:tcW w:w="1240" w:type="dxa"/>
            <w:tcBorders>
              <w:top w:val="nil"/>
              <w:left w:val="nil"/>
              <w:bottom w:val="single" w:sz="4" w:space="0" w:color="auto"/>
              <w:right w:val="single" w:sz="4" w:space="0" w:color="auto"/>
            </w:tcBorders>
            <w:noWrap/>
            <w:vAlign w:val="bottom"/>
            <w:hideMark/>
          </w:tcPr>
          <w:p w14:paraId="60A720BC"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0.50</w:t>
            </w:r>
          </w:p>
        </w:tc>
        <w:tc>
          <w:tcPr>
            <w:tcW w:w="1220" w:type="dxa"/>
            <w:tcBorders>
              <w:top w:val="nil"/>
              <w:left w:val="nil"/>
              <w:bottom w:val="single" w:sz="4" w:space="0" w:color="auto"/>
              <w:right w:val="single" w:sz="4" w:space="0" w:color="auto"/>
            </w:tcBorders>
            <w:noWrap/>
            <w:vAlign w:val="bottom"/>
            <w:hideMark/>
          </w:tcPr>
          <w:p w14:paraId="069FAE75"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0.46</w:t>
            </w:r>
          </w:p>
        </w:tc>
        <w:tc>
          <w:tcPr>
            <w:tcW w:w="1260" w:type="dxa"/>
            <w:tcBorders>
              <w:top w:val="nil"/>
              <w:left w:val="nil"/>
              <w:bottom w:val="single" w:sz="4" w:space="0" w:color="auto"/>
              <w:right w:val="single" w:sz="4" w:space="0" w:color="auto"/>
            </w:tcBorders>
            <w:noWrap/>
            <w:vAlign w:val="bottom"/>
            <w:hideMark/>
          </w:tcPr>
          <w:p w14:paraId="36F47008"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0.44</w:t>
            </w:r>
          </w:p>
        </w:tc>
        <w:tc>
          <w:tcPr>
            <w:tcW w:w="1540" w:type="dxa"/>
            <w:tcBorders>
              <w:top w:val="nil"/>
              <w:left w:val="nil"/>
              <w:bottom w:val="single" w:sz="4" w:space="0" w:color="auto"/>
              <w:right w:val="single" w:sz="4" w:space="0" w:color="auto"/>
            </w:tcBorders>
            <w:noWrap/>
            <w:vAlign w:val="bottom"/>
            <w:hideMark/>
          </w:tcPr>
          <w:p w14:paraId="5A7ABF37"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0.55</w:t>
            </w:r>
          </w:p>
        </w:tc>
      </w:tr>
    </w:tbl>
    <w:p w14:paraId="7AD7B42A" w14:textId="56DD84F5" w:rsidR="00BB255D" w:rsidRPr="00B108ED" w:rsidRDefault="00BB255D" w:rsidP="00F55BBB">
      <w:pPr>
        <w:spacing w:line="360" w:lineRule="auto"/>
        <w:jc w:val="center"/>
      </w:pPr>
    </w:p>
    <w:tbl>
      <w:tblPr>
        <w:tblW w:w="5000" w:type="pct"/>
        <w:tblLook w:val="04A0" w:firstRow="1" w:lastRow="0" w:firstColumn="1" w:lastColumn="0" w:noHBand="0" w:noVBand="1"/>
      </w:tblPr>
      <w:tblGrid>
        <w:gridCol w:w="3539"/>
        <w:gridCol w:w="1096"/>
        <w:gridCol w:w="1096"/>
        <w:gridCol w:w="1096"/>
        <w:gridCol w:w="1096"/>
        <w:gridCol w:w="1096"/>
      </w:tblGrid>
      <w:tr w:rsidR="00F55BBB" w:rsidRPr="00F55BBB" w14:paraId="3A8E7170" w14:textId="77777777" w:rsidTr="00F55BBB">
        <w:trPr>
          <w:trHeight w:val="315"/>
        </w:trPr>
        <w:tc>
          <w:tcPr>
            <w:tcW w:w="1936" w:type="pct"/>
            <w:tcBorders>
              <w:top w:val="single" w:sz="4" w:space="0" w:color="auto"/>
              <w:left w:val="single" w:sz="4" w:space="0" w:color="auto"/>
              <w:bottom w:val="single" w:sz="4" w:space="0" w:color="auto"/>
              <w:right w:val="single" w:sz="4" w:space="0" w:color="auto"/>
            </w:tcBorders>
            <w:noWrap/>
            <w:vAlign w:val="bottom"/>
            <w:hideMark/>
          </w:tcPr>
          <w:p w14:paraId="6687B297"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xml:space="preserve">Inventory turnover ratio </w:t>
            </w:r>
          </w:p>
        </w:tc>
        <w:tc>
          <w:tcPr>
            <w:tcW w:w="589" w:type="pct"/>
            <w:tcBorders>
              <w:top w:val="single" w:sz="4" w:space="0" w:color="auto"/>
              <w:left w:val="nil"/>
              <w:bottom w:val="single" w:sz="4" w:space="0" w:color="auto"/>
              <w:right w:val="single" w:sz="4" w:space="0" w:color="auto"/>
            </w:tcBorders>
            <w:noWrap/>
            <w:vAlign w:val="bottom"/>
            <w:hideMark/>
          </w:tcPr>
          <w:p w14:paraId="7EDB26A4"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589" w:type="pct"/>
            <w:tcBorders>
              <w:top w:val="single" w:sz="4" w:space="0" w:color="auto"/>
              <w:left w:val="nil"/>
              <w:bottom w:val="single" w:sz="4" w:space="0" w:color="auto"/>
              <w:right w:val="single" w:sz="4" w:space="0" w:color="auto"/>
            </w:tcBorders>
            <w:noWrap/>
            <w:vAlign w:val="bottom"/>
            <w:hideMark/>
          </w:tcPr>
          <w:p w14:paraId="38664EF9"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589" w:type="pct"/>
            <w:tcBorders>
              <w:top w:val="single" w:sz="4" w:space="0" w:color="auto"/>
              <w:left w:val="nil"/>
              <w:bottom w:val="single" w:sz="4" w:space="0" w:color="auto"/>
              <w:right w:val="single" w:sz="4" w:space="0" w:color="auto"/>
            </w:tcBorders>
            <w:noWrap/>
            <w:vAlign w:val="bottom"/>
            <w:hideMark/>
          </w:tcPr>
          <w:p w14:paraId="47F087CA"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589" w:type="pct"/>
            <w:tcBorders>
              <w:top w:val="single" w:sz="4" w:space="0" w:color="auto"/>
              <w:left w:val="nil"/>
              <w:bottom w:val="single" w:sz="4" w:space="0" w:color="auto"/>
              <w:right w:val="single" w:sz="4" w:space="0" w:color="auto"/>
            </w:tcBorders>
            <w:noWrap/>
            <w:vAlign w:val="bottom"/>
            <w:hideMark/>
          </w:tcPr>
          <w:p w14:paraId="71962859"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707" w:type="pct"/>
            <w:tcBorders>
              <w:top w:val="single" w:sz="4" w:space="0" w:color="auto"/>
              <w:left w:val="nil"/>
              <w:bottom w:val="single" w:sz="4" w:space="0" w:color="auto"/>
              <w:right w:val="single" w:sz="4" w:space="0" w:color="auto"/>
            </w:tcBorders>
            <w:noWrap/>
            <w:vAlign w:val="bottom"/>
            <w:hideMark/>
          </w:tcPr>
          <w:p w14:paraId="2896C19D"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r>
      <w:tr w:rsidR="00F55BBB" w:rsidRPr="00F55BBB" w14:paraId="444E7F8C" w14:textId="77777777" w:rsidTr="00F55BBB">
        <w:trPr>
          <w:trHeight w:val="315"/>
        </w:trPr>
        <w:tc>
          <w:tcPr>
            <w:tcW w:w="1936" w:type="pct"/>
            <w:tcBorders>
              <w:top w:val="nil"/>
              <w:left w:val="single" w:sz="4" w:space="0" w:color="auto"/>
              <w:bottom w:val="single" w:sz="4" w:space="0" w:color="auto"/>
              <w:right w:val="single" w:sz="4" w:space="0" w:color="auto"/>
            </w:tcBorders>
            <w:noWrap/>
            <w:vAlign w:val="bottom"/>
            <w:hideMark/>
          </w:tcPr>
          <w:p w14:paraId="05A2A185"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589" w:type="pct"/>
            <w:tcBorders>
              <w:top w:val="nil"/>
              <w:left w:val="nil"/>
              <w:bottom w:val="single" w:sz="4" w:space="0" w:color="auto"/>
              <w:right w:val="single" w:sz="4" w:space="0" w:color="auto"/>
            </w:tcBorders>
            <w:noWrap/>
            <w:vAlign w:val="bottom"/>
            <w:hideMark/>
          </w:tcPr>
          <w:p w14:paraId="4B1B17E6"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2024</w:t>
            </w:r>
          </w:p>
        </w:tc>
        <w:tc>
          <w:tcPr>
            <w:tcW w:w="589" w:type="pct"/>
            <w:tcBorders>
              <w:top w:val="nil"/>
              <w:left w:val="nil"/>
              <w:bottom w:val="single" w:sz="4" w:space="0" w:color="auto"/>
              <w:right w:val="single" w:sz="4" w:space="0" w:color="auto"/>
            </w:tcBorders>
            <w:noWrap/>
            <w:vAlign w:val="bottom"/>
            <w:hideMark/>
          </w:tcPr>
          <w:p w14:paraId="6970AF50"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2023</w:t>
            </w:r>
          </w:p>
        </w:tc>
        <w:tc>
          <w:tcPr>
            <w:tcW w:w="589" w:type="pct"/>
            <w:tcBorders>
              <w:top w:val="nil"/>
              <w:left w:val="nil"/>
              <w:bottom w:val="single" w:sz="4" w:space="0" w:color="auto"/>
              <w:right w:val="single" w:sz="4" w:space="0" w:color="auto"/>
            </w:tcBorders>
            <w:noWrap/>
            <w:vAlign w:val="bottom"/>
            <w:hideMark/>
          </w:tcPr>
          <w:p w14:paraId="23028B52"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2022</w:t>
            </w:r>
          </w:p>
        </w:tc>
        <w:tc>
          <w:tcPr>
            <w:tcW w:w="589" w:type="pct"/>
            <w:tcBorders>
              <w:top w:val="nil"/>
              <w:left w:val="nil"/>
              <w:bottom w:val="single" w:sz="4" w:space="0" w:color="auto"/>
              <w:right w:val="single" w:sz="4" w:space="0" w:color="auto"/>
            </w:tcBorders>
            <w:noWrap/>
            <w:vAlign w:val="bottom"/>
            <w:hideMark/>
          </w:tcPr>
          <w:p w14:paraId="33A79AE9"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2021</w:t>
            </w:r>
          </w:p>
        </w:tc>
        <w:tc>
          <w:tcPr>
            <w:tcW w:w="707" w:type="pct"/>
            <w:tcBorders>
              <w:top w:val="nil"/>
              <w:left w:val="nil"/>
              <w:bottom w:val="single" w:sz="4" w:space="0" w:color="auto"/>
              <w:right w:val="single" w:sz="4" w:space="0" w:color="auto"/>
            </w:tcBorders>
            <w:noWrap/>
            <w:vAlign w:val="bottom"/>
            <w:hideMark/>
          </w:tcPr>
          <w:p w14:paraId="3FEEB97B"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2020</w:t>
            </w:r>
          </w:p>
        </w:tc>
      </w:tr>
      <w:tr w:rsidR="00F55BBB" w:rsidRPr="00F55BBB" w14:paraId="50C41052" w14:textId="77777777" w:rsidTr="00F55BBB">
        <w:trPr>
          <w:trHeight w:val="300"/>
        </w:trPr>
        <w:tc>
          <w:tcPr>
            <w:tcW w:w="1936" w:type="pct"/>
            <w:tcBorders>
              <w:top w:val="nil"/>
              <w:left w:val="single" w:sz="4" w:space="0" w:color="auto"/>
              <w:bottom w:val="single" w:sz="4" w:space="0" w:color="auto"/>
              <w:right w:val="single" w:sz="4" w:space="0" w:color="auto"/>
            </w:tcBorders>
            <w:noWrap/>
            <w:vAlign w:val="bottom"/>
            <w:hideMark/>
          </w:tcPr>
          <w:p w14:paraId="127FEBDD"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Cost of goods sold </w:t>
            </w:r>
          </w:p>
        </w:tc>
        <w:tc>
          <w:tcPr>
            <w:tcW w:w="589" w:type="pct"/>
            <w:tcBorders>
              <w:top w:val="nil"/>
              <w:left w:val="nil"/>
              <w:bottom w:val="single" w:sz="4" w:space="0" w:color="auto"/>
              <w:right w:val="single" w:sz="4" w:space="0" w:color="auto"/>
            </w:tcBorders>
            <w:noWrap/>
            <w:vAlign w:val="bottom"/>
            <w:hideMark/>
          </w:tcPr>
          <w:p w14:paraId="50883422"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33600612</w:t>
            </w:r>
          </w:p>
        </w:tc>
        <w:tc>
          <w:tcPr>
            <w:tcW w:w="589" w:type="pct"/>
            <w:tcBorders>
              <w:top w:val="nil"/>
              <w:left w:val="nil"/>
              <w:bottom w:val="single" w:sz="4" w:space="0" w:color="auto"/>
              <w:right w:val="single" w:sz="4" w:space="0" w:color="auto"/>
            </w:tcBorders>
            <w:noWrap/>
            <w:vAlign w:val="bottom"/>
            <w:hideMark/>
          </w:tcPr>
          <w:p w14:paraId="1444D4B2"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29128561</w:t>
            </w:r>
          </w:p>
        </w:tc>
        <w:tc>
          <w:tcPr>
            <w:tcW w:w="589" w:type="pct"/>
            <w:tcBorders>
              <w:top w:val="nil"/>
              <w:left w:val="nil"/>
              <w:bottom w:val="single" w:sz="4" w:space="0" w:color="auto"/>
              <w:right w:val="single" w:sz="4" w:space="0" w:color="auto"/>
            </w:tcBorders>
            <w:noWrap/>
            <w:vAlign w:val="bottom"/>
            <w:hideMark/>
          </w:tcPr>
          <w:p w14:paraId="2FA06A0F"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24250784</w:t>
            </w:r>
          </w:p>
        </w:tc>
        <w:tc>
          <w:tcPr>
            <w:tcW w:w="589" w:type="pct"/>
            <w:tcBorders>
              <w:top w:val="nil"/>
              <w:left w:val="nil"/>
              <w:bottom w:val="single" w:sz="4" w:space="0" w:color="auto"/>
              <w:right w:val="single" w:sz="4" w:space="0" w:color="auto"/>
            </w:tcBorders>
            <w:noWrap/>
            <w:vAlign w:val="bottom"/>
            <w:hideMark/>
          </w:tcPr>
          <w:p w14:paraId="3811A08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21199890</w:t>
            </w:r>
          </w:p>
        </w:tc>
        <w:tc>
          <w:tcPr>
            <w:tcW w:w="707" w:type="pct"/>
            <w:tcBorders>
              <w:top w:val="nil"/>
              <w:left w:val="nil"/>
              <w:bottom w:val="single" w:sz="4" w:space="0" w:color="auto"/>
              <w:right w:val="single" w:sz="4" w:space="0" w:color="auto"/>
            </w:tcBorders>
            <w:noWrap/>
            <w:vAlign w:val="bottom"/>
            <w:hideMark/>
          </w:tcPr>
          <w:p w14:paraId="17486E81"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23142744</w:t>
            </w:r>
          </w:p>
        </w:tc>
      </w:tr>
      <w:tr w:rsidR="00F55BBB" w:rsidRPr="00F55BBB" w14:paraId="6EB30116" w14:textId="77777777" w:rsidTr="00F55BBB">
        <w:trPr>
          <w:trHeight w:val="300"/>
        </w:trPr>
        <w:tc>
          <w:tcPr>
            <w:tcW w:w="1936" w:type="pct"/>
            <w:tcBorders>
              <w:top w:val="nil"/>
              <w:left w:val="single" w:sz="4" w:space="0" w:color="auto"/>
              <w:bottom w:val="single" w:sz="4" w:space="0" w:color="auto"/>
              <w:right w:val="single" w:sz="4" w:space="0" w:color="auto"/>
            </w:tcBorders>
            <w:noWrap/>
            <w:vAlign w:val="bottom"/>
            <w:hideMark/>
          </w:tcPr>
          <w:p w14:paraId="0CB3023E"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Average inventory </w:t>
            </w:r>
          </w:p>
        </w:tc>
        <w:tc>
          <w:tcPr>
            <w:tcW w:w="589" w:type="pct"/>
            <w:tcBorders>
              <w:top w:val="nil"/>
              <w:left w:val="nil"/>
              <w:bottom w:val="single" w:sz="4" w:space="0" w:color="auto"/>
              <w:right w:val="single" w:sz="4" w:space="0" w:color="auto"/>
            </w:tcBorders>
            <w:noWrap/>
            <w:vAlign w:val="bottom"/>
            <w:hideMark/>
          </w:tcPr>
          <w:p w14:paraId="4A69BFF1"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6733175</w:t>
            </w:r>
          </w:p>
        </w:tc>
        <w:tc>
          <w:tcPr>
            <w:tcW w:w="589" w:type="pct"/>
            <w:tcBorders>
              <w:top w:val="nil"/>
              <w:left w:val="nil"/>
              <w:bottom w:val="single" w:sz="4" w:space="0" w:color="auto"/>
              <w:right w:val="single" w:sz="4" w:space="0" w:color="auto"/>
            </w:tcBorders>
            <w:noWrap/>
            <w:vAlign w:val="bottom"/>
            <w:hideMark/>
          </w:tcPr>
          <w:p w14:paraId="55F55BF6"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6166292</w:t>
            </w:r>
          </w:p>
        </w:tc>
        <w:tc>
          <w:tcPr>
            <w:tcW w:w="589" w:type="pct"/>
            <w:tcBorders>
              <w:top w:val="nil"/>
              <w:left w:val="nil"/>
              <w:bottom w:val="single" w:sz="4" w:space="0" w:color="auto"/>
              <w:right w:val="single" w:sz="4" w:space="0" w:color="auto"/>
            </w:tcBorders>
            <w:noWrap/>
            <w:vAlign w:val="bottom"/>
            <w:hideMark/>
          </w:tcPr>
          <w:p w14:paraId="40D5DD4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5265370</w:t>
            </w:r>
          </w:p>
        </w:tc>
        <w:tc>
          <w:tcPr>
            <w:tcW w:w="589" w:type="pct"/>
            <w:tcBorders>
              <w:top w:val="nil"/>
              <w:left w:val="nil"/>
              <w:bottom w:val="single" w:sz="4" w:space="0" w:color="auto"/>
              <w:right w:val="single" w:sz="4" w:space="0" w:color="auto"/>
            </w:tcBorders>
            <w:noWrap/>
            <w:vAlign w:val="bottom"/>
            <w:hideMark/>
          </w:tcPr>
          <w:p w14:paraId="67970917"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4157974</w:t>
            </w:r>
          </w:p>
        </w:tc>
        <w:tc>
          <w:tcPr>
            <w:tcW w:w="707" w:type="pct"/>
            <w:tcBorders>
              <w:top w:val="nil"/>
              <w:left w:val="nil"/>
              <w:bottom w:val="single" w:sz="4" w:space="0" w:color="auto"/>
              <w:right w:val="single" w:sz="4" w:space="0" w:color="auto"/>
            </w:tcBorders>
            <w:noWrap/>
            <w:vAlign w:val="bottom"/>
            <w:hideMark/>
          </w:tcPr>
          <w:p w14:paraId="2844B3D0"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3899412</w:t>
            </w:r>
          </w:p>
        </w:tc>
      </w:tr>
      <w:tr w:rsidR="00F55BBB" w:rsidRPr="00F55BBB" w14:paraId="52648822" w14:textId="77777777" w:rsidTr="00F55BBB">
        <w:trPr>
          <w:trHeight w:val="300"/>
        </w:trPr>
        <w:tc>
          <w:tcPr>
            <w:tcW w:w="1936" w:type="pct"/>
            <w:tcBorders>
              <w:top w:val="nil"/>
              <w:left w:val="single" w:sz="4" w:space="0" w:color="auto"/>
              <w:bottom w:val="single" w:sz="4" w:space="0" w:color="auto"/>
              <w:right w:val="single" w:sz="4" w:space="0" w:color="auto"/>
            </w:tcBorders>
            <w:noWrap/>
            <w:vAlign w:val="bottom"/>
            <w:hideMark/>
          </w:tcPr>
          <w:p w14:paraId="643D909E"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Cost of goods sold/ average inventory </w:t>
            </w:r>
          </w:p>
        </w:tc>
        <w:tc>
          <w:tcPr>
            <w:tcW w:w="589" w:type="pct"/>
            <w:tcBorders>
              <w:top w:val="nil"/>
              <w:left w:val="nil"/>
              <w:bottom w:val="single" w:sz="4" w:space="0" w:color="auto"/>
              <w:right w:val="single" w:sz="4" w:space="0" w:color="auto"/>
            </w:tcBorders>
            <w:noWrap/>
            <w:vAlign w:val="bottom"/>
            <w:hideMark/>
          </w:tcPr>
          <w:p w14:paraId="28E1DF55"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4.99</w:t>
            </w:r>
          </w:p>
        </w:tc>
        <w:tc>
          <w:tcPr>
            <w:tcW w:w="589" w:type="pct"/>
            <w:tcBorders>
              <w:top w:val="nil"/>
              <w:left w:val="nil"/>
              <w:bottom w:val="single" w:sz="4" w:space="0" w:color="auto"/>
              <w:right w:val="single" w:sz="4" w:space="0" w:color="auto"/>
            </w:tcBorders>
            <w:noWrap/>
            <w:vAlign w:val="bottom"/>
            <w:hideMark/>
          </w:tcPr>
          <w:p w14:paraId="7C4182DD"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4.72</w:t>
            </w:r>
          </w:p>
        </w:tc>
        <w:tc>
          <w:tcPr>
            <w:tcW w:w="589" w:type="pct"/>
            <w:tcBorders>
              <w:top w:val="nil"/>
              <w:left w:val="nil"/>
              <w:bottom w:val="single" w:sz="4" w:space="0" w:color="auto"/>
              <w:right w:val="single" w:sz="4" w:space="0" w:color="auto"/>
            </w:tcBorders>
            <w:noWrap/>
            <w:vAlign w:val="bottom"/>
            <w:hideMark/>
          </w:tcPr>
          <w:p w14:paraId="784640F5"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4.61</w:t>
            </w:r>
          </w:p>
        </w:tc>
        <w:tc>
          <w:tcPr>
            <w:tcW w:w="589" w:type="pct"/>
            <w:tcBorders>
              <w:top w:val="nil"/>
              <w:left w:val="nil"/>
              <w:bottom w:val="single" w:sz="4" w:space="0" w:color="auto"/>
              <w:right w:val="single" w:sz="4" w:space="0" w:color="auto"/>
            </w:tcBorders>
            <w:noWrap/>
            <w:vAlign w:val="bottom"/>
            <w:hideMark/>
          </w:tcPr>
          <w:p w14:paraId="3A36EDC4"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5.10</w:t>
            </w:r>
          </w:p>
        </w:tc>
        <w:tc>
          <w:tcPr>
            <w:tcW w:w="707" w:type="pct"/>
            <w:tcBorders>
              <w:top w:val="nil"/>
              <w:left w:val="nil"/>
              <w:bottom w:val="single" w:sz="4" w:space="0" w:color="auto"/>
              <w:right w:val="single" w:sz="4" w:space="0" w:color="auto"/>
            </w:tcBorders>
            <w:noWrap/>
            <w:vAlign w:val="bottom"/>
            <w:hideMark/>
          </w:tcPr>
          <w:p w14:paraId="684C4E4B"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5.93</w:t>
            </w:r>
          </w:p>
        </w:tc>
      </w:tr>
    </w:tbl>
    <w:p w14:paraId="58647891" w14:textId="77777777" w:rsidR="00F55BBB" w:rsidRPr="00B108ED" w:rsidRDefault="00F55BBB" w:rsidP="00F55BBB">
      <w:pPr>
        <w:spacing w:line="360" w:lineRule="auto"/>
        <w:jc w:val="center"/>
      </w:pPr>
    </w:p>
    <w:p w14:paraId="3AB72B25" w14:textId="783A01A1" w:rsidR="00BB255D" w:rsidRPr="00B108ED" w:rsidRDefault="00F55BBB" w:rsidP="00F55BBB">
      <w:pPr>
        <w:spacing w:line="360" w:lineRule="auto"/>
        <w:jc w:val="both"/>
        <w:rPr>
          <w:b/>
          <w:bCs/>
          <w:sz w:val="24"/>
          <w:szCs w:val="24"/>
        </w:rPr>
      </w:pPr>
      <w:r w:rsidRPr="00B108ED">
        <w:rPr>
          <w:b/>
          <w:bCs/>
          <w:sz w:val="24"/>
          <w:szCs w:val="24"/>
        </w:rPr>
        <w:t>Investment Ratio</w:t>
      </w:r>
    </w:p>
    <w:tbl>
      <w:tblPr>
        <w:tblW w:w="5000" w:type="pct"/>
        <w:tblLook w:val="04A0" w:firstRow="1" w:lastRow="0" w:firstColumn="1" w:lastColumn="0" w:noHBand="0" w:noVBand="1"/>
      </w:tblPr>
      <w:tblGrid>
        <w:gridCol w:w="4070"/>
        <w:gridCol w:w="928"/>
        <w:gridCol w:w="929"/>
        <w:gridCol w:w="929"/>
        <w:gridCol w:w="980"/>
        <w:gridCol w:w="1183"/>
      </w:tblGrid>
      <w:tr w:rsidR="00F55BBB" w:rsidRPr="00F55BBB" w14:paraId="7E2135DB" w14:textId="77777777" w:rsidTr="00F55BBB">
        <w:trPr>
          <w:trHeight w:val="315"/>
        </w:trPr>
        <w:tc>
          <w:tcPr>
            <w:tcW w:w="2218" w:type="pct"/>
            <w:tcBorders>
              <w:top w:val="single" w:sz="4" w:space="0" w:color="auto"/>
              <w:left w:val="single" w:sz="4" w:space="0" w:color="auto"/>
              <w:bottom w:val="single" w:sz="4" w:space="0" w:color="auto"/>
              <w:right w:val="single" w:sz="4" w:space="0" w:color="auto"/>
            </w:tcBorders>
            <w:noWrap/>
            <w:vAlign w:val="bottom"/>
            <w:hideMark/>
          </w:tcPr>
          <w:p w14:paraId="174866B9"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xml:space="preserve">Earnings per share (EPS) </w:t>
            </w:r>
          </w:p>
        </w:tc>
        <w:tc>
          <w:tcPr>
            <w:tcW w:w="538" w:type="pct"/>
            <w:tcBorders>
              <w:top w:val="single" w:sz="4" w:space="0" w:color="auto"/>
              <w:left w:val="nil"/>
              <w:bottom w:val="single" w:sz="4" w:space="0" w:color="auto"/>
              <w:right w:val="single" w:sz="4" w:space="0" w:color="auto"/>
            </w:tcBorders>
            <w:noWrap/>
            <w:vAlign w:val="bottom"/>
            <w:hideMark/>
          </w:tcPr>
          <w:p w14:paraId="4F998FAA"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529" w:type="pct"/>
            <w:tcBorders>
              <w:top w:val="single" w:sz="4" w:space="0" w:color="auto"/>
              <w:left w:val="nil"/>
              <w:bottom w:val="single" w:sz="4" w:space="0" w:color="auto"/>
              <w:right w:val="single" w:sz="4" w:space="0" w:color="auto"/>
            </w:tcBorders>
            <w:noWrap/>
            <w:vAlign w:val="bottom"/>
            <w:hideMark/>
          </w:tcPr>
          <w:p w14:paraId="51294489"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520" w:type="pct"/>
            <w:tcBorders>
              <w:top w:val="single" w:sz="4" w:space="0" w:color="auto"/>
              <w:left w:val="nil"/>
              <w:bottom w:val="single" w:sz="4" w:space="0" w:color="auto"/>
              <w:right w:val="single" w:sz="4" w:space="0" w:color="auto"/>
            </w:tcBorders>
            <w:noWrap/>
            <w:vAlign w:val="bottom"/>
            <w:hideMark/>
          </w:tcPr>
          <w:p w14:paraId="373720C6"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538" w:type="pct"/>
            <w:tcBorders>
              <w:top w:val="single" w:sz="4" w:space="0" w:color="auto"/>
              <w:left w:val="nil"/>
              <w:bottom w:val="single" w:sz="4" w:space="0" w:color="auto"/>
              <w:right w:val="single" w:sz="4" w:space="0" w:color="auto"/>
            </w:tcBorders>
            <w:noWrap/>
            <w:vAlign w:val="bottom"/>
            <w:hideMark/>
          </w:tcPr>
          <w:p w14:paraId="58F12013"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657" w:type="pct"/>
            <w:tcBorders>
              <w:top w:val="single" w:sz="4" w:space="0" w:color="auto"/>
              <w:left w:val="nil"/>
              <w:bottom w:val="single" w:sz="4" w:space="0" w:color="auto"/>
              <w:right w:val="single" w:sz="4" w:space="0" w:color="auto"/>
            </w:tcBorders>
            <w:noWrap/>
            <w:vAlign w:val="bottom"/>
            <w:hideMark/>
          </w:tcPr>
          <w:p w14:paraId="35685211"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r>
      <w:tr w:rsidR="00F55BBB" w:rsidRPr="00F55BBB" w14:paraId="638773A0" w14:textId="77777777" w:rsidTr="00F55BBB">
        <w:trPr>
          <w:trHeight w:val="315"/>
        </w:trPr>
        <w:tc>
          <w:tcPr>
            <w:tcW w:w="2218" w:type="pct"/>
            <w:tcBorders>
              <w:top w:val="nil"/>
              <w:left w:val="single" w:sz="4" w:space="0" w:color="auto"/>
              <w:bottom w:val="single" w:sz="4" w:space="0" w:color="auto"/>
              <w:right w:val="single" w:sz="4" w:space="0" w:color="auto"/>
            </w:tcBorders>
            <w:noWrap/>
            <w:vAlign w:val="bottom"/>
            <w:hideMark/>
          </w:tcPr>
          <w:p w14:paraId="5B1C1109"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lastRenderedPageBreak/>
              <w:t> </w:t>
            </w:r>
          </w:p>
        </w:tc>
        <w:tc>
          <w:tcPr>
            <w:tcW w:w="538" w:type="pct"/>
            <w:tcBorders>
              <w:top w:val="nil"/>
              <w:left w:val="nil"/>
              <w:bottom w:val="single" w:sz="4" w:space="0" w:color="auto"/>
              <w:right w:val="single" w:sz="4" w:space="0" w:color="auto"/>
            </w:tcBorders>
            <w:noWrap/>
            <w:vAlign w:val="bottom"/>
            <w:hideMark/>
          </w:tcPr>
          <w:p w14:paraId="5EC6777C"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2024</w:t>
            </w:r>
          </w:p>
        </w:tc>
        <w:tc>
          <w:tcPr>
            <w:tcW w:w="529" w:type="pct"/>
            <w:tcBorders>
              <w:top w:val="nil"/>
              <w:left w:val="nil"/>
              <w:bottom w:val="single" w:sz="4" w:space="0" w:color="auto"/>
              <w:right w:val="single" w:sz="4" w:space="0" w:color="auto"/>
            </w:tcBorders>
            <w:noWrap/>
            <w:vAlign w:val="bottom"/>
            <w:hideMark/>
          </w:tcPr>
          <w:p w14:paraId="7EE2BB7E"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2023</w:t>
            </w:r>
          </w:p>
        </w:tc>
        <w:tc>
          <w:tcPr>
            <w:tcW w:w="520" w:type="pct"/>
            <w:tcBorders>
              <w:top w:val="nil"/>
              <w:left w:val="nil"/>
              <w:bottom w:val="single" w:sz="4" w:space="0" w:color="auto"/>
              <w:right w:val="single" w:sz="4" w:space="0" w:color="auto"/>
            </w:tcBorders>
            <w:noWrap/>
            <w:vAlign w:val="bottom"/>
            <w:hideMark/>
          </w:tcPr>
          <w:p w14:paraId="5B3FBCBE"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2022</w:t>
            </w:r>
          </w:p>
        </w:tc>
        <w:tc>
          <w:tcPr>
            <w:tcW w:w="538" w:type="pct"/>
            <w:tcBorders>
              <w:top w:val="nil"/>
              <w:left w:val="nil"/>
              <w:bottom w:val="single" w:sz="4" w:space="0" w:color="auto"/>
              <w:right w:val="single" w:sz="4" w:space="0" w:color="auto"/>
            </w:tcBorders>
            <w:noWrap/>
            <w:vAlign w:val="bottom"/>
            <w:hideMark/>
          </w:tcPr>
          <w:p w14:paraId="3738BB7C"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2021</w:t>
            </w:r>
          </w:p>
        </w:tc>
        <w:tc>
          <w:tcPr>
            <w:tcW w:w="657" w:type="pct"/>
            <w:tcBorders>
              <w:top w:val="nil"/>
              <w:left w:val="nil"/>
              <w:bottom w:val="single" w:sz="4" w:space="0" w:color="auto"/>
              <w:right w:val="single" w:sz="4" w:space="0" w:color="auto"/>
            </w:tcBorders>
            <w:noWrap/>
            <w:vAlign w:val="bottom"/>
            <w:hideMark/>
          </w:tcPr>
          <w:p w14:paraId="167D648F"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2020</w:t>
            </w:r>
          </w:p>
        </w:tc>
      </w:tr>
      <w:tr w:rsidR="00F55BBB" w:rsidRPr="00F55BBB" w14:paraId="73513C31" w14:textId="77777777" w:rsidTr="00F55BBB">
        <w:trPr>
          <w:trHeight w:val="300"/>
        </w:trPr>
        <w:tc>
          <w:tcPr>
            <w:tcW w:w="2218" w:type="pct"/>
            <w:tcBorders>
              <w:top w:val="nil"/>
              <w:left w:val="single" w:sz="4" w:space="0" w:color="auto"/>
              <w:bottom w:val="single" w:sz="4" w:space="0" w:color="auto"/>
              <w:right w:val="single" w:sz="4" w:space="0" w:color="auto"/>
            </w:tcBorders>
            <w:noWrap/>
            <w:vAlign w:val="bottom"/>
            <w:hideMark/>
          </w:tcPr>
          <w:p w14:paraId="5E6BAB5F"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Net income </w:t>
            </w:r>
          </w:p>
        </w:tc>
        <w:tc>
          <w:tcPr>
            <w:tcW w:w="538" w:type="pct"/>
            <w:tcBorders>
              <w:top w:val="nil"/>
              <w:left w:val="nil"/>
              <w:bottom w:val="single" w:sz="4" w:space="0" w:color="auto"/>
              <w:right w:val="single" w:sz="4" w:space="0" w:color="auto"/>
            </w:tcBorders>
            <w:noWrap/>
            <w:vAlign w:val="bottom"/>
            <w:hideMark/>
          </w:tcPr>
          <w:p w14:paraId="639A4B14"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5071421</w:t>
            </w:r>
          </w:p>
        </w:tc>
        <w:tc>
          <w:tcPr>
            <w:tcW w:w="529" w:type="pct"/>
            <w:tcBorders>
              <w:top w:val="nil"/>
              <w:left w:val="nil"/>
              <w:bottom w:val="single" w:sz="4" w:space="0" w:color="auto"/>
              <w:right w:val="single" w:sz="4" w:space="0" w:color="auto"/>
            </w:tcBorders>
            <w:noWrap/>
            <w:vAlign w:val="bottom"/>
            <w:hideMark/>
          </w:tcPr>
          <w:p w14:paraId="313F29DD"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2492967</w:t>
            </w:r>
          </w:p>
        </w:tc>
        <w:tc>
          <w:tcPr>
            <w:tcW w:w="520" w:type="pct"/>
            <w:tcBorders>
              <w:top w:val="nil"/>
              <w:left w:val="nil"/>
              <w:bottom w:val="single" w:sz="4" w:space="0" w:color="auto"/>
              <w:right w:val="single" w:sz="4" w:space="0" w:color="auto"/>
            </w:tcBorders>
            <w:noWrap/>
            <w:vAlign w:val="bottom"/>
            <w:hideMark/>
          </w:tcPr>
          <w:p w14:paraId="5F35D6D4"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2874614</w:t>
            </w:r>
          </w:p>
        </w:tc>
        <w:tc>
          <w:tcPr>
            <w:tcW w:w="538" w:type="pct"/>
            <w:tcBorders>
              <w:top w:val="nil"/>
              <w:left w:val="nil"/>
              <w:bottom w:val="single" w:sz="4" w:space="0" w:color="auto"/>
              <w:right w:val="single" w:sz="4" w:space="0" w:color="auto"/>
            </w:tcBorders>
            <w:noWrap/>
            <w:vAlign w:val="bottom"/>
            <w:hideMark/>
          </w:tcPr>
          <w:p w14:paraId="2F7F712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2282378</w:t>
            </w:r>
          </w:p>
        </w:tc>
        <w:tc>
          <w:tcPr>
            <w:tcW w:w="657" w:type="pct"/>
            <w:tcBorders>
              <w:top w:val="nil"/>
              <w:left w:val="nil"/>
              <w:bottom w:val="single" w:sz="4" w:space="0" w:color="auto"/>
              <w:right w:val="single" w:sz="4" w:space="0" w:color="auto"/>
            </w:tcBorders>
            <w:noWrap/>
            <w:vAlign w:val="bottom"/>
            <w:hideMark/>
          </w:tcPr>
          <w:p w14:paraId="47250C2F"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2111125</w:t>
            </w:r>
          </w:p>
        </w:tc>
      </w:tr>
      <w:tr w:rsidR="00F55BBB" w:rsidRPr="00F55BBB" w14:paraId="212D6B5B" w14:textId="77777777" w:rsidTr="00F55BBB">
        <w:trPr>
          <w:trHeight w:val="300"/>
        </w:trPr>
        <w:tc>
          <w:tcPr>
            <w:tcW w:w="2218" w:type="pct"/>
            <w:tcBorders>
              <w:top w:val="nil"/>
              <w:left w:val="single" w:sz="4" w:space="0" w:color="auto"/>
              <w:bottom w:val="single" w:sz="4" w:space="0" w:color="auto"/>
              <w:right w:val="single" w:sz="4" w:space="0" w:color="auto"/>
            </w:tcBorders>
            <w:noWrap/>
            <w:vAlign w:val="bottom"/>
            <w:hideMark/>
          </w:tcPr>
          <w:p w14:paraId="0E7F0AD5"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Total number of shares outstanding </w:t>
            </w:r>
          </w:p>
        </w:tc>
        <w:tc>
          <w:tcPr>
            <w:tcW w:w="538" w:type="pct"/>
            <w:tcBorders>
              <w:top w:val="nil"/>
              <w:left w:val="nil"/>
              <w:bottom w:val="single" w:sz="4" w:space="0" w:color="auto"/>
              <w:right w:val="single" w:sz="4" w:space="0" w:color="auto"/>
            </w:tcBorders>
            <w:noWrap/>
            <w:vAlign w:val="bottom"/>
            <w:hideMark/>
          </w:tcPr>
          <w:p w14:paraId="3ACF3790"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13880</w:t>
            </w:r>
          </w:p>
        </w:tc>
        <w:tc>
          <w:tcPr>
            <w:tcW w:w="529" w:type="pct"/>
            <w:tcBorders>
              <w:top w:val="nil"/>
              <w:left w:val="nil"/>
              <w:bottom w:val="single" w:sz="4" w:space="0" w:color="auto"/>
              <w:right w:val="single" w:sz="4" w:space="0" w:color="auto"/>
            </w:tcBorders>
            <w:noWrap/>
            <w:vAlign w:val="bottom"/>
            <w:hideMark/>
          </w:tcPr>
          <w:p w14:paraId="3A937344"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13920</w:t>
            </w:r>
          </w:p>
        </w:tc>
        <w:tc>
          <w:tcPr>
            <w:tcW w:w="520" w:type="pct"/>
            <w:tcBorders>
              <w:top w:val="nil"/>
              <w:left w:val="nil"/>
              <w:bottom w:val="single" w:sz="4" w:space="0" w:color="auto"/>
              <w:right w:val="single" w:sz="4" w:space="0" w:color="auto"/>
            </w:tcBorders>
            <w:noWrap/>
            <w:vAlign w:val="bottom"/>
            <w:hideMark/>
          </w:tcPr>
          <w:p w14:paraId="45B9DD61"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13950</w:t>
            </w:r>
          </w:p>
        </w:tc>
        <w:tc>
          <w:tcPr>
            <w:tcW w:w="538" w:type="pct"/>
            <w:tcBorders>
              <w:top w:val="nil"/>
              <w:left w:val="nil"/>
              <w:bottom w:val="single" w:sz="4" w:space="0" w:color="auto"/>
              <w:right w:val="single" w:sz="4" w:space="0" w:color="auto"/>
            </w:tcBorders>
            <w:noWrap/>
            <w:vAlign w:val="bottom"/>
            <w:hideMark/>
          </w:tcPr>
          <w:p w14:paraId="066EBEBD"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13980</w:t>
            </w:r>
          </w:p>
        </w:tc>
        <w:tc>
          <w:tcPr>
            <w:tcW w:w="657" w:type="pct"/>
            <w:tcBorders>
              <w:top w:val="nil"/>
              <w:left w:val="nil"/>
              <w:bottom w:val="single" w:sz="4" w:space="0" w:color="auto"/>
              <w:right w:val="single" w:sz="4" w:space="0" w:color="auto"/>
            </w:tcBorders>
            <w:noWrap/>
            <w:vAlign w:val="bottom"/>
            <w:hideMark/>
          </w:tcPr>
          <w:p w14:paraId="61980CBC"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14000</w:t>
            </w:r>
          </w:p>
        </w:tc>
      </w:tr>
      <w:tr w:rsidR="00F55BBB" w:rsidRPr="00F55BBB" w14:paraId="50FA1CD1" w14:textId="77777777" w:rsidTr="00F55BBB">
        <w:trPr>
          <w:trHeight w:val="300"/>
        </w:trPr>
        <w:tc>
          <w:tcPr>
            <w:tcW w:w="2218" w:type="pct"/>
            <w:tcBorders>
              <w:top w:val="nil"/>
              <w:left w:val="single" w:sz="4" w:space="0" w:color="auto"/>
              <w:bottom w:val="single" w:sz="4" w:space="0" w:color="auto"/>
              <w:right w:val="single" w:sz="4" w:space="0" w:color="auto"/>
            </w:tcBorders>
            <w:noWrap/>
            <w:vAlign w:val="bottom"/>
            <w:hideMark/>
          </w:tcPr>
          <w:p w14:paraId="667C3A7A"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Net income/Total number of shares outstanding </w:t>
            </w:r>
          </w:p>
        </w:tc>
        <w:tc>
          <w:tcPr>
            <w:tcW w:w="538" w:type="pct"/>
            <w:tcBorders>
              <w:top w:val="nil"/>
              <w:left w:val="nil"/>
              <w:bottom w:val="single" w:sz="4" w:space="0" w:color="auto"/>
              <w:right w:val="single" w:sz="4" w:space="0" w:color="auto"/>
            </w:tcBorders>
            <w:noWrap/>
            <w:vAlign w:val="bottom"/>
            <w:hideMark/>
          </w:tcPr>
          <w:p w14:paraId="46DC51E8" w14:textId="33848BB5"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365.37</w:t>
            </w:r>
          </w:p>
        </w:tc>
        <w:tc>
          <w:tcPr>
            <w:tcW w:w="529" w:type="pct"/>
            <w:tcBorders>
              <w:top w:val="nil"/>
              <w:left w:val="nil"/>
              <w:bottom w:val="single" w:sz="4" w:space="0" w:color="auto"/>
              <w:right w:val="single" w:sz="4" w:space="0" w:color="auto"/>
            </w:tcBorders>
            <w:noWrap/>
            <w:vAlign w:val="bottom"/>
            <w:hideMark/>
          </w:tcPr>
          <w:p w14:paraId="0D3F073A" w14:textId="678650F6"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179.09</w:t>
            </w:r>
          </w:p>
        </w:tc>
        <w:tc>
          <w:tcPr>
            <w:tcW w:w="520" w:type="pct"/>
            <w:tcBorders>
              <w:top w:val="nil"/>
              <w:left w:val="nil"/>
              <w:bottom w:val="single" w:sz="4" w:space="0" w:color="auto"/>
              <w:right w:val="single" w:sz="4" w:space="0" w:color="auto"/>
            </w:tcBorders>
            <w:noWrap/>
            <w:vAlign w:val="bottom"/>
            <w:hideMark/>
          </w:tcPr>
          <w:p w14:paraId="4604FCA9" w14:textId="0276640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206.06</w:t>
            </w:r>
          </w:p>
        </w:tc>
        <w:tc>
          <w:tcPr>
            <w:tcW w:w="538" w:type="pct"/>
            <w:tcBorders>
              <w:top w:val="nil"/>
              <w:left w:val="nil"/>
              <w:bottom w:val="single" w:sz="4" w:space="0" w:color="auto"/>
              <w:right w:val="single" w:sz="4" w:space="0" w:color="auto"/>
            </w:tcBorders>
            <w:noWrap/>
            <w:vAlign w:val="bottom"/>
            <w:hideMark/>
          </w:tcPr>
          <w:p w14:paraId="485DA8E6"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163.2602</w:t>
            </w:r>
          </w:p>
        </w:tc>
        <w:tc>
          <w:tcPr>
            <w:tcW w:w="657" w:type="pct"/>
            <w:tcBorders>
              <w:top w:val="nil"/>
              <w:left w:val="nil"/>
              <w:bottom w:val="single" w:sz="4" w:space="0" w:color="auto"/>
              <w:right w:val="single" w:sz="4" w:space="0" w:color="auto"/>
            </w:tcBorders>
            <w:noWrap/>
            <w:vAlign w:val="bottom"/>
            <w:hideMark/>
          </w:tcPr>
          <w:p w14:paraId="4C2560A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150.794643</w:t>
            </w:r>
          </w:p>
        </w:tc>
      </w:tr>
    </w:tbl>
    <w:p w14:paraId="3560B831" w14:textId="77777777" w:rsidR="00F55BBB" w:rsidRPr="00B108ED" w:rsidRDefault="00F55BBB" w:rsidP="00F55BBB">
      <w:pPr>
        <w:spacing w:line="360" w:lineRule="auto"/>
        <w:jc w:val="both"/>
        <w:rPr>
          <w:b/>
          <w:bCs/>
          <w:sz w:val="24"/>
          <w:szCs w:val="24"/>
        </w:rPr>
      </w:pPr>
    </w:p>
    <w:tbl>
      <w:tblPr>
        <w:tblStyle w:val="TableGrid"/>
        <w:tblW w:w="9199" w:type="dxa"/>
        <w:tblLook w:val="04A0" w:firstRow="1" w:lastRow="0" w:firstColumn="1" w:lastColumn="0" w:noHBand="0" w:noVBand="1"/>
      </w:tblPr>
      <w:tblGrid>
        <w:gridCol w:w="3859"/>
        <w:gridCol w:w="1099"/>
        <w:gridCol w:w="1099"/>
        <w:gridCol w:w="1099"/>
        <w:gridCol w:w="944"/>
        <w:gridCol w:w="1099"/>
      </w:tblGrid>
      <w:tr w:rsidR="00F55BBB" w:rsidRPr="00B108ED" w14:paraId="03A05957" w14:textId="77777777" w:rsidTr="00F55BBB">
        <w:trPr>
          <w:trHeight w:val="311"/>
        </w:trPr>
        <w:tc>
          <w:tcPr>
            <w:tcW w:w="0" w:type="auto"/>
            <w:noWrap/>
            <w:hideMark/>
          </w:tcPr>
          <w:p w14:paraId="5110C4A1"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xml:space="preserve">Dividend Payout Ratio </w:t>
            </w:r>
          </w:p>
        </w:tc>
        <w:tc>
          <w:tcPr>
            <w:tcW w:w="0" w:type="auto"/>
            <w:noWrap/>
            <w:hideMark/>
          </w:tcPr>
          <w:p w14:paraId="0B544782"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noWrap/>
            <w:hideMark/>
          </w:tcPr>
          <w:p w14:paraId="3B47F2BC"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noWrap/>
            <w:hideMark/>
          </w:tcPr>
          <w:p w14:paraId="5237EC17"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noWrap/>
            <w:hideMark/>
          </w:tcPr>
          <w:p w14:paraId="4669075F"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noWrap/>
            <w:hideMark/>
          </w:tcPr>
          <w:p w14:paraId="464C9942"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r>
      <w:tr w:rsidR="00F55BBB" w:rsidRPr="00B108ED" w14:paraId="03793BDD" w14:textId="77777777" w:rsidTr="00F55BBB">
        <w:trPr>
          <w:trHeight w:val="311"/>
        </w:trPr>
        <w:tc>
          <w:tcPr>
            <w:tcW w:w="0" w:type="auto"/>
            <w:noWrap/>
            <w:hideMark/>
          </w:tcPr>
          <w:p w14:paraId="39900259"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noWrap/>
            <w:hideMark/>
          </w:tcPr>
          <w:p w14:paraId="64B6DC75"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2024</w:t>
            </w:r>
          </w:p>
        </w:tc>
        <w:tc>
          <w:tcPr>
            <w:tcW w:w="0" w:type="auto"/>
            <w:noWrap/>
            <w:hideMark/>
          </w:tcPr>
          <w:p w14:paraId="56346352"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2023</w:t>
            </w:r>
          </w:p>
        </w:tc>
        <w:tc>
          <w:tcPr>
            <w:tcW w:w="0" w:type="auto"/>
            <w:noWrap/>
            <w:hideMark/>
          </w:tcPr>
          <w:p w14:paraId="32D3336E"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2022</w:t>
            </w:r>
          </w:p>
        </w:tc>
        <w:tc>
          <w:tcPr>
            <w:tcW w:w="0" w:type="auto"/>
            <w:noWrap/>
            <w:hideMark/>
          </w:tcPr>
          <w:p w14:paraId="6B68D95A"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2021</w:t>
            </w:r>
          </w:p>
        </w:tc>
        <w:tc>
          <w:tcPr>
            <w:tcW w:w="0" w:type="auto"/>
            <w:noWrap/>
            <w:hideMark/>
          </w:tcPr>
          <w:p w14:paraId="30673C18"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2020</w:t>
            </w:r>
          </w:p>
        </w:tc>
      </w:tr>
      <w:tr w:rsidR="00F55BBB" w:rsidRPr="00B108ED" w14:paraId="1BC288CC" w14:textId="77777777" w:rsidTr="00F55BBB">
        <w:trPr>
          <w:trHeight w:val="296"/>
        </w:trPr>
        <w:tc>
          <w:tcPr>
            <w:tcW w:w="0" w:type="auto"/>
            <w:noWrap/>
            <w:hideMark/>
          </w:tcPr>
          <w:p w14:paraId="5CFA4A46"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Dividend per share </w:t>
            </w:r>
          </w:p>
        </w:tc>
        <w:tc>
          <w:tcPr>
            <w:tcW w:w="0" w:type="auto"/>
            <w:noWrap/>
            <w:hideMark/>
          </w:tcPr>
          <w:p w14:paraId="09005A17"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75</w:t>
            </w:r>
          </w:p>
        </w:tc>
        <w:tc>
          <w:tcPr>
            <w:tcW w:w="0" w:type="auto"/>
            <w:noWrap/>
            <w:hideMark/>
          </w:tcPr>
          <w:p w14:paraId="6D8CE517"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65</w:t>
            </w:r>
          </w:p>
        </w:tc>
        <w:tc>
          <w:tcPr>
            <w:tcW w:w="0" w:type="auto"/>
            <w:noWrap/>
            <w:hideMark/>
          </w:tcPr>
          <w:p w14:paraId="513DA12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60</w:t>
            </w:r>
          </w:p>
        </w:tc>
        <w:tc>
          <w:tcPr>
            <w:tcW w:w="0" w:type="auto"/>
            <w:noWrap/>
            <w:hideMark/>
          </w:tcPr>
          <w:p w14:paraId="445C7AD6"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48</w:t>
            </w:r>
          </w:p>
        </w:tc>
        <w:tc>
          <w:tcPr>
            <w:tcW w:w="0" w:type="auto"/>
            <w:noWrap/>
            <w:hideMark/>
          </w:tcPr>
          <w:p w14:paraId="2AE12E86"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44</w:t>
            </w:r>
          </w:p>
        </w:tc>
      </w:tr>
      <w:tr w:rsidR="00F55BBB" w:rsidRPr="00B108ED" w14:paraId="47F74237" w14:textId="77777777" w:rsidTr="00F55BBB">
        <w:trPr>
          <w:trHeight w:val="296"/>
        </w:trPr>
        <w:tc>
          <w:tcPr>
            <w:tcW w:w="0" w:type="auto"/>
            <w:noWrap/>
            <w:hideMark/>
          </w:tcPr>
          <w:p w14:paraId="1106C3D8"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EPS</w:t>
            </w:r>
          </w:p>
        </w:tc>
        <w:tc>
          <w:tcPr>
            <w:tcW w:w="0" w:type="auto"/>
            <w:noWrap/>
            <w:hideMark/>
          </w:tcPr>
          <w:p w14:paraId="4B93DEC1"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365.38</w:t>
            </w:r>
          </w:p>
        </w:tc>
        <w:tc>
          <w:tcPr>
            <w:tcW w:w="0" w:type="auto"/>
            <w:noWrap/>
            <w:hideMark/>
          </w:tcPr>
          <w:p w14:paraId="02D56F2E"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179.09</w:t>
            </w:r>
          </w:p>
        </w:tc>
        <w:tc>
          <w:tcPr>
            <w:tcW w:w="0" w:type="auto"/>
            <w:noWrap/>
            <w:hideMark/>
          </w:tcPr>
          <w:p w14:paraId="5116DBC0"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206.07</w:t>
            </w:r>
          </w:p>
        </w:tc>
        <w:tc>
          <w:tcPr>
            <w:tcW w:w="0" w:type="auto"/>
            <w:noWrap/>
            <w:hideMark/>
          </w:tcPr>
          <w:p w14:paraId="74F93CC0"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168.3</w:t>
            </w:r>
          </w:p>
        </w:tc>
        <w:tc>
          <w:tcPr>
            <w:tcW w:w="0" w:type="auto"/>
            <w:noWrap/>
            <w:hideMark/>
          </w:tcPr>
          <w:p w14:paraId="189C8717"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150.79</w:t>
            </w:r>
          </w:p>
        </w:tc>
      </w:tr>
      <w:tr w:rsidR="00F55BBB" w:rsidRPr="00B108ED" w14:paraId="1D9E7769" w14:textId="77777777" w:rsidTr="00F55BBB">
        <w:trPr>
          <w:trHeight w:val="296"/>
        </w:trPr>
        <w:tc>
          <w:tcPr>
            <w:tcW w:w="0" w:type="auto"/>
            <w:noWrap/>
            <w:hideMark/>
          </w:tcPr>
          <w:p w14:paraId="73B40F0B"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 Dividend per share/EPS*100</w:t>
            </w:r>
          </w:p>
        </w:tc>
        <w:tc>
          <w:tcPr>
            <w:tcW w:w="0" w:type="auto"/>
            <w:noWrap/>
            <w:hideMark/>
          </w:tcPr>
          <w:p w14:paraId="5DB21BBF"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20.53</w:t>
            </w:r>
          </w:p>
        </w:tc>
        <w:tc>
          <w:tcPr>
            <w:tcW w:w="0" w:type="auto"/>
            <w:noWrap/>
            <w:hideMark/>
          </w:tcPr>
          <w:p w14:paraId="14DF46E1"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36.29</w:t>
            </w:r>
          </w:p>
        </w:tc>
        <w:tc>
          <w:tcPr>
            <w:tcW w:w="0" w:type="auto"/>
            <w:noWrap/>
            <w:hideMark/>
          </w:tcPr>
          <w:p w14:paraId="54AEED12"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29.12</w:t>
            </w:r>
          </w:p>
        </w:tc>
        <w:tc>
          <w:tcPr>
            <w:tcW w:w="0" w:type="auto"/>
            <w:noWrap/>
            <w:hideMark/>
          </w:tcPr>
          <w:p w14:paraId="55C9A261"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28.52</w:t>
            </w:r>
          </w:p>
        </w:tc>
        <w:tc>
          <w:tcPr>
            <w:tcW w:w="0" w:type="auto"/>
            <w:noWrap/>
            <w:hideMark/>
          </w:tcPr>
          <w:p w14:paraId="33675116"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29.18</w:t>
            </w:r>
          </w:p>
        </w:tc>
      </w:tr>
    </w:tbl>
    <w:p w14:paraId="48C994AA" w14:textId="77777777" w:rsidR="00F55BBB" w:rsidRPr="00B108ED" w:rsidRDefault="00F55BBB" w:rsidP="00F55BBB">
      <w:pPr>
        <w:spacing w:line="360" w:lineRule="auto"/>
        <w:jc w:val="both"/>
        <w:rPr>
          <w:b/>
          <w:bCs/>
          <w:sz w:val="24"/>
          <w:szCs w:val="24"/>
        </w:rPr>
      </w:pPr>
    </w:p>
    <w:p w14:paraId="01BB8541" w14:textId="10411D7E" w:rsidR="00D651E2" w:rsidRPr="00B108ED" w:rsidRDefault="00F55BBB" w:rsidP="00F55BBB">
      <w:pPr>
        <w:spacing w:line="360" w:lineRule="auto"/>
        <w:jc w:val="both"/>
        <w:rPr>
          <w:b/>
          <w:bCs/>
          <w:sz w:val="24"/>
          <w:szCs w:val="24"/>
        </w:rPr>
      </w:pPr>
      <w:r w:rsidRPr="00B108ED">
        <w:rPr>
          <w:b/>
          <w:bCs/>
          <w:sz w:val="24"/>
          <w:szCs w:val="24"/>
        </w:rPr>
        <w:t>Cash flow Ratio</w:t>
      </w:r>
    </w:p>
    <w:tbl>
      <w:tblPr>
        <w:tblW w:w="0" w:type="auto"/>
        <w:tblCellMar>
          <w:left w:w="0" w:type="dxa"/>
          <w:right w:w="0" w:type="dxa"/>
        </w:tblCellMar>
        <w:tblLook w:val="04A0" w:firstRow="1" w:lastRow="0" w:firstColumn="1" w:lastColumn="0" w:noHBand="0" w:noVBand="1"/>
      </w:tblPr>
      <w:tblGrid>
        <w:gridCol w:w="3858"/>
        <w:gridCol w:w="1065"/>
        <w:gridCol w:w="1065"/>
        <w:gridCol w:w="901"/>
        <w:gridCol w:w="1065"/>
        <w:gridCol w:w="1065"/>
      </w:tblGrid>
      <w:tr w:rsidR="00F55BBB" w:rsidRPr="00B108ED" w14:paraId="4B0D3EF4" w14:textId="77777777" w:rsidTr="00F55BBB">
        <w:trPr>
          <w:trHeight w:val="31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57271EF" w14:textId="77777777" w:rsidR="00F55BBB" w:rsidRPr="00B108ED" w:rsidRDefault="00F55BBB" w:rsidP="00F55BBB">
            <w:pPr>
              <w:spacing w:line="360" w:lineRule="auto"/>
              <w:rPr>
                <w:b/>
                <w:bCs/>
              </w:rPr>
            </w:pPr>
            <w:r w:rsidRPr="00B108ED">
              <w:rPr>
                <w:b/>
                <w:bCs/>
              </w:rPr>
              <w:t>Operating Cash Flow Ratio</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2899FFD" w14:textId="77777777" w:rsidR="00F55BBB" w:rsidRPr="00B108ED" w:rsidRDefault="00F55BBB" w:rsidP="00F55BBB">
            <w:pPr>
              <w:spacing w:line="360" w:lineRule="auto"/>
              <w:rPr>
                <w:b/>
                <w:bCs/>
              </w:rPr>
            </w:pPr>
            <w:r w:rsidRPr="00B108ED">
              <w:rPr>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4CB6F4C" w14:textId="77777777" w:rsidR="00F55BBB" w:rsidRPr="00B108ED" w:rsidRDefault="00F55BBB" w:rsidP="00F55BBB">
            <w:pPr>
              <w:spacing w:line="360" w:lineRule="auto"/>
              <w:rPr>
                <w:b/>
                <w:bCs/>
              </w:rPr>
            </w:pPr>
            <w:r w:rsidRPr="00B108ED">
              <w:rPr>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B798DE7" w14:textId="77777777" w:rsidR="00F55BBB" w:rsidRPr="00B108ED" w:rsidRDefault="00F55BBB" w:rsidP="00F55BBB">
            <w:pPr>
              <w:spacing w:line="360" w:lineRule="auto"/>
              <w:rPr>
                <w:b/>
                <w:bCs/>
              </w:rPr>
            </w:pPr>
            <w:r w:rsidRPr="00B108ED">
              <w:rPr>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145A1D9" w14:textId="77777777" w:rsidR="00F55BBB" w:rsidRPr="00B108ED" w:rsidRDefault="00F55BBB" w:rsidP="00F55BBB">
            <w:pPr>
              <w:spacing w:line="360" w:lineRule="auto"/>
              <w:rPr>
                <w:b/>
                <w:bCs/>
              </w:rPr>
            </w:pPr>
            <w:r w:rsidRPr="00B108ED">
              <w:rPr>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75ECDE3" w14:textId="77777777" w:rsidR="00F55BBB" w:rsidRPr="00B108ED" w:rsidRDefault="00F55BBB" w:rsidP="00F55BBB">
            <w:pPr>
              <w:spacing w:line="360" w:lineRule="auto"/>
              <w:rPr>
                <w:b/>
                <w:bCs/>
              </w:rPr>
            </w:pPr>
            <w:r w:rsidRPr="00B108ED">
              <w:rPr>
                <w:b/>
                <w:bCs/>
              </w:rPr>
              <w:t> </w:t>
            </w:r>
          </w:p>
        </w:tc>
      </w:tr>
      <w:tr w:rsidR="00F55BBB" w:rsidRPr="00B108ED" w14:paraId="7A12E0CB" w14:textId="77777777" w:rsidTr="00F55BBB">
        <w:trPr>
          <w:trHeight w:val="31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634E70A" w14:textId="77777777" w:rsidR="00F55BBB" w:rsidRPr="00B108ED" w:rsidRDefault="00F55BBB" w:rsidP="00F55BBB">
            <w:pPr>
              <w:spacing w:line="360" w:lineRule="auto"/>
              <w:rPr>
                <w:b/>
                <w:bCs/>
              </w:rPr>
            </w:pPr>
            <w:r w:rsidRPr="00B108ED">
              <w:rPr>
                <w:b/>
                <w:bCs/>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69040A7" w14:textId="77777777" w:rsidR="00F55BBB" w:rsidRPr="00B108ED" w:rsidRDefault="00F55BBB" w:rsidP="00F55BBB">
            <w:pPr>
              <w:spacing w:line="360" w:lineRule="auto"/>
              <w:jc w:val="right"/>
              <w:rPr>
                <w:b/>
                <w:bCs/>
              </w:rPr>
            </w:pPr>
            <w:r w:rsidRPr="00B108ED">
              <w:rPr>
                <w:b/>
                <w:bCs/>
              </w:rPr>
              <w:t>2024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70D0E3A" w14:textId="77777777" w:rsidR="00F55BBB" w:rsidRPr="00B108ED" w:rsidRDefault="00F55BBB" w:rsidP="00F55BBB">
            <w:pPr>
              <w:spacing w:line="360" w:lineRule="auto"/>
              <w:jc w:val="right"/>
              <w:rPr>
                <w:b/>
                <w:bCs/>
              </w:rPr>
            </w:pPr>
            <w:r w:rsidRPr="00B108ED">
              <w:rPr>
                <w:b/>
                <w:bCs/>
              </w:rPr>
              <w:t>2023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AE78C74" w14:textId="77777777" w:rsidR="00F55BBB" w:rsidRPr="00B108ED" w:rsidRDefault="00F55BBB" w:rsidP="00F55BBB">
            <w:pPr>
              <w:spacing w:line="360" w:lineRule="auto"/>
              <w:jc w:val="right"/>
              <w:rPr>
                <w:b/>
                <w:bCs/>
              </w:rPr>
            </w:pPr>
            <w:r w:rsidRPr="00B108ED">
              <w:rPr>
                <w:b/>
                <w:bCs/>
              </w:rPr>
              <w:t>2022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0041F9F" w14:textId="77777777" w:rsidR="00F55BBB" w:rsidRPr="00B108ED" w:rsidRDefault="00F55BBB" w:rsidP="00F55BBB">
            <w:pPr>
              <w:spacing w:line="360" w:lineRule="auto"/>
              <w:jc w:val="right"/>
              <w:rPr>
                <w:b/>
                <w:bCs/>
              </w:rPr>
            </w:pPr>
            <w:r w:rsidRPr="00B108ED">
              <w:rPr>
                <w:b/>
                <w:bCs/>
              </w:rPr>
              <w:t>2021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93DFCAB" w14:textId="77777777" w:rsidR="00F55BBB" w:rsidRPr="00B108ED" w:rsidRDefault="00F55BBB" w:rsidP="00F55BBB">
            <w:pPr>
              <w:spacing w:line="360" w:lineRule="auto"/>
              <w:jc w:val="right"/>
              <w:rPr>
                <w:b/>
                <w:bCs/>
              </w:rPr>
            </w:pPr>
            <w:r w:rsidRPr="00B108ED">
              <w:rPr>
                <w:b/>
                <w:bCs/>
              </w:rPr>
              <w:t>2020</w:t>
            </w:r>
          </w:p>
        </w:tc>
      </w:tr>
      <w:tr w:rsidR="00F55BBB" w:rsidRPr="00B108ED" w14:paraId="3FC4108A" w14:textId="77777777" w:rsidTr="00F55BBB">
        <w:trPr>
          <w:trHeight w:val="30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146C02F" w14:textId="77777777" w:rsidR="00F55BBB" w:rsidRPr="00B108ED" w:rsidRDefault="00F55BBB" w:rsidP="00F55BBB">
            <w:pPr>
              <w:spacing w:line="360" w:lineRule="auto"/>
            </w:pPr>
            <w:r w:rsidRPr="00B108ED">
              <w:t xml:space="preserve">Cash flow from operations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247AF67" w14:textId="77777777" w:rsidR="00F55BBB" w:rsidRPr="00B108ED" w:rsidRDefault="00F55BBB" w:rsidP="00F55BBB">
            <w:pPr>
              <w:spacing w:line="360" w:lineRule="auto"/>
              <w:jc w:val="right"/>
            </w:pPr>
            <w:r w:rsidRPr="00B108ED">
              <w:t>4206373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320E493" w14:textId="77777777" w:rsidR="00F55BBB" w:rsidRPr="00B108ED" w:rsidRDefault="00F55BBB" w:rsidP="00F55BBB">
            <w:pPr>
              <w:spacing w:line="360" w:lineRule="auto"/>
              <w:jc w:val="right"/>
            </w:pPr>
            <w:r w:rsidRPr="00B108ED">
              <w:t>2955076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FEDB34B" w14:textId="77777777" w:rsidR="00F55BBB" w:rsidRPr="00B108ED" w:rsidRDefault="00F55BBB" w:rsidP="00F55BBB">
            <w:pPr>
              <w:spacing w:line="360" w:lineRule="auto"/>
              <w:jc w:val="right"/>
            </w:pPr>
            <w:r w:rsidRPr="00B108ED">
              <w:t>3722615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D04208F" w14:textId="77777777" w:rsidR="00F55BBB" w:rsidRPr="00B108ED" w:rsidRDefault="00F55BBB" w:rsidP="00F55BBB">
            <w:pPr>
              <w:spacing w:line="360" w:lineRule="auto"/>
              <w:jc w:val="right"/>
            </w:pPr>
            <w:r w:rsidRPr="00B108ED">
              <w:t>2727162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261DF65" w14:textId="77777777" w:rsidR="00F55BBB" w:rsidRPr="00B108ED" w:rsidRDefault="00F55BBB" w:rsidP="00F55BBB">
            <w:pPr>
              <w:spacing w:line="360" w:lineRule="auto"/>
              <w:jc w:val="right"/>
            </w:pPr>
            <w:r w:rsidRPr="00B108ED">
              <w:t>2398496</w:t>
            </w:r>
          </w:p>
        </w:tc>
      </w:tr>
      <w:tr w:rsidR="00F55BBB" w:rsidRPr="00B108ED" w14:paraId="2BC5711C" w14:textId="77777777" w:rsidTr="00F55BBB">
        <w:trPr>
          <w:trHeight w:val="30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FBB58B8" w14:textId="77777777" w:rsidR="00F55BBB" w:rsidRPr="00B108ED" w:rsidRDefault="00F55BBB" w:rsidP="00F55BBB">
            <w:pPr>
              <w:spacing w:line="360" w:lineRule="auto"/>
            </w:pPr>
            <w:r w:rsidRPr="00B108ED">
              <w:t xml:space="preserve">Current liabilities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14:paraId="31477BD6" w14:textId="77777777" w:rsidR="00F55BBB" w:rsidRPr="00B108ED" w:rsidRDefault="00F55BBB" w:rsidP="00F55BBB">
            <w:pPr>
              <w:spacing w:line="360" w:lineRule="auto"/>
              <w:jc w:val="right"/>
            </w:pPr>
            <w:r w:rsidRPr="00B108ED">
              <w:t>2,91,77,909</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14:paraId="1E669749" w14:textId="77777777" w:rsidR="00F55BBB" w:rsidRPr="00B108ED" w:rsidRDefault="00F55BBB" w:rsidP="00F55BBB">
            <w:pPr>
              <w:spacing w:line="360" w:lineRule="auto"/>
              <w:jc w:val="right"/>
            </w:pPr>
            <w:r w:rsidRPr="00B108ED">
              <w:t>2,39,59,715</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14:paraId="60C69D7D" w14:textId="77777777" w:rsidR="00F55BBB" w:rsidRPr="00B108ED" w:rsidRDefault="00F55BBB" w:rsidP="00F55BBB">
            <w:pPr>
              <w:spacing w:line="360" w:lineRule="auto"/>
              <w:jc w:val="right"/>
            </w:pPr>
            <w:r w:rsidRPr="00B108ED">
              <w:t>21842161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E94B9AC" w14:textId="77777777" w:rsidR="00F55BBB" w:rsidRPr="00B108ED" w:rsidRDefault="00F55BBB" w:rsidP="00F55BBB">
            <w:pPr>
              <w:spacing w:line="360" w:lineRule="auto"/>
              <w:jc w:val="right"/>
              <w:rPr>
                <w:color w:val="000000"/>
              </w:rPr>
            </w:pPr>
            <w:r w:rsidRPr="00B108ED">
              <w:rPr>
                <w:color w:val="000000"/>
              </w:rPr>
              <w:t>2,14,60,466</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14:paraId="6AA3DF96" w14:textId="77777777" w:rsidR="00F55BBB" w:rsidRPr="00B108ED" w:rsidRDefault="00F55BBB" w:rsidP="00F55BBB">
            <w:pPr>
              <w:spacing w:line="360" w:lineRule="auto"/>
              <w:jc w:val="right"/>
            </w:pPr>
            <w:r w:rsidRPr="00B108ED">
              <w:t>1,79,02,377</w:t>
            </w:r>
          </w:p>
        </w:tc>
      </w:tr>
      <w:tr w:rsidR="00F55BBB" w:rsidRPr="00B108ED" w14:paraId="7BA3EFEC" w14:textId="77777777" w:rsidTr="00F55BBB">
        <w:trPr>
          <w:trHeight w:val="30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090FD10" w14:textId="77777777" w:rsidR="00F55BBB" w:rsidRPr="00B108ED" w:rsidRDefault="00F55BBB" w:rsidP="00F55BBB">
            <w:pPr>
              <w:spacing w:line="360" w:lineRule="auto"/>
            </w:pPr>
            <w:r w:rsidRPr="00B108ED">
              <w:t>Cash flow from operations /Current liabilities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5492A00" w14:textId="77777777" w:rsidR="00F55BBB" w:rsidRPr="00B108ED" w:rsidRDefault="00F55BBB" w:rsidP="00F55BBB">
            <w:pPr>
              <w:spacing w:line="360" w:lineRule="auto"/>
              <w:jc w:val="right"/>
            </w:pPr>
            <w:r w:rsidRPr="00B108ED">
              <w:t>14.42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2DD1E03" w14:textId="77777777" w:rsidR="00F55BBB" w:rsidRPr="00B108ED" w:rsidRDefault="00F55BBB" w:rsidP="00F55BBB">
            <w:pPr>
              <w:spacing w:line="360" w:lineRule="auto"/>
              <w:jc w:val="right"/>
            </w:pPr>
            <w:r w:rsidRPr="00B108ED">
              <w:t>12.33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7D53507" w14:textId="77777777" w:rsidR="00F55BBB" w:rsidRPr="00B108ED" w:rsidRDefault="00F55BBB" w:rsidP="00F55BBB">
            <w:pPr>
              <w:spacing w:line="360" w:lineRule="auto"/>
              <w:jc w:val="right"/>
            </w:pPr>
            <w:r w:rsidRPr="00B108ED">
              <w:t>17.04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9602284" w14:textId="77777777" w:rsidR="00F55BBB" w:rsidRPr="00B108ED" w:rsidRDefault="00F55BBB" w:rsidP="00F55BBB">
            <w:pPr>
              <w:spacing w:line="360" w:lineRule="auto"/>
              <w:jc w:val="right"/>
            </w:pPr>
            <w:r w:rsidRPr="00B108ED">
              <w:t>12.71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818D4AE" w14:textId="77777777" w:rsidR="00F55BBB" w:rsidRPr="00B108ED" w:rsidRDefault="00F55BBB" w:rsidP="00F55BBB">
            <w:pPr>
              <w:spacing w:line="360" w:lineRule="auto"/>
              <w:jc w:val="right"/>
            </w:pPr>
            <w:r w:rsidRPr="00B108ED">
              <w:t>13.40</w:t>
            </w:r>
          </w:p>
        </w:tc>
      </w:tr>
    </w:tbl>
    <w:p w14:paraId="5617ED46" w14:textId="0D939F91" w:rsidR="00F55BBB" w:rsidRPr="00B108ED" w:rsidRDefault="00F55BBB" w:rsidP="00F55BBB">
      <w:pPr>
        <w:spacing w:line="360" w:lineRule="auto"/>
      </w:pPr>
      <w:r w:rsidRPr="00B108ED">
        <w:t xml:space="preserve"> </w:t>
      </w:r>
    </w:p>
    <w:tbl>
      <w:tblPr>
        <w:tblW w:w="5000" w:type="pct"/>
        <w:tblLook w:val="04A0" w:firstRow="1" w:lastRow="0" w:firstColumn="1" w:lastColumn="0" w:noHBand="0" w:noVBand="1"/>
      </w:tblPr>
      <w:tblGrid>
        <w:gridCol w:w="3068"/>
        <w:gridCol w:w="1155"/>
        <w:gridCol w:w="1155"/>
        <w:gridCol w:w="1155"/>
        <w:gridCol w:w="1155"/>
        <w:gridCol w:w="1331"/>
      </w:tblGrid>
      <w:tr w:rsidR="00F5277A" w:rsidRPr="00F5277A" w14:paraId="57486E34" w14:textId="77777777" w:rsidTr="00F5277A">
        <w:trPr>
          <w:trHeight w:val="315"/>
        </w:trPr>
        <w:tc>
          <w:tcPr>
            <w:tcW w:w="1996" w:type="pct"/>
            <w:tcBorders>
              <w:top w:val="single" w:sz="4" w:space="0" w:color="auto"/>
              <w:left w:val="single" w:sz="4" w:space="0" w:color="auto"/>
              <w:bottom w:val="single" w:sz="4" w:space="0" w:color="auto"/>
              <w:right w:val="single" w:sz="4" w:space="0" w:color="auto"/>
            </w:tcBorders>
            <w:noWrap/>
            <w:vAlign w:val="bottom"/>
            <w:hideMark/>
          </w:tcPr>
          <w:p w14:paraId="58C6BCFC" w14:textId="77777777" w:rsidR="00F5277A" w:rsidRPr="00F5277A" w:rsidRDefault="00F5277A" w:rsidP="00F5277A">
            <w:pPr>
              <w:spacing w:line="240" w:lineRule="auto"/>
              <w:rPr>
                <w:rFonts w:eastAsia="Times New Roman"/>
                <w:b/>
                <w:bCs/>
                <w:sz w:val="24"/>
                <w:szCs w:val="24"/>
              </w:rPr>
            </w:pPr>
            <w:r w:rsidRPr="00F5277A">
              <w:rPr>
                <w:rFonts w:eastAsia="Times New Roman"/>
                <w:b/>
                <w:bCs/>
                <w:sz w:val="24"/>
                <w:szCs w:val="24"/>
              </w:rPr>
              <w:t xml:space="preserve">Cash flow to debt ratio </w:t>
            </w:r>
          </w:p>
        </w:tc>
        <w:tc>
          <w:tcPr>
            <w:tcW w:w="602" w:type="pct"/>
            <w:tcBorders>
              <w:top w:val="single" w:sz="4" w:space="0" w:color="auto"/>
              <w:left w:val="nil"/>
              <w:bottom w:val="single" w:sz="4" w:space="0" w:color="auto"/>
              <w:right w:val="single" w:sz="4" w:space="0" w:color="auto"/>
            </w:tcBorders>
            <w:noWrap/>
            <w:vAlign w:val="bottom"/>
            <w:hideMark/>
          </w:tcPr>
          <w:p w14:paraId="5B4CE424" w14:textId="77777777" w:rsidR="00F5277A" w:rsidRPr="00F5277A" w:rsidRDefault="00F5277A" w:rsidP="00F5277A">
            <w:pPr>
              <w:spacing w:line="240" w:lineRule="auto"/>
              <w:rPr>
                <w:rFonts w:eastAsia="Times New Roman"/>
                <w:b/>
                <w:bCs/>
                <w:sz w:val="24"/>
                <w:szCs w:val="24"/>
              </w:rPr>
            </w:pPr>
            <w:r w:rsidRPr="00F5277A">
              <w:rPr>
                <w:rFonts w:eastAsia="Times New Roman"/>
                <w:b/>
                <w:bCs/>
                <w:sz w:val="24"/>
                <w:szCs w:val="24"/>
              </w:rPr>
              <w:t> </w:t>
            </w:r>
          </w:p>
        </w:tc>
        <w:tc>
          <w:tcPr>
            <w:tcW w:w="602" w:type="pct"/>
            <w:tcBorders>
              <w:top w:val="single" w:sz="4" w:space="0" w:color="auto"/>
              <w:left w:val="nil"/>
              <w:bottom w:val="single" w:sz="4" w:space="0" w:color="auto"/>
              <w:right w:val="single" w:sz="4" w:space="0" w:color="auto"/>
            </w:tcBorders>
            <w:noWrap/>
            <w:vAlign w:val="bottom"/>
            <w:hideMark/>
          </w:tcPr>
          <w:p w14:paraId="2FD915B1" w14:textId="77777777" w:rsidR="00F5277A" w:rsidRPr="00F5277A" w:rsidRDefault="00F5277A" w:rsidP="00F5277A">
            <w:pPr>
              <w:spacing w:line="240" w:lineRule="auto"/>
              <w:rPr>
                <w:rFonts w:eastAsia="Times New Roman"/>
                <w:b/>
                <w:bCs/>
                <w:sz w:val="24"/>
                <w:szCs w:val="24"/>
              </w:rPr>
            </w:pPr>
            <w:r w:rsidRPr="00F5277A">
              <w:rPr>
                <w:rFonts w:eastAsia="Times New Roman"/>
                <w:b/>
                <w:bCs/>
                <w:sz w:val="24"/>
                <w:szCs w:val="24"/>
              </w:rPr>
              <w:t> </w:t>
            </w:r>
          </w:p>
        </w:tc>
        <w:tc>
          <w:tcPr>
            <w:tcW w:w="602" w:type="pct"/>
            <w:tcBorders>
              <w:top w:val="single" w:sz="4" w:space="0" w:color="auto"/>
              <w:left w:val="nil"/>
              <w:bottom w:val="single" w:sz="4" w:space="0" w:color="auto"/>
              <w:right w:val="single" w:sz="4" w:space="0" w:color="auto"/>
            </w:tcBorders>
            <w:noWrap/>
            <w:vAlign w:val="bottom"/>
            <w:hideMark/>
          </w:tcPr>
          <w:p w14:paraId="3621EE42" w14:textId="77777777" w:rsidR="00F5277A" w:rsidRPr="00F5277A" w:rsidRDefault="00F5277A" w:rsidP="00F5277A">
            <w:pPr>
              <w:spacing w:line="240" w:lineRule="auto"/>
              <w:rPr>
                <w:rFonts w:eastAsia="Times New Roman"/>
                <w:b/>
                <w:bCs/>
                <w:sz w:val="24"/>
                <w:szCs w:val="24"/>
              </w:rPr>
            </w:pPr>
            <w:r w:rsidRPr="00F5277A">
              <w:rPr>
                <w:rFonts w:eastAsia="Times New Roman"/>
                <w:b/>
                <w:bCs/>
                <w:sz w:val="24"/>
                <w:szCs w:val="24"/>
              </w:rPr>
              <w:t> </w:t>
            </w:r>
          </w:p>
        </w:tc>
        <w:tc>
          <w:tcPr>
            <w:tcW w:w="586" w:type="pct"/>
            <w:tcBorders>
              <w:top w:val="single" w:sz="4" w:space="0" w:color="auto"/>
              <w:left w:val="nil"/>
              <w:bottom w:val="single" w:sz="4" w:space="0" w:color="auto"/>
              <w:right w:val="single" w:sz="4" w:space="0" w:color="auto"/>
            </w:tcBorders>
            <w:noWrap/>
            <w:vAlign w:val="bottom"/>
            <w:hideMark/>
          </w:tcPr>
          <w:p w14:paraId="4EBE3457" w14:textId="77777777" w:rsidR="00F5277A" w:rsidRPr="00F5277A" w:rsidRDefault="00F5277A" w:rsidP="00F5277A">
            <w:pPr>
              <w:spacing w:line="240" w:lineRule="auto"/>
              <w:rPr>
                <w:rFonts w:eastAsia="Times New Roman"/>
                <w:b/>
                <w:bCs/>
                <w:sz w:val="24"/>
                <w:szCs w:val="24"/>
              </w:rPr>
            </w:pPr>
            <w:r w:rsidRPr="00F5277A">
              <w:rPr>
                <w:rFonts w:eastAsia="Times New Roman"/>
                <w:b/>
                <w:bCs/>
                <w:sz w:val="24"/>
                <w:szCs w:val="24"/>
              </w:rPr>
              <w:t> </w:t>
            </w:r>
          </w:p>
        </w:tc>
        <w:tc>
          <w:tcPr>
            <w:tcW w:w="612" w:type="pct"/>
            <w:tcBorders>
              <w:top w:val="single" w:sz="4" w:space="0" w:color="auto"/>
              <w:left w:val="nil"/>
              <w:bottom w:val="single" w:sz="4" w:space="0" w:color="auto"/>
              <w:right w:val="single" w:sz="4" w:space="0" w:color="auto"/>
            </w:tcBorders>
            <w:noWrap/>
            <w:vAlign w:val="bottom"/>
            <w:hideMark/>
          </w:tcPr>
          <w:p w14:paraId="71EAC9B1" w14:textId="77777777" w:rsidR="00F5277A" w:rsidRPr="00F5277A" w:rsidRDefault="00F5277A" w:rsidP="00F5277A">
            <w:pPr>
              <w:spacing w:line="240" w:lineRule="auto"/>
              <w:rPr>
                <w:rFonts w:eastAsia="Times New Roman"/>
                <w:b/>
                <w:bCs/>
                <w:sz w:val="24"/>
                <w:szCs w:val="24"/>
              </w:rPr>
            </w:pPr>
            <w:r w:rsidRPr="00F5277A">
              <w:rPr>
                <w:rFonts w:eastAsia="Times New Roman"/>
                <w:b/>
                <w:bCs/>
                <w:sz w:val="24"/>
                <w:szCs w:val="24"/>
              </w:rPr>
              <w:t> </w:t>
            </w:r>
          </w:p>
        </w:tc>
      </w:tr>
      <w:tr w:rsidR="00F5277A" w:rsidRPr="00F5277A" w14:paraId="2A7F5135" w14:textId="77777777" w:rsidTr="00F5277A">
        <w:trPr>
          <w:trHeight w:val="315"/>
        </w:trPr>
        <w:tc>
          <w:tcPr>
            <w:tcW w:w="1996" w:type="pct"/>
            <w:tcBorders>
              <w:top w:val="nil"/>
              <w:left w:val="single" w:sz="4" w:space="0" w:color="auto"/>
              <w:bottom w:val="single" w:sz="4" w:space="0" w:color="auto"/>
              <w:right w:val="single" w:sz="4" w:space="0" w:color="auto"/>
            </w:tcBorders>
            <w:noWrap/>
            <w:vAlign w:val="bottom"/>
            <w:hideMark/>
          </w:tcPr>
          <w:p w14:paraId="10B8B81B" w14:textId="77777777" w:rsidR="00F5277A" w:rsidRPr="00F5277A" w:rsidRDefault="00F5277A" w:rsidP="00F5277A">
            <w:pPr>
              <w:spacing w:line="240" w:lineRule="auto"/>
              <w:rPr>
                <w:rFonts w:eastAsia="Times New Roman"/>
                <w:b/>
                <w:bCs/>
                <w:sz w:val="24"/>
                <w:szCs w:val="24"/>
              </w:rPr>
            </w:pPr>
            <w:r w:rsidRPr="00F5277A">
              <w:rPr>
                <w:rFonts w:eastAsia="Times New Roman"/>
                <w:b/>
                <w:bCs/>
                <w:sz w:val="24"/>
                <w:szCs w:val="24"/>
              </w:rPr>
              <w:t> </w:t>
            </w:r>
          </w:p>
        </w:tc>
        <w:tc>
          <w:tcPr>
            <w:tcW w:w="602" w:type="pct"/>
            <w:tcBorders>
              <w:top w:val="nil"/>
              <w:left w:val="nil"/>
              <w:bottom w:val="single" w:sz="4" w:space="0" w:color="auto"/>
              <w:right w:val="single" w:sz="4" w:space="0" w:color="auto"/>
            </w:tcBorders>
            <w:noWrap/>
            <w:vAlign w:val="bottom"/>
            <w:hideMark/>
          </w:tcPr>
          <w:p w14:paraId="197B96EA" w14:textId="77777777" w:rsidR="00F5277A" w:rsidRPr="00F5277A" w:rsidRDefault="00F5277A" w:rsidP="00F5277A">
            <w:pPr>
              <w:spacing w:line="240" w:lineRule="auto"/>
              <w:jc w:val="right"/>
              <w:rPr>
                <w:rFonts w:eastAsia="Times New Roman"/>
                <w:b/>
                <w:bCs/>
                <w:sz w:val="24"/>
                <w:szCs w:val="24"/>
              </w:rPr>
            </w:pPr>
            <w:r w:rsidRPr="00F5277A">
              <w:rPr>
                <w:rFonts w:eastAsia="Times New Roman"/>
                <w:b/>
                <w:bCs/>
                <w:sz w:val="24"/>
                <w:szCs w:val="24"/>
              </w:rPr>
              <w:t>2024</w:t>
            </w:r>
          </w:p>
        </w:tc>
        <w:tc>
          <w:tcPr>
            <w:tcW w:w="602" w:type="pct"/>
            <w:tcBorders>
              <w:top w:val="nil"/>
              <w:left w:val="nil"/>
              <w:bottom w:val="single" w:sz="4" w:space="0" w:color="auto"/>
              <w:right w:val="single" w:sz="4" w:space="0" w:color="auto"/>
            </w:tcBorders>
            <w:noWrap/>
            <w:vAlign w:val="bottom"/>
            <w:hideMark/>
          </w:tcPr>
          <w:p w14:paraId="35593DD7" w14:textId="77777777" w:rsidR="00F5277A" w:rsidRPr="00F5277A" w:rsidRDefault="00F5277A" w:rsidP="00F5277A">
            <w:pPr>
              <w:spacing w:line="240" w:lineRule="auto"/>
              <w:jc w:val="right"/>
              <w:rPr>
                <w:rFonts w:eastAsia="Times New Roman"/>
                <w:b/>
                <w:bCs/>
                <w:sz w:val="24"/>
                <w:szCs w:val="24"/>
              </w:rPr>
            </w:pPr>
            <w:r w:rsidRPr="00F5277A">
              <w:rPr>
                <w:rFonts w:eastAsia="Times New Roman"/>
                <w:b/>
                <w:bCs/>
                <w:sz w:val="24"/>
                <w:szCs w:val="24"/>
              </w:rPr>
              <w:t>2023</w:t>
            </w:r>
          </w:p>
        </w:tc>
        <w:tc>
          <w:tcPr>
            <w:tcW w:w="602" w:type="pct"/>
            <w:tcBorders>
              <w:top w:val="nil"/>
              <w:left w:val="nil"/>
              <w:bottom w:val="single" w:sz="4" w:space="0" w:color="auto"/>
              <w:right w:val="single" w:sz="4" w:space="0" w:color="auto"/>
            </w:tcBorders>
            <w:noWrap/>
            <w:vAlign w:val="bottom"/>
            <w:hideMark/>
          </w:tcPr>
          <w:p w14:paraId="3BA628BD" w14:textId="77777777" w:rsidR="00F5277A" w:rsidRPr="00F5277A" w:rsidRDefault="00F5277A" w:rsidP="00F5277A">
            <w:pPr>
              <w:spacing w:line="240" w:lineRule="auto"/>
              <w:jc w:val="right"/>
              <w:rPr>
                <w:rFonts w:eastAsia="Times New Roman"/>
                <w:b/>
                <w:bCs/>
                <w:sz w:val="24"/>
                <w:szCs w:val="24"/>
              </w:rPr>
            </w:pPr>
            <w:r w:rsidRPr="00F5277A">
              <w:rPr>
                <w:rFonts w:eastAsia="Times New Roman"/>
                <w:b/>
                <w:bCs/>
                <w:sz w:val="24"/>
                <w:szCs w:val="24"/>
              </w:rPr>
              <w:t>2022</w:t>
            </w:r>
          </w:p>
        </w:tc>
        <w:tc>
          <w:tcPr>
            <w:tcW w:w="586" w:type="pct"/>
            <w:tcBorders>
              <w:top w:val="nil"/>
              <w:left w:val="nil"/>
              <w:bottom w:val="single" w:sz="4" w:space="0" w:color="auto"/>
              <w:right w:val="single" w:sz="4" w:space="0" w:color="auto"/>
            </w:tcBorders>
            <w:noWrap/>
            <w:vAlign w:val="bottom"/>
            <w:hideMark/>
          </w:tcPr>
          <w:p w14:paraId="7075A702" w14:textId="77777777" w:rsidR="00F5277A" w:rsidRPr="00F5277A" w:rsidRDefault="00F5277A" w:rsidP="00F5277A">
            <w:pPr>
              <w:spacing w:line="240" w:lineRule="auto"/>
              <w:jc w:val="right"/>
              <w:rPr>
                <w:rFonts w:eastAsia="Times New Roman"/>
                <w:b/>
                <w:bCs/>
                <w:sz w:val="24"/>
                <w:szCs w:val="24"/>
              </w:rPr>
            </w:pPr>
            <w:r w:rsidRPr="00F5277A">
              <w:rPr>
                <w:rFonts w:eastAsia="Times New Roman"/>
                <w:b/>
                <w:bCs/>
                <w:sz w:val="24"/>
                <w:szCs w:val="24"/>
              </w:rPr>
              <w:t>2021</w:t>
            </w:r>
          </w:p>
        </w:tc>
        <w:tc>
          <w:tcPr>
            <w:tcW w:w="612" w:type="pct"/>
            <w:tcBorders>
              <w:top w:val="nil"/>
              <w:left w:val="nil"/>
              <w:bottom w:val="single" w:sz="4" w:space="0" w:color="auto"/>
              <w:right w:val="single" w:sz="4" w:space="0" w:color="auto"/>
            </w:tcBorders>
            <w:noWrap/>
            <w:vAlign w:val="bottom"/>
            <w:hideMark/>
          </w:tcPr>
          <w:p w14:paraId="6C94FB73" w14:textId="77777777" w:rsidR="00F5277A" w:rsidRPr="00F5277A" w:rsidRDefault="00F5277A" w:rsidP="00F5277A">
            <w:pPr>
              <w:spacing w:line="240" w:lineRule="auto"/>
              <w:jc w:val="right"/>
              <w:rPr>
                <w:rFonts w:eastAsia="Times New Roman"/>
                <w:b/>
                <w:bCs/>
                <w:sz w:val="24"/>
                <w:szCs w:val="24"/>
              </w:rPr>
            </w:pPr>
            <w:r w:rsidRPr="00F5277A">
              <w:rPr>
                <w:rFonts w:eastAsia="Times New Roman"/>
                <w:b/>
                <w:bCs/>
                <w:sz w:val="24"/>
                <w:szCs w:val="24"/>
              </w:rPr>
              <w:t>2020</w:t>
            </w:r>
          </w:p>
        </w:tc>
      </w:tr>
      <w:tr w:rsidR="00F5277A" w:rsidRPr="00F5277A" w14:paraId="042D7A58" w14:textId="77777777" w:rsidTr="00F5277A">
        <w:trPr>
          <w:trHeight w:val="300"/>
        </w:trPr>
        <w:tc>
          <w:tcPr>
            <w:tcW w:w="1996" w:type="pct"/>
            <w:tcBorders>
              <w:top w:val="nil"/>
              <w:left w:val="single" w:sz="4" w:space="0" w:color="auto"/>
              <w:bottom w:val="single" w:sz="4" w:space="0" w:color="auto"/>
              <w:right w:val="single" w:sz="4" w:space="0" w:color="auto"/>
            </w:tcBorders>
            <w:noWrap/>
            <w:vAlign w:val="bottom"/>
            <w:hideMark/>
          </w:tcPr>
          <w:p w14:paraId="715B1D6A" w14:textId="77777777" w:rsidR="00F5277A" w:rsidRPr="00F5277A" w:rsidRDefault="00F5277A" w:rsidP="00F5277A">
            <w:pPr>
              <w:spacing w:line="240" w:lineRule="auto"/>
              <w:rPr>
                <w:rFonts w:eastAsia="Times New Roman"/>
                <w:sz w:val="24"/>
                <w:szCs w:val="24"/>
              </w:rPr>
            </w:pPr>
            <w:r w:rsidRPr="00F5277A">
              <w:rPr>
                <w:rFonts w:eastAsia="Times New Roman"/>
                <w:sz w:val="24"/>
                <w:szCs w:val="24"/>
              </w:rPr>
              <w:t>Operating cash flow</w:t>
            </w:r>
          </w:p>
        </w:tc>
        <w:tc>
          <w:tcPr>
            <w:tcW w:w="602" w:type="pct"/>
            <w:tcBorders>
              <w:top w:val="nil"/>
              <w:left w:val="nil"/>
              <w:bottom w:val="single" w:sz="4" w:space="0" w:color="auto"/>
              <w:right w:val="single" w:sz="4" w:space="0" w:color="auto"/>
            </w:tcBorders>
            <w:noWrap/>
            <w:vAlign w:val="bottom"/>
            <w:hideMark/>
          </w:tcPr>
          <w:p w14:paraId="4F84706E"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4206373</w:t>
            </w:r>
          </w:p>
        </w:tc>
        <w:tc>
          <w:tcPr>
            <w:tcW w:w="602" w:type="pct"/>
            <w:tcBorders>
              <w:top w:val="nil"/>
              <w:left w:val="nil"/>
              <w:bottom w:val="single" w:sz="4" w:space="0" w:color="auto"/>
              <w:right w:val="single" w:sz="4" w:space="0" w:color="auto"/>
            </w:tcBorders>
            <w:noWrap/>
            <w:vAlign w:val="bottom"/>
            <w:hideMark/>
          </w:tcPr>
          <w:p w14:paraId="26DA0ECB"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2955076</w:t>
            </w:r>
          </w:p>
        </w:tc>
        <w:tc>
          <w:tcPr>
            <w:tcW w:w="602" w:type="pct"/>
            <w:tcBorders>
              <w:top w:val="nil"/>
              <w:left w:val="nil"/>
              <w:bottom w:val="single" w:sz="4" w:space="0" w:color="auto"/>
              <w:right w:val="single" w:sz="4" w:space="0" w:color="auto"/>
            </w:tcBorders>
            <w:noWrap/>
            <w:vAlign w:val="bottom"/>
            <w:hideMark/>
          </w:tcPr>
          <w:p w14:paraId="16764BA1"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3722615</w:t>
            </w:r>
          </w:p>
        </w:tc>
        <w:tc>
          <w:tcPr>
            <w:tcW w:w="586" w:type="pct"/>
            <w:tcBorders>
              <w:top w:val="nil"/>
              <w:left w:val="nil"/>
              <w:bottom w:val="single" w:sz="4" w:space="0" w:color="auto"/>
              <w:right w:val="single" w:sz="4" w:space="0" w:color="auto"/>
            </w:tcBorders>
            <w:noWrap/>
            <w:vAlign w:val="bottom"/>
            <w:hideMark/>
          </w:tcPr>
          <w:p w14:paraId="534016B6"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2727162</w:t>
            </w:r>
          </w:p>
        </w:tc>
        <w:tc>
          <w:tcPr>
            <w:tcW w:w="612" w:type="pct"/>
            <w:tcBorders>
              <w:top w:val="nil"/>
              <w:left w:val="nil"/>
              <w:bottom w:val="single" w:sz="4" w:space="0" w:color="auto"/>
              <w:right w:val="single" w:sz="4" w:space="0" w:color="auto"/>
            </w:tcBorders>
            <w:noWrap/>
            <w:vAlign w:val="bottom"/>
            <w:hideMark/>
          </w:tcPr>
          <w:p w14:paraId="5CB418EF"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2398496</w:t>
            </w:r>
          </w:p>
        </w:tc>
      </w:tr>
      <w:tr w:rsidR="00F5277A" w:rsidRPr="00F5277A" w14:paraId="69752F0D" w14:textId="77777777" w:rsidTr="00F5277A">
        <w:trPr>
          <w:trHeight w:val="300"/>
        </w:trPr>
        <w:tc>
          <w:tcPr>
            <w:tcW w:w="1996" w:type="pct"/>
            <w:tcBorders>
              <w:top w:val="nil"/>
              <w:left w:val="single" w:sz="4" w:space="0" w:color="auto"/>
              <w:bottom w:val="single" w:sz="4" w:space="0" w:color="auto"/>
              <w:right w:val="single" w:sz="4" w:space="0" w:color="auto"/>
            </w:tcBorders>
            <w:noWrap/>
            <w:vAlign w:val="bottom"/>
            <w:hideMark/>
          </w:tcPr>
          <w:p w14:paraId="5FBB3C90" w14:textId="77777777" w:rsidR="00F5277A" w:rsidRPr="00F5277A" w:rsidRDefault="00F5277A" w:rsidP="00F5277A">
            <w:pPr>
              <w:spacing w:line="240" w:lineRule="auto"/>
              <w:rPr>
                <w:rFonts w:eastAsia="Times New Roman"/>
                <w:sz w:val="24"/>
                <w:szCs w:val="24"/>
              </w:rPr>
            </w:pPr>
            <w:r w:rsidRPr="00F5277A">
              <w:rPr>
                <w:rFonts w:eastAsia="Times New Roman"/>
                <w:sz w:val="24"/>
                <w:szCs w:val="24"/>
              </w:rPr>
              <w:t xml:space="preserve">Total Debt </w:t>
            </w:r>
          </w:p>
        </w:tc>
        <w:tc>
          <w:tcPr>
            <w:tcW w:w="602" w:type="pct"/>
            <w:tcBorders>
              <w:top w:val="nil"/>
              <w:left w:val="nil"/>
              <w:bottom w:val="single" w:sz="4" w:space="0" w:color="auto"/>
              <w:right w:val="single" w:sz="4" w:space="0" w:color="auto"/>
            </w:tcBorders>
            <w:noWrap/>
            <w:vAlign w:val="bottom"/>
            <w:hideMark/>
          </w:tcPr>
          <w:p w14:paraId="2D0F3BCD" w14:textId="77777777" w:rsidR="00F5277A" w:rsidRPr="00F5277A" w:rsidRDefault="00F5277A" w:rsidP="00F5277A">
            <w:pPr>
              <w:spacing w:line="240" w:lineRule="auto"/>
              <w:jc w:val="center"/>
              <w:rPr>
                <w:rFonts w:eastAsia="Times New Roman"/>
                <w:sz w:val="24"/>
                <w:szCs w:val="24"/>
              </w:rPr>
            </w:pPr>
            <w:r w:rsidRPr="00F5277A">
              <w:rPr>
                <w:rFonts w:eastAsia="Times New Roman"/>
                <w:sz w:val="24"/>
                <w:szCs w:val="24"/>
              </w:rPr>
              <w:t>54874958</w:t>
            </w:r>
          </w:p>
        </w:tc>
        <w:tc>
          <w:tcPr>
            <w:tcW w:w="602" w:type="pct"/>
            <w:tcBorders>
              <w:top w:val="nil"/>
              <w:left w:val="nil"/>
              <w:bottom w:val="single" w:sz="4" w:space="0" w:color="auto"/>
              <w:right w:val="single" w:sz="4" w:space="0" w:color="auto"/>
            </w:tcBorders>
            <w:noWrap/>
            <w:vAlign w:val="bottom"/>
            <w:hideMark/>
          </w:tcPr>
          <w:p w14:paraId="3C75F8FF"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45038967</w:t>
            </w:r>
          </w:p>
        </w:tc>
        <w:tc>
          <w:tcPr>
            <w:tcW w:w="602" w:type="pct"/>
            <w:tcBorders>
              <w:top w:val="nil"/>
              <w:left w:val="nil"/>
              <w:bottom w:val="single" w:sz="4" w:space="0" w:color="auto"/>
              <w:right w:val="single" w:sz="4" w:space="0" w:color="auto"/>
            </w:tcBorders>
            <w:noWrap/>
            <w:vAlign w:val="bottom"/>
            <w:hideMark/>
          </w:tcPr>
          <w:p w14:paraId="14DE1A18"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40533951</w:t>
            </w:r>
          </w:p>
        </w:tc>
        <w:tc>
          <w:tcPr>
            <w:tcW w:w="586" w:type="pct"/>
            <w:tcBorders>
              <w:top w:val="nil"/>
              <w:left w:val="nil"/>
              <w:bottom w:val="single" w:sz="4" w:space="0" w:color="auto"/>
              <w:right w:val="single" w:sz="4" w:space="0" w:color="auto"/>
            </w:tcBorders>
            <w:noWrap/>
            <w:vAlign w:val="bottom"/>
            <w:hideMark/>
          </w:tcPr>
          <w:p w14:paraId="279BBAD3"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37978811</w:t>
            </w:r>
          </w:p>
        </w:tc>
        <w:tc>
          <w:tcPr>
            <w:tcW w:w="612" w:type="pct"/>
            <w:tcBorders>
              <w:top w:val="nil"/>
              <w:left w:val="nil"/>
              <w:bottom w:val="nil"/>
              <w:right w:val="nil"/>
            </w:tcBorders>
            <w:noWrap/>
            <w:vAlign w:val="bottom"/>
            <w:hideMark/>
          </w:tcPr>
          <w:p w14:paraId="1C5AFBA8" w14:textId="77777777" w:rsidR="00F5277A" w:rsidRPr="00F5277A" w:rsidRDefault="00F5277A" w:rsidP="00F5277A">
            <w:pPr>
              <w:spacing w:line="240" w:lineRule="auto"/>
              <w:jc w:val="right"/>
              <w:rPr>
                <w:rFonts w:eastAsia="Times New Roman"/>
                <w:color w:val="000000"/>
                <w:sz w:val="24"/>
                <w:szCs w:val="24"/>
              </w:rPr>
            </w:pPr>
            <w:r w:rsidRPr="00F5277A">
              <w:rPr>
                <w:rFonts w:eastAsia="Times New Roman"/>
                <w:color w:val="000000"/>
                <w:sz w:val="24"/>
                <w:szCs w:val="24"/>
              </w:rPr>
              <w:t>3,26,33,351</w:t>
            </w:r>
          </w:p>
        </w:tc>
      </w:tr>
      <w:tr w:rsidR="00F5277A" w:rsidRPr="00F5277A" w14:paraId="241AF1B3" w14:textId="77777777" w:rsidTr="00F5277A">
        <w:trPr>
          <w:trHeight w:val="300"/>
        </w:trPr>
        <w:tc>
          <w:tcPr>
            <w:tcW w:w="1996" w:type="pct"/>
            <w:tcBorders>
              <w:top w:val="nil"/>
              <w:left w:val="single" w:sz="4" w:space="0" w:color="auto"/>
              <w:bottom w:val="single" w:sz="4" w:space="0" w:color="auto"/>
              <w:right w:val="single" w:sz="4" w:space="0" w:color="auto"/>
            </w:tcBorders>
            <w:noWrap/>
            <w:vAlign w:val="bottom"/>
            <w:hideMark/>
          </w:tcPr>
          <w:p w14:paraId="4F9AE974" w14:textId="77777777" w:rsidR="00F5277A" w:rsidRPr="00F5277A" w:rsidRDefault="00F5277A" w:rsidP="00F5277A">
            <w:pPr>
              <w:spacing w:line="240" w:lineRule="auto"/>
              <w:rPr>
                <w:rFonts w:eastAsia="Times New Roman"/>
                <w:sz w:val="24"/>
                <w:szCs w:val="24"/>
              </w:rPr>
            </w:pPr>
            <w:r w:rsidRPr="00F5277A">
              <w:rPr>
                <w:rFonts w:eastAsia="Times New Roman"/>
                <w:sz w:val="24"/>
                <w:szCs w:val="24"/>
              </w:rPr>
              <w:t xml:space="preserve">Operating cash flow/ total debt </w:t>
            </w:r>
          </w:p>
        </w:tc>
        <w:tc>
          <w:tcPr>
            <w:tcW w:w="602" w:type="pct"/>
            <w:tcBorders>
              <w:top w:val="nil"/>
              <w:left w:val="nil"/>
              <w:bottom w:val="single" w:sz="4" w:space="0" w:color="auto"/>
              <w:right w:val="single" w:sz="4" w:space="0" w:color="auto"/>
            </w:tcBorders>
            <w:noWrap/>
            <w:vAlign w:val="bottom"/>
            <w:hideMark/>
          </w:tcPr>
          <w:p w14:paraId="04FAD7EB"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0.08</w:t>
            </w:r>
          </w:p>
        </w:tc>
        <w:tc>
          <w:tcPr>
            <w:tcW w:w="602" w:type="pct"/>
            <w:tcBorders>
              <w:top w:val="nil"/>
              <w:left w:val="nil"/>
              <w:bottom w:val="single" w:sz="4" w:space="0" w:color="auto"/>
              <w:right w:val="single" w:sz="4" w:space="0" w:color="auto"/>
            </w:tcBorders>
            <w:noWrap/>
            <w:vAlign w:val="bottom"/>
            <w:hideMark/>
          </w:tcPr>
          <w:p w14:paraId="2639FE81"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0.07</w:t>
            </w:r>
          </w:p>
        </w:tc>
        <w:tc>
          <w:tcPr>
            <w:tcW w:w="602" w:type="pct"/>
            <w:tcBorders>
              <w:top w:val="nil"/>
              <w:left w:val="nil"/>
              <w:bottom w:val="single" w:sz="4" w:space="0" w:color="auto"/>
              <w:right w:val="single" w:sz="4" w:space="0" w:color="auto"/>
            </w:tcBorders>
            <w:noWrap/>
            <w:vAlign w:val="bottom"/>
            <w:hideMark/>
          </w:tcPr>
          <w:p w14:paraId="19E5742E"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0.09</w:t>
            </w:r>
          </w:p>
        </w:tc>
        <w:tc>
          <w:tcPr>
            <w:tcW w:w="586" w:type="pct"/>
            <w:tcBorders>
              <w:top w:val="nil"/>
              <w:left w:val="nil"/>
              <w:bottom w:val="single" w:sz="4" w:space="0" w:color="auto"/>
              <w:right w:val="single" w:sz="4" w:space="0" w:color="auto"/>
            </w:tcBorders>
            <w:noWrap/>
            <w:vAlign w:val="bottom"/>
            <w:hideMark/>
          </w:tcPr>
          <w:p w14:paraId="12A6CFF9"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0.07</w:t>
            </w:r>
          </w:p>
        </w:tc>
        <w:tc>
          <w:tcPr>
            <w:tcW w:w="612" w:type="pct"/>
            <w:tcBorders>
              <w:top w:val="single" w:sz="4" w:space="0" w:color="auto"/>
              <w:left w:val="nil"/>
              <w:bottom w:val="single" w:sz="4" w:space="0" w:color="auto"/>
              <w:right w:val="single" w:sz="4" w:space="0" w:color="auto"/>
            </w:tcBorders>
            <w:noWrap/>
            <w:vAlign w:val="bottom"/>
            <w:hideMark/>
          </w:tcPr>
          <w:p w14:paraId="24852CF8" w14:textId="77777777" w:rsidR="00F5277A" w:rsidRPr="00F5277A" w:rsidRDefault="00F5277A" w:rsidP="00F5277A">
            <w:pPr>
              <w:spacing w:line="240" w:lineRule="auto"/>
              <w:jc w:val="right"/>
              <w:rPr>
                <w:rFonts w:eastAsia="Times New Roman"/>
                <w:sz w:val="24"/>
                <w:szCs w:val="24"/>
              </w:rPr>
            </w:pPr>
            <w:r w:rsidRPr="00F5277A">
              <w:rPr>
                <w:rFonts w:eastAsia="Times New Roman"/>
                <w:sz w:val="24"/>
                <w:szCs w:val="24"/>
              </w:rPr>
              <w:t>0.07</w:t>
            </w:r>
          </w:p>
        </w:tc>
      </w:tr>
    </w:tbl>
    <w:p w14:paraId="196AEEC1" w14:textId="0F233E41" w:rsidR="00F55BBB" w:rsidRPr="00B108ED" w:rsidRDefault="00F55BBB" w:rsidP="00F55BBB">
      <w:pPr>
        <w:spacing w:line="360" w:lineRule="auto"/>
      </w:pPr>
    </w:p>
    <w:p w14:paraId="52E007DB" w14:textId="259BBFC1" w:rsidR="00F55BBB" w:rsidRPr="00B108ED" w:rsidRDefault="00F55BBB" w:rsidP="00F55BBB">
      <w:pPr>
        <w:spacing w:line="360" w:lineRule="auto"/>
        <w:rPr>
          <w:b/>
          <w:sz w:val="26"/>
          <w:szCs w:val="32"/>
        </w:rPr>
      </w:pPr>
      <w:r w:rsidRPr="00B108ED">
        <w:rPr>
          <w:b/>
          <w:sz w:val="26"/>
          <w:szCs w:val="32"/>
        </w:rPr>
        <w:t>Gearing Ratio</w:t>
      </w:r>
    </w:p>
    <w:tbl>
      <w:tblPr>
        <w:tblW w:w="0" w:type="auto"/>
        <w:tblLook w:val="04A0" w:firstRow="1" w:lastRow="0" w:firstColumn="1" w:lastColumn="0" w:noHBand="0" w:noVBand="1"/>
      </w:tblPr>
      <w:tblGrid>
        <w:gridCol w:w="3479"/>
        <w:gridCol w:w="1108"/>
        <w:gridCol w:w="1108"/>
        <w:gridCol w:w="1108"/>
        <w:gridCol w:w="1108"/>
        <w:gridCol w:w="1108"/>
      </w:tblGrid>
      <w:tr w:rsidR="00F55BBB" w:rsidRPr="00F55BBB" w14:paraId="083C9F50" w14:textId="77777777" w:rsidTr="00F55BB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F3182BE"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xml:space="preserve">Debt-to-equity ratio </w:t>
            </w:r>
          </w:p>
        </w:tc>
        <w:tc>
          <w:tcPr>
            <w:tcW w:w="0" w:type="auto"/>
            <w:tcBorders>
              <w:top w:val="single" w:sz="4" w:space="0" w:color="auto"/>
              <w:left w:val="nil"/>
              <w:bottom w:val="single" w:sz="4" w:space="0" w:color="auto"/>
              <w:right w:val="single" w:sz="4" w:space="0" w:color="auto"/>
            </w:tcBorders>
            <w:noWrap/>
            <w:vAlign w:val="bottom"/>
            <w:hideMark/>
          </w:tcPr>
          <w:p w14:paraId="2971BE8B"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single" w:sz="4" w:space="0" w:color="auto"/>
              <w:left w:val="nil"/>
              <w:bottom w:val="single" w:sz="4" w:space="0" w:color="auto"/>
              <w:right w:val="single" w:sz="4" w:space="0" w:color="auto"/>
            </w:tcBorders>
            <w:noWrap/>
            <w:vAlign w:val="bottom"/>
            <w:hideMark/>
          </w:tcPr>
          <w:p w14:paraId="0BA7965E"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single" w:sz="4" w:space="0" w:color="auto"/>
              <w:left w:val="nil"/>
              <w:bottom w:val="single" w:sz="4" w:space="0" w:color="auto"/>
              <w:right w:val="single" w:sz="4" w:space="0" w:color="auto"/>
            </w:tcBorders>
            <w:noWrap/>
            <w:vAlign w:val="bottom"/>
            <w:hideMark/>
          </w:tcPr>
          <w:p w14:paraId="37404CA5"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single" w:sz="4" w:space="0" w:color="auto"/>
              <w:left w:val="nil"/>
              <w:bottom w:val="single" w:sz="4" w:space="0" w:color="auto"/>
              <w:right w:val="single" w:sz="4" w:space="0" w:color="auto"/>
            </w:tcBorders>
            <w:noWrap/>
            <w:vAlign w:val="bottom"/>
            <w:hideMark/>
          </w:tcPr>
          <w:p w14:paraId="38C92E22"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single" w:sz="4" w:space="0" w:color="auto"/>
              <w:left w:val="nil"/>
              <w:bottom w:val="single" w:sz="4" w:space="0" w:color="auto"/>
              <w:right w:val="single" w:sz="4" w:space="0" w:color="auto"/>
            </w:tcBorders>
            <w:noWrap/>
            <w:vAlign w:val="bottom"/>
            <w:hideMark/>
          </w:tcPr>
          <w:p w14:paraId="18FBA02D"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r>
      <w:tr w:rsidR="00F55BBB" w:rsidRPr="00F55BBB" w14:paraId="336DD6E0" w14:textId="77777777" w:rsidTr="00F55BBB">
        <w:trPr>
          <w:trHeight w:val="315"/>
        </w:trPr>
        <w:tc>
          <w:tcPr>
            <w:tcW w:w="0" w:type="auto"/>
            <w:tcBorders>
              <w:top w:val="nil"/>
              <w:left w:val="single" w:sz="4" w:space="0" w:color="auto"/>
              <w:bottom w:val="single" w:sz="4" w:space="0" w:color="auto"/>
              <w:right w:val="single" w:sz="4" w:space="0" w:color="auto"/>
            </w:tcBorders>
            <w:noWrap/>
            <w:vAlign w:val="bottom"/>
            <w:hideMark/>
          </w:tcPr>
          <w:p w14:paraId="18B8860C"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nil"/>
              <w:left w:val="nil"/>
              <w:bottom w:val="single" w:sz="4" w:space="0" w:color="auto"/>
              <w:right w:val="single" w:sz="4" w:space="0" w:color="auto"/>
            </w:tcBorders>
            <w:noWrap/>
            <w:vAlign w:val="bottom"/>
            <w:hideMark/>
          </w:tcPr>
          <w:p w14:paraId="79FB46DC"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2024</w:t>
            </w:r>
          </w:p>
        </w:tc>
        <w:tc>
          <w:tcPr>
            <w:tcW w:w="0" w:type="auto"/>
            <w:tcBorders>
              <w:top w:val="nil"/>
              <w:left w:val="nil"/>
              <w:bottom w:val="single" w:sz="4" w:space="0" w:color="auto"/>
              <w:right w:val="single" w:sz="4" w:space="0" w:color="auto"/>
            </w:tcBorders>
            <w:noWrap/>
            <w:vAlign w:val="bottom"/>
            <w:hideMark/>
          </w:tcPr>
          <w:p w14:paraId="37DA5138"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2023</w:t>
            </w:r>
          </w:p>
        </w:tc>
        <w:tc>
          <w:tcPr>
            <w:tcW w:w="0" w:type="auto"/>
            <w:tcBorders>
              <w:top w:val="nil"/>
              <w:left w:val="nil"/>
              <w:bottom w:val="single" w:sz="4" w:space="0" w:color="auto"/>
              <w:right w:val="single" w:sz="4" w:space="0" w:color="auto"/>
            </w:tcBorders>
            <w:noWrap/>
            <w:vAlign w:val="bottom"/>
            <w:hideMark/>
          </w:tcPr>
          <w:p w14:paraId="4D6AAF61"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2022</w:t>
            </w:r>
          </w:p>
        </w:tc>
        <w:tc>
          <w:tcPr>
            <w:tcW w:w="0" w:type="auto"/>
            <w:tcBorders>
              <w:top w:val="nil"/>
              <w:left w:val="nil"/>
              <w:bottom w:val="single" w:sz="4" w:space="0" w:color="auto"/>
              <w:right w:val="single" w:sz="4" w:space="0" w:color="auto"/>
            </w:tcBorders>
            <w:noWrap/>
            <w:vAlign w:val="bottom"/>
            <w:hideMark/>
          </w:tcPr>
          <w:p w14:paraId="10D6F482"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2021</w:t>
            </w:r>
          </w:p>
        </w:tc>
        <w:tc>
          <w:tcPr>
            <w:tcW w:w="0" w:type="auto"/>
            <w:tcBorders>
              <w:top w:val="nil"/>
              <w:left w:val="nil"/>
              <w:bottom w:val="single" w:sz="4" w:space="0" w:color="auto"/>
              <w:right w:val="single" w:sz="4" w:space="0" w:color="auto"/>
            </w:tcBorders>
            <w:noWrap/>
            <w:vAlign w:val="bottom"/>
            <w:hideMark/>
          </w:tcPr>
          <w:p w14:paraId="216ED1A8"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2020</w:t>
            </w:r>
          </w:p>
        </w:tc>
      </w:tr>
      <w:tr w:rsidR="00F55BBB" w:rsidRPr="00F55BBB" w14:paraId="3150E6A9" w14:textId="77777777" w:rsidTr="00F55BBB">
        <w:trPr>
          <w:trHeight w:val="300"/>
        </w:trPr>
        <w:tc>
          <w:tcPr>
            <w:tcW w:w="0" w:type="auto"/>
            <w:tcBorders>
              <w:top w:val="nil"/>
              <w:left w:val="single" w:sz="4" w:space="0" w:color="auto"/>
              <w:bottom w:val="single" w:sz="4" w:space="0" w:color="auto"/>
              <w:right w:val="single" w:sz="4" w:space="0" w:color="auto"/>
            </w:tcBorders>
            <w:noWrap/>
            <w:vAlign w:val="bottom"/>
            <w:hideMark/>
          </w:tcPr>
          <w:p w14:paraId="17D915BC"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Total Debt </w:t>
            </w:r>
          </w:p>
        </w:tc>
        <w:tc>
          <w:tcPr>
            <w:tcW w:w="0" w:type="auto"/>
            <w:tcBorders>
              <w:top w:val="nil"/>
              <w:left w:val="nil"/>
              <w:bottom w:val="single" w:sz="4" w:space="0" w:color="auto"/>
              <w:right w:val="single" w:sz="4" w:space="0" w:color="auto"/>
            </w:tcBorders>
            <w:noWrap/>
            <w:vAlign w:val="bottom"/>
            <w:hideMark/>
          </w:tcPr>
          <w:p w14:paraId="7E239646"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54874958</w:t>
            </w:r>
          </w:p>
        </w:tc>
        <w:tc>
          <w:tcPr>
            <w:tcW w:w="0" w:type="auto"/>
            <w:tcBorders>
              <w:top w:val="nil"/>
              <w:left w:val="nil"/>
              <w:bottom w:val="single" w:sz="4" w:space="0" w:color="auto"/>
              <w:right w:val="single" w:sz="4" w:space="0" w:color="auto"/>
            </w:tcBorders>
            <w:noWrap/>
            <w:vAlign w:val="bottom"/>
            <w:hideMark/>
          </w:tcPr>
          <w:p w14:paraId="3648F87C"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45038967</w:t>
            </w:r>
          </w:p>
        </w:tc>
        <w:tc>
          <w:tcPr>
            <w:tcW w:w="0" w:type="auto"/>
            <w:tcBorders>
              <w:top w:val="nil"/>
              <w:left w:val="nil"/>
              <w:bottom w:val="single" w:sz="4" w:space="0" w:color="auto"/>
              <w:right w:val="single" w:sz="4" w:space="0" w:color="auto"/>
            </w:tcBorders>
            <w:noWrap/>
            <w:vAlign w:val="bottom"/>
            <w:hideMark/>
          </w:tcPr>
          <w:p w14:paraId="28718D08"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40533951</w:t>
            </w:r>
          </w:p>
        </w:tc>
        <w:tc>
          <w:tcPr>
            <w:tcW w:w="0" w:type="auto"/>
            <w:tcBorders>
              <w:top w:val="nil"/>
              <w:left w:val="nil"/>
              <w:bottom w:val="single" w:sz="4" w:space="0" w:color="auto"/>
              <w:right w:val="single" w:sz="4" w:space="0" w:color="auto"/>
            </w:tcBorders>
            <w:noWrap/>
            <w:vAlign w:val="bottom"/>
            <w:hideMark/>
          </w:tcPr>
          <w:p w14:paraId="273C398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37978811</w:t>
            </w:r>
          </w:p>
        </w:tc>
        <w:tc>
          <w:tcPr>
            <w:tcW w:w="0" w:type="auto"/>
            <w:tcBorders>
              <w:top w:val="nil"/>
              <w:left w:val="nil"/>
              <w:bottom w:val="single" w:sz="4" w:space="0" w:color="auto"/>
              <w:right w:val="single" w:sz="4" w:space="0" w:color="auto"/>
            </w:tcBorders>
            <w:noWrap/>
            <w:vAlign w:val="bottom"/>
            <w:hideMark/>
          </w:tcPr>
          <w:p w14:paraId="4C77F723"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32633351</w:t>
            </w:r>
          </w:p>
        </w:tc>
      </w:tr>
      <w:tr w:rsidR="00F55BBB" w:rsidRPr="00F55BBB" w14:paraId="20779973" w14:textId="77777777" w:rsidTr="00F55BBB">
        <w:trPr>
          <w:trHeight w:val="300"/>
        </w:trPr>
        <w:tc>
          <w:tcPr>
            <w:tcW w:w="0" w:type="auto"/>
            <w:tcBorders>
              <w:top w:val="nil"/>
              <w:left w:val="single" w:sz="4" w:space="0" w:color="auto"/>
              <w:bottom w:val="single" w:sz="4" w:space="0" w:color="auto"/>
              <w:right w:val="single" w:sz="4" w:space="0" w:color="auto"/>
            </w:tcBorders>
            <w:noWrap/>
            <w:vAlign w:val="bottom"/>
            <w:hideMark/>
          </w:tcPr>
          <w:p w14:paraId="07ADBF49" w14:textId="498F6A37" w:rsidR="00F55BBB" w:rsidRPr="00F55BBB" w:rsidRDefault="00F55BBB" w:rsidP="00F55BBB">
            <w:pPr>
              <w:spacing w:line="360" w:lineRule="auto"/>
              <w:rPr>
                <w:rFonts w:eastAsia="Times New Roman"/>
                <w:sz w:val="24"/>
                <w:szCs w:val="24"/>
              </w:rPr>
            </w:pPr>
            <w:r w:rsidRPr="00F55BBB">
              <w:rPr>
                <w:rFonts w:eastAsia="Times New Roman"/>
                <w:sz w:val="24"/>
                <w:szCs w:val="24"/>
              </w:rPr>
              <w:lastRenderedPageBreak/>
              <w:t xml:space="preserve">Total </w:t>
            </w:r>
            <w:r w:rsidR="00F5277A" w:rsidRPr="00B108ED">
              <w:rPr>
                <w:rFonts w:eastAsia="Times New Roman"/>
                <w:sz w:val="24"/>
                <w:szCs w:val="24"/>
              </w:rPr>
              <w:t>shareholders’</w:t>
            </w:r>
            <w:r w:rsidRPr="00F55BBB">
              <w:rPr>
                <w:rFonts w:eastAsia="Times New Roman"/>
                <w:sz w:val="24"/>
                <w:szCs w:val="24"/>
              </w:rPr>
              <w:t xml:space="preserve"> equity </w:t>
            </w:r>
          </w:p>
        </w:tc>
        <w:tc>
          <w:tcPr>
            <w:tcW w:w="0" w:type="auto"/>
            <w:tcBorders>
              <w:top w:val="nil"/>
              <w:left w:val="nil"/>
              <w:bottom w:val="single" w:sz="4" w:space="0" w:color="auto"/>
              <w:right w:val="single" w:sz="4" w:space="0" w:color="auto"/>
            </w:tcBorders>
            <w:noWrap/>
            <w:vAlign w:val="bottom"/>
            <w:hideMark/>
          </w:tcPr>
          <w:p w14:paraId="2F8FF77D"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35239338</w:t>
            </w:r>
          </w:p>
        </w:tc>
        <w:tc>
          <w:tcPr>
            <w:tcW w:w="0" w:type="auto"/>
            <w:tcBorders>
              <w:top w:val="nil"/>
              <w:left w:val="nil"/>
              <w:bottom w:val="single" w:sz="4" w:space="0" w:color="auto"/>
              <w:right w:val="single" w:sz="4" w:space="0" w:color="auto"/>
            </w:tcBorders>
            <w:noWrap/>
            <w:vAlign w:val="bottom"/>
            <w:hideMark/>
          </w:tcPr>
          <w:p w14:paraId="41163114"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29264213</w:t>
            </w:r>
          </w:p>
        </w:tc>
        <w:tc>
          <w:tcPr>
            <w:tcW w:w="0" w:type="auto"/>
            <w:tcBorders>
              <w:top w:val="nil"/>
              <w:left w:val="nil"/>
              <w:bottom w:val="single" w:sz="4" w:space="0" w:color="auto"/>
              <w:right w:val="single" w:sz="4" w:space="0" w:color="auto"/>
            </w:tcBorders>
            <w:noWrap/>
            <w:vAlign w:val="bottom"/>
            <w:hideMark/>
          </w:tcPr>
          <w:p w14:paraId="0B65AEBA"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27154820</w:t>
            </w:r>
          </w:p>
        </w:tc>
        <w:tc>
          <w:tcPr>
            <w:tcW w:w="0" w:type="auto"/>
            <w:tcBorders>
              <w:top w:val="nil"/>
              <w:left w:val="nil"/>
              <w:bottom w:val="single" w:sz="4" w:space="0" w:color="auto"/>
              <w:right w:val="single" w:sz="4" w:space="0" w:color="auto"/>
            </w:tcBorders>
            <w:noWrap/>
            <w:vAlign w:val="bottom"/>
            <w:hideMark/>
          </w:tcPr>
          <w:p w14:paraId="56ECBC9B"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24288329</w:t>
            </w:r>
          </w:p>
        </w:tc>
        <w:tc>
          <w:tcPr>
            <w:tcW w:w="0" w:type="auto"/>
            <w:tcBorders>
              <w:top w:val="nil"/>
              <w:left w:val="nil"/>
              <w:bottom w:val="single" w:sz="4" w:space="0" w:color="auto"/>
              <w:right w:val="single" w:sz="4" w:space="0" w:color="auto"/>
            </w:tcBorders>
            <w:noWrap/>
            <w:vAlign w:val="bottom"/>
            <w:hideMark/>
          </w:tcPr>
          <w:p w14:paraId="530C7880"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21339012</w:t>
            </w:r>
          </w:p>
        </w:tc>
      </w:tr>
      <w:tr w:rsidR="00F55BBB" w:rsidRPr="00F55BBB" w14:paraId="7D5F7281" w14:textId="77777777" w:rsidTr="00F55BBB">
        <w:trPr>
          <w:trHeight w:val="300"/>
        </w:trPr>
        <w:tc>
          <w:tcPr>
            <w:tcW w:w="0" w:type="auto"/>
            <w:tcBorders>
              <w:top w:val="nil"/>
              <w:left w:val="single" w:sz="4" w:space="0" w:color="auto"/>
              <w:bottom w:val="single" w:sz="4" w:space="0" w:color="auto"/>
              <w:right w:val="single" w:sz="4" w:space="0" w:color="auto"/>
            </w:tcBorders>
            <w:noWrap/>
            <w:vAlign w:val="bottom"/>
            <w:hideMark/>
          </w:tcPr>
          <w:p w14:paraId="2746872D" w14:textId="552DE729"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Total Debt /total </w:t>
            </w:r>
            <w:r w:rsidRPr="00B108ED">
              <w:rPr>
                <w:rFonts w:eastAsia="Times New Roman"/>
                <w:sz w:val="24"/>
                <w:szCs w:val="24"/>
              </w:rPr>
              <w:t>shareholders’</w:t>
            </w:r>
            <w:r w:rsidRPr="00F55BBB">
              <w:rPr>
                <w:rFonts w:eastAsia="Times New Roman"/>
                <w:sz w:val="24"/>
                <w:szCs w:val="24"/>
              </w:rPr>
              <w:t xml:space="preserve"> equity </w:t>
            </w:r>
          </w:p>
        </w:tc>
        <w:tc>
          <w:tcPr>
            <w:tcW w:w="0" w:type="auto"/>
            <w:tcBorders>
              <w:top w:val="nil"/>
              <w:left w:val="nil"/>
              <w:bottom w:val="single" w:sz="4" w:space="0" w:color="auto"/>
              <w:right w:val="single" w:sz="4" w:space="0" w:color="auto"/>
            </w:tcBorders>
            <w:noWrap/>
            <w:vAlign w:val="bottom"/>
            <w:hideMark/>
          </w:tcPr>
          <w:p w14:paraId="57BC9E3E"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1.56</w:t>
            </w:r>
          </w:p>
        </w:tc>
        <w:tc>
          <w:tcPr>
            <w:tcW w:w="0" w:type="auto"/>
            <w:tcBorders>
              <w:top w:val="nil"/>
              <w:left w:val="nil"/>
              <w:bottom w:val="single" w:sz="4" w:space="0" w:color="auto"/>
              <w:right w:val="single" w:sz="4" w:space="0" w:color="auto"/>
            </w:tcBorders>
            <w:noWrap/>
            <w:vAlign w:val="bottom"/>
            <w:hideMark/>
          </w:tcPr>
          <w:p w14:paraId="7A0F82A4"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1.54</w:t>
            </w:r>
          </w:p>
        </w:tc>
        <w:tc>
          <w:tcPr>
            <w:tcW w:w="0" w:type="auto"/>
            <w:tcBorders>
              <w:top w:val="nil"/>
              <w:left w:val="nil"/>
              <w:bottom w:val="single" w:sz="4" w:space="0" w:color="auto"/>
              <w:right w:val="single" w:sz="4" w:space="0" w:color="auto"/>
            </w:tcBorders>
            <w:noWrap/>
            <w:vAlign w:val="bottom"/>
            <w:hideMark/>
          </w:tcPr>
          <w:p w14:paraId="4013D0C7"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1.49</w:t>
            </w:r>
          </w:p>
        </w:tc>
        <w:tc>
          <w:tcPr>
            <w:tcW w:w="0" w:type="auto"/>
            <w:tcBorders>
              <w:top w:val="nil"/>
              <w:left w:val="nil"/>
              <w:bottom w:val="single" w:sz="4" w:space="0" w:color="auto"/>
              <w:right w:val="single" w:sz="4" w:space="0" w:color="auto"/>
            </w:tcBorders>
            <w:noWrap/>
            <w:vAlign w:val="bottom"/>
            <w:hideMark/>
          </w:tcPr>
          <w:p w14:paraId="533D3E3B"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1.56</w:t>
            </w:r>
          </w:p>
        </w:tc>
        <w:tc>
          <w:tcPr>
            <w:tcW w:w="0" w:type="auto"/>
            <w:tcBorders>
              <w:top w:val="nil"/>
              <w:left w:val="nil"/>
              <w:bottom w:val="single" w:sz="4" w:space="0" w:color="auto"/>
              <w:right w:val="single" w:sz="4" w:space="0" w:color="auto"/>
            </w:tcBorders>
            <w:noWrap/>
            <w:vAlign w:val="bottom"/>
            <w:hideMark/>
          </w:tcPr>
          <w:p w14:paraId="6F893266"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1.53</w:t>
            </w:r>
          </w:p>
        </w:tc>
      </w:tr>
    </w:tbl>
    <w:p w14:paraId="2C5BBEB1" w14:textId="77777777" w:rsidR="00F55BBB" w:rsidRPr="00B108ED" w:rsidRDefault="00F55BBB" w:rsidP="00F55BBB">
      <w:pPr>
        <w:spacing w:line="360" w:lineRule="auto"/>
        <w:rPr>
          <w:b/>
          <w:sz w:val="26"/>
          <w:szCs w:val="32"/>
        </w:rPr>
      </w:pPr>
    </w:p>
    <w:tbl>
      <w:tblPr>
        <w:tblW w:w="9344" w:type="dxa"/>
        <w:tblCellMar>
          <w:left w:w="0" w:type="dxa"/>
          <w:right w:w="0" w:type="dxa"/>
        </w:tblCellMar>
        <w:tblLook w:val="04A0" w:firstRow="1" w:lastRow="0" w:firstColumn="1" w:lastColumn="0" w:noHBand="0" w:noVBand="1"/>
      </w:tblPr>
      <w:tblGrid>
        <w:gridCol w:w="2752"/>
        <w:gridCol w:w="1272"/>
        <w:gridCol w:w="1272"/>
        <w:gridCol w:w="1272"/>
        <w:gridCol w:w="1272"/>
        <w:gridCol w:w="1504"/>
      </w:tblGrid>
      <w:tr w:rsidR="00F55BBB" w:rsidRPr="00B108ED" w14:paraId="0BB5817D" w14:textId="77777777" w:rsidTr="00F55BBB">
        <w:trPr>
          <w:trHeight w:val="310"/>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E696B46" w14:textId="77777777" w:rsidR="00F55BBB" w:rsidRPr="00B108ED" w:rsidRDefault="00F55BBB" w:rsidP="00F55BBB">
            <w:pPr>
              <w:spacing w:line="360" w:lineRule="auto"/>
              <w:rPr>
                <w:b/>
                <w:bCs/>
              </w:rPr>
            </w:pPr>
            <w:r w:rsidRPr="00B108ED">
              <w:rPr>
                <w:b/>
                <w:bCs/>
              </w:rPr>
              <w:t xml:space="preserve">Debt ratio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D45410F" w14:textId="77777777" w:rsidR="00F55BBB" w:rsidRPr="00B108ED" w:rsidRDefault="00F55BBB" w:rsidP="00F55BBB">
            <w:pPr>
              <w:spacing w:line="360" w:lineRule="auto"/>
              <w:rPr>
                <w:b/>
                <w:bCs/>
              </w:rPr>
            </w:pPr>
            <w:r w:rsidRPr="00B108ED">
              <w:rPr>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4DDB41E" w14:textId="77777777" w:rsidR="00F55BBB" w:rsidRPr="00B108ED" w:rsidRDefault="00F55BBB" w:rsidP="00F55BBB">
            <w:pPr>
              <w:spacing w:line="360" w:lineRule="auto"/>
              <w:rPr>
                <w:b/>
                <w:bCs/>
              </w:rPr>
            </w:pPr>
            <w:r w:rsidRPr="00B108ED">
              <w:rPr>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853AA4E" w14:textId="77777777" w:rsidR="00F55BBB" w:rsidRPr="00B108ED" w:rsidRDefault="00F55BBB" w:rsidP="00F55BBB">
            <w:pPr>
              <w:spacing w:line="360" w:lineRule="auto"/>
              <w:rPr>
                <w:b/>
                <w:bCs/>
              </w:rPr>
            </w:pPr>
            <w:r w:rsidRPr="00B108ED">
              <w:rPr>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CB95025" w14:textId="77777777" w:rsidR="00F55BBB" w:rsidRPr="00B108ED" w:rsidRDefault="00F55BBB" w:rsidP="00F55BBB">
            <w:pPr>
              <w:spacing w:line="360" w:lineRule="auto"/>
              <w:rPr>
                <w:b/>
                <w:bCs/>
              </w:rPr>
            </w:pPr>
            <w:r w:rsidRPr="00B108ED">
              <w:rPr>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C44852B" w14:textId="77777777" w:rsidR="00F55BBB" w:rsidRPr="00B108ED" w:rsidRDefault="00F55BBB" w:rsidP="00F55BBB">
            <w:pPr>
              <w:spacing w:line="360" w:lineRule="auto"/>
              <w:rPr>
                <w:b/>
                <w:bCs/>
              </w:rPr>
            </w:pPr>
            <w:r w:rsidRPr="00B108ED">
              <w:rPr>
                <w:b/>
                <w:bCs/>
              </w:rPr>
              <w:t> </w:t>
            </w:r>
          </w:p>
        </w:tc>
      </w:tr>
      <w:tr w:rsidR="00F55BBB" w:rsidRPr="00B108ED" w14:paraId="6E1340C4" w14:textId="77777777" w:rsidTr="00F55BBB">
        <w:trPr>
          <w:trHeight w:val="31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D355B19" w14:textId="77777777" w:rsidR="00F55BBB" w:rsidRPr="00B108ED" w:rsidRDefault="00F55BBB" w:rsidP="00F55BBB">
            <w:pPr>
              <w:spacing w:line="360" w:lineRule="auto"/>
              <w:rPr>
                <w:b/>
                <w:bCs/>
              </w:rPr>
            </w:pPr>
            <w:r w:rsidRPr="00B108ED">
              <w:rPr>
                <w:b/>
                <w:bCs/>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2F49AE3" w14:textId="77777777" w:rsidR="00F55BBB" w:rsidRPr="00B108ED" w:rsidRDefault="00F55BBB" w:rsidP="00F55BBB">
            <w:pPr>
              <w:spacing w:line="360" w:lineRule="auto"/>
              <w:jc w:val="right"/>
              <w:rPr>
                <w:b/>
                <w:bCs/>
              </w:rPr>
            </w:pPr>
            <w:r w:rsidRPr="00B108ED">
              <w:rPr>
                <w:b/>
                <w:bCs/>
              </w:rPr>
              <w:t>2024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CE6B0E9" w14:textId="77777777" w:rsidR="00F55BBB" w:rsidRPr="00B108ED" w:rsidRDefault="00F55BBB" w:rsidP="00F55BBB">
            <w:pPr>
              <w:spacing w:line="360" w:lineRule="auto"/>
              <w:jc w:val="right"/>
              <w:rPr>
                <w:b/>
                <w:bCs/>
              </w:rPr>
            </w:pPr>
            <w:r w:rsidRPr="00B108ED">
              <w:rPr>
                <w:b/>
                <w:bCs/>
              </w:rPr>
              <w:t>2023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91DA832" w14:textId="77777777" w:rsidR="00F55BBB" w:rsidRPr="00B108ED" w:rsidRDefault="00F55BBB" w:rsidP="00F55BBB">
            <w:pPr>
              <w:spacing w:line="360" w:lineRule="auto"/>
              <w:jc w:val="right"/>
              <w:rPr>
                <w:b/>
                <w:bCs/>
              </w:rPr>
            </w:pPr>
            <w:r w:rsidRPr="00B108ED">
              <w:rPr>
                <w:b/>
                <w:bCs/>
              </w:rPr>
              <w:t>2022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1CA5FEE" w14:textId="77777777" w:rsidR="00F55BBB" w:rsidRPr="00B108ED" w:rsidRDefault="00F55BBB" w:rsidP="00F55BBB">
            <w:pPr>
              <w:spacing w:line="360" w:lineRule="auto"/>
              <w:jc w:val="right"/>
              <w:rPr>
                <w:b/>
                <w:bCs/>
              </w:rPr>
            </w:pPr>
            <w:r w:rsidRPr="00B108ED">
              <w:rPr>
                <w:b/>
                <w:bCs/>
              </w:rPr>
              <w:t>2021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BCEF82B" w14:textId="77777777" w:rsidR="00F55BBB" w:rsidRPr="00B108ED" w:rsidRDefault="00F55BBB" w:rsidP="00F55BBB">
            <w:pPr>
              <w:spacing w:line="360" w:lineRule="auto"/>
              <w:jc w:val="right"/>
              <w:rPr>
                <w:b/>
                <w:bCs/>
              </w:rPr>
            </w:pPr>
            <w:r w:rsidRPr="00B108ED">
              <w:rPr>
                <w:b/>
                <w:bCs/>
              </w:rPr>
              <w:t>2020</w:t>
            </w:r>
          </w:p>
        </w:tc>
      </w:tr>
      <w:tr w:rsidR="00F55BBB" w:rsidRPr="00B108ED" w14:paraId="0BE8FAD7" w14:textId="77777777" w:rsidTr="00F55BBB">
        <w:trPr>
          <w:trHeight w:val="29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3A8936A" w14:textId="77777777" w:rsidR="00F55BBB" w:rsidRPr="00B108ED" w:rsidRDefault="00F55BBB" w:rsidP="00F55BBB">
            <w:pPr>
              <w:spacing w:line="360" w:lineRule="auto"/>
            </w:pPr>
            <w:r w:rsidRPr="00B108ED">
              <w:t xml:space="preserve">Total debt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52C3F39" w14:textId="77777777" w:rsidR="00F55BBB" w:rsidRPr="00B108ED" w:rsidRDefault="00F55BBB" w:rsidP="00F55BBB">
            <w:pPr>
              <w:spacing w:line="360" w:lineRule="auto"/>
              <w:jc w:val="center"/>
            </w:pPr>
            <w:r w:rsidRPr="00B108ED">
              <w:t>54874958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D822EF9" w14:textId="77777777" w:rsidR="00F55BBB" w:rsidRPr="00B108ED" w:rsidRDefault="00F55BBB" w:rsidP="00F55BBB">
            <w:pPr>
              <w:spacing w:line="360" w:lineRule="auto"/>
              <w:jc w:val="right"/>
            </w:pPr>
            <w:r w:rsidRPr="00B108ED">
              <w:t>45038967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650C1F2" w14:textId="77777777" w:rsidR="00F55BBB" w:rsidRPr="00B108ED" w:rsidRDefault="00F55BBB" w:rsidP="00F55BBB">
            <w:pPr>
              <w:spacing w:line="360" w:lineRule="auto"/>
              <w:jc w:val="right"/>
            </w:pPr>
            <w:r w:rsidRPr="00B108ED">
              <w:t>40533951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32D69A9" w14:textId="77777777" w:rsidR="00F55BBB" w:rsidRPr="00B108ED" w:rsidRDefault="00F55BBB" w:rsidP="00F55BBB">
            <w:pPr>
              <w:spacing w:line="360" w:lineRule="auto"/>
              <w:jc w:val="right"/>
            </w:pPr>
            <w:r w:rsidRPr="00B108ED">
              <w:t>37978811</w:t>
            </w:r>
          </w:p>
        </w:tc>
        <w:tc>
          <w:tcPr>
            <w:tcW w:w="0" w:type="auto"/>
            <w:tcBorders>
              <w:top w:val="nil"/>
              <w:left w:val="nil"/>
              <w:bottom w:val="nil"/>
              <w:right w:val="nil"/>
            </w:tcBorders>
            <w:noWrap/>
            <w:tcMar>
              <w:top w:w="15" w:type="dxa"/>
              <w:left w:w="15" w:type="dxa"/>
              <w:bottom w:w="0" w:type="dxa"/>
              <w:right w:w="15" w:type="dxa"/>
            </w:tcMar>
            <w:vAlign w:val="bottom"/>
            <w:hideMark/>
          </w:tcPr>
          <w:p w14:paraId="503B3EE7" w14:textId="77777777" w:rsidR="00F55BBB" w:rsidRPr="00B108ED" w:rsidRDefault="00F55BBB" w:rsidP="00F55BBB">
            <w:pPr>
              <w:spacing w:line="360" w:lineRule="auto"/>
              <w:jc w:val="right"/>
              <w:rPr>
                <w:color w:val="000000"/>
              </w:rPr>
            </w:pPr>
            <w:r w:rsidRPr="00B108ED">
              <w:rPr>
                <w:color w:val="000000"/>
              </w:rPr>
              <w:t>3,26,33,351</w:t>
            </w:r>
          </w:p>
        </w:tc>
      </w:tr>
      <w:tr w:rsidR="00F55BBB" w:rsidRPr="00B108ED" w14:paraId="3DF88452" w14:textId="77777777" w:rsidTr="00F55BBB">
        <w:trPr>
          <w:trHeight w:val="29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3EBB232" w14:textId="77777777" w:rsidR="00F55BBB" w:rsidRPr="00B108ED" w:rsidRDefault="00F55BBB" w:rsidP="00F55BBB">
            <w:pPr>
              <w:spacing w:line="360" w:lineRule="auto"/>
            </w:pPr>
            <w:r w:rsidRPr="00B108ED">
              <w:t xml:space="preserve">Total assets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41FE276" w14:textId="77777777" w:rsidR="00F55BBB" w:rsidRPr="00B108ED" w:rsidRDefault="00F55BBB" w:rsidP="00F55BBB">
            <w:pPr>
              <w:spacing w:line="360" w:lineRule="auto"/>
              <w:jc w:val="right"/>
            </w:pPr>
            <w:r w:rsidRPr="00B108ED">
              <w:t>90114296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63F887B" w14:textId="77777777" w:rsidR="00F55BBB" w:rsidRPr="00B108ED" w:rsidRDefault="00F55BBB" w:rsidP="00F55BBB">
            <w:pPr>
              <w:spacing w:line="360" w:lineRule="auto"/>
              <w:jc w:val="right"/>
            </w:pPr>
            <w:r w:rsidRPr="00B108ED">
              <w:t>74303180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E63B8B0" w14:textId="77777777" w:rsidR="00F55BBB" w:rsidRPr="00B108ED" w:rsidRDefault="00F55BBB" w:rsidP="00F55BBB">
            <w:pPr>
              <w:spacing w:line="360" w:lineRule="auto"/>
              <w:jc w:val="right"/>
            </w:pPr>
            <w:r w:rsidRPr="00B108ED">
              <w:t>67688771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2B12842" w14:textId="77777777" w:rsidR="00F55BBB" w:rsidRPr="00B108ED" w:rsidRDefault="00F55BBB" w:rsidP="00F55BBB">
            <w:pPr>
              <w:spacing w:line="360" w:lineRule="auto"/>
              <w:jc w:val="right"/>
            </w:pPr>
            <w:r w:rsidRPr="00B108ED">
              <w:t>62267140</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1622A2B" w14:textId="77777777" w:rsidR="00F55BBB" w:rsidRPr="00B108ED" w:rsidRDefault="00F55BBB" w:rsidP="00F55BBB">
            <w:pPr>
              <w:spacing w:line="360" w:lineRule="auto"/>
              <w:jc w:val="right"/>
            </w:pPr>
            <w:r w:rsidRPr="00B108ED">
              <w:t>53972363</w:t>
            </w:r>
          </w:p>
        </w:tc>
      </w:tr>
      <w:tr w:rsidR="00F55BBB" w:rsidRPr="00B108ED" w14:paraId="7306F7B7" w14:textId="77777777" w:rsidTr="00F55BBB">
        <w:trPr>
          <w:trHeight w:val="29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1F90952" w14:textId="77777777" w:rsidR="00F55BBB" w:rsidRPr="00B108ED" w:rsidRDefault="00F55BBB" w:rsidP="00F55BBB">
            <w:pPr>
              <w:spacing w:line="360" w:lineRule="auto"/>
            </w:pPr>
            <w:r w:rsidRPr="00B108ED">
              <w:t xml:space="preserve">Total debt/total assets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9E745DC" w14:textId="77777777" w:rsidR="00F55BBB" w:rsidRPr="00B108ED" w:rsidRDefault="00F55BBB" w:rsidP="00F55BBB">
            <w:pPr>
              <w:spacing w:line="360" w:lineRule="auto"/>
              <w:jc w:val="right"/>
            </w:pPr>
            <w:r w:rsidRPr="00B108ED">
              <w:t>0.61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86FF62B" w14:textId="77777777" w:rsidR="00F55BBB" w:rsidRPr="00B108ED" w:rsidRDefault="00F55BBB" w:rsidP="00F55BBB">
            <w:pPr>
              <w:spacing w:line="360" w:lineRule="auto"/>
              <w:jc w:val="right"/>
            </w:pPr>
            <w:r w:rsidRPr="00B108ED">
              <w:t>0.61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A43BA06" w14:textId="77777777" w:rsidR="00F55BBB" w:rsidRPr="00B108ED" w:rsidRDefault="00F55BBB" w:rsidP="00F55BBB">
            <w:pPr>
              <w:spacing w:line="360" w:lineRule="auto"/>
              <w:jc w:val="right"/>
            </w:pPr>
            <w:r w:rsidRPr="00B108ED">
              <w:t>0.60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34428F5" w14:textId="77777777" w:rsidR="00F55BBB" w:rsidRPr="00B108ED" w:rsidRDefault="00F55BBB" w:rsidP="00F55BBB">
            <w:pPr>
              <w:spacing w:line="360" w:lineRule="auto"/>
              <w:jc w:val="right"/>
            </w:pPr>
            <w:r w:rsidRPr="00B108ED">
              <w:t>0.61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8E4225C" w14:textId="77777777" w:rsidR="00F55BBB" w:rsidRPr="00B108ED" w:rsidRDefault="00F55BBB" w:rsidP="00F55BBB">
            <w:pPr>
              <w:spacing w:line="360" w:lineRule="auto"/>
              <w:jc w:val="right"/>
            </w:pPr>
            <w:r w:rsidRPr="00B108ED">
              <w:t>0.60</w:t>
            </w:r>
          </w:p>
        </w:tc>
      </w:tr>
    </w:tbl>
    <w:p w14:paraId="4569216B" w14:textId="07EB0667" w:rsidR="00F5277A" w:rsidRPr="00B108ED" w:rsidRDefault="00F55BBB" w:rsidP="00F5277A">
      <w:pPr>
        <w:spacing w:line="360" w:lineRule="auto"/>
      </w:pPr>
      <w:r w:rsidRPr="00B108ED">
        <w:t xml:space="preserve"> </w:t>
      </w:r>
    </w:p>
    <w:p w14:paraId="76B8075D" w14:textId="5E615636" w:rsidR="00F55BBB" w:rsidRPr="00B108ED" w:rsidRDefault="00F55BBB" w:rsidP="00F55BBB">
      <w:pPr>
        <w:spacing w:line="360" w:lineRule="auto"/>
        <w:rPr>
          <w:b/>
          <w:bCs/>
          <w:sz w:val="24"/>
          <w:szCs w:val="24"/>
        </w:rPr>
      </w:pPr>
      <w:r w:rsidRPr="00B108ED">
        <w:rPr>
          <w:b/>
          <w:bCs/>
          <w:sz w:val="24"/>
          <w:szCs w:val="24"/>
        </w:rPr>
        <w:t>Liquidity Ratios</w:t>
      </w:r>
    </w:p>
    <w:tbl>
      <w:tblPr>
        <w:tblW w:w="0" w:type="auto"/>
        <w:tblLook w:val="04A0" w:firstRow="1" w:lastRow="0" w:firstColumn="1" w:lastColumn="0" w:noHBand="0" w:noVBand="1"/>
      </w:tblPr>
      <w:tblGrid>
        <w:gridCol w:w="2970"/>
        <w:gridCol w:w="1243"/>
        <w:gridCol w:w="1242"/>
        <w:gridCol w:w="1080"/>
        <w:gridCol w:w="1242"/>
        <w:gridCol w:w="1242"/>
      </w:tblGrid>
      <w:tr w:rsidR="00F55BBB" w:rsidRPr="00F55BBB" w14:paraId="1315CFA7" w14:textId="77777777" w:rsidTr="00F55BB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CFF7419"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single" w:sz="4" w:space="0" w:color="auto"/>
              <w:left w:val="nil"/>
              <w:bottom w:val="single" w:sz="4" w:space="0" w:color="auto"/>
              <w:right w:val="single" w:sz="4" w:space="0" w:color="auto"/>
            </w:tcBorders>
            <w:noWrap/>
            <w:vAlign w:val="bottom"/>
            <w:hideMark/>
          </w:tcPr>
          <w:p w14:paraId="3F15998E"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single" w:sz="4" w:space="0" w:color="auto"/>
              <w:left w:val="nil"/>
              <w:bottom w:val="single" w:sz="4" w:space="0" w:color="auto"/>
              <w:right w:val="single" w:sz="4" w:space="0" w:color="auto"/>
            </w:tcBorders>
            <w:noWrap/>
            <w:vAlign w:val="bottom"/>
            <w:hideMark/>
          </w:tcPr>
          <w:p w14:paraId="3AB0B873"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single" w:sz="4" w:space="0" w:color="auto"/>
              <w:left w:val="nil"/>
              <w:bottom w:val="single" w:sz="4" w:space="0" w:color="auto"/>
              <w:right w:val="single" w:sz="4" w:space="0" w:color="auto"/>
            </w:tcBorders>
            <w:noWrap/>
            <w:vAlign w:val="bottom"/>
            <w:hideMark/>
          </w:tcPr>
          <w:p w14:paraId="28A0E1C8"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single" w:sz="4" w:space="0" w:color="auto"/>
              <w:left w:val="nil"/>
              <w:bottom w:val="single" w:sz="4" w:space="0" w:color="auto"/>
              <w:right w:val="single" w:sz="4" w:space="0" w:color="auto"/>
            </w:tcBorders>
            <w:noWrap/>
            <w:vAlign w:val="bottom"/>
            <w:hideMark/>
          </w:tcPr>
          <w:p w14:paraId="3F026C81"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0" w:type="auto"/>
            <w:tcBorders>
              <w:top w:val="single" w:sz="4" w:space="0" w:color="auto"/>
              <w:left w:val="nil"/>
              <w:bottom w:val="single" w:sz="4" w:space="0" w:color="auto"/>
              <w:right w:val="single" w:sz="4" w:space="0" w:color="auto"/>
            </w:tcBorders>
            <w:noWrap/>
            <w:vAlign w:val="bottom"/>
            <w:hideMark/>
          </w:tcPr>
          <w:p w14:paraId="5B096934"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r>
      <w:tr w:rsidR="00F55BBB" w:rsidRPr="00F55BBB" w14:paraId="1E50CBAC" w14:textId="77777777" w:rsidTr="00F55BBB">
        <w:trPr>
          <w:trHeight w:val="315"/>
        </w:trPr>
        <w:tc>
          <w:tcPr>
            <w:tcW w:w="0" w:type="auto"/>
            <w:tcBorders>
              <w:top w:val="nil"/>
              <w:left w:val="single" w:sz="4" w:space="0" w:color="auto"/>
              <w:bottom w:val="single" w:sz="4" w:space="0" w:color="auto"/>
              <w:right w:val="single" w:sz="4" w:space="0" w:color="auto"/>
            </w:tcBorders>
            <w:noWrap/>
            <w:vAlign w:val="bottom"/>
            <w:hideMark/>
          </w:tcPr>
          <w:p w14:paraId="46CBF263"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xml:space="preserve">Current Ratio </w:t>
            </w:r>
          </w:p>
        </w:tc>
        <w:tc>
          <w:tcPr>
            <w:tcW w:w="0" w:type="auto"/>
            <w:tcBorders>
              <w:top w:val="nil"/>
              <w:left w:val="nil"/>
              <w:bottom w:val="single" w:sz="4" w:space="0" w:color="auto"/>
              <w:right w:val="single" w:sz="4" w:space="0" w:color="auto"/>
            </w:tcBorders>
            <w:noWrap/>
            <w:vAlign w:val="bottom"/>
            <w:hideMark/>
          </w:tcPr>
          <w:p w14:paraId="191EAD10"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2024</w:t>
            </w:r>
          </w:p>
        </w:tc>
        <w:tc>
          <w:tcPr>
            <w:tcW w:w="0" w:type="auto"/>
            <w:tcBorders>
              <w:top w:val="nil"/>
              <w:left w:val="nil"/>
              <w:bottom w:val="single" w:sz="4" w:space="0" w:color="auto"/>
              <w:right w:val="single" w:sz="4" w:space="0" w:color="auto"/>
            </w:tcBorders>
            <w:noWrap/>
            <w:vAlign w:val="bottom"/>
            <w:hideMark/>
          </w:tcPr>
          <w:p w14:paraId="48E20445"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2023</w:t>
            </w:r>
          </w:p>
        </w:tc>
        <w:tc>
          <w:tcPr>
            <w:tcW w:w="0" w:type="auto"/>
            <w:tcBorders>
              <w:top w:val="nil"/>
              <w:left w:val="nil"/>
              <w:bottom w:val="single" w:sz="4" w:space="0" w:color="auto"/>
              <w:right w:val="single" w:sz="4" w:space="0" w:color="auto"/>
            </w:tcBorders>
            <w:noWrap/>
            <w:vAlign w:val="bottom"/>
            <w:hideMark/>
          </w:tcPr>
          <w:p w14:paraId="21CAB385"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2022</w:t>
            </w:r>
          </w:p>
        </w:tc>
        <w:tc>
          <w:tcPr>
            <w:tcW w:w="0" w:type="auto"/>
            <w:tcBorders>
              <w:top w:val="nil"/>
              <w:left w:val="nil"/>
              <w:bottom w:val="single" w:sz="4" w:space="0" w:color="auto"/>
              <w:right w:val="single" w:sz="4" w:space="0" w:color="auto"/>
            </w:tcBorders>
            <w:noWrap/>
            <w:vAlign w:val="bottom"/>
            <w:hideMark/>
          </w:tcPr>
          <w:p w14:paraId="7855B0BB"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2021</w:t>
            </w:r>
          </w:p>
        </w:tc>
        <w:tc>
          <w:tcPr>
            <w:tcW w:w="0" w:type="auto"/>
            <w:tcBorders>
              <w:top w:val="nil"/>
              <w:left w:val="nil"/>
              <w:bottom w:val="single" w:sz="4" w:space="0" w:color="auto"/>
              <w:right w:val="single" w:sz="4" w:space="0" w:color="auto"/>
            </w:tcBorders>
            <w:noWrap/>
            <w:vAlign w:val="bottom"/>
            <w:hideMark/>
          </w:tcPr>
          <w:p w14:paraId="0A69F7B7"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2020</w:t>
            </w:r>
          </w:p>
        </w:tc>
      </w:tr>
      <w:tr w:rsidR="00F55BBB" w:rsidRPr="00F55BBB" w14:paraId="1F6F3BF4" w14:textId="77777777" w:rsidTr="00F55BBB">
        <w:trPr>
          <w:trHeight w:val="300"/>
        </w:trPr>
        <w:tc>
          <w:tcPr>
            <w:tcW w:w="0" w:type="auto"/>
            <w:tcBorders>
              <w:top w:val="nil"/>
              <w:left w:val="single" w:sz="4" w:space="0" w:color="auto"/>
              <w:bottom w:val="single" w:sz="4" w:space="0" w:color="auto"/>
              <w:right w:val="single" w:sz="4" w:space="0" w:color="auto"/>
            </w:tcBorders>
            <w:noWrap/>
            <w:vAlign w:val="bottom"/>
            <w:hideMark/>
          </w:tcPr>
          <w:p w14:paraId="1CA25510"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Current assets </w:t>
            </w:r>
          </w:p>
        </w:tc>
        <w:tc>
          <w:tcPr>
            <w:tcW w:w="0" w:type="auto"/>
            <w:tcBorders>
              <w:top w:val="nil"/>
              <w:left w:val="nil"/>
              <w:bottom w:val="single" w:sz="4" w:space="0" w:color="auto"/>
              <w:right w:val="single" w:sz="4" w:space="0" w:color="auto"/>
            </w:tcBorders>
            <w:shd w:val="clear" w:color="000000" w:fill="FFFFFF"/>
            <w:noWrap/>
            <w:vAlign w:val="bottom"/>
            <w:hideMark/>
          </w:tcPr>
          <w:p w14:paraId="1AA5F68B"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3,47,14,279</w:t>
            </w:r>
          </w:p>
        </w:tc>
        <w:tc>
          <w:tcPr>
            <w:tcW w:w="0" w:type="auto"/>
            <w:tcBorders>
              <w:top w:val="nil"/>
              <w:left w:val="nil"/>
              <w:bottom w:val="single" w:sz="4" w:space="0" w:color="auto"/>
              <w:right w:val="single" w:sz="4" w:space="0" w:color="auto"/>
            </w:tcBorders>
            <w:shd w:val="clear" w:color="000000" w:fill="FFFFFF"/>
            <w:noWrap/>
            <w:vAlign w:val="bottom"/>
            <w:hideMark/>
          </w:tcPr>
          <w:p w14:paraId="6BF00105"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2,64,59,781</w:t>
            </w:r>
          </w:p>
        </w:tc>
        <w:tc>
          <w:tcPr>
            <w:tcW w:w="0" w:type="auto"/>
            <w:tcBorders>
              <w:top w:val="nil"/>
              <w:left w:val="nil"/>
              <w:bottom w:val="single" w:sz="4" w:space="0" w:color="auto"/>
              <w:right w:val="single" w:sz="4" w:space="0" w:color="auto"/>
            </w:tcBorders>
            <w:shd w:val="clear" w:color="000000" w:fill="FFFFFF"/>
            <w:noWrap/>
            <w:vAlign w:val="bottom"/>
            <w:hideMark/>
          </w:tcPr>
          <w:p w14:paraId="71640471"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23722290</w:t>
            </w:r>
          </w:p>
        </w:tc>
        <w:tc>
          <w:tcPr>
            <w:tcW w:w="0" w:type="auto"/>
            <w:tcBorders>
              <w:top w:val="nil"/>
              <w:left w:val="nil"/>
              <w:bottom w:val="single" w:sz="4" w:space="0" w:color="auto"/>
              <w:right w:val="single" w:sz="4" w:space="0" w:color="auto"/>
            </w:tcBorders>
            <w:noWrap/>
            <w:vAlign w:val="bottom"/>
            <w:hideMark/>
          </w:tcPr>
          <w:p w14:paraId="250B44FC" w14:textId="77777777" w:rsidR="00F55BBB" w:rsidRPr="00F55BBB" w:rsidRDefault="00F55BBB" w:rsidP="00F55BBB">
            <w:pPr>
              <w:spacing w:line="360" w:lineRule="auto"/>
              <w:jc w:val="right"/>
              <w:rPr>
                <w:rFonts w:eastAsia="Times New Roman"/>
                <w:color w:val="000000"/>
                <w:sz w:val="24"/>
                <w:szCs w:val="24"/>
              </w:rPr>
            </w:pPr>
            <w:r w:rsidRPr="00F55BBB">
              <w:rPr>
                <w:rFonts w:eastAsia="Times New Roman"/>
                <w:color w:val="000000"/>
                <w:sz w:val="24"/>
                <w:szCs w:val="24"/>
              </w:rPr>
              <w:t>2,27,76,800</w:t>
            </w:r>
          </w:p>
        </w:tc>
        <w:tc>
          <w:tcPr>
            <w:tcW w:w="0" w:type="auto"/>
            <w:tcBorders>
              <w:top w:val="nil"/>
              <w:left w:val="nil"/>
              <w:bottom w:val="single" w:sz="4" w:space="0" w:color="auto"/>
              <w:right w:val="single" w:sz="4" w:space="0" w:color="auto"/>
            </w:tcBorders>
            <w:shd w:val="clear" w:color="000000" w:fill="FFFFFF"/>
            <w:vAlign w:val="bottom"/>
            <w:hideMark/>
          </w:tcPr>
          <w:p w14:paraId="3C623A9C"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1,86,42,531</w:t>
            </w:r>
          </w:p>
        </w:tc>
      </w:tr>
      <w:tr w:rsidR="00F55BBB" w:rsidRPr="00F55BBB" w14:paraId="36A87918" w14:textId="77777777" w:rsidTr="00F55BBB">
        <w:trPr>
          <w:trHeight w:val="300"/>
        </w:trPr>
        <w:tc>
          <w:tcPr>
            <w:tcW w:w="0" w:type="auto"/>
            <w:tcBorders>
              <w:top w:val="nil"/>
              <w:left w:val="single" w:sz="4" w:space="0" w:color="auto"/>
              <w:bottom w:val="single" w:sz="4" w:space="0" w:color="auto"/>
              <w:right w:val="single" w:sz="4" w:space="0" w:color="auto"/>
            </w:tcBorders>
            <w:noWrap/>
            <w:vAlign w:val="bottom"/>
            <w:hideMark/>
          </w:tcPr>
          <w:p w14:paraId="095BCBD9"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Current liabilities </w:t>
            </w:r>
          </w:p>
        </w:tc>
        <w:tc>
          <w:tcPr>
            <w:tcW w:w="0" w:type="auto"/>
            <w:tcBorders>
              <w:top w:val="nil"/>
              <w:left w:val="nil"/>
              <w:bottom w:val="single" w:sz="4" w:space="0" w:color="auto"/>
              <w:right w:val="single" w:sz="4" w:space="0" w:color="auto"/>
            </w:tcBorders>
            <w:shd w:val="clear" w:color="000000" w:fill="FFFFFF"/>
            <w:noWrap/>
            <w:vAlign w:val="bottom"/>
            <w:hideMark/>
          </w:tcPr>
          <w:p w14:paraId="21A7ECE5"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2,91,77,909</w:t>
            </w:r>
          </w:p>
        </w:tc>
        <w:tc>
          <w:tcPr>
            <w:tcW w:w="0" w:type="auto"/>
            <w:tcBorders>
              <w:top w:val="nil"/>
              <w:left w:val="nil"/>
              <w:bottom w:val="single" w:sz="4" w:space="0" w:color="auto"/>
              <w:right w:val="single" w:sz="4" w:space="0" w:color="auto"/>
            </w:tcBorders>
            <w:shd w:val="clear" w:color="000000" w:fill="FFFFFF"/>
            <w:noWrap/>
            <w:vAlign w:val="bottom"/>
            <w:hideMark/>
          </w:tcPr>
          <w:p w14:paraId="4237D55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2,39,59,715</w:t>
            </w:r>
          </w:p>
        </w:tc>
        <w:tc>
          <w:tcPr>
            <w:tcW w:w="0" w:type="auto"/>
            <w:tcBorders>
              <w:top w:val="nil"/>
              <w:left w:val="nil"/>
              <w:bottom w:val="single" w:sz="4" w:space="0" w:color="auto"/>
              <w:right w:val="single" w:sz="4" w:space="0" w:color="auto"/>
            </w:tcBorders>
            <w:shd w:val="clear" w:color="000000" w:fill="FFFFFF"/>
            <w:noWrap/>
            <w:vAlign w:val="bottom"/>
            <w:hideMark/>
          </w:tcPr>
          <w:p w14:paraId="73008E19"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21842161</w:t>
            </w:r>
          </w:p>
        </w:tc>
        <w:tc>
          <w:tcPr>
            <w:tcW w:w="0" w:type="auto"/>
            <w:tcBorders>
              <w:top w:val="nil"/>
              <w:left w:val="nil"/>
              <w:bottom w:val="single" w:sz="4" w:space="0" w:color="auto"/>
              <w:right w:val="single" w:sz="4" w:space="0" w:color="auto"/>
            </w:tcBorders>
            <w:noWrap/>
            <w:vAlign w:val="bottom"/>
            <w:hideMark/>
          </w:tcPr>
          <w:p w14:paraId="77583BF5" w14:textId="77777777" w:rsidR="00F55BBB" w:rsidRPr="00F55BBB" w:rsidRDefault="00F55BBB" w:rsidP="00F55BBB">
            <w:pPr>
              <w:spacing w:line="360" w:lineRule="auto"/>
              <w:jc w:val="right"/>
              <w:rPr>
                <w:rFonts w:eastAsia="Times New Roman"/>
                <w:color w:val="000000"/>
                <w:sz w:val="24"/>
                <w:szCs w:val="24"/>
              </w:rPr>
            </w:pPr>
            <w:r w:rsidRPr="00F55BBB">
              <w:rPr>
                <w:rFonts w:eastAsia="Times New Roman"/>
                <w:color w:val="000000"/>
                <w:sz w:val="24"/>
                <w:szCs w:val="24"/>
              </w:rPr>
              <w:t>2,14,60,466</w:t>
            </w:r>
          </w:p>
        </w:tc>
        <w:tc>
          <w:tcPr>
            <w:tcW w:w="0" w:type="auto"/>
            <w:tcBorders>
              <w:top w:val="nil"/>
              <w:left w:val="nil"/>
              <w:bottom w:val="single" w:sz="4" w:space="0" w:color="auto"/>
              <w:right w:val="single" w:sz="4" w:space="0" w:color="auto"/>
            </w:tcBorders>
            <w:shd w:val="clear" w:color="000000" w:fill="FFFFFF"/>
            <w:vAlign w:val="bottom"/>
            <w:hideMark/>
          </w:tcPr>
          <w:p w14:paraId="0F010EFB"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1,79,02,377</w:t>
            </w:r>
          </w:p>
        </w:tc>
      </w:tr>
      <w:tr w:rsidR="00F55BBB" w:rsidRPr="00F55BBB" w14:paraId="5DEC12EC" w14:textId="77777777" w:rsidTr="00F55BBB">
        <w:trPr>
          <w:trHeight w:val="300"/>
        </w:trPr>
        <w:tc>
          <w:tcPr>
            <w:tcW w:w="0" w:type="auto"/>
            <w:tcBorders>
              <w:top w:val="nil"/>
              <w:left w:val="single" w:sz="4" w:space="0" w:color="auto"/>
              <w:bottom w:val="single" w:sz="4" w:space="0" w:color="auto"/>
              <w:right w:val="single" w:sz="4" w:space="0" w:color="auto"/>
            </w:tcBorders>
            <w:noWrap/>
            <w:vAlign w:val="bottom"/>
            <w:hideMark/>
          </w:tcPr>
          <w:p w14:paraId="783A5340"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Current assets/Current liabilities </w:t>
            </w:r>
          </w:p>
        </w:tc>
        <w:tc>
          <w:tcPr>
            <w:tcW w:w="0" w:type="auto"/>
            <w:tcBorders>
              <w:top w:val="nil"/>
              <w:left w:val="nil"/>
              <w:bottom w:val="single" w:sz="4" w:space="0" w:color="auto"/>
              <w:right w:val="single" w:sz="4" w:space="0" w:color="auto"/>
            </w:tcBorders>
            <w:noWrap/>
            <w:vAlign w:val="bottom"/>
            <w:hideMark/>
          </w:tcPr>
          <w:p w14:paraId="7098ADAA"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1.19</w:t>
            </w:r>
          </w:p>
        </w:tc>
        <w:tc>
          <w:tcPr>
            <w:tcW w:w="0" w:type="auto"/>
            <w:tcBorders>
              <w:top w:val="nil"/>
              <w:left w:val="nil"/>
              <w:bottom w:val="single" w:sz="4" w:space="0" w:color="auto"/>
              <w:right w:val="single" w:sz="4" w:space="0" w:color="auto"/>
            </w:tcBorders>
            <w:noWrap/>
            <w:vAlign w:val="bottom"/>
            <w:hideMark/>
          </w:tcPr>
          <w:p w14:paraId="2C4B56DC"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1.10</w:t>
            </w:r>
          </w:p>
        </w:tc>
        <w:tc>
          <w:tcPr>
            <w:tcW w:w="0" w:type="auto"/>
            <w:tcBorders>
              <w:top w:val="nil"/>
              <w:left w:val="nil"/>
              <w:bottom w:val="single" w:sz="4" w:space="0" w:color="auto"/>
              <w:right w:val="single" w:sz="4" w:space="0" w:color="auto"/>
            </w:tcBorders>
            <w:noWrap/>
            <w:vAlign w:val="bottom"/>
            <w:hideMark/>
          </w:tcPr>
          <w:p w14:paraId="614FF263"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1.09</w:t>
            </w:r>
          </w:p>
        </w:tc>
        <w:tc>
          <w:tcPr>
            <w:tcW w:w="0" w:type="auto"/>
            <w:tcBorders>
              <w:top w:val="nil"/>
              <w:left w:val="nil"/>
              <w:bottom w:val="single" w:sz="4" w:space="0" w:color="auto"/>
              <w:right w:val="single" w:sz="4" w:space="0" w:color="auto"/>
            </w:tcBorders>
            <w:noWrap/>
            <w:vAlign w:val="bottom"/>
            <w:hideMark/>
          </w:tcPr>
          <w:p w14:paraId="5312B035"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1.06</w:t>
            </w:r>
          </w:p>
        </w:tc>
        <w:tc>
          <w:tcPr>
            <w:tcW w:w="0" w:type="auto"/>
            <w:tcBorders>
              <w:top w:val="nil"/>
              <w:left w:val="nil"/>
              <w:bottom w:val="single" w:sz="4" w:space="0" w:color="auto"/>
              <w:right w:val="single" w:sz="4" w:space="0" w:color="auto"/>
            </w:tcBorders>
            <w:noWrap/>
            <w:vAlign w:val="bottom"/>
            <w:hideMark/>
          </w:tcPr>
          <w:p w14:paraId="0EFEBED8"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1.04</w:t>
            </w:r>
          </w:p>
        </w:tc>
      </w:tr>
    </w:tbl>
    <w:p w14:paraId="4A7072C9" w14:textId="1F901D12" w:rsidR="00F55BBB" w:rsidRPr="00B108ED" w:rsidRDefault="00F55BBB" w:rsidP="00F55BBB">
      <w:pPr>
        <w:spacing w:line="360" w:lineRule="auto"/>
        <w:rPr>
          <w:b/>
          <w:bCs/>
          <w:sz w:val="26"/>
          <w:szCs w:val="32"/>
        </w:rPr>
      </w:pPr>
    </w:p>
    <w:tbl>
      <w:tblPr>
        <w:tblW w:w="5000" w:type="pct"/>
        <w:tblLook w:val="04A0" w:firstRow="1" w:lastRow="0" w:firstColumn="1" w:lastColumn="0" w:noHBand="0" w:noVBand="1"/>
      </w:tblPr>
      <w:tblGrid>
        <w:gridCol w:w="3542"/>
        <w:gridCol w:w="1124"/>
        <w:gridCol w:w="1124"/>
        <w:gridCol w:w="981"/>
        <w:gridCol w:w="1124"/>
        <w:gridCol w:w="1124"/>
      </w:tblGrid>
      <w:tr w:rsidR="00F55BBB" w:rsidRPr="00F55BBB" w14:paraId="1F7CFF97" w14:textId="77777777" w:rsidTr="00F55BBB">
        <w:trPr>
          <w:trHeight w:val="315"/>
        </w:trPr>
        <w:tc>
          <w:tcPr>
            <w:tcW w:w="1978" w:type="pct"/>
            <w:tcBorders>
              <w:top w:val="single" w:sz="4" w:space="0" w:color="auto"/>
              <w:left w:val="single" w:sz="4" w:space="0" w:color="auto"/>
              <w:bottom w:val="single" w:sz="4" w:space="0" w:color="auto"/>
              <w:right w:val="single" w:sz="4" w:space="0" w:color="auto"/>
            </w:tcBorders>
            <w:noWrap/>
            <w:vAlign w:val="bottom"/>
            <w:hideMark/>
          </w:tcPr>
          <w:p w14:paraId="2353B8CC"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xml:space="preserve">Quick ratio </w:t>
            </w:r>
          </w:p>
        </w:tc>
        <w:tc>
          <w:tcPr>
            <w:tcW w:w="606" w:type="pct"/>
            <w:tcBorders>
              <w:top w:val="single" w:sz="4" w:space="0" w:color="auto"/>
              <w:left w:val="nil"/>
              <w:bottom w:val="single" w:sz="4" w:space="0" w:color="auto"/>
              <w:right w:val="single" w:sz="4" w:space="0" w:color="auto"/>
            </w:tcBorders>
            <w:noWrap/>
            <w:vAlign w:val="bottom"/>
            <w:hideMark/>
          </w:tcPr>
          <w:p w14:paraId="5DE541D9"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606" w:type="pct"/>
            <w:tcBorders>
              <w:top w:val="single" w:sz="4" w:space="0" w:color="auto"/>
              <w:left w:val="nil"/>
              <w:bottom w:val="single" w:sz="4" w:space="0" w:color="auto"/>
              <w:right w:val="single" w:sz="4" w:space="0" w:color="auto"/>
            </w:tcBorders>
            <w:noWrap/>
            <w:vAlign w:val="bottom"/>
            <w:hideMark/>
          </w:tcPr>
          <w:p w14:paraId="3F1C1692"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597" w:type="pct"/>
            <w:tcBorders>
              <w:top w:val="single" w:sz="4" w:space="0" w:color="auto"/>
              <w:left w:val="nil"/>
              <w:bottom w:val="single" w:sz="4" w:space="0" w:color="auto"/>
              <w:right w:val="single" w:sz="4" w:space="0" w:color="auto"/>
            </w:tcBorders>
            <w:noWrap/>
            <w:vAlign w:val="bottom"/>
            <w:hideMark/>
          </w:tcPr>
          <w:p w14:paraId="339AB8BB"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606" w:type="pct"/>
            <w:tcBorders>
              <w:top w:val="single" w:sz="4" w:space="0" w:color="auto"/>
              <w:left w:val="nil"/>
              <w:bottom w:val="single" w:sz="4" w:space="0" w:color="auto"/>
              <w:right w:val="single" w:sz="4" w:space="0" w:color="auto"/>
            </w:tcBorders>
            <w:noWrap/>
            <w:vAlign w:val="bottom"/>
            <w:hideMark/>
          </w:tcPr>
          <w:p w14:paraId="51ADA1AB"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606" w:type="pct"/>
            <w:tcBorders>
              <w:top w:val="single" w:sz="4" w:space="0" w:color="auto"/>
              <w:left w:val="nil"/>
              <w:bottom w:val="single" w:sz="4" w:space="0" w:color="auto"/>
              <w:right w:val="single" w:sz="4" w:space="0" w:color="auto"/>
            </w:tcBorders>
            <w:noWrap/>
            <w:vAlign w:val="bottom"/>
            <w:hideMark/>
          </w:tcPr>
          <w:p w14:paraId="0D1FFEC2"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r>
      <w:tr w:rsidR="00F55BBB" w:rsidRPr="00F55BBB" w14:paraId="36145050" w14:textId="77777777" w:rsidTr="00F55BBB">
        <w:trPr>
          <w:trHeight w:val="315"/>
        </w:trPr>
        <w:tc>
          <w:tcPr>
            <w:tcW w:w="1978" w:type="pct"/>
            <w:tcBorders>
              <w:top w:val="nil"/>
              <w:left w:val="single" w:sz="4" w:space="0" w:color="auto"/>
              <w:bottom w:val="single" w:sz="4" w:space="0" w:color="auto"/>
              <w:right w:val="single" w:sz="4" w:space="0" w:color="auto"/>
            </w:tcBorders>
            <w:noWrap/>
            <w:vAlign w:val="bottom"/>
            <w:hideMark/>
          </w:tcPr>
          <w:p w14:paraId="196616A7" w14:textId="77777777" w:rsidR="00F55BBB" w:rsidRPr="00F55BBB" w:rsidRDefault="00F55BBB" w:rsidP="00F55BBB">
            <w:pPr>
              <w:spacing w:line="360" w:lineRule="auto"/>
              <w:rPr>
                <w:rFonts w:eastAsia="Times New Roman"/>
                <w:b/>
                <w:bCs/>
                <w:sz w:val="24"/>
                <w:szCs w:val="24"/>
              </w:rPr>
            </w:pPr>
            <w:r w:rsidRPr="00F55BBB">
              <w:rPr>
                <w:rFonts w:eastAsia="Times New Roman"/>
                <w:b/>
                <w:bCs/>
                <w:sz w:val="24"/>
                <w:szCs w:val="24"/>
              </w:rPr>
              <w:t> </w:t>
            </w:r>
          </w:p>
        </w:tc>
        <w:tc>
          <w:tcPr>
            <w:tcW w:w="606" w:type="pct"/>
            <w:tcBorders>
              <w:top w:val="nil"/>
              <w:left w:val="nil"/>
              <w:bottom w:val="single" w:sz="4" w:space="0" w:color="auto"/>
              <w:right w:val="single" w:sz="4" w:space="0" w:color="auto"/>
            </w:tcBorders>
            <w:noWrap/>
            <w:vAlign w:val="bottom"/>
            <w:hideMark/>
          </w:tcPr>
          <w:p w14:paraId="7C7FD37D"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2024</w:t>
            </w:r>
          </w:p>
        </w:tc>
        <w:tc>
          <w:tcPr>
            <w:tcW w:w="606" w:type="pct"/>
            <w:tcBorders>
              <w:top w:val="nil"/>
              <w:left w:val="nil"/>
              <w:bottom w:val="single" w:sz="4" w:space="0" w:color="auto"/>
              <w:right w:val="single" w:sz="4" w:space="0" w:color="auto"/>
            </w:tcBorders>
            <w:noWrap/>
            <w:vAlign w:val="bottom"/>
            <w:hideMark/>
          </w:tcPr>
          <w:p w14:paraId="4EE165E9"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2023</w:t>
            </w:r>
          </w:p>
        </w:tc>
        <w:tc>
          <w:tcPr>
            <w:tcW w:w="597" w:type="pct"/>
            <w:tcBorders>
              <w:top w:val="nil"/>
              <w:left w:val="nil"/>
              <w:bottom w:val="single" w:sz="4" w:space="0" w:color="auto"/>
              <w:right w:val="single" w:sz="4" w:space="0" w:color="auto"/>
            </w:tcBorders>
            <w:noWrap/>
            <w:vAlign w:val="bottom"/>
            <w:hideMark/>
          </w:tcPr>
          <w:p w14:paraId="380F6D18"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2022</w:t>
            </w:r>
          </w:p>
        </w:tc>
        <w:tc>
          <w:tcPr>
            <w:tcW w:w="606" w:type="pct"/>
            <w:tcBorders>
              <w:top w:val="nil"/>
              <w:left w:val="nil"/>
              <w:bottom w:val="single" w:sz="4" w:space="0" w:color="auto"/>
              <w:right w:val="single" w:sz="4" w:space="0" w:color="auto"/>
            </w:tcBorders>
            <w:noWrap/>
            <w:vAlign w:val="bottom"/>
            <w:hideMark/>
          </w:tcPr>
          <w:p w14:paraId="42D8F634"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2021</w:t>
            </w:r>
          </w:p>
        </w:tc>
        <w:tc>
          <w:tcPr>
            <w:tcW w:w="606" w:type="pct"/>
            <w:tcBorders>
              <w:top w:val="nil"/>
              <w:left w:val="nil"/>
              <w:bottom w:val="single" w:sz="4" w:space="0" w:color="auto"/>
              <w:right w:val="single" w:sz="4" w:space="0" w:color="auto"/>
            </w:tcBorders>
            <w:noWrap/>
            <w:vAlign w:val="bottom"/>
            <w:hideMark/>
          </w:tcPr>
          <w:p w14:paraId="186A037B" w14:textId="77777777" w:rsidR="00F55BBB" w:rsidRPr="00F55BBB" w:rsidRDefault="00F55BBB" w:rsidP="00F55BBB">
            <w:pPr>
              <w:spacing w:line="360" w:lineRule="auto"/>
              <w:jc w:val="right"/>
              <w:rPr>
                <w:rFonts w:eastAsia="Times New Roman"/>
                <w:b/>
                <w:bCs/>
                <w:sz w:val="24"/>
                <w:szCs w:val="24"/>
              </w:rPr>
            </w:pPr>
            <w:r w:rsidRPr="00F55BBB">
              <w:rPr>
                <w:rFonts w:eastAsia="Times New Roman"/>
                <w:b/>
                <w:bCs/>
                <w:sz w:val="24"/>
                <w:szCs w:val="24"/>
              </w:rPr>
              <w:t>2020</w:t>
            </w:r>
          </w:p>
        </w:tc>
      </w:tr>
      <w:tr w:rsidR="00F55BBB" w:rsidRPr="00F55BBB" w14:paraId="46AB1DF4" w14:textId="77777777" w:rsidTr="00F55BBB">
        <w:trPr>
          <w:trHeight w:val="300"/>
        </w:trPr>
        <w:tc>
          <w:tcPr>
            <w:tcW w:w="1978" w:type="pct"/>
            <w:tcBorders>
              <w:top w:val="nil"/>
              <w:left w:val="single" w:sz="4" w:space="0" w:color="auto"/>
              <w:bottom w:val="single" w:sz="4" w:space="0" w:color="auto"/>
              <w:right w:val="single" w:sz="4" w:space="0" w:color="auto"/>
            </w:tcBorders>
            <w:noWrap/>
            <w:vAlign w:val="bottom"/>
            <w:hideMark/>
          </w:tcPr>
          <w:p w14:paraId="4459E39B"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Current assets-inventories </w:t>
            </w:r>
          </w:p>
        </w:tc>
        <w:tc>
          <w:tcPr>
            <w:tcW w:w="606" w:type="pct"/>
            <w:tcBorders>
              <w:top w:val="nil"/>
              <w:left w:val="nil"/>
              <w:bottom w:val="single" w:sz="4" w:space="0" w:color="auto"/>
              <w:right w:val="single" w:sz="4" w:space="0" w:color="auto"/>
            </w:tcBorders>
            <w:noWrap/>
            <w:vAlign w:val="bottom"/>
            <w:hideMark/>
          </w:tcPr>
          <w:p w14:paraId="477D8348"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3,01,08,911</w:t>
            </w:r>
          </w:p>
        </w:tc>
        <w:tc>
          <w:tcPr>
            <w:tcW w:w="606" w:type="pct"/>
            <w:tcBorders>
              <w:top w:val="nil"/>
              <w:left w:val="nil"/>
              <w:bottom w:val="single" w:sz="4" w:space="0" w:color="auto"/>
              <w:right w:val="single" w:sz="4" w:space="0" w:color="auto"/>
            </w:tcBorders>
            <w:noWrap/>
            <w:vAlign w:val="bottom"/>
            <w:hideMark/>
          </w:tcPr>
          <w:p w14:paraId="3522300F"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2,22,04,167</w:t>
            </w:r>
          </w:p>
        </w:tc>
        <w:tc>
          <w:tcPr>
            <w:tcW w:w="597" w:type="pct"/>
            <w:tcBorders>
              <w:top w:val="nil"/>
              <w:left w:val="nil"/>
              <w:bottom w:val="single" w:sz="4" w:space="0" w:color="auto"/>
              <w:right w:val="single" w:sz="4" w:space="0" w:color="auto"/>
            </w:tcBorders>
            <w:noWrap/>
            <w:vAlign w:val="bottom"/>
            <w:hideMark/>
          </w:tcPr>
          <w:p w14:paraId="7B9A6D30"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19900934</w:t>
            </w:r>
          </w:p>
        </w:tc>
        <w:tc>
          <w:tcPr>
            <w:tcW w:w="606" w:type="pct"/>
            <w:tcBorders>
              <w:top w:val="nil"/>
              <w:left w:val="nil"/>
              <w:bottom w:val="single" w:sz="4" w:space="0" w:color="auto"/>
              <w:right w:val="single" w:sz="4" w:space="0" w:color="auto"/>
            </w:tcBorders>
            <w:noWrap/>
            <w:vAlign w:val="bottom"/>
            <w:hideMark/>
          </w:tcPr>
          <w:p w14:paraId="6E5BBE0D"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1,98,88,772</w:t>
            </w:r>
          </w:p>
        </w:tc>
        <w:tc>
          <w:tcPr>
            <w:tcW w:w="606" w:type="pct"/>
            <w:tcBorders>
              <w:top w:val="nil"/>
              <w:left w:val="nil"/>
              <w:bottom w:val="single" w:sz="4" w:space="0" w:color="auto"/>
              <w:right w:val="single" w:sz="4" w:space="0" w:color="auto"/>
            </w:tcBorders>
            <w:noWrap/>
            <w:vAlign w:val="bottom"/>
            <w:hideMark/>
          </w:tcPr>
          <w:p w14:paraId="5096DD0D"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1,61,08,639</w:t>
            </w:r>
          </w:p>
        </w:tc>
      </w:tr>
      <w:tr w:rsidR="00F55BBB" w:rsidRPr="00F55BBB" w14:paraId="207C099C" w14:textId="77777777" w:rsidTr="00F55BBB">
        <w:trPr>
          <w:trHeight w:val="300"/>
        </w:trPr>
        <w:tc>
          <w:tcPr>
            <w:tcW w:w="1978" w:type="pct"/>
            <w:tcBorders>
              <w:top w:val="nil"/>
              <w:left w:val="single" w:sz="4" w:space="0" w:color="auto"/>
              <w:bottom w:val="single" w:sz="4" w:space="0" w:color="auto"/>
              <w:right w:val="single" w:sz="4" w:space="0" w:color="auto"/>
            </w:tcBorders>
            <w:noWrap/>
            <w:vAlign w:val="bottom"/>
            <w:hideMark/>
          </w:tcPr>
          <w:p w14:paraId="2DA8F880"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Current liabilities </w:t>
            </w:r>
          </w:p>
        </w:tc>
        <w:tc>
          <w:tcPr>
            <w:tcW w:w="606" w:type="pct"/>
            <w:tcBorders>
              <w:top w:val="nil"/>
              <w:left w:val="nil"/>
              <w:bottom w:val="single" w:sz="4" w:space="0" w:color="auto"/>
              <w:right w:val="single" w:sz="4" w:space="0" w:color="auto"/>
            </w:tcBorders>
            <w:shd w:val="clear" w:color="000000" w:fill="FFFFFF"/>
            <w:noWrap/>
            <w:vAlign w:val="bottom"/>
            <w:hideMark/>
          </w:tcPr>
          <w:p w14:paraId="46521EB1"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2,91,77,909</w:t>
            </w:r>
          </w:p>
        </w:tc>
        <w:tc>
          <w:tcPr>
            <w:tcW w:w="606" w:type="pct"/>
            <w:tcBorders>
              <w:top w:val="nil"/>
              <w:left w:val="nil"/>
              <w:bottom w:val="single" w:sz="4" w:space="0" w:color="auto"/>
              <w:right w:val="single" w:sz="4" w:space="0" w:color="auto"/>
            </w:tcBorders>
            <w:shd w:val="clear" w:color="000000" w:fill="FFFFFF"/>
            <w:noWrap/>
            <w:vAlign w:val="bottom"/>
            <w:hideMark/>
          </w:tcPr>
          <w:p w14:paraId="57703E1F"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2,39,59,715</w:t>
            </w:r>
          </w:p>
        </w:tc>
        <w:tc>
          <w:tcPr>
            <w:tcW w:w="597" w:type="pct"/>
            <w:tcBorders>
              <w:top w:val="nil"/>
              <w:left w:val="nil"/>
              <w:bottom w:val="single" w:sz="4" w:space="0" w:color="auto"/>
              <w:right w:val="single" w:sz="4" w:space="0" w:color="auto"/>
            </w:tcBorders>
            <w:shd w:val="clear" w:color="000000" w:fill="FFFFFF"/>
            <w:noWrap/>
            <w:vAlign w:val="bottom"/>
            <w:hideMark/>
          </w:tcPr>
          <w:p w14:paraId="080C1297"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21842161</w:t>
            </w:r>
          </w:p>
        </w:tc>
        <w:tc>
          <w:tcPr>
            <w:tcW w:w="606" w:type="pct"/>
            <w:tcBorders>
              <w:top w:val="nil"/>
              <w:left w:val="nil"/>
              <w:bottom w:val="single" w:sz="4" w:space="0" w:color="auto"/>
              <w:right w:val="single" w:sz="4" w:space="0" w:color="auto"/>
            </w:tcBorders>
            <w:noWrap/>
            <w:vAlign w:val="bottom"/>
            <w:hideMark/>
          </w:tcPr>
          <w:p w14:paraId="5231F0D6" w14:textId="77777777" w:rsidR="00F55BBB" w:rsidRPr="00F55BBB" w:rsidRDefault="00F55BBB" w:rsidP="00F55BBB">
            <w:pPr>
              <w:spacing w:line="360" w:lineRule="auto"/>
              <w:jc w:val="right"/>
              <w:rPr>
                <w:rFonts w:eastAsia="Times New Roman"/>
                <w:color w:val="000000"/>
                <w:sz w:val="24"/>
                <w:szCs w:val="24"/>
              </w:rPr>
            </w:pPr>
            <w:r w:rsidRPr="00F55BBB">
              <w:rPr>
                <w:rFonts w:eastAsia="Times New Roman"/>
                <w:color w:val="000000"/>
                <w:sz w:val="24"/>
                <w:szCs w:val="24"/>
              </w:rPr>
              <w:t>2,14,60,466</w:t>
            </w:r>
          </w:p>
        </w:tc>
        <w:tc>
          <w:tcPr>
            <w:tcW w:w="606" w:type="pct"/>
            <w:tcBorders>
              <w:top w:val="nil"/>
              <w:left w:val="nil"/>
              <w:bottom w:val="single" w:sz="4" w:space="0" w:color="auto"/>
              <w:right w:val="single" w:sz="4" w:space="0" w:color="auto"/>
            </w:tcBorders>
            <w:shd w:val="clear" w:color="000000" w:fill="FFFFFF"/>
            <w:vAlign w:val="bottom"/>
            <w:hideMark/>
          </w:tcPr>
          <w:p w14:paraId="60F1349B"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1,79,02,377</w:t>
            </w:r>
          </w:p>
        </w:tc>
      </w:tr>
      <w:tr w:rsidR="00F55BBB" w:rsidRPr="00F55BBB" w14:paraId="3FF3A59B" w14:textId="77777777" w:rsidTr="00F55BBB">
        <w:trPr>
          <w:trHeight w:val="300"/>
        </w:trPr>
        <w:tc>
          <w:tcPr>
            <w:tcW w:w="1978" w:type="pct"/>
            <w:tcBorders>
              <w:top w:val="nil"/>
              <w:left w:val="single" w:sz="4" w:space="0" w:color="auto"/>
              <w:bottom w:val="single" w:sz="4" w:space="0" w:color="auto"/>
              <w:right w:val="single" w:sz="4" w:space="0" w:color="auto"/>
            </w:tcBorders>
            <w:noWrap/>
            <w:vAlign w:val="bottom"/>
            <w:hideMark/>
          </w:tcPr>
          <w:p w14:paraId="51895D58" w14:textId="77777777" w:rsidR="00F55BBB" w:rsidRPr="00F55BBB" w:rsidRDefault="00F55BBB" w:rsidP="00F55BBB">
            <w:pPr>
              <w:spacing w:line="360" w:lineRule="auto"/>
              <w:rPr>
                <w:rFonts w:eastAsia="Times New Roman"/>
                <w:sz w:val="24"/>
                <w:szCs w:val="24"/>
              </w:rPr>
            </w:pPr>
            <w:r w:rsidRPr="00F55BBB">
              <w:rPr>
                <w:rFonts w:eastAsia="Times New Roman"/>
                <w:sz w:val="24"/>
                <w:szCs w:val="24"/>
              </w:rPr>
              <w:t xml:space="preserve">Current assets-inventories/Current liabilities </w:t>
            </w:r>
          </w:p>
        </w:tc>
        <w:tc>
          <w:tcPr>
            <w:tcW w:w="606" w:type="pct"/>
            <w:tcBorders>
              <w:top w:val="nil"/>
              <w:left w:val="nil"/>
              <w:bottom w:val="single" w:sz="4" w:space="0" w:color="auto"/>
              <w:right w:val="single" w:sz="4" w:space="0" w:color="auto"/>
            </w:tcBorders>
            <w:noWrap/>
            <w:vAlign w:val="bottom"/>
            <w:hideMark/>
          </w:tcPr>
          <w:p w14:paraId="1DCED13D"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1.03</w:t>
            </w:r>
          </w:p>
        </w:tc>
        <w:tc>
          <w:tcPr>
            <w:tcW w:w="606" w:type="pct"/>
            <w:tcBorders>
              <w:top w:val="nil"/>
              <w:left w:val="nil"/>
              <w:bottom w:val="single" w:sz="4" w:space="0" w:color="auto"/>
              <w:right w:val="single" w:sz="4" w:space="0" w:color="auto"/>
            </w:tcBorders>
            <w:noWrap/>
            <w:vAlign w:val="bottom"/>
            <w:hideMark/>
          </w:tcPr>
          <w:p w14:paraId="223DC397"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0.93</w:t>
            </w:r>
          </w:p>
        </w:tc>
        <w:tc>
          <w:tcPr>
            <w:tcW w:w="597" w:type="pct"/>
            <w:tcBorders>
              <w:top w:val="nil"/>
              <w:left w:val="nil"/>
              <w:bottom w:val="single" w:sz="4" w:space="0" w:color="auto"/>
              <w:right w:val="single" w:sz="4" w:space="0" w:color="auto"/>
            </w:tcBorders>
            <w:noWrap/>
            <w:vAlign w:val="bottom"/>
            <w:hideMark/>
          </w:tcPr>
          <w:p w14:paraId="368534B3"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0.91</w:t>
            </w:r>
          </w:p>
        </w:tc>
        <w:tc>
          <w:tcPr>
            <w:tcW w:w="606" w:type="pct"/>
            <w:tcBorders>
              <w:top w:val="nil"/>
              <w:left w:val="nil"/>
              <w:bottom w:val="single" w:sz="4" w:space="0" w:color="auto"/>
              <w:right w:val="single" w:sz="4" w:space="0" w:color="auto"/>
            </w:tcBorders>
            <w:noWrap/>
            <w:vAlign w:val="bottom"/>
            <w:hideMark/>
          </w:tcPr>
          <w:p w14:paraId="2F437D63"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0.93</w:t>
            </w:r>
          </w:p>
        </w:tc>
        <w:tc>
          <w:tcPr>
            <w:tcW w:w="606" w:type="pct"/>
            <w:tcBorders>
              <w:top w:val="nil"/>
              <w:left w:val="nil"/>
              <w:bottom w:val="single" w:sz="4" w:space="0" w:color="auto"/>
              <w:right w:val="single" w:sz="4" w:space="0" w:color="auto"/>
            </w:tcBorders>
            <w:noWrap/>
            <w:vAlign w:val="bottom"/>
            <w:hideMark/>
          </w:tcPr>
          <w:p w14:paraId="4B2E07F2" w14:textId="77777777" w:rsidR="00F55BBB" w:rsidRPr="00F55BBB" w:rsidRDefault="00F55BBB" w:rsidP="00F55BBB">
            <w:pPr>
              <w:spacing w:line="360" w:lineRule="auto"/>
              <w:jc w:val="right"/>
              <w:rPr>
                <w:rFonts w:eastAsia="Times New Roman"/>
                <w:sz w:val="24"/>
                <w:szCs w:val="24"/>
              </w:rPr>
            </w:pPr>
            <w:r w:rsidRPr="00F55BBB">
              <w:rPr>
                <w:rFonts w:eastAsia="Times New Roman"/>
                <w:sz w:val="24"/>
                <w:szCs w:val="24"/>
              </w:rPr>
              <w:t>0.90</w:t>
            </w:r>
          </w:p>
        </w:tc>
      </w:tr>
    </w:tbl>
    <w:p w14:paraId="1261A6C4" w14:textId="77777777" w:rsidR="00F55BBB" w:rsidRPr="00B108ED" w:rsidRDefault="00F55BBB" w:rsidP="00F55BBB">
      <w:pPr>
        <w:pStyle w:val="Heading2"/>
        <w:spacing w:before="0" w:after="0" w:line="360" w:lineRule="auto"/>
        <w:rPr>
          <w:rFonts w:ascii="Arial" w:hAnsi="Arial"/>
        </w:rPr>
      </w:pPr>
    </w:p>
    <w:p w14:paraId="573549AE" w14:textId="77777777" w:rsidR="00F5277A" w:rsidRPr="00B108ED" w:rsidRDefault="00F55BBB" w:rsidP="00F5277A">
      <w:pPr>
        <w:spacing w:line="360" w:lineRule="auto"/>
        <w:jc w:val="both"/>
        <w:rPr>
          <w:b/>
          <w:bCs/>
          <w:sz w:val="24"/>
          <w:szCs w:val="24"/>
        </w:rPr>
      </w:pPr>
      <w:r w:rsidRPr="00B108ED">
        <w:br w:type="page"/>
      </w:r>
      <w:r w:rsidR="00F5277A" w:rsidRPr="00B108ED">
        <w:rPr>
          <w:b/>
          <w:bCs/>
          <w:sz w:val="24"/>
          <w:szCs w:val="24"/>
        </w:rPr>
        <w:lastRenderedPageBreak/>
        <w:t>Graphs</w:t>
      </w:r>
    </w:p>
    <w:p w14:paraId="32587FEA" w14:textId="77777777" w:rsidR="00F5277A" w:rsidRPr="00B108ED" w:rsidRDefault="00F5277A" w:rsidP="00F5277A">
      <w:pPr>
        <w:spacing w:line="360" w:lineRule="auto"/>
        <w:jc w:val="center"/>
        <w:rPr>
          <w:b/>
          <w:bCs/>
          <w:sz w:val="24"/>
          <w:szCs w:val="24"/>
        </w:rPr>
      </w:pPr>
      <w:r w:rsidRPr="00B108ED">
        <w:rPr>
          <w:noProof/>
        </w:rPr>
        <w:drawing>
          <wp:inline distT="0" distB="0" distL="0" distR="0" wp14:anchorId="5172339A" wp14:editId="2532765C">
            <wp:extent cx="4124325" cy="1952625"/>
            <wp:effectExtent l="0" t="0" r="9525" b="9525"/>
            <wp:docPr id="117142483" name="Chart 1">
              <a:extLst xmlns:a="http://schemas.openxmlformats.org/drawingml/2006/main">
                <a:ext uri="{FF2B5EF4-FFF2-40B4-BE49-F238E27FC236}">
                  <a16:creationId xmlns:a16="http://schemas.microsoft.com/office/drawing/2014/main" id="{D3D87EEA-E553-956D-36C4-AFDD7A0145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82FF679" w14:textId="77777777" w:rsidR="00F5277A" w:rsidRPr="00B108ED" w:rsidRDefault="00F5277A" w:rsidP="00F5277A">
      <w:pPr>
        <w:spacing w:line="360" w:lineRule="auto"/>
        <w:jc w:val="center"/>
        <w:rPr>
          <w:b/>
          <w:bCs/>
          <w:sz w:val="24"/>
          <w:szCs w:val="24"/>
        </w:rPr>
      </w:pPr>
    </w:p>
    <w:p w14:paraId="330F37DB" w14:textId="77777777" w:rsidR="00F5277A" w:rsidRPr="00B108ED" w:rsidRDefault="00F5277A" w:rsidP="00F5277A">
      <w:pPr>
        <w:spacing w:line="360" w:lineRule="auto"/>
        <w:jc w:val="center"/>
      </w:pPr>
      <w:r w:rsidRPr="00B108ED">
        <w:rPr>
          <w:noProof/>
        </w:rPr>
        <w:drawing>
          <wp:inline distT="0" distB="0" distL="0" distR="0" wp14:anchorId="1BF371FA" wp14:editId="65685364">
            <wp:extent cx="4229100" cy="2580640"/>
            <wp:effectExtent l="0" t="0" r="0" b="10160"/>
            <wp:docPr id="232525402" name="Chart 1">
              <a:extLst xmlns:a="http://schemas.openxmlformats.org/drawingml/2006/main">
                <a:ext uri="{FF2B5EF4-FFF2-40B4-BE49-F238E27FC236}">
                  <a16:creationId xmlns:a16="http://schemas.microsoft.com/office/drawing/2014/main" id="{47323CE0-46D6-70DC-A4B4-BB0A257912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9DE935D" w14:textId="77777777" w:rsidR="00F5277A" w:rsidRPr="00B108ED" w:rsidRDefault="00F5277A" w:rsidP="00F5277A">
      <w:pPr>
        <w:spacing w:line="360" w:lineRule="auto"/>
        <w:jc w:val="center"/>
      </w:pPr>
      <w:r w:rsidRPr="00B108ED">
        <w:rPr>
          <w:noProof/>
        </w:rPr>
        <w:drawing>
          <wp:inline distT="0" distB="0" distL="0" distR="0" wp14:anchorId="6E541FC8" wp14:editId="2C54308C">
            <wp:extent cx="4286250" cy="1600201"/>
            <wp:effectExtent l="0" t="0" r="0" b="0"/>
            <wp:docPr id="148707021" name="Chart 1">
              <a:extLst xmlns:a="http://schemas.openxmlformats.org/drawingml/2006/main">
                <a:ext uri="{FF2B5EF4-FFF2-40B4-BE49-F238E27FC236}">
                  <a16:creationId xmlns:a16="http://schemas.microsoft.com/office/drawing/2014/main" id="{7E113AD7-CE69-C4A2-A375-6F88E4F98F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AC84994" w14:textId="77777777" w:rsidR="00F5277A" w:rsidRPr="00B108ED" w:rsidRDefault="00F5277A" w:rsidP="00F5277A">
      <w:pPr>
        <w:spacing w:line="360" w:lineRule="auto"/>
        <w:jc w:val="center"/>
      </w:pPr>
    </w:p>
    <w:p w14:paraId="10BB70BC" w14:textId="77777777" w:rsidR="00F5277A" w:rsidRPr="00B108ED" w:rsidRDefault="00F5277A" w:rsidP="00F5277A">
      <w:pPr>
        <w:spacing w:line="360" w:lineRule="auto"/>
        <w:jc w:val="center"/>
      </w:pPr>
      <w:r w:rsidRPr="00B108ED">
        <w:rPr>
          <w:noProof/>
        </w:rPr>
        <w:lastRenderedPageBreak/>
        <w:drawing>
          <wp:inline distT="0" distB="0" distL="0" distR="0" wp14:anchorId="34D72C1F" wp14:editId="10DB6DF5">
            <wp:extent cx="3733800" cy="2400300"/>
            <wp:effectExtent l="0" t="0" r="0" b="0"/>
            <wp:docPr id="1763920725" name="Chart 1">
              <a:extLst xmlns:a="http://schemas.openxmlformats.org/drawingml/2006/main">
                <a:ext uri="{FF2B5EF4-FFF2-40B4-BE49-F238E27FC236}">
                  <a16:creationId xmlns:a16="http://schemas.microsoft.com/office/drawing/2014/main" id="{FC368002-B72C-6BCC-344D-73C9A99E48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1E09818" w14:textId="77777777" w:rsidR="00F5277A" w:rsidRPr="00B108ED" w:rsidRDefault="00F5277A" w:rsidP="00F5277A">
      <w:pPr>
        <w:spacing w:line="360" w:lineRule="auto"/>
        <w:jc w:val="center"/>
      </w:pPr>
    </w:p>
    <w:p w14:paraId="20378240" w14:textId="77777777" w:rsidR="00F5277A" w:rsidRPr="00B108ED" w:rsidRDefault="00F5277A" w:rsidP="00F5277A">
      <w:pPr>
        <w:spacing w:line="360" w:lineRule="auto"/>
        <w:jc w:val="center"/>
      </w:pPr>
      <w:r w:rsidRPr="00B108ED">
        <w:rPr>
          <w:noProof/>
        </w:rPr>
        <w:drawing>
          <wp:inline distT="0" distB="0" distL="0" distR="0" wp14:anchorId="36E6F848" wp14:editId="5B591565">
            <wp:extent cx="3971925" cy="2476500"/>
            <wp:effectExtent l="0" t="0" r="9525" b="0"/>
            <wp:docPr id="86130596" name="Chart 1">
              <a:extLst xmlns:a="http://schemas.openxmlformats.org/drawingml/2006/main">
                <a:ext uri="{FF2B5EF4-FFF2-40B4-BE49-F238E27FC236}">
                  <a16:creationId xmlns:a16="http://schemas.microsoft.com/office/drawing/2014/main" id="{217B6950-C273-E9FC-9616-A95652DC94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C8C8734" w14:textId="77777777" w:rsidR="00F5277A" w:rsidRPr="00B108ED" w:rsidRDefault="00F5277A" w:rsidP="00F5277A">
      <w:pPr>
        <w:spacing w:line="360" w:lineRule="auto"/>
        <w:jc w:val="center"/>
      </w:pPr>
    </w:p>
    <w:p w14:paraId="439EB659" w14:textId="77788817" w:rsidR="00F55BBB" w:rsidRPr="00B108ED" w:rsidRDefault="00F5277A" w:rsidP="00F5277A">
      <w:pPr>
        <w:jc w:val="center"/>
        <w:rPr>
          <w:b/>
          <w:sz w:val="26"/>
          <w:szCs w:val="32"/>
        </w:rPr>
      </w:pPr>
      <w:r w:rsidRPr="00B108ED">
        <w:rPr>
          <w:noProof/>
        </w:rPr>
        <w:drawing>
          <wp:inline distT="0" distB="0" distL="0" distR="0" wp14:anchorId="6609C67A" wp14:editId="2010145C">
            <wp:extent cx="3790950" cy="2400300"/>
            <wp:effectExtent l="0" t="0" r="0" b="0"/>
            <wp:docPr id="1055964952" name="Chart 1">
              <a:extLst xmlns:a="http://schemas.openxmlformats.org/drawingml/2006/main">
                <a:ext uri="{FF2B5EF4-FFF2-40B4-BE49-F238E27FC236}">
                  <a16:creationId xmlns:a16="http://schemas.microsoft.com/office/drawing/2014/main" id="{40804DEB-36D5-A333-E776-77C372B4D5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7E9DB1F" w14:textId="77777777" w:rsidR="00F5277A" w:rsidRPr="00B108ED" w:rsidRDefault="00F5277A">
      <w:pPr>
        <w:rPr>
          <w:b/>
          <w:sz w:val="26"/>
          <w:szCs w:val="32"/>
        </w:rPr>
      </w:pPr>
      <w:r w:rsidRPr="00B108ED">
        <w:br w:type="page"/>
      </w:r>
    </w:p>
    <w:p w14:paraId="3ACC1E8A" w14:textId="27DCAD1C" w:rsidR="004133BC" w:rsidRPr="00B108ED" w:rsidRDefault="004133BC" w:rsidP="00F55BBB">
      <w:pPr>
        <w:pStyle w:val="Heading2"/>
        <w:spacing w:before="0" w:after="0" w:line="360" w:lineRule="auto"/>
        <w:rPr>
          <w:rFonts w:ascii="Arial" w:hAnsi="Arial"/>
        </w:rPr>
      </w:pPr>
      <w:bookmarkStart w:id="9" w:name="_Toc224234546"/>
      <w:r w:rsidRPr="00B108ED">
        <w:rPr>
          <w:rFonts w:ascii="Arial" w:hAnsi="Arial"/>
        </w:rPr>
        <w:lastRenderedPageBreak/>
        <w:t>Appendix 2: Investment appraisal calculations</w:t>
      </w:r>
      <w:bookmarkEnd w:id="9"/>
    </w:p>
    <w:p w14:paraId="41736B7D" w14:textId="395B8509" w:rsidR="006B0334" w:rsidRPr="00B108ED" w:rsidRDefault="00265B37" w:rsidP="00F55BBB">
      <w:pPr>
        <w:spacing w:line="360" w:lineRule="auto"/>
        <w:jc w:val="both"/>
        <w:rPr>
          <w:b/>
          <w:bCs/>
          <w:sz w:val="24"/>
          <w:szCs w:val="24"/>
        </w:rPr>
      </w:pPr>
      <w:r w:rsidRPr="00B108ED">
        <w:rPr>
          <w:b/>
          <w:bCs/>
          <w:sz w:val="24"/>
          <w:szCs w:val="24"/>
        </w:rPr>
        <w:t>N</w:t>
      </w:r>
      <w:r w:rsidR="006B0334" w:rsidRPr="00B108ED">
        <w:rPr>
          <w:b/>
          <w:bCs/>
          <w:sz w:val="24"/>
          <w:szCs w:val="24"/>
        </w:rPr>
        <w:t xml:space="preserve">et present value (NPV) </w:t>
      </w:r>
    </w:p>
    <w:p w14:paraId="63855E34" w14:textId="25164492" w:rsidR="00265B37" w:rsidRPr="00B108ED" w:rsidRDefault="00265B37" w:rsidP="00F55BBB">
      <w:pPr>
        <w:spacing w:line="360" w:lineRule="auto"/>
        <w:jc w:val="center"/>
        <w:rPr>
          <w:b/>
          <w:bCs/>
          <w:sz w:val="24"/>
          <w:szCs w:val="24"/>
        </w:rPr>
      </w:pPr>
      <w:r w:rsidRPr="00B108ED">
        <w:rPr>
          <w:noProof/>
        </w:rPr>
        <w:drawing>
          <wp:inline distT="0" distB="0" distL="0" distR="0" wp14:anchorId="62516D14" wp14:editId="73D0D77B">
            <wp:extent cx="5733415" cy="1435735"/>
            <wp:effectExtent l="0" t="0" r="635" b="0"/>
            <wp:docPr id="1724226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226169" name=""/>
                    <pic:cNvPicPr/>
                  </pic:nvPicPr>
                  <pic:blipFill>
                    <a:blip r:embed="rId31"/>
                    <a:stretch>
                      <a:fillRect/>
                    </a:stretch>
                  </pic:blipFill>
                  <pic:spPr>
                    <a:xfrm>
                      <a:off x="0" y="0"/>
                      <a:ext cx="5733415" cy="1435735"/>
                    </a:xfrm>
                    <a:prstGeom prst="rect">
                      <a:avLst/>
                    </a:prstGeom>
                  </pic:spPr>
                </pic:pic>
              </a:graphicData>
            </a:graphic>
          </wp:inline>
        </w:drawing>
      </w:r>
    </w:p>
    <w:p w14:paraId="2490B302" w14:textId="49BAAF0A" w:rsidR="00265B37" w:rsidRPr="00B108ED" w:rsidRDefault="00265B37" w:rsidP="00F55BBB">
      <w:pPr>
        <w:spacing w:line="360" w:lineRule="auto"/>
        <w:jc w:val="center"/>
        <w:rPr>
          <w:b/>
          <w:bCs/>
          <w:sz w:val="24"/>
          <w:szCs w:val="24"/>
        </w:rPr>
      </w:pPr>
      <w:r w:rsidRPr="00B108ED">
        <w:rPr>
          <w:noProof/>
        </w:rPr>
        <w:drawing>
          <wp:inline distT="0" distB="0" distL="0" distR="0" wp14:anchorId="19D9FCA9" wp14:editId="1CF987B8">
            <wp:extent cx="5753100" cy="1774222"/>
            <wp:effectExtent l="0" t="0" r="0" b="0"/>
            <wp:docPr id="225720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20917" name=""/>
                    <pic:cNvPicPr/>
                  </pic:nvPicPr>
                  <pic:blipFill>
                    <a:blip r:embed="rId32"/>
                    <a:stretch>
                      <a:fillRect/>
                    </a:stretch>
                  </pic:blipFill>
                  <pic:spPr>
                    <a:xfrm>
                      <a:off x="0" y="0"/>
                      <a:ext cx="5774894" cy="1780943"/>
                    </a:xfrm>
                    <a:prstGeom prst="rect">
                      <a:avLst/>
                    </a:prstGeom>
                  </pic:spPr>
                </pic:pic>
              </a:graphicData>
            </a:graphic>
          </wp:inline>
        </w:drawing>
      </w:r>
    </w:p>
    <w:p w14:paraId="24588C9A" w14:textId="2D985F77" w:rsidR="00265B37" w:rsidRPr="00B108ED" w:rsidRDefault="00265B37" w:rsidP="00F55BBB">
      <w:pPr>
        <w:spacing w:line="360" w:lineRule="auto"/>
        <w:jc w:val="center"/>
        <w:rPr>
          <w:b/>
          <w:bCs/>
          <w:sz w:val="24"/>
          <w:szCs w:val="24"/>
        </w:rPr>
      </w:pPr>
      <w:r w:rsidRPr="00B108ED">
        <w:rPr>
          <w:noProof/>
        </w:rPr>
        <w:drawing>
          <wp:inline distT="0" distB="0" distL="0" distR="0" wp14:anchorId="49932A80" wp14:editId="6FFE11A9">
            <wp:extent cx="5715000" cy="1657935"/>
            <wp:effectExtent l="0" t="0" r="0" b="0"/>
            <wp:docPr id="1361722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22004" name=""/>
                    <pic:cNvPicPr/>
                  </pic:nvPicPr>
                  <pic:blipFill>
                    <a:blip r:embed="rId33"/>
                    <a:stretch>
                      <a:fillRect/>
                    </a:stretch>
                  </pic:blipFill>
                  <pic:spPr>
                    <a:xfrm>
                      <a:off x="0" y="0"/>
                      <a:ext cx="5722221" cy="1660030"/>
                    </a:xfrm>
                    <a:prstGeom prst="rect">
                      <a:avLst/>
                    </a:prstGeom>
                  </pic:spPr>
                </pic:pic>
              </a:graphicData>
            </a:graphic>
          </wp:inline>
        </w:drawing>
      </w:r>
    </w:p>
    <w:p w14:paraId="5886FE09" w14:textId="4B5147C7" w:rsidR="00265B37" w:rsidRPr="00B108ED" w:rsidRDefault="00265B37" w:rsidP="00F55BBB">
      <w:pPr>
        <w:spacing w:line="360" w:lineRule="auto"/>
        <w:rPr>
          <w:b/>
          <w:bCs/>
          <w:sz w:val="24"/>
          <w:szCs w:val="24"/>
        </w:rPr>
      </w:pPr>
      <w:r w:rsidRPr="00B108ED">
        <w:rPr>
          <w:b/>
          <w:bCs/>
          <w:sz w:val="24"/>
          <w:szCs w:val="24"/>
        </w:rPr>
        <w:t xml:space="preserve">Payback period </w:t>
      </w:r>
      <w:r w:rsidR="006B0334" w:rsidRPr="00B108ED">
        <w:rPr>
          <w:b/>
          <w:bCs/>
          <w:sz w:val="24"/>
          <w:szCs w:val="24"/>
        </w:rPr>
        <w:t>(PBP)</w:t>
      </w:r>
    </w:p>
    <w:p w14:paraId="5499EBD0" w14:textId="059F1DBB" w:rsidR="00265B37" w:rsidRPr="00B108ED" w:rsidRDefault="006B0334" w:rsidP="00F55BBB">
      <w:pPr>
        <w:spacing w:line="360" w:lineRule="auto"/>
        <w:jc w:val="center"/>
        <w:rPr>
          <w:b/>
          <w:bCs/>
          <w:sz w:val="24"/>
          <w:szCs w:val="24"/>
        </w:rPr>
      </w:pPr>
      <w:r w:rsidRPr="00B108ED">
        <w:rPr>
          <w:noProof/>
        </w:rPr>
        <w:drawing>
          <wp:inline distT="0" distB="0" distL="0" distR="0" wp14:anchorId="44444BBC" wp14:editId="0B1A50BA">
            <wp:extent cx="4610100" cy="1781175"/>
            <wp:effectExtent l="0" t="0" r="0" b="9525"/>
            <wp:docPr id="89709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9081" name=""/>
                    <pic:cNvPicPr/>
                  </pic:nvPicPr>
                  <pic:blipFill>
                    <a:blip r:embed="rId34"/>
                    <a:stretch>
                      <a:fillRect/>
                    </a:stretch>
                  </pic:blipFill>
                  <pic:spPr>
                    <a:xfrm>
                      <a:off x="0" y="0"/>
                      <a:ext cx="4610100" cy="1781175"/>
                    </a:xfrm>
                    <a:prstGeom prst="rect">
                      <a:avLst/>
                    </a:prstGeom>
                  </pic:spPr>
                </pic:pic>
              </a:graphicData>
            </a:graphic>
          </wp:inline>
        </w:drawing>
      </w:r>
    </w:p>
    <w:p w14:paraId="30E479BB" w14:textId="134D2CD6" w:rsidR="006B0334" w:rsidRPr="00B108ED" w:rsidRDefault="006B0334" w:rsidP="00F55BBB">
      <w:pPr>
        <w:spacing w:line="360" w:lineRule="auto"/>
        <w:jc w:val="center"/>
        <w:rPr>
          <w:b/>
          <w:bCs/>
          <w:sz w:val="24"/>
          <w:szCs w:val="24"/>
        </w:rPr>
      </w:pPr>
      <w:r w:rsidRPr="00B108ED">
        <w:rPr>
          <w:noProof/>
        </w:rPr>
        <w:lastRenderedPageBreak/>
        <w:drawing>
          <wp:inline distT="0" distB="0" distL="0" distR="0" wp14:anchorId="12BDBEF9" wp14:editId="145416E6">
            <wp:extent cx="4210050" cy="1790700"/>
            <wp:effectExtent l="0" t="0" r="0" b="0"/>
            <wp:docPr id="313360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60245" name=""/>
                    <pic:cNvPicPr/>
                  </pic:nvPicPr>
                  <pic:blipFill>
                    <a:blip r:embed="rId35"/>
                    <a:stretch>
                      <a:fillRect/>
                    </a:stretch>
                  </pic:blipFill>
                  <pic:spPr>
                    <a:xfrm>
                      <a:off x="0" y="0"/>
                      <a:ext cx="4210050" cy="1790700"/>
                    </a:xfrm>
                    <a:prstGeom prst="rect">
                      <a:avLst/>
                    </a:prstGeom>
                  </pic:spPr>
                </pic:pic>
              </a:graphicData>
            </a:graphic>
          </wp:inline>
        </w:drawing>
      </w:r>
    </w:p>
    <w:p w14:paraId="544CD368" w14:textId="72A0449B" w:rsidR="006B0334" w:rsidRPr="00B108ED" w:rsidRDefault="006B0334" w:rsidP="00F55BBB">
      <w:pPr>
        <w:spacing w:line="360" w:lineRule="auto"/>
        <w:jc w:val="center"/>
        <w:rPr>
          <w:b/>
          <w:bCs/>
          <w:sz w:val="24"/>
          <w:szCs w:val="24"/>
        </w:rPr>
      </w:pPr>
      <w:r w:rsidRPr="00B108ED">
        <w:rPr>
          <w:noProof/>
        </w:rPr>
        <w:drawing>
          <wp:inline distT="0" distB="0" distL="0" distR="0" wp14:anchorId="0974D890" wp14:editId="62A4C63B">
            <wp:extent cx="4333875" cy="1790700"/>
            <wp:effectExtent l="0" t="0" r="9525" b="0"/>
            <wp:docPr id="194753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3129" name=""/>
                    <pic:cNvPicPr/>
                  </pic:nvPicPr>
                  <pic:blipFill>
                    <a:blip r:embed="rId36"/>
                    <a:stretch>
                      <a:fillRect/>
                    </a:stretch>
                  </pic:blipFill>
                  <pic:spPr>
                    <a:xfrm>
                      <a:off x="0" y="0"/>
                      <a:ext cx="4333875" cy="1790700"/>
                    </a:xfrm>
                    <a:prstGeom prst="rect">
                      <a:avLst/>
                    </a:prstGeom>
                  </pic:spPr>
                </pic:pic>
              </a:graphicData>
            </a:graphic>
          </wp:inline>
        </w:drawing>
      </w:r>
    </w:p>
    <w:p w14:paraId="41C285AF" w14:textId="757AE776" w:rsidR="006B0334" w:rsidRPr="00B108ED" w:rsidRDefault="006B0334" w:rsidP="00F55BBB">
      <w:pPr>
        <w:spacing w:line="360" w:lineRule="auto"/>
        <w:rPr>
          <w:b/>
          <w:bCs/>
          <w:sz w:val="24"/>
          <w:szCs w:val="24"/>
        </w:rPr>
      </w:pPr>
      <w:r w:rsidRPr="00B108ED">
        <w:rPr>
          <w:b/>
          <w:bCs/>
          <w:sz w:val="24"/>
          <w:szCs w:val="24"/>
        </w:rPr>
        <w:t>Internal rate of Return (IRR)</w:t>
      </w:r>
    </w:p>
    <w:p w14:paraId="71BB5581" w14:textId="7B5C4C2F" w:rsidR="004133BC" w:rsidRPr="00B108ED" w:rsidRDefault="006B0334" w:rsidP="00F55BBB">
      <w:pPr>
        <w:spacing w:line="360" w:lineRule="auto"/>
        <w:jc w:val="center"/>
        <w:rPr>
          <w:b/>
          <w:bCs/>
          <w:sz w:val="24"/>
          <w:szCs w:val="24"/>
        </w:rPr>
      </w:pPr>
      <w:r w:rsidRPr="00B108ED">
        <w:rPr>
          <w:noProof/>
        </w:rPr>
        <w:drawing>
          <wp:inline distT="0" distB="0" distL="0" distR="0" wp14:anchorId="75D32EF4" wp14:editId="41BD48CB">
            <wp:extent cx="3895725" cy="1590675"/>
            <wp:effectExtent l="0" t="0" r="9525" b="9525"/>
            <wp:docPr id="154200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005981" name=""/>
                    <pic:cNvPicPr/>
                  </pic:nvPicPr>
                  <pic:blipFill>
                    <a:blip r:embed="rId37"/>
                    <a:stretch>
                      <a:fillRect/>
                    </a:stretch>
                  </pic:blipFill>
                  <pic:spPr>
                    <a:xfrm>
                      <a:off x="0" y="0"/>
                      <a:ext cx="3895725" cy="1590675"/>
                    </a:xfrm>
                    <a:prstGeom prst="rect">
                      <a:avLst/>
                    </a:prstGeom>
                  </pic:spPr>
                </pic:pic>
              </a:graphicData>
            </a:graphic>
          </wp:inline>
        </w:drawing>
      </w:r>
    </w:p>
    <w:p w14:paraId="55542F59" w14:textId="667CA953" w:rsidR="004133BC" w:rsidRPr="00B108ED" w:rsidRDefault="006B0334" w:rsidP="00F55BBB">
      <w:pPr>
        <w:spacing w:line="360" w:lineRule="auto"/>
        <w:jc w:val="both"/>
        <w:rPr>
          <w:b/>
          <w:bCs/>
          <w:sz w:val="24"/>
          <w:szCs w:val="24"/>
        </w:rPr>
      </w:pPr>
      <w:r w:rsidRPr="00B108ED">
        <w:rPr>
          <w:b/>
          <w:bCs/>
          <w:sz w:val="24"/>
          <w:szCs w:val="24"/>
        </w:rPr>
        <w:t>Profitability Index (PI)</w:t>
      </w:r>
    </w:p>
    <w:p w14:paraId="4E4C1835" w14:textId="7901C6BA" w:rsidR="004133BC" w:rsidRPr="00B108ED" w:rsidRDefault="006B0334" w:rsidP="00F55BBB">
      <w:pPr>
        <w:spacing w:line="360" w:lineRule="auto"/>
        <w:jc w:val="center"/>
        <w:rPr>
          <w:rFonts w:eastAsia="Times New Roman"/>
          <w:color w:val="EE0000"/>
          <w:sz w:val="24"/>
          <w:szCs w:val="24"/>
        </w:rPr>
      </w:pPr>
      <w:r w:rsidRPr="00B108ED">
        <w:rPr>
          <w:noProof/>
        </w:rPr>
        <w:drawing>
          <wp:inline distT="0" distB="0" distL="0" distR="0" wp14:anchorId="5431B904" wp14:editId="1293BA94">
            <wp:extent cx="4305300" cy="1057275"/>
            <wp:effectExtent l="0" t="0" r="0" b="9525"/>
            <wp:docPr id="265466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466577" name=""/>
                    <pic:cNvPicPr/>
                  </pic:nvPicPr>
                  <pic:blipFill>
                    <a:blip r:embed="rId38"/>
                    <a:stretch>
                      <a:fillRect/>
                    </a:stretch>
                  </pic:blipFill>
                  <pic:spPr>
                    <a:xfrm>
                      <a:off x="0" y="0"/>
                      <a:ext cx="4305300" cy="1057275"/>
                    </a:xfrm>
                    <a:prstGeom prst="rect">
                      <a:avLst/>
                    </a:prstGeom>
                  </pic:spPr>
                </pic:pic>
              </a:graphicData>
            </a:graphic>
          </wp:inline>
        </w:drawing>
      </w:r>
    </w:p>
    <w:p w14:paraId="1619EB15" w14:textId="4F5AC471" w:rsidR="006B0334" w:rsidRPr="00B108ED" w:rsidRDefault="006B0334" w:rsidP="00F55BBB">
      <w:pPr>
        <w:spacing w:line="360" w:lineRule="auto"/>
        <w:rPr>
          <w:rFonts w:eastAsia="Times New Roman"/>
          <w:b/>
          <w:bCs/>
          <w:color w:val="000000" w:themeColor="text1"/>
          <w:sz w:val="24"/>
          <w:szCs w:val="24"/>
        </w:rPr>
      </w:pPr>
      <w:r w:rsidRPr="00B108ED">
        <w:rPr>
          <w:rFonts w:eastAsia="Times New Roman"/>
          <w:b/>
          <w:bCs/>
          <w:color w:val="000000" w:themeColor="text1"/>
          <w:sz w:val="24"/>
          <w:szCs w:val="24"/>
        </w:rPr>
        <w:t>Accounting Rate of Return (ARR)</w:t>
      </w:r>
    </w:p>
    <w:p w14:paraId="05F5EFE3" w14:textId="114DA921" w:rsidR="006B0334" w:rsidRPr="00B108ED" w:rsidRDefault="006B0334" w:rsidP="00F55BBB">
      <w:pPr>
        <w:spacing w:line="360" w:lineRule="auto"/>
        <w:jc w:val="center"/>
        <w:rPr>
          <w:rFonts w:eastAsia="Times New Roman"/>
          <w:color w:val="EE0000"/>
          <w:sz w:val="24"/>
          <w:szCs w:val="24"/>
        </w:rPr>
      </w:pPr>
      <w:r w:rsidRPr="00B108ED">
        <w:rPr>
          <w:noProof/>
        </w:rPr>
        <w:lastRenderedPageBreak/>
        <w:drawing>
          <wp:inline distT="0" distB="0" distL="0" distR="0" wp14:anchorId="6B5E1121" wp14:editId="12C41D65">
            <wp:extent cx="4400550" cy="2362200"/>
            <wp:effectExtent l="0" t="0" r="0" b="0"/>
            <wp:docPr id="719333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33726" name=""/>
                    <pic:cNvPicPr/>
                  </pic:nvPicPr>
                  <pic:blipFill>
                    <a:blip r:embed="rId39"/>
                    <a:stretch>
                      <a:fillRect/>
                    </a:stretch>
                  </pic:blipFill>
                  <pic:spPr>
                    <a:xfrm>
                      <a:off x="0" y="0"/>
                      <a:ext cx="4400550" cy="2362200"/>
                    </a:xfrm>
                    <a:prstGeom prst="rect">
                      <a:avLst/>
                    </a:prstGeom>
                  </pic:spPr>
                </pic:pic>
              </a:graphicData>
            </a:graphic>
          </wp:inline>
        </w:drawing>
      </w:r>
    </w:p>
    <w:p w14:paraId="0AE4D01D" w14:textId="77777777" w:rsidR="00973B41" w:rsidRPr="00B108ED" w:rsidRDefault="00973B41" w:rsidP="00F55BBB">
      <w:pPr>
        <w:spacing w:line="360" w:lineRule="auto"/>
        <w:ind w:left="720" w:hanging="720"/>
        <w:jc w:val="both"/>
        <w:rPr>
          <w:rFonts w:eastAsia="Times New Roman"/>
          <w:color w:val="EE0000"/>
          <w:sz w:val="24"/>
          <w:szCs w:val="24"/>
        </w:rPr>
      </w:pPr>
    </w:p>
    <w:p w14:paraId="4A3F5E5B" w14:textId="1EC20878" w:rsidR="00752FA2" w:rsidRDefault="00752FA2">
      <w:pPr>
        <w:rPr>
          <w:rFonts w:eastAsia="Times New Roman"/>
          <w:sz w:val="24"/>
          <w:szCs w:val="24"/>
        </w:rPr>
      </w:pPr>
      <w:r>
        <w:rPr>
          <w:rFonts w:eastAsia="Times New Roman"/>
          <w:sz w:val="24"/>
          <w:szCs w:val="24"/>
        </w:rPr>
        <w:br w:type="page"/>
      </w:r>
    </w:p>
    <w:p w14:paraId="14CBA41C" w14:textId="10445F03" w:rsidR="00807E74" w:rsidRPr="00752FA2" w:rsidRDefault="00752FA2" w:rsidP="00752FA2">
      <w:pPr>
        <w:pStyle w:val="Heading2"/>
        <w:spacing w:before="0" w:after="0" w:line="360" w:lineRule="auto"/>
        <w:rPr>
          <w:rFonts w:ascii="Arial" w:hAnsi="Arial"/>
        </w:rPr>
      </w:pPr>
      <w:bookmarkStart w:id="10" w:name="_Toc224234547"/>
      <w:r w:rsidRPr="00B108ED">
        <w:rPr>
          <w:rFonts w:ascii="Arial" w:hAnsi="Arial"/>
        </w:rPr>
        <w:lastRenderedPageBreak/>
        <w:t xml:space="preserve">Appendix </w:t>
      </w:r>
      <w:r>
        <w:rPr>
          <w:rFonts w:ascii="Arial" w:hAnsi="Arial"/>
        </w:rPr>
        <w:t>3</w:t>
      </w:r>
      <w:r w:rsidRPr="00B108ED">
        <w:rPr>
          <w:rFonts w:ascii="Arial" w:hAnsi="Arial"/>
        </w:rPr>
        <w:t xml:space="preserve">: </w:t>
      </w:r>
      <w:r w:rsidR="00A74F79">
        <w:rPr>
          <w:rFonts w:ascii="Arial" w:hAnsi="Arial"/>
        </w:rPr>
        <w:t>Tables of three statements</w:t>
      </w:r>
      <w:bookmarkEnd w:id="10"/>
      <w:r w:rsidR="00A74F79">
        <w:rPr>
          <w:rFonts w:ascii="Arial" w:hAnsi="Arial"/>
        </w:rPr>
        <w:t xml:space="preserve"> </w:t>
      </w:r>
    </w:p>
    <w:tbl>
      <w:tblPr>
        <w:tblStyle w:val="TableGrid"/>
        <w:tblW w:w="0" w:type="auto"/>
        <w:jc w:val="center"/>
        <w:tblLook w:val="04A0" w:firstRow="1" w:lastRow="0" w:firstColumn="1" w:lastColumn="0" w:noHBand="0" w:noVBand="1"/>
      </w:tblPr>
      <w:tblGrid>
        <w:gridCol w:w="750"/>
        <w:gridCol w:w="1418"/>
        <w:gridCol w:w="1737"/>
        <w:gridCol w:w="2257"/>
        <w:gridCol w:w="1777"/>
      </w:tblGrid>
      <w:tr w:rsidR="00752FA2" w:rsidRPr="00752FA2" w14:paraId="70827B81" w14:textId="77777777" w:rsidTr="00752FA2">
        <w:trPr>
          <w:jc w:val="center"/>
        </w:trPr>
        <w:tc>
          <w:tcPr>
            <w:tcW w:w="0" w:type="auto"/>
            <w:hideMark/>
          </w:tcPr>
          <w:p w14:paraId="0A825172" w14:textId="77777777" w:rsidR="00752FA2" w:rsidRPr="00752FA2" w:rsidRDefault="00752FA2" w:rsidP="00752FA2">
            <w:pPr>
              <w:spacing w:line="360" w:lineRule="auto"/>
              <w:ind w:left="720" w:hanging="720"/>
              <w:jc w:val="both"/>
              <w:rPr>
                <w:rFonts w:eastAsia="Times New Roman"/>
                <w:b/>
                <w:bCs/>
                <w:sz w:val="24"/>
                <w:szCs w:val="24"/>
                <w:lang w:val="en-US"/>
              </w:rPr>
            </w:pPr>
            <w:r w:rsidRPr="00752FA2">
              <w:rPr>
                <w:rFonts w:eastAsia="Times New Roman"/>
                <w:b/>
                <w:bCs/>
                <w:sz w:val="24"/>
                <w:szCs w:val="24"/>
                <w:lang w:val="en-US"/>
              </w:rPr>
              <w:t>Year</w:t>
            </w:r>
          </w:p>
        </w:tc>
        <w:tc>
          <w:tcPr>
            <w:tcW w:w="0" w:type="auto"/>
            <w:hideMark/>
          </w:tcPr>
          <w:p w14:paraId="447B33CB" w14:textId="77777777" w:rsidR="00752FA2" w:rsidRPr="00752FA2" w:rsidRDefault="00752FA2" w:rsidP="00752FA2">
            <w:pPr>
              <w:spacing w:line="360" w:lineRule="auto"/>
              <w:ind w:left="720" w:hanging="720"/>
              <w:jc w:val="both"/>
              <w:rPr>
                <w:rFonts w:eastAsia="Times New Roman"/>
                <w:b/>
                <w:bCs/>
                <w:sz w:val="24"/>
                <w:szCs w:val="24"/>
                <w:lang w:val="en-US"/>
              </w:rPr>
            </w:pPr>
            <w:r w:rsidRPr="00752FA2">
              <w:rPr>
                <w:rFonts w:eastAsia="Times New Roman"/>
                <w:b/>
                <w:bCs/>
                <w:sz w:val="24"/>
                <w:szCs w:val="24"/>
                <w:lang w:val="en-US"/>
              </w:rPr>
              <w:t>Revenue</w:t>
            </w:r>
          </w:p>
        </w:tc>
        <w:tc>
          <w:tcPr>
            <w:tcW w:w="0" w:type="auto"/>
            <w:hideMark/>
          </w:tcPr>
          <w:p w14:paraId="457EC11F" w14:textId="77777777" w:rsidR="00752FA2" w:rsidRPr="00752FA2" w:rsidRDefault="00752FA2" w:rsidP="00752FA2">
            <w:pPr>
              <w:spacing w:line="360" w:lineRule="auto"/>
              <w:ind w:left="720" w:hanging="720"/>
              <w:jc w:val="both"/>
              <w:rPr>
                <w:rFonts w:eastAsia="Times New Roman"/>
                <w:b/>
                <w:bCs/>
                <w:sz w:val="24"/>
                <w:szCs w:val="24"/>
                <w:lang w:val="en-US"/>
              </w:rPr>
            </w:pPr>
            <w:r w:rsidRPr="00752FA2">
              <w:rPr>
                <w:rFonts w:eastAsia="Times New Roman"/>
                <w:b/>
                <w:bCs/>
                <w:sz w:val="24"/>
                <w:szCs w:val="24"/>
                <w:lang w:val="en-US"/>
              </w:rPr>
              <w:t>Cost of Sales</w:t>
            </w:r>
          </w:p>
        </w:tc>
        <w:tc>
          <w:tcPr>
            <w:tcW w:w="0" w:type="auto"/>
            <w:hideMark/>
          </w:tcPr>
          <w:p w14:paraId="2AC39BF4" w14:textId="77777777" w:rsidR="00752FA2" w:rsidRPr="00752FA2" w:rsidRDefault="00752FA2" w:rsidP="00752FA2">
            <w:pPr>
              <w:spacing w:line="360" w:lineRule="auto"/>
              <w:ind w:left="720" w:hanging="720"/>
              <w:jc w:val="both"/>
              <w:rPr>
                <w:rFonts w:eastAsia="Times New Roman"/>
                <w:b/>
                <w:bCs/>
                <w:sz w:val="24"/>
                <w:szCs w:val="24"/>
                <w:lang w:val="en-US"/>
              </w:rPr>
            </w:pPr>
            <w:r w:rsidRPr="00752FA2">
              <w:rPr>
                <w:rFonts w:eastAsia="Times New Roman"/>
                <w:b/>
                <w:bCs/>
                <w:sz w:val="24"/>
                <w:szCs w:val="24"/>
                <w:lang w:val="en-US"/>
              </w:rPr>
              <w:t>Operating Income</w:t>
            </w:r>
          </w:p>
        </w:tc>
        <w:tc>
          <w:tcPr>
            <w:tcW w:w="0" w:type="auto"/>
            <w:hideMark/>
          </w:tcPr>
          <w:p w14:paraId="2D42A361" w14:textId="77777777" w:rsidR="00752FA2" w:rsidRPr="00752FA2" w:rsidRDefault="00752FA2" w:rsidP="00752FA2">
            <w:pPr>
              <w:spacing w:line="360" w:lineRule="auto"/>
              <w:ind w:left="720" w:hanging="720"/>
              <w:jc w:val="both"/>
              <w:rPr>
                <w:rFonts w:eastAsia="Times New Roman"/>
                <w:b/>
                <w:bCs/>
                <w:sz w:val="24"/>
                <w:szCs w:val="24"/>
                <w:lang w:val="en-US"/>
              </w:rPr>
            </w:pPr>
            <w:r w:rsidRPr="00752FA2">
              <w:rPr>
                <w:rFonts w:eastAsia="Times New Roman"/>
                <w:b/>
                <w:bCs/>
                <w:sz w:val="24"/>
                <w:szCs w:val="24"/>
                <w:lang w:val="en-US"/>
              </w:rPr>
              <w:t>Net Income</w:t>
            </w:r>
          </w:p>
        </w:tc>
      </w:tr>
      <w:tr w:rsidR="00752FA2" w:rsidRPr="00752FA2" w14:paraId="2657C3EC" w14:textId="77777777" w:rsidTr="00752FA2">
        <w:trPr>
          <w:jc w:val="center"/>
        </w:trPr>
        <w:tc>
          <w:tcPr>
            <w:tcW w:w="0" w:type="auto"/>
            <w:hideMark/>
          </w:tcPr>
          <w:p w14:paraId="58C8F7B4"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2024</w:t>
            </w:r>
          </w:p>
        </w:tc>
        <w:tc>
          <w:tcPr>
            <w:tcW w:w="0" w:type="auto"/>
            <w:hideMark/>
          </w:tcPr>
          <w:p w14:paraId="30D38756"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45,095,325</w:t>
            </w:r>
          </w:p>
        </w:tc>
        <w:tc>
          <w:tcPr>
            <w:tcW w:w="0" w:type="auto"/>
            <w:hideMark/>
          </w:tcPr>
          <w:p w14:paraId="3DFBCB01"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33,600,612</w:t>
            </w:r>
          </w:p>
        </w:tc>
        <w:tc>
          <w:tcPr>
            <w:tcW w:w="0" w:type="auto"/>
            <w:hideMark/>
          </w:tcPr>
          <w:p w14:paraId="7FA7BA41"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5,352,900</w:t>
            </w:r>
          </w:p>
        </w:tc>
        <w:tc>
          <w:tcPr>
            <w:tcW w:w="0" w:type="auto"/>
            <w:hideMark/>
          </w:tcPr>
          <w:p w14:paraId="60A14819"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5,071,421</w:t>
            </w:r>
          </w:p>
        </w:tc>
      </w:tr>
      <w:tr w:rsidR="00752FA2" w:rsidRPr="00752FA2" w14:paraId="3EB671C2" w14:textId="77777777" w:rsidTr="00752FA2">
        <w:trPr>
          <w:jc w:val="center"/>
        </w:trPr>
        <w:tc>
          <w:tcPr>
            <w:tcW w:w="0" w:type="auto"/>
            <w:hideMark/>
          </w:tcPr>
          <w:p w14:paraId="1003EA3D"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2023</w:t>
            </w:r>
          </w:p>
        </w:tc>
        <w:tc>
          <w:tcPr>
            <w:tcW w:w="0" w:type="auto"/>
            <w:hideMark/>
          </w:tcPr>
          <w:p w14:paraId="013DCDCD"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37,154,298</w:t>
            </w:r>
          </w:p>
        </w:tc>
        <w:tc>
          <w:tcPr>
            <w:tcW w:w="0" w:type="auto"/>
            <w:hideMark/>
          </w:tcPr>
          <w:p w14:paraId="3B0CE852"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29,128,561</w:t>
            </w:r>
          </w:p>
        </w:tc>
        <w:tc>
          <w:tcPr>
            <w:tcW w:w="0" w:type="auto"/>
            <w:hideMark/>
          </w:tcPr>
          <w:p w14:paraId="79396A21"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3,470,000</w:t>
            </w:r>
          </w:p>
        </w:tc>
        <w:tc>
          <w:tcPr>
            <w:tcW w:w="0" w:type="auto"/>
            <w:hideMark/>
          </w:tcPr>
          <w:p w14:paraId="2AA95F36"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2,492,967</w:t>
            </w:r>
          </w:p>
        </w:tc>
      </w:tr>
      <w:tr w:rsidR="00752FA2" w:rsidRPr="00752FA2" w14:paraId="69B42C34" w14:textId="77777777" w:rsidTr="00752FA2">
        <w:trPr>
          <w:jc w:val="center"/>
        </w:trPr>
        <w:tc>
          <w:tcPr>
            <w:tcW w:w="0" w:type="auto"/>
            <w:hideMark/>
          </w:tcPr>
          <w:p w14:paraId="783702D4"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2022</w:t>
            </w:r>
          </w:p>
        </w:tc>
        <w:tc>
          <w:tcPr>
            <w:tcW w:w="0" w:type="auto"/>
            <w:hideMark/>
          </w:tcPr>
          <w:p w14:paraId="717479AC"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31,379,507</w:t>
            </w:r>
          </w:p>
        </w:tc>
        <w:tc>
          <w:tcPr>
            <w:tcW w:w="0" w:type="auto"/>
            <w:hideMark/>
          </w:tcPr>
          <w:p w14:paraId="1C6CA2AA"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24,250,784</w:t>
            </w:r>
          </w:p>
        </w:tc>
        <w:tc>
          <w:tcPr>
            <w:tcW w:w="0" w:type="auto"/>
            <w:hideMark/>
          </w:tcPr>
          <w:p w14:paraId="0EA90BE2"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3,000,000</w:t>
            </w:r>
          </w:p>
        </w:tc>
        <w:tc>
          <w:tcPr>
            <w:tcW w:w="0" w:type="auto"/>
            <w:hideMark/>
          </w:tcPr>
          <w:p w14:paraId="06399274"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2,874,614</w:t>
            </w:r>
          </w:p>
        </w:tc>
      </w:tr>
      <w:tr w:rsidR="00752FA2" w:rsidRPr="00752FA2" w14:paraId="72CE989F" w14:textId="77777777" w:rsidTr="00752FA2">
        <w:trPr>
          <w:jc w:val="center"/>
        </w:trPr>
        <w:tc>
          <w:tcPr>
            <w:tcW w:w="0" w:type="auto"/>
            <w:hideMark/>
          </w:tcPr>
          <w:p w14:paraId="4010AC58"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2021</w:t>
            </w:r>
          </w:p>
        </w:tc>
        <w:tc>
          <w:tcPr>
            <w:tcW w:w="0" w:type="auto"/>
            <w:hideMark/>
          </w:tcPr>
          <w:p w14:paraId="5AB0838F"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27,214,594</w:t>
            </w:r>
          </w:p>
        </w:tc>
        <w:tc>
          <w:tcPr>
            <w:tcW w:w="0" w:type="auto"/>
            <w:hideMark/>
          </w:tcPr>
          <w:p w14:paraId="40B3EBC0"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21,199,890</w:t>
            </w:r>
          </w:p>
        </w:tc>
        <w:tc>
          <w:tcPr>
            <w:tcW w:w="0" w:type="auto"/>
            <w:hideMark/>
          </w:tcPr>
          <w:p w14:paraId="516806AE"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2,990,000</w:t>
            </w:r>
          </w:p>
        </w:tc>
        <w:tc>
          <w:tcPr>
            <w:tcW w:w="0" w:type="auto"/>
            <w:hideMark/>
          </w:tcPr>
          <w:p w14:paraId="1ED52A90"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2,282,378</w:t>
            </w:r>
          </w:p>
        </w:tc>
      </w:tr>
      <w:tr w:rsidR="00752FA2" w:rsidRPr="00752FA2" w14:paraId="6383F5A5" w14:textId="77777777" w:rsidTr="00752FA2">
        <w:trPr>
          <w:jc w:val="center"/>
        </w:trPr>
        <w:tc>
          <w:tcPr>
            <w:tcW w:w="0" w:type="auto"/>
            <w:hideMark/>
          </w:tcPr>
          <w:p w14:paraId="7AC20272"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2020</w:t>
            </w:r>
          </w:p>
        </w:tc>
        <w:tc>
          <w:tcPr>
            <w:tcW w:w="0" w:type="auto"/>
            <w:hideMark/>
          </w:tcPr>
          <w:p w14:paraId="7FE4C4D3"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29,866,547</w:t>
            </w:r>
          </w:p>
        </w:tc>
        <w:tc>
          <w:tcPr>
            <w:tcW w:w="0" w:type="auto"/>
            <w:hideMark/>
          </w:tcPr>
          <w:p w14:paraId="065FC4C6"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23,142,744</w:t>
            </w:r>
          </w:p>
        </w:tc>
        <w:tc>
          <w:tcPr>
            <w:tcW w:w="0" w:type="auto"/>
            <w:hideMark/>
          </w:tcPr>
          <w:p w14:paraId="230C859F"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2,700,000</w:t>
            </w:r>
          </w:p>
        </w:tc>
        <w:tc>
          <w:tcPr>
            <w:tcW w:w="0" w:type="auto"/>
            <w:hideMark/>
          </w:tcPr>
          <w:p w14:paraId="326EE640"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2,111,125</w:t>
            </w:r>
          </w:p>
        </w:tc>
      </w:tr>
    </w:tbl>
    <w:p w14:paraId="056292AB" w14:textId="5707A784" w:rsidR="00752FA2" w:rsidRDefault="00752FA2" w:rsidP="00752FA2">
      <w:pPr>
        <w:spacing w:line="360" w:lineRule="auto"/>
        <w:ind w:left="720" w:hanging="720"/>
        <w:jc w:val="center"/>
        <w:rPr>
          <w:rFonts w:eastAsia="Times New Roman"/>
          <w:b/>
          <w:bCs/>
          <w:sz w:val="24"/>
          <w:szCs w:val="24"/>
        </w:rPr>
      </w:pPr>
      <w:r>
        <w:rPr>
          <w:rFonts w:eastAsia="Times New Roman"/>
          <w:b/>
          <w:bCs/>
          <w:sz w:val="24"/>
          <w:szCs w:val="24"/>
        </w:rPr>
        <w:t xml:space="preserve">Table 1: </w:t>
      </w:r>
      <w:r w:rsidRPr="00752FA2">
        <w:rPr>
          <w:rFonts w:eastAsia="Times New Roman"/>
          <w:b/>
          <w:bCs/>
          <w:sz w:val="24"/>
          <w:szCs w:val="24"/>
        </w:rPr>
        <w:t>Consolidated Income Statement (¥ million)</w:t>
      </w:r>
    </w:p>
    <w:p w14:paraId="654C75FB" w14:textId="77777777" w:rsidR="00752FA2" w:rsidRPr="00752FA2" w:rsidRDefault="00752FA2" w:rsidP="00752FA2">
      <w:pPr>
        <w:spacing w:line="360" w:lineRule="auto"/>
        <w:ind w:left="720" w:hanging="720"/>
        <w:jc w:val="center"/>
        <w:rPr>
          <w:rFonts w:eastAsia="Times New Roman"/>
          <w:b/>
          <w:bCs/>
          <w:sz w:val="24"/>
          <w:szCs w:val="24"/>
        </w:rPr>
      </w:pPr>
    </w:p>
    <w:tbl>
      <w:tblPr>
        <w:tblStyle w:val="TableGrid"/>
        <w:tblW w:w="0" w:type="auto"/>
        <w:jc w:val="center"/>
        <w:tblLook w:val="04A0" w:firstRow="1" w:lastRow="0" w:firstColumn="1" w:lastColumn="0" w:noHBand="0" w:noVBand="1"/>
      </w:tblPr>
      <w:tblGrid>
        <w:gridCol w:w="750"/>
        <w:gridCol w:w="1724"/>
        <w:gridCol w:w="2043"/>
        <w:gridCol w:w="2617"/>
      </w:tblGrid>
      <w:tr w:rsidR="00752FA2" w:rsidRPr="00752FA2" w14:paraId="135ED7F2" w14:textId="77777777" w:rsidTr="00752FA2">
        <w:trPr>
          <w:jc w:val="center"/>
        </w:trPr>
        <w:tc>
          <w:tcPr>
            <w:tcW w:w="0" w:type="auto"/>
            <w:hideMark/>
          </w:tcPr>
          <w:p w14:paraId="0BA8A1D1" w14:textId="77777777" w:rsidR="00752FA2" w:rsidRPr="00752FA2" w:rsidRDefault="00752FA2" w:rsidP="00752FA2">
            <w:pPr>
              <w:spacing w:line="360" w:lineRule="auto"/>
              <w:ind w:left="720" w:hanging="720"/>
              <w:jc w:val="both"/>
              <w:rPr>
                <w:rFonts w:eastAsia="Times New Roman"/>
                <w:b/>
                <w:bCs/>
                <w:sz w:val="24"/>
                <w:szCs w:val="24"/>
                <w:lang w:val="en-US"/>
              </w:rPr>
            </w:pPr>
            <w:r w:rsidRPr="00752FA2">
              <w:rPr>
                <w:rFonts w:eastAsia="Times New Roman"/>
                <w:b/>
                <w:bCs/>
                <w:sz w:val="24"/>
                <w:szCs w:val="24"/>
                <w:lang w:val="en-US"/>
              </w:rPr>
              <w:t>Year</w:t>
            </w:r>
          </w:p>
        </w:tc>
        <w:tc>
          <w:tcPr>
            <w:tcW w:w="0" w:type="auto"/>
            <w:hideMark/>
          </w:tcPr>
          <w:p w14:paraId="5F548B64" w14:textId="77777777" w:rsidR="00752FA2" w:rsidRPr="00752FA2" w:rsidRDefault="00752FA2" w:rsidP="00752FA2">
            <w:pPr>
              <w:spacing w:line="360" w:lineRule="auto"/>
              <w:ind w:left="720" w:hanging="720"/>
              <w:jc w:val="both"/>
              <w:rPr>
                <w:rFonts w:eastAsia="Times New Roman"/>
                <w:b/>
                <w:bCs/>
                <w:sz w:val="24"/>
                <w:szCs w:val="24"/>
                <w:lang w:val="en-US"/>
              </w:rPr>
            </w:pPr>
            <w:r w:rsidRPr="00752FA2">
              <w:rPr>
                <w:rFonts w:eastAsia="Times New Roman"/>
                <w:b/>
                <w:bCs/>
                <w:sz w:val="24"/>
                <w:szCs w:val="24"/>
                <w:lang w:val="en-US"/>
              </w:rPr>
              <w:t>Total Assets</w:t>
            </w:r>
          </w:p>
        </w:tc>
        <w:tc>
          <w:tcPr>
            <w:tcW w:w="0" w:type="auto"/>
            <w:hideMark/>
          </w:tcPr>
          <w:p w14:paraId="49746B92" w14:textId="77777777" w:rsidR="00752FA2" w:rsidRPr="00752FA2" w:rsidRDefault="00752FA2" w:rsidP="00752FA2">
            <w:pPr>
              <w:spacing w:line="360" w:lineRule="auto"/>
              <w:ind w:left="720" w:hanging="720"/>
              <w:jc w:val="both"/>
              <w:rPr>
                <w:rFonts w:eastAsia="Times New Roman"/>
                <w:b/>
                <w:bCs/>
                <w:sz w:val="24"/>
                <w:szCs w:val="24"/>
                <w:lang w:val="en-US"/>
              </w:rPr>
            </w:pPr>
            <w:r w:rsidRPr="00752FA2">
              <w:rPr>
                <w:rFonts w:eastAsia="Times New Roman"/>
                <w:b/>
                <w:bCs/>
                <w:sz w:val="24"/>
                <w:szCs w:val="24"/>
                <w:lang w:val="en-US"/>
              </w:rPr>
              <w:t>Total Liabilities</w:t>
            </w:r>
          </w:p>
        </w:tc>
        <w:tc>
          <w:tcPr>
            <w:tcW w:w="0" w:type="auto"/>
            <w:hideMark/>
          </w:tcPr>
          <w:p w14:paraId="124F9DA1" w14:textId="2259248F" w:rsidR="00752FA2" w:rsidRPr="00752FA2" w:rsidRDefault="00752FA2" w:rsidP="00752FA2">
            <w:pPr>
              <w:spacing w:line="360" w:lineRule="auto"/>
              <w:ind w:left="720" w:hanging="720"/>
              <w:jc w:val="both"/>
              <w:rPr>
                <w:rFonts w:eastAsia="Times New Roman"/>
                <w:b/>
                <w:bCs/>
                <w:sz w:val="24"/>
                <w:szCs w:val="24"/>
                <w:lang w:val="en-US"/>
              </w:rPr>
            </w:pPr>
            <w:r w:rsidRPr="00752FA2">
              <w:rPr>
                <w:rFonts w:eastAsia="Times New Roman"/>
                <w:b/>
                <w:bCs/>
                <w:sz w:val="24"/>
                <w:szCs w:val="24"/>
                <w:lang w:val="en-US"/>
              </w:rPr>
              <w:t>Shareholders’ Equity</w:t>
            </w:r>
          </w:p>
        </w:tc>
      </w:tr>
      <w:tr w:rsidR="00752FA2" w:rsidRPr="00752FA2" w14:paraId="6A9266F0" w14:textId="77777777" w:rsidTr="00752FA2">
        <w:trPr>
          <w:jc w:val="center"/>
        </w:trPr>
        <w:tc>
          <w:tcPr>
            <w:tcW w:w="0" w:type="auto"/>
            <w:hideMark/>
          </w:tcPr>
          <w:p w14:paraId="388F2A11"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2024</w:t>
            </w:r>
          </w:p>
        </w:tc>
        <w:tc>
          <w:tcPr>
            <w:tcW w:w="0" w:type="auto"/>
            <w:hideMark/>
          </w:tcPr>
          <w:p w14:paraId="674DAF22"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90,114,296</w:t>
            </w:r>
          </w:p>
        </w:tc>
        <w:tc>
          <w:tcPr>
            <w:tcW w:w="0" w:type="auto"/>
            <w:hideMark/>
          </w:tcPr>
          <w:p w14:paraId="2A4486D7"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54,874,958</w:t>
            </w:r>
          </w:p>
        </w:tc>
        <w:tc>
          <w:tcPr>
            <w:tcW w:w="0" w:type="auto"/>
            <w:hideMark/>
          </w:tcPr>
          <w:p w14:paraId="21F5B7A1"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35,239,338</w:t>
            </w:r>
          </w:p>
        </w:tc>
      </w:tr>
      <w:tr w:rsidR="00752FA2" w:rsidRPr="00752FA2" w14:paraId="5B8215BC" w14:textId="77777777" w:rsidTr="00752FA2">
        <w:trPr>
          <w:jc w:val="center"/>
        </w:trPr>
        <w:tc>
          <w:tcPr>
            <w:tcW w:w="0" w:type="auto"/>
            <w:hideMark/>
          </w:tcPr>
          <w:p w14:paraId="0D840205"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2023</w:t>
            </w:r>
          </w:p>
        </w:tc>
        <w:tc>
          <w:tcPr>
            <w:tcW w:w="0" w:type="auto"/>
            <w:hideMark/>
          </w:tcPr>
          <w:p w14:paraId="1C4E44D2"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74,303,180</w:t>
            </w:r>
          </w:p>
        </w:tc>
        <w:tc>
          <w:tcPr>
            <w:tcW w:w="0" w:type="auto"/>
            <w:hideMark/>
          </w:tcPr>
          <w:p w14:paraId="01B2FF50"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45,038,967</w:t>
            </w:r>
          </w:p>
        </w:tc>
        <w:tc>
          <w:tcPr>
            <w:tcW w:w="0" w:type="auto"/>
            <w:hideMark/>
          </w:tcPr>
          <w:p w14:paraId="4AF95D6E"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29,264,213</w:t>
            </w:r>
          </w:p>
        </w:tc>
      </w:tr>
      <w:tr w:rsidR="00752FA2" w:rsidRPr="00752FA2" w14:paraId="5A53AB77" w14:textId="77777777" w:rsidTr="00752FA2">
        <w:trPr>
          <w:jc w:val="center"/>
        </w:trPr>
        <w:tc>
          <w:tcPr>
            <w:tcW w:w="0" w:type="auto"/>
            <w:hideMark/>
          </w:tcPr>
          <w:p w14:paraId="2888B6CC"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2022</w:t>
            </w:r>
          </w:p>
        </w:tc>
        <w:tc>
          <w:tcPr>
            <w:tcW w:w="0" w:type="auto"/>
            <w:hideMark/>
          </w:tcPr>
          <w:p w14:paraId="1FD9805C"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67,688,771</w:t>
            </w:r>
          </w:p>
        </w:tc>
        <w:tc>
          <w:tcPr>
            <w:tcW w:w="0" w:type="auto"/>
            <w:hideMark/>
          </w:tcPr>
          <w:p w14:paraId="761E1180"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40,533,951</w:t>
            </w:r>
          </w:p>
        </w:tc>
        <w:tc>
          <w:tcPr>
            <w:tcW w:w="0" w:type="auto"/>
            <w:hideMark/>
          </w:tcPr>
          <w:p w14:paraId="7A9251A9"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27,154,820</w:t>
            </w:r>
          </w:p>
        </w:tc>
      </w:tr>
      <w:tr w:rsidR="00752FA2" w:rsidRPr="00752FA2" w14:paraId="054EC268" w14:textId="77777777" w:rsidTr="00752FA2">
        <w:trPr>
          <w:jc w:val="center"/>
        </w:trPr>
        <w:tc>
          <w:tcPr>
            <w:tcW w:w="0" w:type="auto"/>
            <w:hideMark/>
          </w:tcPr>
          <w:p w14:paraId="56E5E3CC"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2021</w:t>
            </w:r>
          </w:p>
        </w:tc>
        <w:tc>
          <w:tcPr>
            <w:tcW w:w="0" w:type="auto"/>
            <w:hideMark/>
          </w:tcPr>
          <w:p w14:paraId="4C60F4B5"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62,267,140</w:t>
            </w:r>
          </w:p>
        </w:tc>
        <w:tc>
          <w:tcPr>
            <w:tcW w:w="0" w:type="auto"/>
            <w:hideMark/>
          </w:tcPr>
          <w:p w14:paraId="3E98974D"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37,978,811</w:t>
            </w:r>
          </w:p>
        </w:tc>
        <w:tc>
          <w:tcPr>
            <w:tcW w:w="0" w:type="auto"/>
            <w:hideMark/>
          </w:tcPr>
          <w:p w14:paraId="7EF12CC0"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24,288,329</w:t>
            </w:r>
          </w:p>
        </w:tc>
      </w:tr>
      <w:tr w:rsidR="00752FA2" w:rsidRPr="00752FA2" w14:paraId="1E931CB5" w14:textId="77777777" w:rsidTr="00752FA2">
        <w:trPr>
          <w:jc w:val="center"/>
        </w:trPr>
        <w:tc>
          <w:tcPr>
            <w:tcW w:w="0" w:type="auto"/>
            <w:hideMark/>
          </w:tcPr>
          <w:p w14:paraId="3984BE9D"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2020</w:t>
            </w:r>
          </w:p>
        </w:tc>
        <w:tc>
          <w:tcPr>
            <w:tcW w:w="0" w:type="auto"/>
            <w:hideMark/>
          </w:tcPr>
          <w:p w14:paraId="349154AB"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53,972,363</w:t>
            </w:r>
          </w:p>
        </w:tc>
        <w:tc>
          <w:tcPr>
            <w:tcW w:w="0" w:type="auto"/>
            <w:hideMark/>
          </w:tcPr>
          <w:p w14:paraId="4669F079"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32,633,351</w:t>
            </w:r>
          </w:p>
        </w:tc>
        <w:tc>
          <w:tcPr>
            <w:tcW w:w="0" w:type="auto"/>
            <w:hideMark/>
          </w:tcPr>
          <w:p w14:paraId="693B2F51" w14:textId="77777777" w:rsidR="00752FA2" w:rsidRPr="00752FA2" w:rsidRDefault="00752FA2" w:rsidP="00752FA2">
            <w:pPr>
              <w:spacing w:line="360" w:lineRule="auto"/>
              <w:ind w:left="720" w:hanging="720"/>
              <w:jc w:val="both"/>
              <w:rPr>
                <w:rFonts w:eastAsia="Times New Roman"/>
                <w:sz w:val="24"/>
                <w:szCs w:val="24"/>
                <w:lang w:val="en-US"/>
              </w:rPr>
            </w:pPr>
            <w:r w:rsidRPr="00752FA2">
              <w:rPr>
                <w:rFonts w:eastAsia="Times New Roman"/>
                <w:sz w:val="24"/>
                <w:szCs w:val="24"/>
                <w:lang w:val="en-US"/>
              </w:rPr>
              <w:t>21,339,012</w:t>
            </w:r>
          </w:p>
        </w:tc>
      </w:tr>
    </w:tbl>
    <w:p w14:paraId="759339CE" w14:textId="6261A519" w:rsidR="0058626F" w:rsidRDefault="00752FA2" w:rsidP="00752FA2">
      <w:pPr>
        <w:spacing w:line="360" w:lineRule="auto"/>
        <w:jc w:val="center"/>
        <w:rPr>
          <w:rFonts w:eastAsia="Times New Roman"/>
          <w:b/>
          <w:bCs/>
          <w:sz w:val="24"/>
          <w:szCs w:val="24"/>
        </w:rPr>
      </w:pPr>
      <w:r w:rsidRPr="00752FA2">
        <w:rPr>
          <w:rFonts w:eastAsia="Times New Roman"/>
          <w:b/>
          <w:bCs/>
          <w:sz w:val="24"/>
          <w:szCs w:val="24"/>
        </w:rPr>
        <w:t>Table 2: Consolidated Balance Sheet (¥ million)</w:t>
      </w:r>
    </w:p>
    <w:p w14:paraId="43A62B20" w14:textId="77777777" w:rsidR="00752FA2" w:rsidRPr="00752FA2" w:rsidRDefault="00752FA2" w:rsidP="00752FA2">
      <w:pPr>
        <w:spacing w:line="360" w:lineRule="auto"/>
        <w:jc w:val="center"/>
        <w:rPr>
          <w:rFonts w:eastAsia="Times New Roman"/>
          <w:b/>
          <w:bCs/>
          <w:sz w:val="24"/>
          <w:szCs w:val="24"/>
        </w:rPr>
      </w:pPr>
    </w:p>
    <w:tbl>
      <w:tblPr>
        <w:tblStyle w:val="TableGrid"/>
        <w:tblW w:w="0" w:type="auto"/>
        <w:jc w:val="center"/>
        <w:tblLook w:val="04A0" w:firstRow="1" w:lastRow="0" w:firstColumn="1" w:lastColumn="0" w:noHBand="0" w:noVBand="1"/>
      </w:tblPr>
      <w:tblGrid>
        <w:gridCol w:w="750"/>
        <w:gridCol w:w="2617"/>
        <w:gridCol w:w="2537"/>
        <w:gridCol w:w="2617"/>
      </w:tblGrid>
      <w:tr w:rsidR="00752FA2" w:rsidRPr="00752FA2" w14:paraId="395F0721" w14:textId="77777777" w:rsidTr="00752FA2">
        <w:trPr>
          <w:jc w:val="center"/>
        </w:trPr>
        <w:tc>
          <w:tcPr>
            <w:tcW w:w="0" w:type="auto"/>
            <w:hideMark/>
          </w:tcPr>
          <w:p w14:paraId="2D704371" w14:textId="77777777" w:rsidR="00752FA2" w:rsidRPr="00752FA2" w:rsidRDefault="00752FA2" w:rsidP="00752FA2">
            <w:pPr>
              <w:spacing w:line="360" w:lineRule="auto"/>
              <w:ind w:left="720" w:hanging="720"/>
              <w:rPr>
                <w:rFonts w:eastAsia="Times New Roman"/>
                <w:b/>
                <w:bCs/>
                <w:sz w:val="24"/>
                <w:szCs w:val="24"/>
                <w:lang w:val="en-US"/>
              </w:rPr>
            </w:pPr>
            <w:r w:rsidRPr="00752FA2">
              <w:rPr>
                <w:rFonts w:eastAsia="Times New Roman"/>
                <w:b/>
                <w:bCs/>
                <w:sz w:val="24"/>
                <w:szCs w:val="24"/>
                <w:lang w:val="en-US"/>
              </w:rPr>
              <w:t>Year</w:t>
            </w:r>
          </w:p>
        </w:tc>
        <w:tc>
          <w:tcPr>
            <w:tcW w:w="0" w:type="auto"/>
            <w:hideMark/>
          </w:tcPr>
          <w:p w14:paraId="46D806CA" w14:textId="77777777" w:rsidR="00752FA2" w:rsidRPr="00752FA2" w:rsidRDefault="00752FA2" w:rsidP="00752FA2">
            <w:pPr>
              <w:spacing w:line="360" w:lineRule="auto"/>
              <w:ind w:left="720" w:hanging="720"/>
              <w:rPr>
                <w:rFonts w:eastAsia="Times New Roman"/>
                <w:b/>
                <w:bCs/>
                <w:sz w:val="24"/>
                <w:szCs w:val="24"/>
                <w:lang w:val="en-US"/>
              </w:rPr>
            </w:pPr>
            <w:r w:rsidRPr="00752FA2">
              <w:rPr>
                <w:rFonts w:eastAsia="Times New Roman"/>
                <w:b/>
                <w:bCs/>
                <w:sz w:val="24"/>
                <w:szCs w:val="24"/>
                <w:lang w:val="en-US"/>
              </w:rPr>
              <w:t>Operating Cash Flow</w:t>
            </w:r>
          </w:p>
        </w:tc>
        <w:tc>
          <w:tcPr>
            <w:tcW w:w="0" w:type="auto"/>
            <w:hideMark/>
          </w:tcPr>
          <w:p w14:paraId="68894AD2" w14:textId="77777777" w:rsidR="00752FA2" w:rsidRPr="00752FA2" w:rsidRDefault="00752FA2" w:rsidP="00752FA2">
            <w:pPr>
              <w:spacing w:line="360" w:lineRule="auto"/>
              <w:ind w:left="720" w:hanging="720"/>
              <w:rPr>
                <w:rFonts w:eastAsia="Times New Roman"/>
                <w:b/>
                <w:bCs/>
                <w:sz w:val="24"/>
                <w:szCs w:val="24"/>
                <w:lang w:val="en-US"/>
              </w:rPr>
            </w:pPr>
            <w:r w:rsidRPr="00752FA2">
              <w:rPr>
                <w:rFonts w:eastAsia="Times New Roman"/>
                <w:b/>
                <w:bCs/>
                <w:sz w:val="24"/>
                <w:szCs w:val="24"/>
                <w:lang w:val="en-US"/>
              </w:rPr>
              <w:t>Investing Cash Flow</w:t>
            </w:r>
          </w:p>
        </w:tc>
        <w:tc>
          <w:tcPr>
            <w:tcW w:w="0" w:type="auto"/>
            <w:hideMark/>
          </w:tcPr>
          <w:p w14:paraId="76085984" w14:textId="77777777" w:rsidR="00752FA2" w:rsidRPr="00752FA2" w:rsidRDefault="00752FA2" w:rsidP="00752FA2">
            <w:pPr>
              <w:spacing w:line="360" w:lineRule="auto"/>
              <w:ind w:left="720" w:hanging="720"/>
              <w:rPr>
                <w:rFonts w:eastAsia="Times New Roman"/>
                <w:b/>
                <w:bCs/>
                <w:sz w:val="24"/>
                <w:szCs w:val="24"/>
                <w:lang w:val="en-US"/>
              </w:rPr>
            </w:pPr>
            <w:r w:rsidRPr="00752FA2">
              <w:rPr>
                <w:rFonts w:eastAsia="Times New Roman"/>
                <w:b/>
                <w:bCs/>
                <w:sz w:val="24"/>
                <w:szCs w:val="24"/>
                <w:lang w:val="en-US"/>
              </w:rPr>
              <w:t>Financing Cash Flow</w:t>
            </w:r>
          </w:p>
        </w:tc>
      </w:tr>
      <w:tr w:rsidR="00752FA2" w:rsidRPr="00752FA2" w14:paraId="2E3633C9" w14:textId="77777777" w:rsidTr="00752FA2">
        <w:trPr>
          <w:jc w:val="center"/>
        </w:trPr>
        <w:tc>
          <w:tcPr>
            <w:tcW w:w="0" w:type="auto"/>
            <w:hideMark/>
          </w:tcPr>
          <w:p w14:paraId="0DA13F4E"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2024</w:t>
            </w:r>
          </w:p>
        </w:tc>
        <w:tc>
          <w:tcPr>
            <w:tcW w:w="0" w:type="auto"/>
            <w:hideMark/>
          </w:tcPr>
          <w:p w14:paraId="7E063D4B"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4,206,373</w:t>
            </w:r>
          </w:p>
        </w:tc>
        <w:tc>
          <w:tcPr>
            <w:tcW w:w="0" w:type="auto"/>
            <w:hideMark/>
          </w:tcPr>
          <w:p w14:paraId="506A5BA8"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-3,400,000</w:t>
            </w:r>
          </w:p>
        </w:tc>
        <w:tc>
          <w:tcPr>
            <w:tcW w:w="0" w:type="auto"/>
            <w:hideMark/>
          </w:tcPr>
          <w:p w14:paraId="1B4B2E26"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-900,000</w:t>
            </w:r>
          </w:p>
        </w:tc>
      </w:tr>
      <w:tr w:rsidR="00752FA2" w:rsidRPr="00752FA2" w14:paraId="2F0B8D12" w14:textId="77777777" w:rsidTr="00752FA2">
        <w:trPr>
          <w:jc w:val="center"/>
        </w:trPr>
        <w:tc>
          <w:tcPr>
            <w:tcW w:w="0" w:type="auto"/>
            <w:hideMark/>
          </w:tcPr>
          <w:p w14:paraId="706D6089"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2023</w:t>
            </w:r>
          </w:p>
        </w:tc>
        <w:tc>
          <w:tcPr>
            <w:tcW w:w="0" w:type="auto"/>
            <w:hideMark/>
          </w:tcPr>
          <w:p w14:paraId="2F1D62A7"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2,955,076</w:t>
            </w:r>
          </w:p>
        </w:tc>
        <w:tc>
          <w:tcPr>
            <w:tcW w:w="0" w:type="auto"/>
            <w:hideMark/>
          </w:tcPr>
          <w:p w14:paraId="155E7650"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-2,900,000</w:t>
            </w:r>
          </w:p>
        </w:tc>
        <w:tc>
          <w:tcPr>
            <w:tcW w:w="0" w:type="auto"/>
            <w:hideMark/>
          </w:tcPr>
          <w:p w14:paraId="63EDA624"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-700,000</w:t>
            </w:r>
          </w:p>
        </w:tc>
      </w:tr>
      <w:tr w:rsidR="00752FA2" w:rsidRPr="00752FA2" w14:paraId="6A108473" w14:textId="77777777" w:rsidTr="00752FA2">
        <w:trPr>
          <w:jc w:val="center"/>
        </w:trPr>
        <w:tc>
          <w:tcPr>
            <w:tcW w:w="0" w:type="auto"/>
            <w:hideMark/>
          </w:tcPr>
          <w:p w14:paraId="692FA4C8"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2022</w:t>
            </w:r>
          </w:p>
        </w:tc>
        <w:tc>
          <w:tcPr>
            <w:tcW w:w="0" w:type="auto"/>
            <w:hideMark/>
          </w:tcPr>
          <w:p w14:paraId="63D1842A"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3,722,615</w:t>
            </w:r>
          </w:p>
        </w:tc>
        <w:tc>
          <w:tcPr>
            <w:tcW w:w="0" w:type="auto"/>
            <w:hideMark/>
          </w:tcPr>
          <w:p w14:paraId="77C83498"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-3,200,000</w:t>
            </w:r>
          </w:p>
        </w:tc>
        <w:tc>
          <w:tcPr>
            <w:tcW w:w="0" w:type="auto"/>
            <w:hideMark/>
          </w:tcPr>
          <w:p w14:paraId="5696964A"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-800,000</w:t>
            </w:r>
          </w:p>
        </w:tc>
      </w:tr>
      <w:tr w:rsidR="00752FA2" w:rsidRPr="00752FA2" w14:paraId="5E781D24" w14:textId="77777777" w:rsidTr="00752FA2">
        <w:trPr>
          <w:jc w:val="center"/>
        </w:trPr>
        <w:tc>
          <w:tcPr>
            <w:tcW w:w="0" w:type="auto"/>
            <w:hideMark/>
          </w:tcPr>
          <w:p w14:paraId="16B61B61"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2021</w:t>
            </w:r>
          </w:p>
        </w:tc>
        <w:tc>
          <w:tcPr>
            <w:tcW w:w="0" w:type="auto"/>
            <w:hideMark/>
          </w:tcPr>
          <w:p w14:paraId="6345056B"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2,727,162</w:t>
            </w:r>
          </w:p>
        </w:tc>
        <w:tc>
          <w:tcPr>
            <w:tcW w:w="0" w:type="auto"/>
            <w:hideMark/>
          </w:tcPr>
          <w:p w14:paraId="69EDC803"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-2,400,000</w:t>
            </w:r>
          </w:p>
        </w:tc>
        <w:tc>
          <w:tcPr>
            <w:tcW w:w="0" w:type="auto"/>
            <w:hideMark/>
          </w:tcPr>
          <w:p w14:paraId="621F1BBD"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-600,000</w:t>
            </w:r>
          </w:p>
        </w:tc>
      </w:tr>
      <w:tr w:rsidR="00752FA2" w:rsidRPr="00752FA2" w14:paraId="5B7D237F" w14:textId="77777777" w:rsidTr="00752FA2">
        <w:trPr>
          <w:jc w:val="center"/>
        </w:trPr>
        <w:tc>
          <w:tcPr>
            <w:tcW w:w="0" w:type="auto"/>
            <w:hideMark/>
          </w:tcPr>
          <w:p w14:paraId="4102D51B"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2020</w:t>
            </w:r>
          </w:p>
        </w:tc>
        <w:tc>
          <w:tcPr>
            <w:tcW w:w="0" w:type="auto"/>
            <w:hideMark/>
          </w:tcPr>
          <w:p w14:paraId="24B63D49"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2,398,496</w:t>
            </w:r>
          </w:p>
        </w:tc>
        <w:tc>
          <w:tcPr>
            <w:tcW w:w="0" w:type="auto"/>
            <w:hideMark/>
          </w:tcPr>
          <w:p w14:paraId="7E59D024"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-2,200,000</w:t>
            </w:r>
          </w:p>
        </w:tc>
        <w:tc>
          <w:tcPr>
            <w:tcW w:w="0" w:type="auto"/>
            <w:hideMark/>
          </w:tcPr>
          <w:p w14:paraId="5692DEE0" w14:textId="77777777" w:rsidR="00752FA2" w:rsidRPr="00752FA2" w:rsidRDefault="00752FA2" w:rsidP="00752FA2">
            <w:pPr>
              <w:spacing w:line="360" w:lineRule="auto"/>
              <w:ind w:left="720" w:hanging="720"/>
              <w:rPr>
                <w:rFonts w:eastAsia="Times New Roman"/>
                <w:sz w:val="24"/>
                <w:szCs w:val="24"/>
                <w:lang w:val="en-US"/>
              </w:rPr>
            </w:pPr>
            <w:r w:rsidRPr="00752FA2">
              <w:rPr>
                <w:rFonts w:eastAsia="Times New Roman"/>
                <w:sz w:val="24"/>
                <w:szCs w:val="24"/>
                <w:lang w:val="en-US"/>
              </w:rPr>
              <w:t>-500,000</w:t>
            </w:r>
          </w:p>
        </w:tc>
      </w:tr>
    </w:tbl>
    <w:p w14:paraId="2CE31249" w14:textId="3F0AEC04" w:rsidR="00752FA2" w:rsidRPr="00752FA2" w:rsidRDefault="00752FA2" w:rsidP="00752FA2">
      <w:pPr>
        <w:spacing w:line="360" w:lineRule="auto"/>
        <w:jc w:val="center"/>
        <w:rPr>
          <w:rFonts w:eastAsia="Times New Roman"/>
          <w:b/>
          <w:bCs/>
          <w:sz w:val="24"/>
          <w:szCs w:val="24"/>
        </w:rPr>
      </w:pPr>
      <w:r w:rsidRPr="00752FA2">
        <w:rPr>
          <w:rFonts w:eastAsia="Times New Roman"/>
          <w:b/>
          <w:bCs/>
          <w:sz w:val="24"/>
          <w:szCs w:val="24"/>
        </w:rPr>
        <w:t>Table 3: Consolidated Cash Flow Statement (¥ million)</w:t>
      </w:r>
    </w:p>
    <w:sectPr w:rsidR="00752FA2" w:rsidRPr="00752FA2" w:rsidSect="00C02742">
      <w:footerReference w:type="default" r:id="rId4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2131A" w14:textId="77777777" w:rsidR="00ED4256" w:rsidRDefault="00ED4256" w:rsidP="0058626F">
      <w:pPr>
        <w:spacing w:line="240" w:lineRule="auto"/>
      </w:pPr>
      <w:r>
        <w:separator/>
      </w:r>
    </w:p>
  </w:endnote>
  <w:endnote w:type="continuationSeparator" w:id="0">
    <w:p w14:paraId="6F0074D9" w14:textId="77777777" w:rsidR="00ED4256" w:rsidRDefault="00ED4256" w:rsidP="005862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FE20CC6A-6BBF-5B40-A36F-3FD319F57486}"/>
    <w:embedBold r:id="rId2" w:fontKey="{A966C2C9-7A2F-4146-A3DD-B916620ABE14}"/>
    <w:embedItalic r:id="rId3" w:fontKey="{0FC6BD71-878D-144E-88A9-C071796B1F0E}"/>
    <w:embedBoldItalic r:id="rId4" w:fontKey="{1D823A9E-D9EF-FB4C-A948-1BB80F788185}"/>
  </w:font>
  <w:font w:name="Times New Roman">
    <w:panose1 w:val="02020603050405020304"/>
    <w:charset w:val="00"/>
    <w:family w:val="roman"/>
    <w:pitch w:val="variable"/>
    <w:sig w:usb0="E0002EFF" w:usb1="C000785B" w:usb2="00000009" w:usb3="00000000" w:csb0="000001FF" w:csb1="00000000"/>
    <w:embedRegular r:id="rId5" w:fontKey="{6CE25553-7EF0-6F44-AB20-313348A2C32E}"/>
    <w:embedBold r:id="rId6" w:fontKey="{E7B5673F-D219-C248-952A-E73358B6D0E9}"/>
    <w:embedItalic r:id="rId7" w:fontKey="{87891C40-ED7C-6B40-839F-2797D92B0089}"/>
    <w:embedBoldItalic r:id="rId8" w:fontKey="{1BD155D3-5380-4346-B7C9-D5C3FB730B30}"/>
  </w:font>
  <w:font w:name="Cambria">
    <w:panose1 w:val="02040503050406030204"/>
    <w:charset w:val="00"/>
    <w:family w:val="roman"/>
    <w:pitch w:val="variable"/>
    <w:sig w:usb0="E00006FF" w:usb1="420024FF" w:usb2="02000000" w:usb3="00000000" w:csb0="0000019F" w:csb1="00000000"/>
    <w:embedRegular r:id="rId9" w:fontKey="{E0EA32A9-FA3E-B845-A525-624BA802DE82}"/>
  </w:font>
  <w:font w:name="Vrinda">
    <w:panose1 w:val="020B0502040204020203"/>
    <w:charset w:val="00"/>
    <w:family w:val="swiss"/>
    <w:pitch w:val="variable"/>
    <w:sig w:usb0="00010003" w:usb1="00000000" w:usb2="00000000" w:usb3="00000000" w:csb0="00000001" w:csb1="00000000"/>
    <w:embedRegular r:id="rId10" w:fontKey="{74F7F074-E676-5148-8BEF-6AB68476987E}"/>
  </w:font>
  <w:font w:name="Calibri">
    <w:panose1 w:val="020F0502020204030204"/>
    <w:charset w:val="00"/>
    <w:family w:val="swiss"/>
    <w:pitch w:val="variable"/>
    <w:sig w:usb0="E4002EFF" w:usb1="C200247B" w:usb2="00000009" w:usb3="00000000" w:csb0="000001FF" w:csb1="00000000"/>
    <w:embedRegular r:id="rId11" w:fontKey="{90CC0737-9745-9F4B-9FBD-56D31F8830A3}"/>
  </w:font>
  <w:font w:name="Aptos">
    <w:panose1 w:val="020B0004020202020204"/>
    <w:charset w:val="00"/>
    <w:family w:val="swiss"/>
    <w:pitch w:val="variable"/>
    <w:sig w:usb0="20000287" w:usb1="00000003" w:usb2="00000000" w:usb3="00000000" w:csb0="0000019F" w:csb1="00000000"/>
    <w:embedRegular r:id="rId12" w:fontKey="{09F537CD-5B0C-4B4E-921C-4607C866EC56}"/>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1800232"/>
      <w:docPartObj>
        <w:docPartGallery w:val="Page Numbers (Bottom of Page)"/>
        <w:docPartUnique/>
      </w:docPartObj>
    </w:sdtPr>
    <w:sdtEndPr>
      <w:rPr>
        <w:noProof/>
        <w:sz w:val="20"/>
        <w:szCs w:val="20"/>
      </w:rPr>
    </w:sdtEndPr>
    <w:sdtContent>
      <w:p w14:paraId="45AC55E1" w14:textId="3E642C48" w:rsidR="0058626F" w:rsidRPr="00C02742" w:rsidRDefault="0058626F">
        <w:pPr>
          <w:pStyle w:val="Footer"/>
          <w:jc w:val="right"/>
          <w:rPr>
            <w:sz w:val="20"/>
            <w:szCs w:val="20"/>
          </w:rPr>
        </w:pPr>
        <w:r w:rsidRPr="00C02742">
          <w:rPr>
            <w:sz w:val="20"/>
            <w:szCs w:val="20"/>
          </w:rPr>
          <w:fldChar w:fldCharType="begin"/>
        </w:r>
        <w:r w:rsidRPr="00C02742">
          <w:rPr>
            <w:sz w:val="20"/>
            <w:szCs w:val="20"/>
          </w:rPr>
          <w:instrText xml:space="preserve"> PAGE   \* MERGEFORMAT </w:instrText>
        </w:r>
        <w:r w:rsidRPr="00C02742">
          <w:rPr>
            <w:sz w:val="20"/>
            <w:szCs w:val="20"/>
          </w:rPr>
          <w:fldChar w:fldCharType="separate"/>
        </w:r>
        <w:r w:rsidRPr="00C02742">
          <w:rPr>
            <w:noProof/>
            <w:sz w:val="20"/>
            <w:szCs w:val="20"/>
          </w:rPr>
          <w:t>2</w:t>
        </w:r>
        <w:r w:rsidRPr="00C02742">
          <w:rPr>
            <w:noProof/>
            <w:sz w:val="20"/>
            <w:szCs w:val="20"/>
          </w:rPr>
          <w:fldChar w:fldCharType="end"/>
        </w:r>
      </w:p>
    </w:sdtContent>
  </w:sdt>
  <w:p w14:paraId="5BAB662C" w14:textId="77777777" w:rsidR="0058626F" w:rsidRPr="00C02742" w:rsidRDefault="0058626F">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1B3B5" w14:textId="77777777" w:rsidR="00ED4256" w:rsidRDefault="00ED4256" w:rsidP="0058626F">
      <w:pPr>
        <w:spacing w:line="240" w:lineRule="auto"/>
      </w:pPr>
      <w:r>
        <w:separator/>
      </w:r>
    </w:p>
  </w:footnote>
  <w:footnote w:type="continuationSeparator" w:id="0">
    <w:p w14:paraId="144DB5EB" w14:textId="77777777" w:rsidR="00ED4256" w:rsidRDefault="00ED4256" w:rsidP="005862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05A0"/>
    <w:multiLevelType w:val="hybridMultilevel"/>
    <w:tmpl w:val="DA3A8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5A7CDD"/>
    <w:multiLevelType w:val="hybridMultilevel"/>
    <w:tmpl w:val="E528D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6202173">
    <w:abstractNumId w:val="0"/>
  </w:num>
  <w:num w:numId="2" w16cid:durableId="207494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4C4"/>
    <w:rsid w:val="000133A7"/>
    <w:rsid w:val="00035FA8"/>
    <w:rsid w:val="00062406"/>
    <w:rsid w:val="00086371"/>
    <w:rsid w:val="000F793E"/>
    <w:rsid w:val="00103B75"/>
    <w:rsid w:val="00131ED1"/>
    <w:rsid w:val="00210A22"/>
    <w:rsid w:val="00265B37"/>
    <w:rsid w:val="002A17CD"/>
    <w:rsid w:val="002A288B"/>
    <w:rsid w:val="002F140A"/>
    <w:rsid w:val="00305868"/>
    <w:rsid w:val="00411AC2"/>
    <w:rsid w:val="004133BC"/>
    <w:rsid w:val="0058626F"/>
    <w:rsid w:val="005A78FC"/>
    <w:rsid w:val="005B4AE8"/>
    <w:rsid w:val="00612E1F"/>
    <w:rsid w:val="006B0334"/>
    <w:rsid w:val="006D04CD"/>
    <w:rsid w:val="00723995"/>
    <w:rsid w:val="00740DAC"/>
    <w:rsid w:val="00752FA2"/>
    <w:rsid w:val="00795117"/>
    <w:rsid w:val="00807E74"/>
    <w:rsid w:val="008143F8"/>
    <w:rsid w:val="008460F6"/>
    <w:rsid w:val="0093555D"/>
    <w:rsid w:val="00973B41"/>
    <w:rsid w:val="009804C4"/>
    <w:rsid w:val="009B6D2B"/>
    <w:rsid w:val="009F5D39"/>
    <w:rsid w:val="00A51900"/>
    <w:rsid w:val="00A74F79"/>
    <w:rsid w:val="00B108ED"/>
    <w:rsid w:val="00B41D33"/>
    <w:rsid w:val="00BB255D"/>
    <w:rsid w:val="00BB6BE5"/>
    <w:rsid w:val="00C02742"/>
    <w:rsid w:val="00C27673"/>
    <w:rsid w:val="00CD39CD"/>
    <w:rsid w:val="00D0064A"/>
    <w:rsid w:val="00D40A77"/>
    <w:rsid w:val="00D51542"/>
    <w:rsid w:val="00D651E2"/>
    <w:rsid w:val="00EA20ED"/>
    <w:rsid w:val="00EC61B4"/>
    <w:rsid w:val="00ED4256"/>
    <w:rsid w:val="00F41C2A"/>
    <w:rsid w:val="00F5277A"/>
    <w:rsid w:val="00F55BBB"/>
    <w:rsid w:val="00FC0AEC"/>
    <w:rsid w:val="00FE41C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93ABC"/>
  <w15:docId w15:val="{DDA26785-447C-4B27-9E8A-66629F469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58626F"/>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4133BC"/>
    <w:pPr>
      <w:keepNext/>
      <w:keepLines/>
      <w:spacing w:before="360" w:after="120"/>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8626F"/>
    <w:pPr>
      <w:tabs>
        <w:tab w:val="center" w:pos="4680"/>
        <w:tab w:val="right" w:pos="9360"/>
      </w:tabs>
      <w:spacing w:line="240" w:lineRule="auto"/>
    </w:pPr>
  </w:style>
  <w:style w:type="character" w:customStyle="1" w:styleId="HeaderChar">
    <w:name w:val="Header Char"/>
    <w:basedOn w:val="DefaultParagraphFont"/>
    <w:link w:val="Header"/>
    <w:uiPriority w:val="99"/>
    <w:rsid w:val="0058626F"/>
  </w:style>
  <w:style w:type="paragraph" w:styleId="Footer">
    <w:name w:val="footer"/>
    <w:basedOn w:val="Normal"/>
    <w:link w:val="FooterChar"/>
    <w:uiPriority w:val="99"/>
    <w:unhideWhenUsed/>
    <w:rsid w:val="0058626F"/>
    <w:pPr>
      <w:tabs>
        <w:tab w:val="center" w:pos="4680"/>
        <w:tab w:val="right" w:pos="9360"/>
      </w:tabs>
      <w:spacing w:line="240" w:lineRule="auto"/>
    </w:pPr>
  </w:style>
  <w:style w:type="character" w:customStyle="1" w:styleId="FooterChar">
    <w:name w:val="Footer Char"/>
    <w:basedOn w:val="DefaultParagraphFont"/>
    <w:link w:val="Footer"/>
    <w:uiPriority w:val="99"/>
    <w:rsid w:val="0058626F"/>
  </w:style>
  <w:style w:type="paragraph" w:styleId="ListParagraph">
    <w:name w:val="List Paragraph"/>
    <w:basedOn w:val="Normal"/>
    <w:uiPriority w:val="34"/>
    <w:qFormat/>
    <w:rsid w:val="0058626F"/>
    <w:pPr>
      <w:spacing w:after="160" w:line="259" w:lineRule="auto"/>
      <w:ind w:left="720"/>
      <w:contextualSpacing/>
    </w:pPr>
    <w:rPr>
      <w:rFonts w:asciiTheme="minorHAnsi" w:eastAsiaTheme="minorHAnsi" w:hAnsiTheme="minorHAnsi" w:cstheme="minorBidi"/>
      <w:kern w:val="2"/>
      <w14:ligatures w14:val="standardContextual"/>
    </w:rPr>
  </w:style>
  <w:style w:type="paragraph" w:styleId="TOCHeading">
    <w:name w:val="TOC Heading"/>
    <w:basedOn w:val="Heading1"/>
    <w:next w:val="Normal"/>
    <w:uiPriority w:val="39"/>
    <w:unhideWhenUsed/>
    <w:qFormat/>
    <w:rsid w:val="009F5D3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F5D39"/>
    <w:pPr>
      <w:spacing w:after="100"/>
    </w:pPr>
  </w:style>
  <w:style w:type="character" w:styleId="Hyperlink">
    <w:name w:val="Hyperlink"/>
    <w:basedOn w:val="DefaultParagraphFont"/>
    <w:uiPriority w:val="99"/>
    <w:unhideWhenUsed/>
    <w:rsid w:val="009F5D39"/>
    <w:rPr>
      <w:color w:val="0000FF" w:themeColor="hyperlink"/>
      <w:u w:val="single"/>
    </w:rPr>
  </w:style>
  <w:style w:type="character" w:styleId="UnresolvedMention">
    <w:name w:val="Unresolved Mention"/>
    <w:basedOn w:val="DefaultParagraphFont"/>
    <w:uiPriority w:val="99"/>
    <w:semiHidden/>
    <w:unhideWhenUsed/>
    <w:rsid w:val="00807E74"/>
    <w:rPr>
      <w:color w:val="605E5C"/>
      <w:shd w:val="clear" w:color="auto" w:fill="E1DFDD"/>
    </w:rPr>
  </w:style>
  <w:style w:type="paragraph" w:styleId="TOC2">
    <w:name w:val="toc 2"/>
    <w:basedOn w:val="Normal"/>
    <w:next w:val="Normal"/>
    <w:autoRedefine/>
    <w:uiPriority w:val="39"/>
    <w:unhideWhenUsed/>
    <w:rsid w:val="00FC0AEC"/>
    <w:pPr>
      <w:spacing w:after="100"/>
      <w:ind w:left="220"/>
    </w:pPr>
  </w:style>
  <w:style w:type="table" w:styleId="TableGrid">
    <w:name w:val="Table Grid"/>
    <w:basedOn w:val="TableNormal"/>
    <w:uiPriority w:val="39"/>
    <w:rsid w:val="00F55BB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52FA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ec.gov/Archives/edgar/data/1094517/000119312522146839/d323794dex991.htm" TargetMode="External"/><Relationship Id="rId26" Type="http://schemas.openxmlformats.org/officeDocument/2006/relationships/chart" Target="charts/chart2.xml"/><Relationship Id="rId39" Type="http://schemas.openxmlformats.org/officeDocument/2006/relationships/image" Target="media/image17.png"/><Relationship Id="rId21" Type="http://schemas.openxmlformats.org/officeDocument/2006/relationships/hyperlink" Target="https://www.google.com/url?q=https://www.statista.com/statistics/262747/worldwide-automobile-production-since-2000/?srsltid%3DAfmBOoreEEiKFedWKQZyNQSXrRq0-hcYLU2mlinh9MwVJ5ul9KtJqdE1&amp;sa=D&amp;source=docs&amp;ust=1773291754610628&amp;usg=AOvVaw3K3075r06pGVjMIjMhOPBk" TargetMode="External"/><Relationship Id="rId34" Type="http://schemas.openxmlformats.org/officeDocument/2006/relationships/image" Target="media/image12.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nnualreports.com/Company/toyota-motor-corp" TargetMode="External"/><Relationship Id="rId20" Type="http://schemas.openxmlformats.org/officeDocument/2006/relationships/hyperlink" Target="https://www.sec.gov/Archives/edgar/data/1094517/000119312524167462/d807954d20f.htm" TargetMode="External"/><Relationship Id="rId29" Type="http://schemas.openxmlformats.org/officeDocument/2006/relationships/chart" Target="charts/chart5.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oyota-europe.com/about-us/toyota-in-the-world"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heguardian.com/business/2023/mar/03/toyota-accused-of-greenwashing-in-greenpeace-complaint-filed-to-accc" TargetMode="External"/><Relationship Id="rId28" Type="http://schemas.openxmlformats.org/officeDocument/2006/relationships/chart" Target="charts/chart4.xml"/><Relationship Id="rId36"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www.sec.gov/Archives/edgar/data/1094517/000119312523179181/d360541d20f.htm"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tatista.com/topics/1487/automotive-industry/?srsltid=AfmBOoowK11vuGR_SKIpIm19biUI_SB39TZJYEwy9e_6frcBnbG50PNc" TargetMode="External"/><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image" Target="media/image13.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sec.gov/Archives/edgar/data/1094517/000119312520139717/d792902dex991.htm" TargetMode="External"/><Relationship Id="rId25" Type="http://schemas.openxmlformats.org/officeDocument/2006/relationships/chart" Target="charts/chart1.xml"/><Relationship Id="rId33" Type="http://schemas.openxmlformats.org/officeDocument/2006/relationships/image" Target="media/image11.png"/><Relationship Id="rId38" Type="http://schemas.openxmlformats.org/officeDocument/2006/relationships/image" Target="media/image1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OneDrive\JAYANTI\2026\MARCH\12.03.26\FINAL%20FILES\KRISH\11146_Krish_LCMB70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OneDrive\JAYANTI\2026\MARCH\12.03.26\FINAL%20FILES\KRISH\11146_Krish_LCMB70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OneDrive\JAYANTI\2026\MARCH\12.03.26\FINAL%20FILES\KRISH\11146_Krish_LCMB70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OneDrive\JAYANTI\2026\MARCH\12.03.26\FINAL%20FILES\KRISH\11146_Krish_LCMB70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OneDrive\JAYANTI\2026\MARCH\12.03.26\FINAL%20FILES\KRISH\11146_Krish_LCMB70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OneDrive\JAYANTI\2026\MARCH\12.03.26\FINAL%20FILES\KRISH\11146_Krish_LCMB7002.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Net profit margin </a:t>
            </a:r>
          </a:p>
        </c:rich>
      </c:tx>
      <c:layout>
        <c:manualLayout>
          <c:xMode val="edge"/>
          <c:yMode val="edge"/>
          <c:x val="0.41782633420822402"/>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'Ratios '!$C$4</c:f>
              <c:strCache>
                <c:ptCount val="1"/>
                <c:pt idx="0">
                  <c:v>Net profit margin</c:v>
                </c:pt>
              </c:strCache>
            </c:strRef>
          </c:tx>
          <c:spPr>
            <a:ln w="28575" cap="rnd">
              <a:solidFill>
                <a:schemeClr val="accent1"/>
              </a:solidFill>
              <a:round/>
            </a:ln>
            <a:effectLst/>
          </c:spPr>
          <c:marker>
            <c:symbol val="none"/>
          </c:marker>
          <c:cat>
            <c:numRef>
              <c:f>'Ratios '!$D$5:$H$5</c:f>
              <c:numCache>
                <c:formatCode>General</c:formatCode>
                <c:ptCount val="5"/>
                <c:pt idx="0">
                  <c:v>2024</c:v>
                </c:pt>
                <c:pt idx="1">
                  <c:v>2023</c:v>
                </c:pt>
                <c:pt idx="2">
                  <c:v>2022</c:v>
                </c:pt>
                <c:pt idx="3">
                  <c:v>2021</c:v>
                </c:pt>
                <c:pt idx="4">
                  <c:v>2020</c:v>
                </c:pt>
              </c:numCache>
            </c:numRef>
          </c:cat>
          <c:val>
            <c:numRef>
              <c:f>'Ratios '!$D$4:$H$4</c:f>
              <c:numCache>
                <c:formatCode>General</c:formatCode>
                <c:ptCount val="5"/>
              </c:numCache>
            </c:numRef>
          </c:val>
          <c:smooth val="0"/>
          <c:extLst>
            <c:ext xmlns:c16="http://schemas.microsoft.com/office/drawing/2014/chart" uri="{C3380CC4-5D6E-409C-BE32-E72D297353CC}">
              <c16:uniqueId val="{00000000-6282-4051-9E2D-8F2C64F27179}"/>
            </c:ext>
          </c:extLst>
        </c:ser>
        <c:ser>
          <c:idx val="1"/>
          <c:order val="1"/>
          <c:tx>
            <c:strRef>
              <c:f>'Ratios '!$C$5</c:f>
              <c:strCache>
                <c:ptCount val="1"/>
              </c:strCache>
            </c:strRef>
          </c:tx>
          <c:spPr>
            <a:ln w="28575" cap="rnd">
              <a:solidFill>
                <a:schemeClr val="accent2"/>
              </a:solidFill>
              <a:round/>
            </a:ln>
            <a:effectLst/>
          </c:spPr>
          <c:marker>
            <c:symbol val="none"/>
          </c:marker>
          <c:cat>
            <c:numRef>
              <c:f>'Ratios '!$D$5:$H$5</c:f>
              <c:numCache>
                <c:formatCode>General</c:formatCode>
                <c:ptCount val="5"/>
                <c:pt idx="0">
                  <c:v>2024</c:v>
                </c:pt>
                <c:pt idx="1">
                  <c:v>2023</c:v>
                </c:pt>
                <c:pt idx="2">
                  <c:v>2022</c:v>
                </c:pt>
                <c:pt idx="3">
                  <c:v>2021</c:v>
                </c:pt>
                <c:pt idx="4">
                  <c:v>2020</c:v>
                </c:pt>
              </c:numCache>
            </c:numRef>
          </c:cat>
          <c:val>
            <c:numRef>
              <c:f>'Ratios '!$D$5:$H$5</c:f>
              <c:numCache>
                <c:formatCode>General</c:formatCode>
                <c:ptCount val="5"/>
                <c:pt idx="0">
                  <c:v>2024</c:v>
                </c:pt>
                <c:pt idx="1">
                  <c:v>2023</c:v>
                </c:pt>
                <c:pt idx="2">
                  <c:v>2022</c:v>
                </c:pt>
                <c:pt idx="3">
                  <c:v>2021</c:v>
                </c:pt>
                <c:pt idx="4">
                  <c:v>2020</c:v>
                </c:pt>
              </c:numCache>
            </c:numRef>
          </c:val>
          <c:smooth val="0"/>
          <c:extLst>
            <c:ext xmlns:c16="http://schemas.microsoft.com/office/drawing/2014/chart" uri="{C3380CC4-5D6E-409C-BE32-E72D297353CC}">
              <c16:uniqueId val="{00000001-6282-4051-9E2D-8F2C64F27179}"/>
            </c:ext>
          </c:extLst>
        </c:ser>
        <c:ser>
          <c:idx val="2"/>
          <c:order val="2"/>
          <c:tx>
            <c:strRef>
              <c:f>'Ratios '!$C$6</c:f>
              <c:strCache>
                <c:ptCount val="1"/>
                <c:pt idx="0">
                  <c:v>Net profit</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 '!$D$5:$H$5</c:f>
              <c:numCache>
                <c:formatCode>General</c:formatCode>
                <c:ptCount val="5"/>
                <c:pt idx="0">
                  <c:v>2024</c:v>
                </c:pt>
                <c:pt idx="1">
                  <c:v>2023</c:v>
                </c:pt>
                <c:pt idx="2">
                  <c:v>2022</c:v>
                </c:pt>
                <c:pt idx="3">
                  <c:v>2021</c:v>
                </c:pt>
                <c:pt idx="4">
                  <c:v>2020</c:v>
                </c:pt>
              </c:numCache>
            </c:numRef>
          </c:cat>
          <c:val>
            <c:numRef>
              <c:f>'Ratios '!$D$6:$H$6</c:f>
              <c:numCache>
                <c:formatCode>General</c:formatCode>
                <c:ptCount val="5"/>
                <c:pt idx="0">
                  <c:v>5071421</c:v>
                </c:pt>
                <c:pt idx="1">
                  <c:v>2492967</c:v>
                </c:pt>
                <c:pt idx="2">
                  <c:v>2874614</c:v>
                </c:pt>
                <c:pt idx="3">
                  <c:v>2282378</c:v>
                </c:pt>
                <c:pt idx="4">
                  <c:v>2111125</c:v>
                </c:pt>
              </c:numCache>
            </c:numRef>
          </c:val>
          <c:smooth val="0"/>
          <c:extLst>
            <c:ext xmlns:c16="http://schemas.microsoft.com/office/drawing/2014/chart" uri="{C3380CC4-5D6E-409C-BE32-E72D297353CC}">
              <c16:uniqueId val="{00000002-6282-4051-9E2D-8F2C64F27179}"/>
            </c:ext>
          </c:extLst>
        </c:ser>
        <c:ser>
          <c:idx val="3"/>
          <c:order val="3"/>
          <c:tx>
            <c:strRef>
              <c:f>'Ratios '!$C$7</c:f>
              <c:strCache>
                <c:ptCount val="1"/>
                <c:pt idx="0">
                  <c:v>Revenue </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anchor="ctr" anchorCtr="1"/>
              <a:lstStyle/>
              <a:p>
                <a:pPr algn="ct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 '!$D$5:$H$5</c:f>
              <c:numCache>
                <c:formatCode>General</c:formatCode>
                <c:ptCount val="5"/>
                <c:pt idx="0">
                  <c:v>2024</c:v>
                </c:pt>
                <c:pt idx="1">
                  <c:v>2023</c:v>
                </c:pt>
                <c:pt idx="2">
                  <c:v>2022</c:v>
                </c:pt>
                <c:pt idx="3">
                  <c:v>2021</c:v>
                </c:pt>
                <c:pt idx="4">
                  <c:v>2020</c:v>
                </c:pt>
              </c:numCache>
            </c:numRef>
          </c:cat>
          <c:val>
            <c:numRef>
              <c:f>'Ratios '!$D$7:$H$7</c:f>
              <c:numCache>
                <c:formatCode>General</c:formatCode>
                <c:ptCount val="5"/>
                <c:pt idx="0">
                  <c:v>45095325</c:v>
                </c:pt>
                <c:pt idx="1">
                  <c:v>37154298</c:v>
                </c:pt>
                <c:pt idx="2">
                  <c:v>31379507</c:v>
                </c:pt>
                <c:pt idx="3">
                  <c:v>27214594</c:v>
                </c:pt>
                <c:pt idx="4">
                  <c:v>29866547</c:v>
                </c:pt>
              </c:numCache>
            </c:numRef>
          </c:val>
          <c:smooth val="0"/>
          <c:extLst>
            <c:ext xmlns:c16="http://schemas.microsoft.com/office/drawing/2014/chart" uri="{C3380CC4-5D6E-409C-BE32-E72D297353CC}">
              <c16:uniqueId val="{00000003-6282-4051-9E2D-8F2C64F27179}"/>
            </c:ext>
          </c:extLst>
        </c:ser>
        <c:dLbls>
          <c:showLegendKey val="0"/>
          <c:showVal val="0"/>
          <c:showCatName val="0"/>
          <c:showSerName val="0"/>
          <c:showPercent val="0"/>
          <c:showBubbleSize val="0"/>
        </c:dLbls>
        <c:smooth val="0"/>
        <c:axId val="1929570255"/>
        <c:axId val="1929582735"/>
        <c:extLst>
          <c:ext xmlns:c15="http://schemas.microsoft.com/office/drawing/2012/chart" uri="{02D57815-91ED-43cb-92C2-25804820EDAC}">
            <c15:filteredLineSeries>
              <c15:ser>
                <c:idx val="4"/>
                <c:order val="4"/>
                <c:tx>
                  <c:strRef>
                    <c:extLst>
                      <c:ext uri="{02D57815-91ED-43cb-92C2-25804820EDAC}">
                        <c15:formulaRef>
                          <c15:sqref>'Ratios '!$C$8</c15:sqref>
                        </c15:formulaRef>
                      </c:ext>
                    </c:extLst>
                    <c:strCache>
                      <c:ptCount val="1"/>
                      <c:pt idx="0">
                        <c:v>Net profit/Revenue *100</c:v>
                      </c:pt>
                    </c:strCache>
                  </c:strRef>
                </c:tx>
                <c:spPr>
                  <a:ln w="28575" cap="rnd">
                    <a:solidFill>
                      <a:schemeClr val="accent5"/>
                    </a:solidFill>
                    <a:round/>
                  </a:ln>
                  <a:effectLst/>
                </c:spPr>
                <c:marker>
                  <c:symbol val="none"/>
                </c:marker>
                <c:cat>
                  <c:numRef>
                    <c:extLst>
                      <c:ext uri="{02D57815-91ED-43cb-92C2-25804820EDAC}">
                        <c15:formulaRef>
                          <c15:sqref>'Ratios '!$D$5:$H$5</c15:sqref>
                        </c15:formulaRef>
                      </c:ext>
                    </c:extLst>
                    <c:numCache>
                      <c:formatCode>General</c:formatCode>
                      <c:ptCount val="5"/>
                      <c:pt idx="0">
                        <c:v>2024</c:v>
                      </c:pt>
                      <c:pt idx="1">
                        <c:v>2023</c:v>
                      </c:pt>
                      <c:pt idx="2">
                        <c:v>2022</c:v>
                      </c:pt>
                      <c:pt idx="3">
                        <c:v>2021</c:v>
                      </c:pt>
                      <c:pt idx="4">
                        <c:v>2020</c:v>
                      </c:pt>
                    </c:numCache>
                  </c:numRef>
                </c:cat>
                <c:val>
                  <c:numRef>
                    <c:extLst>
                      <c:ext uri="{02D57815-91ED-43cb-92C2-25804820EDAC}">
                        <c15:formulaRef>
                          <c15:sqref>'Ratios '!$D$8:$H$8</c15:sqref>
                        </c15:formulaRef>
                      </c:ext>
                    </c:extLst>
                    <c:numCache>
                      <c:formatCode>0.00</c:formatCode>
                      <c:ptCount val="5"/>
                      <c:pt idx="0">
                        <c:v>11.246001664252336</c:v>
                      </c:pt>
                      <c:pt idx="1">
                        <c:v>6.7097674675484384</c:v>
                      </c:pt>
                      <c:pt idx="2">
                        <c:v>9.1608003911597464</c:v>
                      </c:pt>
                      <c:pt idx="3">
                        <c:v>8.3865958095865771</c:v>
                      </c:pt>
                      <c:pt idx="4">
                        <c:v>7.0685272053712804</c:v>
                      </c:pt>
                    </c:numCache>
                  </c:numRef>
                </c:val>
                <c:smooth val="0"/>
                <c:extLst>
                  <c:ext xmlns:c16="http://schemas.microsoft.com/office/drawing/2014/chart" uri="{C3380CC4-5D6E-409C-BE32-E72D297353CC}">
                    <c16:uniqueId val="{00000004-6282-4051-9E2D-8F2C64F27179}"/>
                  </c:ext>
                </c:extLst>
              </c15:ser>
            </c15:filteredLineSeries>
          </c:ext>
        </c:extLst>
      </c:lineChart>
      <c:catAx>
        <c:axId val="19295702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929582735"/>
        <c:crosses val="autoZero"/>
        <c:auto val="1"/>
        <c:lblAlgn val="ctr"/>
        <c:lblOffset val="100"/>
        <c:noMultiLvlLbl val="0"/>
      </c:catAx>
      <c:valAx>
        <c:axId val="19295827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9295702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Current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1"/>
          <c:order val="1"/>
          <c:tx>
            <c:strRef>
              <c:f>'Ratios '!$M$6</c:f>
              <c:strCache>
                <c:ptCount val="1"/>
                <c:pt idx="0">
                  <c:v>Current assets </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 '!$N$5:$R$5</c:f>
              <c:numCache>
                <c:formatCode>General</c:formatCode>
                <c:ptCount val="5"/>
                <c:pt idx="0">
                  <c:v>2024</c:v>
                </c:pt>
                <c:pt idx="1">
                  <c:v>2023</c:v>
                </c:pt>
                <c:pt idx="2">
                  <c:v>2022</c:v>
                </c:pt>
                <c:pt idx="3">
                  <c:v>2021</c:v>
                </c:pt>
                <c:pt idx="4">
                  <c:v>2020</c:v>
                </c:pt>
              </c:numCache>
            </c:numRef>
          </c:cat>
          <c:val>
            <c:numRef>
              <c:f>'Ratios '!$N$6:$R$6</c:f>
              <c:numCache>
                <c:formatCode>#,##0</c:formatCode>
                <c:ptCount val="5"/>
                <c:pt idx="0">
                  <c:v>34714279</c:v>
                </c:pt>
                <c:pt idx="1">
                  <c:v>26459781</c:v>
                </c:pt>
                <c:pt idx="2" formatCode="General">
                  <c:v>23722290</c:v>
                </c:pt>
                <c:pt idx="3">
                  <c:v>22776800</c:v>
                </c:pt>
                <c:pt idx="4">
                  <c:v>18642531</c:v>
                </c:pt>
              </c:numCache>
            </c:numRef>
          </c:val>
          <c:smooth val="0"/>
          <c:extLst>
            <c:ext xmlns:c16="http://schemas.microsoft.com/office/drawing/2014/chart" uri="{C3380CC4-5D6E-409C-BE32-E72D297353CC}">
              <c16:uniqueId val="{00000000-76CB-4213-AE57-3F409C19578E}"/>
            </c:ext>
          </c:extLst>
        </c:ser>
        <c:ser>
          <c:idx val="2"/>
          <c:order val="2"/>
          <c:tx>
            <c:strRef>
              <c:f>'Ratios '!$M$7</c:f>
              <c:strCache>
                <c:ptCount val="1"/>
                <c:pt idx="0">
                  <c:v>Current liabilities </c:v>
                </c:pt>
              </c:strCache>
            </c:strRef>
          </c:tx>
          <c:spPr>
            <a:ln w="28575" cap="rnd">
              <a:solidFill>
                <a:schemeClr val="accent3"/>
              </a:solidFill>
              <a:round/>
            </a:ln>
            <a:effectLst/>
          </c:spPr>
          <c:marker>
            <c:symbol val="none"/>
          </c:marker>
          <c:cat>
            <c:numRef>
              <c:f>'Ratios '!$N$5:$R$5</c:f>
              <c:numCache>
                <c:formatCode>General</c:formatCode>
                <c:ptCount val="5"/>
                <c:pt idx="0">
                  <c:v>2024</c:v>
                </c:pt>
                <c:pt idx="1">
                  <c:v>2023</c:v>
                </c:pt>
                <c:pt idx="2">
                  <c:v>2022</c:v>
                </c:pt>
                <c:pt idx="3">
                  <c:v>2021</c:v>
                </c:pt>
                <c:pt idx="4">
                  <c:v>2020</c:v>
                </c:pt>
              </c:numCache>
            </c:numRef>
          </c:cat>
          <c:val>
            <c:numRef>
              <c:f>'Ratios '!$N$7:$R$7</c:f>
              <c:numCache>
                <c:formatCode>#,##0</c:formatCode>
                <c:ptCount val="5"/>
                <c:pt idx="0">
                  <c:v>29177909</c:v>
                </c:pt>
                <c:pt idx="1">
                  <c:v>23959715</c:v>
                </c:pt>
                <c:pt idx="2" formatCode="General">
                  <c:v>21842161</c:v>
                </c:pt>
                <c:pt idx="3">
                  <c:v>21460466</c:v>
                </c:pt>
                <c:pt idx="4">
                  <c:v>17902377</c:v>
                </c:pt>
              </c:numCache>
            </c:numRef>
          </c:val>
          <c:smooth val="0"/>
          <c:extLst>
            <c:ext xmlns:c16="http://schemas.microsoft.com/office/drawing/2014/chart" uri="{C3380CC4-5D6E-409C-BE32-E72D297353CC}">
              <c16:uniqueId val="{00000001-76CB-4213-AE57-3F409C19578E}"/>
            </c:ext>
          </c:extLst>
        </c:ser>
        <c:dLbls>
          <c:showLegendKey val="0"/>
          <c:showVal val="0"/>
          <c:showCatName val="0"/>
          <c:showSerName val="0"/>
          <c:showPercent val="0"/>
          <c:showBubbleSize val="0"/>
        </c:dLbls>
        <c:smooth val="0"/>
        <c:axId val="1929604335"/>
        <c:axId val="1929611055"/>
        <c:extLst>
          <c:ext xmlns:c15="http://schemas.microsoft.com/office/drawing/2012/chart" uri="{02D57815-91ED-43cb-92C2-25804820EDAC}">
            <c15:filteredLineSeries>
              <c15:ser>
                <c:idx val="0"/>
                <c:order val="0"/>
                <c:tx>
                  <c:strRef>
                    <c:extLst>
                      <c:ext uri="{02D57815-91ED-43cb-92C2-25804820EDAC}">
                        <c15:formulaRef>
                          <c15:sqref>'Ratios '!$M$5</c15:sqref>
                        </c15:formulaRef>
                      </c:ext>
                    </c:extLst>
                    <c:strCache>
                      <c:ptCount val="1"/>
                      <c:pt idx="0">
                        <c:v>Current Ratio </c:v>
                      </c:pt>
                    </c:strCache>
                  </c:strRef>
                </c:tx>
                <c:spPr>
                  <a:ln w="28575" cap="rnd">
                    <a:solidFill>
                      <a:schemeClr val="accent1"/>
                    </a:solidFill>
                    <a:round/>
                  </a:ln>
                  <a:effectLst/>
                </c:spPr>
                <c:marker>
                  <c:symbol val="none"/>
                </c:marker>
                <c:cat>
                  <c:numRef>
                    <c:extLst>
                      <c:ext uri="{02D57815-91ED-43cb-92C2-25804820EDAC}">
                        <c15:formulaRef>
                          <c15:sqref>'Ratios '!$N$5:$R$5</c15:sqref>
                        </c15:formulaRef>
                      </c:ext>
                    </c:extLst>
                    <c:numCache>
                      <c:formatCode>General</c:formatCode>
                      <c:ptCount val="5"/>
                      <c:pt idx="0">
                        <c:v>2024</c:v>
                      </c:pt>
                      <c:pt idx="1">
                        <c:v>2023</c:v>
                      </c:pt>
                      <c:pt idx="2">
                        <c:v>2022</c:v>
                      </c:pt>
                      <c:pt idx="3">
                        <c:v>2021</c:v>
                      </c:pt>
                      <c:pt idx="4">
                        <c:v>2020</c:v>
                      </c:pt>
                    </c:numCache>
                  </c:numRef>
                </c:cat>
                <c:val>
                  <c:numRef>
                    <c:extLst>
                      <c:ext uri="{02D57815-91ED-43cb-92C2-25804820EDAC}">
                        <c15:formulaRef>
                          <c15:sqref>'Ratios '!$N$5:$R$5</c15:sqref>
                        </c15:formulaRef>
                      </c:ext>
                    </c:extLst>
                    <c:numCache>
                      <c:formatCode>General</c:formatCode>
                      <c:ptCount val="5"/>
                      <c:pt idx="0">
                        <c:v>2024</c:v>
                      </c:pt>
                      <c:pt idx="1">
                        <c:v>2023</c:v>
                      </c:pt>
                      <c:pt idx="2">
                        <c:v>2022</c:v>
                      </c:pt>
                      <c:pt idx="3">
                        <c:v>2021</c:v>
                      </c:pt>
                      <c:pt idx="4">
                        <c:v>2020</c:v>
                      </c:pt>
                    </c:numCache>
                  </c:numRef>
                </c:val>
                <c:smooth val="0"/>
                <c:extLst>
                  <c:ext xmlns:c16="http://schemas.microsoft.com/office/drawing/2014/chart" uri="{C3380CC4-5D6E-409C-BE32-E72D297353CC}">
                    <c16:uniqueId val="{00000002-76CB-4213-AE57-3F409C19578E}"/>
                  </c:ext>
                </c:extLst>
              </c15:ser>
            </c15:filteredLineSeries>
            <c15:filteredLineSeries>
              <c15:ser>
                <c:idx val="3"/>
                <c:order val="3"/>
                <c:tx>
                  <c:strRef>
                    <c:extLst xmlns:c15="http://schemas.microsoft.com/office/drawing/2012/chart">
                      <c:ext xmlns:c15="http://schemas.microsoft.com/office/drawing/2012/chart" uri="{02D57815-91ED-43cb-92C2-25804820EDAC}">
                        <c15:formulaRef>
                          <c15:sqref>'Ratios '!$M$8</c15:sqref>
                        </c15:formulaRef>
                      </c:ext>
                    </c:extLst>
                    <c:strCache>
                      <c:ptCount val="1"/>
                      <c:pt idx="0">
                        <c:v>Current assets/Current liabilities </c:v>
                      </c:pt>
                    </c:strCache>
                  </c:strRef>
                </c:tx>
                <c:spPr>
                  <a:ln w="28575"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'Ratios '!$N$5:$R$5</c15:sqref>
                        </c15:formulaRef>
                      </c:ext>
                    </c:extLst>
                    <c:numCache>
                      <c:formatCode>General</c:formatCode>
                      <c:ptCount val="5"/>
                      <c:pt idx="0">
                        <c:v>2024</c:v>
                      </c:pt>
                      <c:pt idx="1">
                        <c:v>2023</c:v>
                      </c:pt>
                      <c:pt idx="2">
                        <c:v>2022</c:v>
                      </c:pt>
                      <c:pt idx="3">
                        <c:v>2021</c:v>
                      </c:pt>
                      <c:pt idx="4">
                        <c:v>2020</c:v>
                      </c:pt>
                    </c:numCache>
                  </c:numRef>
                </c:cat>
                <c:val>
                  <c:numRef>
                    <c:extLst xmlns:c15="http://schemas.microsoft.com/office/drawing/2012/chart">
                      <c:ext xmlns:c15="http://schemas.microsoft.com/office/drawing/2012/chart" uri="{02D57815-91ED-43cb-92C2-25804820EDAC}">
                        <c15:formulaRef>
                          <c15:sqref>'Ratios '!$N$8:$R$8</c15:sqref>
                        </c15:formulaRef>
                      </c:ext>
                    </c:extLst>
                    <c:numCache>
                      <c:formatCode>0.00</c:formatCode>
                      <c:ptCount val="5"/>
                      <c:pt idx="0">
                        <c:v>1.1897452624175364</c:v>
                      </c:pt>
                      <c:pt idx="1">
                        <c:v>1.1043445633639632</c:v>
                      </c:pt>
                      <c:pt idx="2">
                        <c:v>1.0860779755263228</c:v>
                      </c:pt>
                      <c:pt idx="3">
                        <c:v>1.0613376242622132</c:v>
                      </c:pt>
                      <c:pt idx="4">
                        <c:v>1.0413438952827325</c:v>
                      </c:pt>
                    </c:numCache>
                  </c:numRef>
                </c:val>
                <c:smooth val="0"/>
                <c:extLst xmlns:c15="http://schemas.microsoft.com/office/drawing/2012/chart">
                  <c:ext xmlns:c16="http://schemas.microsoft.com/office/drawing/2014/chart" uri="{C3380CC4-5D6E-409C-BE32-E72D297353CC}">
                    <c16:uniqueId val="{00000003-76CB-4213-AE57-3F409C19578E}"/>
                  </c:ext>
                </c:extLst>
              </c15:ser>
            </c15:filteredLineSeries>
          </c:ext>
        </c:extLst>
      </c:lineChart>
      <c:catAx>
        <c:axId val="1929604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929611055"/>
        <c:crosses val="autoZero"/>
        <c:auto val="1"/>
        <c:lblAlgn val="ctr"/>
        <c:lblOffset val="100"/>
        <c:noMultiLvlLbl val="0"/>
      </c:catAx>
      <c:valAx>
        <c:axId val="192961105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929604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Asset turnover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'Ratios '!$C$30</c:f>
              <c:strCache>
                <c:ptCount val="1"/>
                <c:pt idx="0">
                  <c:v>Revenue </c:v>
                </c:pt>
              </c:strCache>
            </c:strRef>
          </c:tx>
          <c:spPr>
            <a:solidFill>
              <a:schemeClr val="accent1"/>
            </a:solidFill>
            <a:ln>
              <a:noFill/>
            </a:ln>
            <a:effectLst/>
          </c:spPr>
          <c:invertIfNegative val="0"/>
          <c:cat>
            <c:strRef>
              <c:f>'Ratios '!$D$28:$H$29</c:f>
              <c:strCache>
                <c:ptCount val="5"/>
                <c:pt idx="0">
                  <c:v>2024</c:v>
                </c:pt>
                <c:pt idx="1">
                  <c:v>2023</c:v>
                </c:pt>
                <c:pt idx="2">
                  <c:v>2022</c:v>
                </c:pt>
                <c:pt idx="3">
                  <c:v>2021</c:v>
                </c:pt>
                <c:pt idx="4">
                  <c:v>2020</c:v>
                </c:pt>
              </c:strCache>
            </c:strRef>
          </c:cat>
          <c:val>
            <c:numRef>
              <c:f>'Ratios '!$D$30:$H$30</c:f>
              <c:numCache>
                <c:formatCode>General</c:formatCode>
                <c:ptCount val="5"/>
                <c:pt idx="0">
                  <c:v>45095325</c:v>
                </c:pt>
                <c:pt idx="1">
                  <c:v>37154298</c:v>
                </c:pt>
                <c:pt idx="2">
                  <c:v>31379507</c:v>
                </c:pt>
                <c:pt idx="3">
                  <c:v>27214594</c:v>
                </c:pt>
                <c:pt idx="4">
                  <c:v>29866547</c:v>
                </c:pt>
              </c:numCache>
            </c:numRef>
          </c:val>
          <c:extLst>
            <c:ext xmlns:c16="http://schemas.microsoft.com/office/drawing/2014/chart" uri="{C3380CC4-5D6E-409C-BE32-E72D297353CC}">
              <c16:uniqueId val="{00000000-5622-4214-A067-975FA86D429F}"/>
            </c:ext>
          </c:extLst>
        </c:ser>
        <c:ser>
          <c:idx val="1"/>
          <c:order val="1"/>
          <c:tx>
            <c:strRef>
              <c:f>'Ratios '!$C$31</c:f>
              <c:strCache>
                <c:ptCount val="1"/>
                <c:pt idx="0">
                  <c:v>Assets </c:v>
                </c:pt>
              </c:strCache>
            </c:strRef>
          </c:tx>
          <c:spPr>
            <a:solidFill>
              <a:schemeClr val="accent2"/>
            </a:solidFill>
            <a:ln>
              <a:noFill/>
            </a:ln>
            <a:effectLst/>
          </c:spPr>
          <c:invertIfNegative val="0"/>
          <c:cat>
            <c:strRef>
              <c:f>'Ratios '!$D$28:$H$29</c:f>
              <c:strCache>
                <c:ptCount val="5"/>
                <c:pt idx="0">
                  <c:v>2024</c:v>
                </c:pt>
                <c:pt idx="1">
                  <c:v>2023</c:v>
                </c:pt>
                <c:pt idx="2">
                  <c:v>2022</c:v>
                </c:pt>
                <c:pt idx="3">
                  <c:v>2021</c:v>
                </c:pt>
                <c:pt idx="4">
                  <c:v>2020</c:v>
                </c:pt>
              </c:strCache>
            </c:strRef>
          </c:cat>
          <c:val>
            <c:numRef>
              <c:f>'Ratios '!$D$31:$H$31</c:f>
              <c:numCache>
                <c:formatCode>General</c:formatCode>
                <c:ptCount val="5"/>
                <c:pt idx="0">
                  <c:v>90114296</c:v>
                </c:pt>
                <c:pt idx="1">
                  <c:v>74303180</c:v>
                </c:pt>
                <c:pt idx="2">
                  <c:v>67688771</c:v>
                </c:pt>
                <c:pt idx="3">
                  <c:v>62267140</c:v>
                </c:pt>
                <c:pt idx="4">
                  <c:v>53972363</c:v>
                </c:pt>
              </c:numCache>
            </c:numRef>
          </c:val>
          <c:extLst>
            <c:ext xmlns:c16="http://schemas.microsoft.com/office/drawing/2014/chart" uri="{C3380CC4-5D6E-409C-BE32-E72D297353CC}">
              <c16:uniqueId val="{00000001-5622-4214-A067-975FA86D429F}"/>
            </c:ext>
          </c:extLst>
        </c:ser>
        <c:ser>
          <c:idx val="2"/>
          <c:order val="2"/>
          <c:tx>
            <c:strRef>
              <c:f>'Ratios '!$C$32</c:f>
              <c:strCache>
                <c:ptCount val="1"/>
                <c:pt idx="0">
                  <c:v>Revenue/Assets</c:v>
                </c:pt>
              </c:strCache>
            </c:strRef>
          </c:tx>
          <c:spPr>
            <a:solidFill>
              <a:schemeClr val="accent3"/>
            </a:solidFill>
            <a:ln>
              <a:noFill/>
            </a:ln>
            <a:effectLst/>
          </c:spPr>
          <c:invertIfNegative val="0"/>
          <c:cat>
            <c:strRef>
              <c:f>'Ratios '!$D$28:$H$29</c:f>
              <c:strCache>
                <c:ptCount val="5"/>
                <c:pt idx="0">
                  <c:v>2024</c:v>
                </c:pt>
                <c:pt idx="1">
                  <c:v>2023</c:v>
                </c:pt>
                <c:pt idx="2">
                  <c:v>2022</c:v>
                </c:pt>
                <c:pt idx="3">
                  <c:v>2021</c:v>
                </c:pt>
                <c:pt idx="4">
                  <c:v>2020</c:v>
                </c:pt>
              </c:strCache>
            </c:strRef>
          </c:cat>
          <c:val>
            <c:numRef>
              <c:f>'Ratios '!$D$32:$H$32</c:f>
              <c:numCache>
                <c:formatCode>0.00</c:formatCode>
                <c:ptCount val="5"/>
                <c:pt idx="0">
                  <c:v>0.50042365087111151</c:v>
                </c:pt>
                <c:pt idx="1">
                  <c:v>0.50003644527730851</c:v>
                </c:pt>
                <c:pt idx="2">
                  <c:v>0.46358511960573195</c:v>
                </c:pt>
                <c:pt idx="3">
                  <c:v>0.4370618917136711</c:v>
                </c:pt>
                <c:pt idx="4">
                  <c:v>0.55336741509724152</c:v>
                </c:pt>
              </c:numCache>
            </c:numRef>
          </c:val>
          <c:extLst>
            <c:ext xmlns:c16="http://schemas.microsoft.com/office/drawing/2014/chart" uri="{C3380CC4-5D6E-409C-BE32-E72D297353CC}">
              <c16:uniqueId val="{00000002-5622-4214-A067-975FA86D429F}"/>
            </c:ext>
          </c:extLst>
        </c:ser>
        <c:dLbls>
          <c:showLegendKey val="0"/>
          <c:showVal val="0"/>
          <c:showCatName val="0"/>
          <c:showSerName val="0"/>
          <c:showPercent val="0"/>
          <c:showBubbleSize val="0"/>
        </c:dLbls>
        <c:gapWidth val="219"/>
        <c:overlap val="-27"/>
        <c:axId val="57248047"/>
        <c:axId val="57243247"/>
      </c:barChart>
      <c:catAx>
        <c:axId val="57248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7243247"/>
        <c:crosses val="autoZero"/>
        <c:auto val="1"/>
        <c:lblAlgn val="ctr"/>
        <c:lblOffset val="100"/>
        <c:noMultiLvlLbl val="0"/>
      </c:catAx>
      <c:valAx>
        <c:axId val="572432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7248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Earnings per share (EPS)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 '!$C$53</c:f>
              <c:strCache>
                <c:ptCount val="1"/>
                <c:pt idx="0">
                  <c:v>Net income </c:v>
                </c:pt>
              </c:strCache>
            </c:strRef>
          </c:tx>
          <c:spPr>
            <a:solidFill>
              <a:schemeClr val="accent1"/>
            </a:solidFill>
            <a:ln>
              <a:noFill/>
            </a:ln>
            <a:effectLst/>
          </c:spPr>
          <c:invertIfNegative val="0"/>
          <c:cat>
            <c:strRef>
              <c:f>'Ratios '!$D$51:$H$52</c:f>
              <c:strCache>
                <c:ptCount val="5"/>
                <c:pt idx="0">
                  <c:v>2024</c:v>
                </c:pt>
                <c:pt idx="1">
                  <c:v>2023</c:v>
                </c:pt>
                <c:pt idx="2">
                  <c:v>2022</c:v>
                </c:pt>
                <c:pt idx="3">
                  <c:v>2021</c:v>
                </c:pt>
                <c:pt idx="4">
                  <c:v>2020</c:v>
                </c:pt>
              </c:strCache>
            </c:strRef>
          </c:cat>
          <c:val>
            <c:numRef>
              <c:f>'Ratios '!$D$53:$H$53</c:f>
              <c:numCache>
                <c:formatCode>General</c:formatCode>
                <c:ptCount val="5"/>
                <c:pt idx="0">
                  <c:v>5071421</c:v>
                </c:pt>
                <c:pt idx="1">
                  <c:v>2492967</c:v>
                </c:pt>
                <c:pt idx="2">
                  <c:v>2874614</c:v>
                </c:pt>
                <c:pt idx="3">
                  <c:v>2282378</c:v>
                </c:pt>
                <c:pt idx="4">
                  <c:v>2111125</c:v>
                </c:pt>
              </c:numCache>
            </c:numRef>
          </c:val>
          <c:extLst>
            <c:ext xmlns:c16="http://schemas.microsoft.com/office/drawing/2014/chart" uri="{C3380CC4-5D6E-409C-BE32-E72D297353CC}">
              <c16:uniqueId val="{00000000-4064-4373-A53B-0CF296230E2E}"/>
            </c:ext>
          </c:extLst>
        </c:ser>
        <c:ser>
          <c:idx val="1"/>
          <c:order val="1"/>
          <c:tx>
            <c:strRef>
              <c:f>'Ratios '!$C$54</c:f>
              <c:strCache>
                <c:ptCount val="1"/>
                <c:pt idx="0">
                  <c:v>Total number of shares outstanding </c:v>
                </c:pt>
              </c:strCache>
            </c:strRef>
          </c:tx>
          <c:spPr>
            <a:solidFill>
              <a:schemeClr val="accent2"/>
            </a:solidFill>
            <a:ln>
              <a:noFill/>
            </a:ln>
            <a:effectLst/>
          </c:spPr>
          <c:invertIfNegative val="0"/>
          <c:cat>
            <c:strRef>
              <c:f>'Ratios '!$D$51:$H$52</c:f>
              <c:strCache>
                <c:ptCount val="5"/>
                <c:pt idx="0">
                  <c:v>2024</c:v>
                </c:pt>
                <c:pt idx="1">
                  <c:v>2023</c:v>
                </c:pt>
                <c:pt idx="2">
                  <c:v>2022</c:v>
                </c:pt>
                <c:pt idx="3">
                  <c:v>2021</c:v>
                </c:pt>
                <c:pt idx="4">
                  <c:v>2020</c:v>
                </c:pt>
              </c:strCache>
            </c:strRef>
          </c:cat>
          <c:val>
            <c:numRef>
              <c:f>'Ratios '!$D$54:$H$54</c:f>
              <c:numCache>
                <c:formatCode>General</c:formatCode>
                <c:ptCount val="5"/>
                <c:pt idx="0">
                  <c:v>13880</c:v>
                </c:pt>
                <c:pt idx="1">
                  <c:v>13920</c:v>
                </c:pt>
                <c:pt idx="2">
                  <c:v>13950</c:v>
                </c:pt>
                <c:pt idx="3">
                  <c:v>13980</c:v>
                </c:pt>
                <c:pt idx="4">
                  <c:v>14000</c:v>
                </c:pt>
              </c:numCache>
            </c:numRef>
          </c:val>
          <c:extLst>
            <c:ext xmlns:c16="http://schemas.microsoft.com/office/drawing/2014/chart" uri="{C3380CC4-5D6E-409C-BE32-E72D297353CC}">
              <c16:uniqueId val="{00000001-4064-4373-A53B-0CF296230E2E}"/>
            </c:ext>
          </c:extLst>
        </c:ser>
        <c:ser>
          <c:idx val="2"/>
          <c:order val="2"/>
          <c:tx>
            <c:strRef>
              <c:f>'Ratios '!$C$55</c:f>
              <c:strCache>
                <c:ptCount val="1"/>
                <c:pt idx="0">
                  <c:v>Net income/Total number of shares outstanding </c:v>
                </c:pt>
              </c:strCache>
            </c:strRef>
          </c:tx>
          <c:spPr>
            <a:solidFill>
              <a:schemeClr val="accent3"/>
            </a:solidFill>
            <a:ln>
              <a:noFill/>
            </a:ln>
            <a:effectLst/>
          </c:spPr>
          <c:invertIfNegative val="0"/>
          <c:cat>
            <c:strRef>
              <c:f>'Ratios '!$D$51:$H$52</c:f>
              <c:strCache>
                <c:ptCount val="5"/>
                <c:pt idx="0">
                  <c:v>2024</c:v>
                </c:pt>
                <c:pt idx="1">
                  <c:v>2023</c:v>
                </c:pt>
                <c:pt idx="2">
                  <c:v>2022</c:v>
                </c:pt>
                <c:pt idx="3">
                  <c:v>2021</c:v>
                </c:pt>
                <c:pt idx="4">
                  <c:v>2020</c:v>
                </c:pt>
              </c:strCache>
            </c:strRef>
          </c:cat>
          <c:val>
            <c:numRef>
              <c:f>'Ratios '!$D$55:$H$55</c:f>
              <c:numCache>
                <c:formatCode>General</c:formatCode>
                <c:ptCount val="5"/>
                <c:pt idx="0">
                  <c:v>365.37615273775214</c:v>
                </c:pt>
                <c:pt idx="1">
                  <c:v>179.09245689655174</c:v>
                </c:pt>
                <c:pt idx="2">
                  <c:v>206.06551971326164</c:v>
                </c:pt>
                <c:pt idx="3">
                  <c:v>163.26022889842633</c:v>
                </c:pt>
                <c:pt idx="4">
                  <c:v>150.79464285714286</c:v>
                </c:pt>
              </c:numCache>
            </c:numRef>
          </c:val>
          <c:extLst>
            <c:ext xmlns:c16="http://schemas.microsoft.com/office/drawing/2014/chart" uri="{C3380CC4-5D6E-409C-BE32-E72D297353CC}">
              <c16:uniqueId val="{00000002-4064-4373-A53B-0CF296230E2E}"/>
            </c:ext>
          </c:extLst>
        </c:ser>
        <c:dLbls>
          <c:showLegendKey val="0"/>
          <c:showVal val="0"/>
          <c:showCatName val="0"/>
          <c:showSerName val="0"/>
          <c:showPercent val="0"/>
          <c:showBubbleSize val="0"/>
        </c:dLbls>
        <c:gapWidth val="219"/>
        <c:overlap val="-27"/>
        <c:axId val="1929606255"/>
        <c:axId val="1929613935"/>
      </c:barChart>
      <c:catAx>
        <c:axId val="19296062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9613935"/>
        <c:crosses val="autoZero"/>
        <c:auto val="1"/>
        <c:lblAlgn val="ctr"/>
        <c:lblOffset val="100"/>
        <c:noMultiLvlLbl val="0"/>
      </c:catAx>
      <c:valAx>
        <c:axId val="19296139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96062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Operating Cash Flow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 '!$M$53</c:f>
              <c:strCache>
                <c:ptCount val="1"/>
                <c:pt idx="0">
                  <c:v>Cash flow from operations </c:v>
                </c:pt>
              </c:strCache>
            </c:strRef>
          </c:tx>
          <c:spPr>
            <a:ln w="28575" cap="rnd">
              <a:solidFill>
                <a:schemeClr val="accent1"/>
              </a:solidFill>
              <a:round/>
            </a:ln>
            <a:effectLst/>
          </c:spPr>
          <c:marker>
            <c:symbol val="none"/>
          </c:marker>
          <c:cat>
            <c:strRef>
              <c:f>'Ratios '!$N$51:$R$52</c:f>
              <c:strCache>
                <c:ptCount val="5"/>
                <c:pt idx="0">
                  <c:v>2024</c:v>
                </c:pt>
                <c:pt idx="1">
                  <c:v>2023</c:v>
                </c:pt>
                <c:pt idx="2">
                  <c:v>2022</c:v>
                </c:pt>
                <c:pt idx="3">
                  <c:v>2021</c:v>
                </c:pt>
                <c:pt idx="4">
                  <c:v>2020</c:v>
                </c:pt>
              </c:strCache>
            </c:strRef>
          </c:cat>
          <c:val>
            <c:numRef>
              <c:f>'Ratios '!$N$53:$R$53</c:f>
              <c:numCache>
                <c:formatCode>General</c:formatCode>
                <c:ptCount val="5"/>
                <c:pt idx="0">
                  <c:v>4206373</c:v>
                </c:pt>
                <c:pt idx="1">
                  <c:v>2955076</c:v>
                </c:pt>
                <c:pt idx="2">
                  <c:v>3722615</c:v>
                </c:pt>
                <c:pt idx="3">
                  <c:v>2727162</c:v>
                </c:pt>
                <c:pt idx="4">
                  <c:v>2398496</c:v>
                </c:pt>
              </c:numCache>
            </c:numRef>
          </c:val>
          <c:smooth val="0"/>
          <c:extLst>
            <c:ext xmlns:c16="http://schemas.microsoft.com/office/drawing/2014/chart" uri="{C3380CC4-5D6E-409C-BE32-E72D297353CC}">
              <c16:uniqueId val="{00000000-E9BF-4F19-8230-DBC25B59C0CD}"/>
            </c:ext>
          </c:extLst>
        </c:ser>
        <c:ser>
          <c:idx val="1"/>
          <c:order val="1"/>
          <c:tx>
            <c:strRef>
              <c:f>'Ratios '!$M$54</c:f>
              <c:strCache>
                <c:ptCount val="1"/>
                <c:pt idx="0">
                  <c:v>Current liabilities </c:v>
                </c:pt>
              </c:strCache>
            </c:strRef>
          </c:tx>
          <c:spPr>
            <a:ln w="28575" cap="rnd">
              <a:solidFill>
                <a:schemeClr val="accent2"/>
              </a:solidFill>
              <a:round/>
            </a:ln>
            <a:effectLst/>
          </c:spPr>
          <c:marker>
            <c:symbol val="none"/>
          </c:marker>
          <c:cat>
            <c:strRef>
              <c:f>'Ratios '!$N$51:$R$52</c:f>
              <c:strCache>
                <c:ptCount val="5"/>
                <c:pt idx="0">
                  <c:v>2024</c:v>
                </c:pt>
                <c:pt idx="1">
                  <c:v>2023</c:v>
                </c:pt>
                <c:pt idx="2">
                  <c:v>2022</c:v>
                </c:pt>
                <c:pt idx="3">
                  <c:v>2021</c:v>
                </c:pt>
                <c:pt idx="4">
                  <c:v>2020</c:v>
                </c:pt>
              </c:strCache>
            </c:strRef>
          </c:cat>
          <c:val>
            <c:numRef>
              <c:f>'Ratios '!$N$54:$R$54</c:f>
              <c:numCache>
                <c:formatCode>#,##0</c:formatCode>
                <c:ptCount val="5"/>
                <c:pt idx="0">
                  <c:v>29177909</c:v>
                </c:pt>
                <c:pt idx="1">
                  <c:v>23959715</c:v>
                </c:pt>
                <c:pt idx="2" formatCode="General">
                  <c:v>21842161</c:v>
                </c:pt>
                <c:pt idx="3">
                  <c:v>21460466</c:v>
                </c:pt>
                <c:pt idx="4">
                  <c:v>17902377</c:v>
                </c:pt>
              </c:numCache>
            </c:numRef>
          </c:val>
          <c:smooth val="0"/>
          <c:extLst>
            <c:ext xmlns:c16="http://schemas.microsoft.com/office/drawing/2014/chart" uri="{C3380CC4-5D6E-409C-BE32-E72D297353CC}">
              <c16:uniqueId val="{00000001-E9BF-4F19-8230-DBC25B59C0CD}"/>
            </c:ext>
          </c:extLst>
        </c:ser>
        <c:ser>
          <c:idx val="2"/>
          <c:order val="2"/>
          <c:tx>
            <c:strRef>
              <c:f>'Ratios '!$M$55</c:f>
              <c:strCache>
                <c:ptCount val="1"/>
                <c:pt idx="0">
                  <c:v>Cash flow from operations /Current liabilities</c:v>
                </c:pt>
              </c:strCache>
            </c:strRef>
          </c:tx>
          <c:spPr>
            <a:ln w="28575" cap="rnd">
              <a:solidFill>
                <a:schemeClr val="accent3"/>
              </a:solidFill>
              <a:round/>
            </a:ln>
            <a:effectLst/>
          </c:spPr>
          <c:marker>
            <c:symbol val="none"/>
          </c:marker>
          <c:cat>
            <c:strRef>
              <c:f>'Ratios '!$N$51:$R$52</c:f>
              <c:strCache>
                <c:ptCount val="5"/>
                <c:pt idx="0">
                  <c:v>2024</c:v>
                </c:pt>
                <c:pt idx="1">
                  <c:v>2023</c:v>
                </c:pt>
                <c:pt idx="2">
                  <c:v>2022</c:v>
                </c:pt>
                <c:pt idx="3">
                  <c:v>2021</c:v>
                </c:pt>
                <c:pt idx="4">
                  <c:v>2020</c:v>
                </c:pt>
              </c:strCache>
            </c:strRef>
          </c:cat>
          <c:val>
            <c:numRef>
              <c:f>'Ratios '!$N$55:$R$55</c:f>
              <c:numCache>
                <c:formatCode>0.00</c:formatCode>
                <c:ptCount val="5"/>
                <c:pt idx="0">
                  <c:v>14.416293504788161</c:v>
                </c:pt>
                <c:pt idx="1">
                  <c:v>12.333518992191685</c:v>
                </c:pt>
                <c:pt idx="2">
                  <c:v>17.04325409926243</c:v>
                </c:pt>
                <c:pt idx="3">
                  <c:v>12.707841479304316</c:v>
                </c:pt>
                <c:pt idx="4">
                  <c:v>13.397639877654235</c:v>
                </c:pt>
              </c:numCache>
            </c:numRef>
          </c:val>
          <c:smooth val="0"/>
          <c:extLst>
            <c:ext xmlns:c16="http://schemas.microsoft.com/office/drawing/2014/chart" uri="{C3380CC4-5D6E-409C-BE32-E72D297353CC}">
              <c16:uniqueId val="{00000002-E9BF-4F19-8230-DBC25B59C0CD}"/>
            </c:ext>
          </c:extLst>
        </c:ser>
        <c:dLbls>
          <c:showLegendKey val="0"/>
          <c:showVal val="0"/>
          <c:showCatName val="0"/>
          <c:showSerName val="0"/>
          <c:showPercent val="0"/>
          <c:showBubbleSize val="0"/>
        </c:dLbls>
        <c:smooth val="0"/>
        <c:axId val="57211567"/>
        <c:axId val="57232207"/>
      </c:lineChart>
      <c:catAx>
        <c:axId val="572115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32207"/>
        <c:crosses val="autoZero"/>
        <c:auto val="1"/>
        <c:lblAlgn val="ctr"/>
        <c:lblOffset val="100"/>
        <c:noMultiLvlLbl val="0"/>
      </c:catAx>
      <c:valAx>
        <c:axId val="57232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115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Debt-to-equity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'Ratios '!$M$30</c:f>
              <c:strCache>
                <c:ptCount val="1"/>
                <c:pt idx="0">
                  <c:v>Total Debt </c:v>
                </c:pt>
              </c:strCache>
            </c:strRef>
          </c:tx>
          <c:spPr>
            <a:solidFill>
              <a:schemeClr val="accent1"/>
            </a:solidFill>
            <a:ln>
              <a:noFill/>
            </a:ln>
            <a:effectLst/>
          </c:spPr>
          <c:invertIfNegative val="0"/>
          <c:cat>
            <c:strRef>
              <c:f>'Ratios '!$N$28:$R$29</c:f>
              <c:strCache>
                <c:ptCount val="5"/>
                <c:pt idx="0">
                  <c:v>2024</c:v>
                </c:pt>
                <c:pt idx="1">
                  <c:v>2023</c:v>
                </c:pt>
                <c:pt idx="2">
                  <c:v>2022</c:v>
                </c:pt>
                <c:pt idx="3">
                  <c:v>2021</c:v>
                </c:pt>
                <c:pt idx="4">
                  <c:v>2020</c:v>
                </c:pt>
              </c:strCache>
            </c:strRef>
          </c:cat>
          <c:val>
            <c:numRef>
              <c:f>'Ratios '!$N$30:$R$30</c:f>
              <c:numCache>
                <c:formatCode>General</c:formatCode>
                <c:ptCount val="5"/>
                <c:pt idx="0">
                  <c:v>54874958</c:v>
                </c:pt>
                <c:pt idx="1">
                  <c:v>45038967</c:v>
                </c:pt>
                <c:pt idx="2">
                  <c:v>40533951</c:v>
                </c:pt>
                <c:pt idx="3">
                  <c:v>37978811</c:v>
                </c:pt>
                <c:pt idx="4">
                  <c:v>32633351</c:v>
                </c:pt>
              </c:numCache>
            </c:numRef>
          </c:val>
          <c:extLst>
            <c:ext xmlns:c16="http://schemas.microsoft.com/office/drawing/2014/chart" uri="{C3380CC4-5D6E-409C-BE32-E72D297353CC}">
              <c16:uniqueId val="{00000000-17E0-4332-B0DF-780A472755B3}"/>
            </c:ext>
          </c:extLst>
        </c:ser>
        <c:ser>
          <c:idx val="1"/>
          <c:order val="1"/>
          <c:tx>
            <c:strRef>
              <c:f>'Ratios '!$M$31</c:f>
              <c:strCache>
                <c:ptCount val="1"/>
                <c:pt idx="0">
                  <c:v>Total shareholders equity </c:v>
                </c:pt>
              </c:strCache>
            </c:strRef>
          </c:tx>
          <c:spPr>
            <a:solidFill>
              <a:schemeClr val="accent2"/>
            </a:solidFill>
            <a:ln>
              <a:noFill/>
            </a:ln>
            <a:effectLst/>
          </c:spPr>
          <c:invertIfNegative val="0"/>
          <c:cat>
            <c:strRef>
              <c:f>'Ratios '!$N$28:$R$29</c:f>
              <c:strCache>
                <c:ptCount val="5"/>
                <c:pt idx="0">
                  <c:v>2024</c:v>
                </c:pt>
                <c:pt idx="1">
                  <c:v>2023</c:v>
                </c:pt>
                <c:pt idx="2">
                  <c:v>2022</c:v>
                </c:pt>
                <c:pt idx="3">
                  <c:v>2021</c:v>
                </c:pt>
                <c:pt idx="4">
                  <c:v>2020</c:v>
                </c:pt>
              </c:strCache>
            </c:strRef>
          </c:cat>
          <c:val>
            <c:numRef>
              <c:f>'Ratios '!$N$31:$R$31</c:f>
              <c:numCache>
                <c:formatCode>General</c:formatCode>
                <c:ptCount val="5"/>
                <c:pt idx="0">
                  <c:v>35239338</c:v>
                </c:pt>
                <c:pt idx="1">
                  <c:v>29264213</c:v>
                </c:pt>
                <c:pt idx="2">
                  <c:v>27154820</c:v>
                </c:pt>
                <c:pt idx="3">
                  <c:v>24288329</c:v>
                </c:pt>
                <c:pt idx="4">
                  <c:v>21339012</c:v>
                </c:pt>
              </c:numCache>
            </c:numRef>
          </c:val>
          <c:extLst>
            <c:ext xmlns:c16="http://schemas.microsoft.com/office/drawing/2014/chart" uri="{C3380CC4-5D6E-409C-BE32-E72D297353CC}">
              <c16:uniqueId val="{00000001-17E0-4332-B0DF-780A472755B3}"/>
            </c:ext>
          </c:extLst>
        </c:ser>
        <c:ser>
          <c:idx val="2"/>
          <c:order val="2"/>
          <c:tx>
            <c:strRef>
              <c:f>'Ratios '!$M$32</c:f>
              <c:strCache>
                <c:ptCount val="1"/>
                <c:pt idx="0">
                  <c:v>Total Debt /total shareholders equity </c:v>
                </c:pt>
              </c:strCache>
            </c:strRef>
          </c:tx>
          <c:spPr>
            <a:solidFill>
              <a:schemeClr val="accent3"/>
            </a:solidFill>
            <a:ln>
              <a:noFill/>
            </a:ln>
            <a:effectLst/>
          </c:spPr>
          <c:invertIfNegative val="0"/>
          <c:cat>
            <c:strRef>
              <c:f>'Ratios '!$N$28:$R$29</c:f>
              <c:strCache>
                <c:ptCount val="5"/>
                <c:pt idx="0">
                  <c:v>2024</c:v>
                </c:pt>
                <c:pt idx="1">
                  <c:v>2023</c:v>
                </c:pt>
                <c:pt idx="2">
                  <c:v>2022</c:v>
                </c:pt>
                <c:pt idx="3">
                  <c:v>2021</c:v>
                </c:pt>
                <c:pt idx="4">
                  <c:v>2020</c:v>
                </c:pt>
              </c:strCache>
            </c:strRef>
          </c:cat>
          <c:val>
            <c:numRef>
              <c:f>'Ratios '!$N$32:$R$32</c:f>
              <c:numCache>
                <c:formatCode>0.00</c:formatCode>
                <c:ptCount val="5"/>
                <c:pt idx="0">
                  <c:v>1.5572074027043301</c:v>
                </c:pt>
                <c:pt idx="1">
                  <c:v>1.5390458988252991</c:v>
                </c:pt>
                <c:pt idx="2">
                  <c:v>1.4926982023817503</c:v>
                </c:pt>
                <c:pt idx="3">
                  <c:v>1.563665042580739</c:v>
                </c:pt>
                <c:pt idx="4">
                  <c:v>1.5292812525715811</c:v>
                </c:pt>
              </c:numCache>
            </c:numRef>
          </c:val>
          <c:extLst>
            <c:ext xmlns:c16="http://schemas.microsoft.com/office/drawing/2014/chart" uri="{C3380CC4-5D6E-409C-BE32-E72D297353CC}">
              <c16:uniqueId val="{00000002-17E0-4332-B0DF-780A472755B3}"/>
            </c:ext>
          </c:extLst>
        </c:ser>
        <c:dLbls>
          <c:showLegendKey val="0"/>
          <c:showVal val="0"/>
          <c:showCatName val="0"/>
          <c:showSerName val="0"/>
          <c:showPercent val="0"/>
          <c:showBubbleSize val="0"/>
        </c:dLbls>
        <c:gapWidth val="150"/>
        <c:overlap val="100"/>
        <c:axId val="57253807"/>
        <c:axId val="57259567"/>
      </c:barChart>
      <c:catAx>
        <c:axId val="57253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59567"/>
        <c:crosses val="autoZero"/>
        <c:auto val="1"/>
        <c:lblAlgn val="ctr"/>
        <c:lblOffset val="100"/>
        <c:noMultiLvlLbl val="0"/>
      </c:catAx>
      <c:valAx>
        <c:axId val="572595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538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2D2DC-7BA6-462D-9799-AD929BC5E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32</Pages>
  <Words>7252</Words>
  <Characters>41339</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Pansuriya</cp:lastModifiedBy>
  <cp:revision>22</cp:revision>
  <dcterms:created xsi:type="dcterms:W3CDTF">2026-03-12T12:52:00Z</dcterms:created>
  <dcterms:modified xsi:type="dcterms:W3CDTF">2026-04-22T13:32:00Z</dcterms:modified>
</cp:coreProperties>
</file>