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ED0EF" w14:textId="77777777" w:rsidR="00FB1F14" w:rsidRDefault="00FB1F14" w:rsidP="00FB1F14">
      <w:r>
        <w:rPr>
          <w:noProof/>
        </w:rPr>
        <w:drawing>
          <wp:inline distT="0" distB="0" distL="0" distR="0" wp14:anchorId="2044DE2B" wp14:editId="0D0BE8FF">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78218CD" w14:textId="77777777" w:rsidR="00FB1F14" w:rsidRPr="00A47621" w:rsidRDefault="00FB1F14" w:rsidP="00FB1F14">
      <w:pPr>
        <w:rPr>
          <w:rFonts w:ascii="Times New Roman" w:hAnsi="Times New Roman" w:cs="Times New Roman"/>
          <w:sz w:val="24"/>
          <w:szCs w:val="24"/>
        </w:rPr>
      </w:pPr>
    </w:p>
    <w:p w14:paraId="24FE17E3" w14:textId="77777777" w:rsidR="00FB1F14" w:rsidRPr="00F927A1" w:rsidRDefault="00FB1F14" w:rsidP="00FB1F14">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2E727C5" w14:textId="77777777" w:rsidR="00FB1F14" w:rsidRPr="00DC2924" w:rsidRDefault="00FB1F14" w:rsidP="00FB1F1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38ED9545" w14:textId="77777777" w:rsidR="00FB1F14" w:rsidRPr="0085230E" w:rsidRDefault="00FB1F14" w:rsidP="00FB1F1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D8456B4" w14:textId="77777777" w:rsidR="00FB1F14" w:rsidRDefault="00FB1F14" w:rsidP="00FB1F14">
      <w:pPr>
        <w:overflowPunct/>
        <w:autoSpaceDE/>
        <w:autoSpaceDN/>
        <w:adjustRightInd/>
        <w:ind w:right="-957"/>
        <w:textAlignment w:val="auto"/>
        <w:rPr>
          <w:rFonts w:ascii="Times New Roman" w:hAnsi="Times New Roman" w:cs="Times New Roman"/>
          <w:b/>
          <w:color w:val="auto"/>
          <w:sz w:val="48"/>
        </w:rPr>
      </w:pPr>
    </w:p>
    <w:p w14:paraId="28FEFAAE" w14:textId="77777777" w:rsidR="00FB1F14" w:rsidRPr="00FE5F90" w:rsidRDefault="00FB1F14" w:rsidP="00FB1F14">
      <w:pPr>
        <w:overflowPunct/>
        <w:autoSpaceDE/>
        <w:autoSpaceDN/>
        <w:adjustRightInd/>
        <w:ind w:right="-957"/>
        <w:textAlignment w:val="auto"/>
        <w:rPr>
          <w:rFonts w:ascii="Times New Roman" w:hAnsi="Times New Roman" w:cs="Times New Roman"/>
          <w:b/>
          <w:color w:val="auto"/>
          <w:sz w:val="18"/>
          <w:szCs w:val="2"/>
        </w:rPr>
      </w:pPr>
    </w:p>
    <w:p w14:paraId="58E39D08" w14:textId="77777777" w:rsidR="00FB1F14" w:rsidRPr="00F927A1" w:rsidRDefault="00FB1F14" w:rsidP="00FB1F1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2F0C221C" w14:textId="77777777" w:rsidR="00FB1F14" w:rsidRPr="00706BB5" w:rsidRDefault="00FB1F14" w:rsidP="00FB1F14">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7F855CB7" w14:textId="77777777" w:rsidR="00FB1F14" w:rsidRPr="00FE5F90" w:rsidRDefault="00FB1F14" w:rsidP="00FB1F14">
      <w:pPr>
        <w:overflowPunct/>
        <w:autoSpaceDE/>
        <w:autoSpaceDN/>
        <w:adjustRightInd/>
        <w:ind w:right="-957"/>
        <w:textAlignment w:val="auto"/>
        <w:rPr>
          <w:rFonts w:ascii="Times New Roman" w:hAnsi="Times New Roman" w:cs="Times New Roman"/>
          <w:b/>
          <w:color w:val="auto"/>
          <w:sz w:val="14"/>
          <w:szCs w:val="2"/>
        </w:rPr>
      </w:pPr>
    </w:p>
    <w:p w14:paraId="3A42E2CC" w14:textId="77777777" w:rsidR="00FB1F14" w:rsidRPr="00F927A1" w:rsidRDefault="00FB1F14" w:rsidP="00FB1F14">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B1F14" w:rsidRPr="005D3F07" w14:paraId="5C22A4ED" w14:textId="77777777" w:rsidTr="0023568B">
        <w:tc>
          <w:tcPr>
            <w:tcW w:w="10368" w:type="dxa"/>
          </w:tcPr>
          <w:p w14:paraId="330391F0" w14:textId="1CBD8AAE" w:rsidR="00FB1F14" w:rsidRDefault="00FB1F14" w:rsidP="0023568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Hannah Sharley</w:t>
            </w:r>
          </w:p>
          <w:p w14:paraId="2B027842" w14:textId="77777777" w:rsidR="00FB1F14" w:rsidRDefault="00FB1F14" w:rsidP="0023568B">
            <w:pPr>
              <w:overflowPunct/>
              <w:autoSpaceDE/>
              <w:autoSpaceDN/>
              <w:adjustRightInd/>
              <w:ind w:right="-957"/>
              <w:textAlignment w:val="auto"/>
              <w:rPr>
                <w:rFonts w:ascii="Times New Roman" w:hAnsi="Times New Roman" w:cs="Times New Roman"/>
                <w:b/>
                <w:color w:val="auto"/>
                <w:sz w:val="48"/>
              </w:rPr>
            </w:pPr>
          </w:p>
          <w:p w14:paraId="3F77F8ED" w14:textId="77777777" w:rsidR="00FB1F14" w:rsidRPr="00FD30BA" w:rsidRDefault="00FB1F14" w:rsidP="00FB1F14">
            <w:pPr>
              <w:ind w:right="-957"/>
              <w:rPr>
                <w:rFonts w:ascii="Times New Roman" w:hAnsi="Times New Roman" w:cs="Times New Roman"/>
                <w:b/>
                <w:color w:val="000000" w:themeColor="text1"/>
                <w:sz w:val="40"/>
                <w:szCs w:val="40"/>
              </w:rPr>
            </w:pPr>
            <w:r>
              <w:rPr>
                <w:rFonts w:ascii="Times New Roman" w:hAnsi="Times New Roman" w:cs="Times New Roman"/>
                <w:b/>
                <w:color w:val="auto"/>
                <w:sz w:val="48"/>
              </w:rPr>
              <w:t xml:space="preserve">Email address: </w:t>
            </w:r>
            <w:hyperlink r:id="rId7" w:history="1">
              <w:r w:rsidRPr="0055442E">
                <w:rPr>
                  <w:rStyle w:val="Hyperlink"/>
                  <w:rFonts w:ascii="Times New Roman" w:hAnsi="Times New Roman" w:cs="Times New Roman"/>
                  <w:b/>
                  <w:sz w:val="40"/>
                  <w:szCs w:val="40"/>
                </w:rPr>
                <w:t>2434866@student.uwtsd.ac.uk</w:t>
              </w:r>
            </w:hyperlink>
          </w:p>
          <w:p w14:paraId="70DFD1C9" w14:textId="77777777" w:rsidR="00FB1F14" w:rsidRDefault="00FB1F14" w:rsidP="0023568B">
            <w:pPr>
              <w:overflowPunct/>
              <w:autoSpaceDE/>
              <w:autoSpaceDN/>
              <w:adjustRightInd/>
              <w:ind w:right="-957"/>
              <w:textAlignment w:val="auto"/>
              <w:rPr>
                <w:rFonts w:ascii="Times New Roman" w:hAnsi="Times New Roman" w:cs="Times New Roman"/>
                <w:b/>
                <w:color w:val="auto"/>
                <w:sz w:val="48"/>
              </w:rPr>
            </w:pPr>
          </w:p>
          <w:p w14:paraId="55800A1F" w14:textId="4EC8CC73" w:rsidR="00FB1F14" w:rsidRDefault="00FB1F14" w:rsidP="0023568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3B3AA326" w14:textId="0A5738D9" w:rsidR="00FB1F14" w:rsidRPr="005D3F07" w:rsidRDefault="00FB1F14" w:rsidP="0023568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2434866</w:t>
            </w:r>
          </w:p>
          <w:p w14:paraId="2C113C14" w14:textId="77777777" w:rsidR="00FB1F14" w:rsidRPr="005D3F07" w:rsidRDefault="00FB1F14" w:rsidP="0023568B">
            <w:pPr>
              <w:overflowPunct/>
              <w:autoSpaceDE/>
              <w:autoSpaceDN/>
              <w:adjustRightInd/>
              <w:ind w:right="-957"/>
              <w:textAlignment w:val="auto"/>
              <w:rPr>
                <w:rFonts w:ascii="Times New Roman" w:hAnsi="Times New Roman" w:cs="Times New Roman"/>
                <w:b/>
                <w:color w:val="auto"/>
                <w:sz w:val="48"/>
              </w:rPr>
            </w:pPr>
          </w:p>
          <w:p w14:paraId="2C3A8590" w14:textId="77777777" w:rsidR="00FB1F14" w:rsidRPr="005D3F07" w:rsidRDefault="00FB1F14" w:rsidP="0023568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21onwards</w:t>
            </w:r>
          </w:p>
        </w:tc>
      </w:tr>
    </w:tbl>
    <w:p w14:paraId="381DFA1B" w14:textId="77777777" w:rsidR="00FB1F14" w:rsidRPr="00F927A1" w:rsidRDefault="00FB1F14" w:rsidP="00FB1F1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110A7C3" w14:textId="77777777" w:rsidR="00FB1F14" w:rsidRPr="00F927A1" w:rsidRDefault="00FB1F14" w:rsidP="00FB1F14">
      <w:pPr>
        <w:overflowPunct/>
        <w:autoSpaceDE/>
        <w:autoSpaceDN/>
        <w:adjustRightInd/>
        <w:textAlignment w:val="auto"/>
        <w:rPr>
          <w:rFonts w:ascii="Times New Roman" w:hAnsi="Times New Roman" w:cs="Times New Roman"/>
          <w:color w:val="auto"/>
          <w:sz w:val="24"/>
        </w:rPr>
      </w:pPr>
    </w:p>
    <w:p w14:paraId="2700C865" w14:textId="77777777" w:rsidR="00FB1F14" w:rsidRPr="00F927A1" w:rsidRDefault="00FB1F14" w:rsidP="00FB1F14">
      <w:pPr>
        <w:overflowPunct/>
        <w:autoSpaceDE/>
        <w:autoSpaceDN/>
        <w:adjustRightInd/>
        <w:ind w:right="-957"/>
        <w:textAlignment w:val="auto"/>
        <w:rPr>
          <w:rFonts w:ascii="Times New Roman" w:hAnsi="Times New Roman" w:cs="Times New Roman"/>
          <w:b/>
          <w:color w:val="auto"/>
          <w:sz w:val="48"/>
        </w:rPr>
      </w:pPr>
    </w:p>
    <w:p w14:paraId="64149B8A" w14:textId="77777777" w:rsidR="00FB1F14" w:rsidRDefault="00FB1F14" w:rsidP="00FB1F14">
      <w:pPr>
        <w:jc w:val="center"/>
        <w:rPr>
          <w:b/>
          <w:sz w:val="24"/>
          <w:szCs w:val="24"/>
        </w:rPr>
      </w:pPr>
      <w:r>
        <w:rPr>
          <w:b/>
          <w:sz w:val="24"/>
          <w:szCs w:val="24"/>
        </w:rPr>
        <w:br w:type="page"/>
      </w:r>
    </w:p>
    <w:p w14:paraId="059FD69A" w14:textId="77777777" w:rsidR="00FB1F14" w:rsidRDefault="00FB1F14" w:rsidP="00FB1F14">
      <w:pPr>
        <w:jc w:val="center"/>
        <w:rPr>
          <w:b/>
          <w:sz w:val="28"/>
          <w:szCs w:val="28"/>
        </w:rPr>
      </w:pPr>
    </w:p>
    <w:p w14:paraId="5FF880C6" w14:textId="77777777" w:rsidR="00FB1F14" w:rsidRDefault="00FB1F14" w:rsidP="00FB1F14">
      <w:pPr>
        <w:jc w:val="center"/>
        <w:rPr>
          <w:b/>
          <w:sz w:val="24"/>
          <w:szCs w:val="24"/>
        </w:rPr>
      </w:pPr>
    </w:p>
    <w:p w14:paraId="5B7119EC" w14:textId="77777777" w:rsidR="00FB1F14" w:rsidRPr="00EE5BC3" w:rsidRDefault="00FB1F14" w:rsidP="00FB1F14">
      <w:pPr>
        <w:jc w:val="center"/>
        <w:rPr>
          <w:b/>
          <w:sz w:val="28"/>
          <w:szCs w:val="28"/>
        </w:rPr>
      </w:pPr>
      <w:r w:rsidRPr="00EE5BC3">
        <w:rPr>
          <w:b/>
          <w:sz w:val="28"/>
          <w:szCs w:val="28"/>
        </w:rPr>
        <w:t>Task 4</w:t>
      </w:r>
    </w:p>
    <w:p w14:paraId="1CFC6574" w14:textId="77777777" w:rsidR="00FB1F14" w:rsidRPr="00EE5BC3" w:rsidRDefault="00FB1F14" w:rsidP="00FB1F14">
      <w:pPr>
        <w:jc w:val="center"/>
        <w:rPr>
          <w:b/>
          <w:sz w:val="28"/>
          <w:szCs w:val="28"/>
        </w:rPr>
      </w:pPr>
    </w:p>
    <w:p w14:paraId="19CCCA24" w14:textId="77777777" w:rsidR="00FB1F14" w:rsidRPr="00EE5BC3" w:rsidRDefault="00FB1F14" w:rsidP="00FB1F14">
      <w:pPr>
        <w:jc w:val="center"/>
        <w:rPr>
          <w:b/>
          <w:sz w:val="28"/>
          <w:szCs w:val="28"/>
        </w:rPr>
      </w:pPr>
      <w:r w:rsidRPr="00EE5BC3">
        <w:rPr>
          <w:b/>
          <w:sz w:val="28"/>
          <w:szCs w:val="28"/>
        </w:rPr>
        <w:t>Safeguarding</w:t>
      </w:r>
      <w:r>
        <w:rPr>
          <w:b/>
          <w:sz w:val="28"/>
          <w:szCs w:val="28"/>
        </w:rPr>
        <w:t xml:space="preserve"> in an area which is not your main area of work</w:t>
      </w:r>
    </w:p>
    <w:p w14:paraId="607386FE" w14:textId="77777777" w:rsidR="00FB1F14" w:rsidRPr="008B28E7" w:rsidRDefault="00FB1F14" w:rsidP="00FB1F14">
      <w:pPr>
        <w:jc w:val="both"/>
        <w:rPr>
          <w:b/>
          <w:sz w:val="24"/>
          <w:szCs w:val="24"/>
        </w:rPr>
      </w:pPr>
    </w:p>
    <w:p w14:paraId="4B0E95CA" w14:textId="77777777" w:rsidR="00FB1F14" w:rsidRPr="00EE5BC3" w:rsidRDefault="00FB1F14" w:rsidP="00FB1F14">
      <w:pPr>
        <w:ind w:left="-90"/>
        <w:jc w:val="both"/>
        <w:rPr>
          <w:b/>
          <w:i/>
          <w:sz w:val="24"/>
          <w:szCs w:val="24"/>
        </w:rPr>
      </w:pPr>
      <w:r w:rsidRPr="00EE5BC3">
        <w:rPr>
          <w:b/>
          <w:i/>
          <w:sz w:val="24"/>
          <w:szCs w:val="24"/>
        </w:rPr>
        <w:t xml:space="preserve">Guidance: </w:t>
      </w:r>
    </w:p>
    <w:p w14:paraId="09954638" w14:textId="77777777" w:rsidR="00FB1F14" w:rsidRPr="00706BB5" w:rsidRDefault="00FB1F14" w:rsidP="00FB1F14">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3EB39209" w14:textId="77777777" w:rsidR="00FB1F14" w:rsidRPr="008B28E7" w:rsidRDefault="00FB1F14" w:rsidP="00FB1F14">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B1F14" w:rsidRPr="008B28E7" w14:paraId="7BA26251" w14:textId="77777777" w:rsidTr="0023568B">
        <w:tc>
          <w:tcPr>
            <w:tcW w:w="10188" w:type="dxa"/>
          </w:tcPr>
          <w:p w14:paraId="09F625E2" w14:textId="77777777" w:rsidR="00FB1F14" w:rsidRPr="00EB695F" w:rsidRDefault="00FB1F14" w:rsidP="0023568B">
            <w:pPr>
              <w:jc w:val="both"/>
              <w:rPr>
                <w:b/>
                <w:sz w:val="24"/>
                <w:szCs w:val="24"/>
              </w:rPr>
            </w:pPr>
            <w:r w:rsidRPr="00EB695F">
              <w:rPr>
                <w:b/>
                <w:sz w:val="24"/>
                <w:szCs w:val="24"/>
              </w:rPr>
              <w:t>Question</w:t>
            </w:r>
            <w:r>
              <w:rPr>
                <w:b/>
                <w:sz w:val="24"/>
                <w:szCs w:val="24"/>
              </w:rPr>
              <w:t xml:space="preserve"> a:</w:t>
            </w:r>
          </w:p>
          <w:p w14:paraId="2E692098" w14:textId="77777777" w:rsidR="00F8060F" w:rsidRDefault="00FB1F14" w:rsidP="0023568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w:t>
            </w:r>
          </w:p>
          <w:p w14:paraId="2B814B9C" w14:textId="77777777" w:rsidR="00F8060F" w:rsidRDefault="00F8060F" w:rsidP="0023568B">
            <w:pPr>
              <w:jc w:val="both"/>
              <w:rPr>
                <w:sz w:val="24"/>
                <w:szCs w:val="24"/>
              </w:rPr>
            </w:pPr>
          </w:p>
          <w:p w14:paraId="1A3E6595" w14:textId="77777777" w:rsidR="00F8060F" w:rsidRPr="006108C9" w:rsidRDefault="00F8060F" w:rsidP="00F8060F">
            <w:pPr>
              <w:jc w:val="both"/>
              <w:rPr>
                <w:sz w:val="24"/>
                <w:szCs w:val="24"/>
              </w:rPr>
            </w:pPr>
          </w:p>
          <w:p w14:paraId="66CBCAA9" w14:textId="77777777" w:rsidR="00F8060F" w:rsidRDefault="00F8060F" w:rsidP="00F8060F">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431814EF" w14:textId="12142FFA" w:rsidR="00FB1F14" w:rsidRDefault="00FB1F14" w:rsidP="0023568B">
            <w:pPr>
              <w:jc w:val="both"/>
              <w:rPr>
                <w:sz w:val="24"/>
                <w:szCs w:val="24"/>
              </w:rPr>
            </w:pPr>
            <w:r>
              <w:rPr>
                <w:sz w:val="24"/>
                <w:szCs w:val="24"/>
              </w:rPr>
              <w:t xml:space="preserve"> </w:t>
            </w:r>
          </w:p>
          <w:p w14:paraId="0DE7F9C2" w14:textId="77777777" w:rsidR="00FB1F14" w:rsidRDefault="00FB1F14" w:rsidP="0023568B">
            <w:pPr>
              <w:jc w:val="both"/>
              <w:rPr>
                <w:sz w:val="24"/>
                <w:szCs w:val="24"/>
              </w:rPr>
            </w:pPr>
          </w:p>
          <w:p w14:paraId="17652E4B" w14:textId="77777777" w:rsidR="00FB1F14" w:rsidRDefault="00FB1F14" w:rsidP="0023568B">
            <w:pPr>
              <w:jc w:val="both"/>
              <w:rPr>
                <w:sz w:val="24"/>
                <w:szCs w:val="24"/>
              </w:rPr>
            </w:pPr>
          </w:p>
          <w:p w14:paraId="185CD386" w14:textId="7348FFF0" w:rsidR="008A1F95" w:rsidRPr="008A1F95" w:rsidRDefault="00755B8A" w:rsidP="008A1F95">
            <w:pPr>
              <w:spacing w:line="360" w:lineRule="auto"/>
              <w:jc w:val="both"/>
              <w:rPr>
                <w:sz w:val="24"/>
                <w:szCs w:val="24"/>
              </w:rPr>
            </w:pPr>
            <w:r>
              <w:rPr>
                <w:sz w:val="24"/>
                <w:szCs w:val="24"/>
              </w:rPr>
              <w:t xml:space="preserve">Within the </w:t>
            </w:r>
            <w:r w:rsidRPr="00755B8A">
              <w:rPr>
                <w:sz w:val="24"/>
                <w:szCs w:val="24"/>
              </w:rPr>
              <w:t>Social Services and Well-being (Wales) Act 2014</w:t>
            </w:r>
            <w:r>
              <w:rPr>
                <w:sz w:val="24"/>
                <w:szCs w:val="24"/>
              </w:rPr>
              <w:t xml:space="preserve">, the legislation ensures the safeguarding </w:t>
            </w:r>
            <w:r w:rsidR="00A52497">
              <w:rPr>
                <w:sz w:val="24"/>
                <w:szCs w:val="24"/>
              </w:rPr>
              <w:t>of both</w:t>
            </w:r>
            <w:r>
              <w:rPr>
                <w:sz w:val="24"/>
                <w:szCs w:val="24"/>
              </w:rPr>
              <w:t xml:space="preserve"> adults and children. </w:t>
            </w:r>
            <w:r w:rsidR="00A52497">
              <w:rPr>
                <w:sz w:val="24"/>
                <w:szCs w:val="24"/>
              </w:rPr>
              <w:t>The act consists of 11 parts and</w:t>
            </w:r>
            <w:r w:rsidR="00A52497" w:rsidRPr="00A52497">
              <w:rPr>
                <w:sz w:val="24"/>
                <w:szCs w:val="24"/>
              </w:rPr>
              <w:t xml:space="preserve"> addresses a range of social care responsibilities, with Part 7 specifically concerning safeguarding. This part provides the legal foundation for the development and implementation of the Wales Safeguarding Procedures</w:t>
            </w:r>
            <w:r w:rsidR="00CC6A06">
              <w:rPr>
                <w:sz w:val="24"/>
                <w:szCs w:val="24"/>
              </w:rPr>
              <w:t>.</w:t>
            </w:r>
            <w:r w:rsidR="002A3A4D">
              <w:rPr>
                <w:sz w:val="24"/>
                <w:szCs w:val="24"/>
              </w:rPr>
              <w:t xml:space="preserve"> </w:t>
            </w:r>
            <w:r w:rsidR="002A3A4D" w:rsidRPr="00E231D0">
              <w:rPr>
                <w:sz w:val="24"/>
                <w:szCs w:val="24"/>
              </w:rPr>
              <w:t>Working Together to Safeguard People</w:t>
            </w:r>
            <w:r w:rsidR="002A3A4D" w:rsidRPr="002A3A4D">
              <w:rPr>
                <w:sz w:val="24"/>
                <w:szCs w:val="24"/>
              </w:rPr>
              <w:t xml:space="preserve"> </w:t>
            </w:r>
            <w:r w:rsidR="008A1F95" w:rsidRPr="008A1F95">
              <w:rPr>
                <w:sz w:val="24"/>
                <w:szCs w:val="24"/>
              </w:rPr>
              <w:t>(Welsh Government, 2022)</w:t>
            </w:r>
          </w:p>
          <w:p w14:paraId="172F49F8" w14:textId="355582AE" w:rsidR="002A3A4D" w:rsidRPr="002A3A4D" w:rsidRDefault="002A3A4D" w:rsidP="002A3A4D">
            <w:pPr>
              <w:spacing w:line="360" w:lineRule="auto"/>
              <w:jc w:val="both"/>
              <w:rPr>
                <w:sz w:val="24"/>
                <w:szCs w:val="24"/>
              </w:rPr>
            </w:pPr>
            <w:r w:rsidRPr="002A3A4D">
              <w:rPr>
                <w:sz w:val="24"/>
                <w:szCs w:val="24"/>
              </w:rPr>
              <w:t>sets out the safeguarding duties within the Social Services and Well-being (Wales) Act 2014 and provides the basis for the Wales Safeguarding Procedures. These procedures explain what practitioners should do when safeguarding concerns arise and include guidance to support their practice. They are used across different services in Wales, including health, education, social care, and the police.</w:t>
            </w:r>
            <w:r w:rsidR="00E231D0">
              <w:rPr>
                <w:sz w:val="24"/>
                <w:szCs w:val="24"/>
              </w:rPr>
              <w:t xml:space="preserve"> It is vital to remember that it is everybody’s responsibility to report concerns of harm and abuse in children and adults.</w:t>
            </w:r>
          </w:p>
          <w:p w14:paraId="5A0E77A2" w14:textId="77777777" w:rsidR="00CC6A06" w:rsidRPr="008A1F95" w:rsidRDefault="00CC6A06" w:rsidP="00CC6A06">
            <w:pPr>
              <w:spacing w:line="360" w:lineRule="auto"/>
              <w:jc w:val="both"/>
              <w:rPr>
                <w:sz w:val="24"/>
                <w:szCs w:val="24"/>
              </w:rPr>
            </w:pPr>
          </w:p>
          <w:p w14:paraId="65566F9B" w14:textId="6BFA195E" w:rsidR="00841AB2" w:rsidRDefault="00CC6A06" w:rsidP="00841AB2">
            <w:pPr>
              <w:spacing w:line="360" w:lineRule="auto"/>
              <w:jc w:val="both"/>
              <w:rPr>
                <w:sz w:val="24"/>
                <w:szCs w:val="24"/>
              </w:rPr>
            </w:pPr>
            <w:r w:rsidRPr="008A1F95">
              <w:rPr>
                <w:sz w:val="24"/>
                <w:szCs w:val="24"/>
              </w:rPr>
              <w:t>The Children Act 198</w:t>
            </w:r>
            <w:r w:rsidR="008A1F95">
              <w:rPr>
                <w:sz w:val="24"/>
                <w:szCs w:val="24"/>
              </w:rPr>
              <w:t xml:space="preserve">9 </w:t>
            </w:r>
            <w:r w:rsidR="00F8060F">
              <w:rPr>
                <w:sz w:val="24"/>
                <w:szCs w:val="24"/>
              </w:rPr>
              <w:t>and more recently the Children Act 2004</w:t>
            </w:r>
            <w:r w:rsidR="00E231D0">
              <w:rPr>
                <w:sz w:val="24"/>
                <w:szCs w:val="24"/>
              </w:rPr>
              <w:t xml:space="preserve"> are</w:t>
            </w:r>
            <w:r w:rsidR="008A1F95" w:rsidRPr="008A1F95">
              <w:rPr>
                <w:sz w:val="24"/>
                <w:szCs w:val="24"/>
              </w:rPr>
              <w:t xml:space="preserve"> </w:t>
            </w:r>
            <w:r w:rsidR="00E231D0">
              <w:rPr>
                <w:sz w:val="24"/>
                <w:szCs w:val="24"/>
              </w:rPr>
              <w:t xml:space="preserve">both </w:t>
            </w:r>
            <w:r w:rsidR="008A1F95" w:rsidRPr="008A1F95">
              <w:rPr>
                <w:sz w:val="24"/>
                <w:szCs w:val="24"/>
              </w:rPr>
              <w:t>Act</w:t>
            </w:r>
            <w:r w:rsidR="00E231D0">
              <w:rPr>
                <w:sz w:val="24"/>
                <w:szCs w:val="24"/>
              </w:rPr>
              <w:t>s</w:t>
            </w:r>
            <w:r w:rsidR="008A1F95" w:rsidRPr="008A1F95">
              <w:rPr>
                <w:sz w:val="24"/>
                <w:szCs w:val="24"/>
              </w:rPr>
              <w:t xml:space="preserve"> of the UK Parliament </w:t>
            </w:r>
            <w:r w:rsidR="008A1F95">
              <w:rPr>
                <w:sz w:val="24"/>
                <w:szCs w:val="24"/>
              </w:rPr>
              <w:t xml:space="preserve">which </w:t>
            </w:r>
            <w:r>
              <w:rPr>
                <w:sz w:val="24"/>
                <w:szCs w:val="24"/>
              </w:rPr>
              <w:t>protect</w:t>
            </w:r>
            <w:r w:rsidR="00E231D0">
              <w:rPr>
                <w:sz w:val="24"/>
                <w:szCs w:val="24"/>
              </w:rPr>
              <w:t xml:space="preserve"> </w:t>
            </w:r>
            <w:r>
              <w:rPr>
                <w:sz w:val="24"/>
                <w:szCs w:val="24"/>
              </w:rPr>
              <w:t>children</w:t>
            </w:r>
            <w:r w:rsidR="008A1F95">
              <w:rPr>
                <w:sz w:val="24"/>
                <w:szCs w:val="24"/>
              </w:rPr>
              <w:t xml:space="preserve">, </w:t>
            </w:r>
            <w:r w:rsidR="00841AB2">
              <w:rPr>
                <w:sz w:val="24"/>
                <w:szCs w:val="24"/>
              </w:rPr>
              <w:t>they</w:t>
            </w:r>
            <w:r w:rsidR="00E231D0">
              <w:rPr>
                <w:sz w:val="24"/>
                <w:szCs w:val="24"/>
              </w:rPr>
              <w:t xml:space="preserve"> apply</w:t>
            </w:r>
            <w:r w:rsidR="008A1F95">
              <w:rPr>
                <w:sz w:val="24"/>
                <w:szCs w:val="24"/>
              </w:rPr>
              <w:t xml:space="preserve"> to England and Wales.</w:t>
            </w:r>
            <w:r w:rsidR="00284D68">
              <w:rPr>
                <w:sz w:val="24"/>
                <w:szCs w:val="24"/>
              </w:rPr>
              <w:t xml:space="preserve"> The Children Act 2004 </w:t>
            </w:r>
            <w:r w:rsidR="00284D68" w:rsidRPr="00284D68">
              <w:rPr>
                <w:sz w:val="24"/>
                <w:szCs w:val="24"/>
              </w:rPr>
              <w:t xml:space="preserve">was introduced following the death of Victoria Climbié and built upon the 1989 Act by strengthening arrangements for safeguarding children and improving multi-agency working </w:t>
            </w:r>
            <w:r w:rsidR="00284D68" w:rsidRPr="00284D68">
              <w:rPr>
                <w:sz w:val="24"/>
                <w:szCs w:val="24"/>
              </w:rPr>
              <w:lastRenderedPageBreak/>
              <w:t>between services</w:t>
            </w:r>
            <w:r w:rsidR="00284D68">
              <w:rPr>
                <w:sz w:val="24"/>
                <w:szCs w:val="24"/>
              </w:rPr>
              <w:t xml:space="preserve"> (NSPCC).</w:t>
            </w:r>
            <w:r w:rsidR="00173F8A">
              <w:rPr>
                <w:sz w:val="24"/>
                <w:szCs w:val="24"/>
              </w:rPr>
              <w:t xml:space="preserve"> </w:t>
            </w:r>
            <w:r w:rsidR="00E231D0">
              <w:rPr>
                <w:sz w:val="24"/>
                <w:szCs w:val="24"/>
              </w:rPr>
              <w:t>There are many sections of the</w:t>
            </w:r>
            <w:r w:rsidR="00173F8A">
              <w:rPr>
                <w:sz w:val="24"/>
                <w:szCs w:val="24"/>
              </w:rPr>
              <w:t xml:space="preserve"> Children Act 1989 and 2004,</w:t>
            </w:r>
            <w:r w:rsidR="00E231D0">
              <w:rPr>
                <w:sz w:val="24"/>
                <w:szCs w:val="24"/>
              </w:rPr>
              <w:t xml:space="preserve"> however the </w:t>
            </w:r>
            <w:r w:rsidR="005D7C6F">
              <w:rPr>
                <w:sz w:val="24"/>
                <w:szCs w:val="24"/>
              </w:rPr>
              <w:t>most relevant</w:t>
            </w:r>
            <w:r w:rsidR="00173F8A">
              <w:rPr>
                <w:sz w:val="24"/>
                <w:szCs w:val="24"/>
              </w:rPr>
              <w:t xml:space="preserve"> parts</w:t>
            </w:r>
            <w:r w:rsidR="005D7C6F">
              <w:rPr>
                <w:sz w:val="24"/>
                <w:szCs w:val="24"/>
              </w:rPr>
              <w:t xml:space="preserve"> to safeguarding are, </w:t>
            </w:r>
            <w:r w:rsidR="008A1F95">
              <w:rPr>
                <w:sz w:val="24"/>
                <w:szCs w:val="24"/>
              </w:rPr>
              <w:t xml:space="preserve">Section 17 </w:t>
            </w:r>
            <w:r w:rsidR="005D7C6F">
              <w:rPr>
                <w:sz w:val="24"/>
                <w:szCs w:val="24"/>
              </w:rPr>
              <w:t>which places a duty on the local authority to ensure that children in need are supported and their welfare</w:t>
            </w:r>
            <w:r w:rsidR="00534744">
              <w:rPr>
                <w:sz w:val="24"/>
                <w:szCs w:val="24"/>
              </w:rPr>
              <w:t>.</w:t>
            </w:r>
            <w:r w:rsidR="008A1F95">
              <w:rPr>
                <w:sz w:val="24"/>
                <w:szCs w:val="24"/>
              </w:rPr>
              <w:t xml:space="preserve"> </w:t>
            </w:r>
            <w:r w:rsidRPr="00CC6A06">
              <w:rPr>
                <w:sz w:val="24"/>
                <w:szCs w:val="24"/>
              </w:rPr>
              <w:t>Section 47</w:t>
            </w:r>
            <w:r w:rsidR="008A1F95">
              <w:rPr>
                <w:sz w:val="24"/>
                <w:szCs w:val="24"/>
              </w:rPr>
              <w:t xml:space="preserve"> </w:t>
            </w:r>
            <w:r w:rsidR="00E231D0">
              <w:rPr>
                <w:sz w:val="24"/>
                <w:szCs w:val="24"/>
              </w:rPr>
              <w:t xml:space="preserve">which </w:t>
            </w:r>
            <w:r w:rsidR="00534744">
              <w:rPr>
                <w:sz w:val="24"/>
                <w:szCs w:val="24"/>
              </w:rPr>
              <w:t>puts a duty on</w:t>
            </w:r>
            <w:r w:rsidR="00E231D0">
              <w:rPr>
                <w:sz w:val="24"/>
                <w:szCs w:val="24"/>
              </w:rPr>
              <w:t xml:space="preserve"> the</w:t>
            </w:r>
            <w:r w:rsidRPr="00CC6A06">
              <w:rPr>
                <w:sz w:val="24"/>
                <w:szCs w:val="24"/>
              </w:rPr>
              <w:t xml:space="preserve"> local authorit</w:t>
            </w:r>
            <w:r w:rsidR="00534744">
              <w:rPr>
                <w:sz w:val="24"/>
                <w:szCs w:val="24"/>
              </w:rPr>
              <w:t>y to</w:t>
            </w:r>
            <w:r w:rsidRPr="00CC6A06">
              <w:rPr>
                <w:sz w:val="24"/>
                <w:szCs w:val="24"/>
              </w:rPr>
              <w:t xml:space="preserve"> investigate concerns and take appropriate action if they believe a child is experiencing, or may be at risk of, significant harm.</w:t>
            </w:r>
            <w:r w:rsidR="00534744">
              <w:rPr>
                <w:sz w:val="24"/>
                <w:szCs w:val="24"/>
              </w:rPr>
              <w:t xml:space="preserve"> Section 1 of the Children Act </w:t>
            </w:r>
            <w:r w:rsidR="00841AB2">
              <w:rPr>
                <w:sz w:val="24"/>
                <w:szCs w:val="24"/>
              </w:rPr>
              <w:t xml:space="preserve">1989 </w:t>
            </w:r>
            <w:r w:rsidR="00841AB2" w:rsidRPr="00841AB2">
              <w:rPr>
                <w:sz w:val="24"/>
                <w:szCs w:val="24"/>
              </w:rPr>
              <w:t>places the child's welfare at the centre of all decisions concerning their care and upbringing</w:t>
            </w:r>
            <w:r w:rsidR="00841AB2">
              <w:rPr>
                <w:sz w:val="24"/>
                <w:szCs w:val="24"/>
              </w:rPr>
              <w:t>.</w:t>
            </w:r>
          </w:p>
          <w:p w14:paraId="1962D6E2" w14:textId="77777777" w:rsidR="00173F8A" w:rsidRDefault="00173F8A" w:rsidP="00841AB2">
            <w:pPr>
              <w:spacing w:line="360" w:lineRule="auto"/>
              <w:jc w:val="both"/>
              <w:rPr>
                <w:sz w:val="24"/>
                <w:szCs w:val="24"/>
              </w:rPr>
            </w:pPr>
          </w:p>
          <w:p w14:paraId="7584E56E" w14:textId="0F471C4A" w:rsidR="00173F8A" w:rsidRDefault="00173F8A" w:rsidP="00841AB2">
            <w:pPr>
              <w:spacing w:line="360" w:lineRule="auto"/>
              <w:jc w:val="both"/>
              <w:rPr>
                <w:sz w:val="24"/>
                <w:szCs w:val="24"/>
              </w:rPr>
            </w:pPr>
            <w:r w:rsidRPr="006134BC">
              <w:rPr>
                <w:sz w:val="24"/>
                <w:szCs w:val="24"/>
              </w:rPr>
              <w:t>The Human Rights Act 1998 requires professionals to respect the rights of children and their families when making safeguarding decisions, ensuring that any intervention is necessary and appropriate.</w:t>
            </w:r>
          </w:p>
          <w:p w14:paraId="088CD589" w14:textId="77777777" w:rsidR="00173F8A" w:rsidRPr="00841AB2" w:rsidRDefault="00173F8A" w:rsidP="00841AB2">
            <w:pPr>
              <w:spacing w:line="360" w:lineRule="auto"/>
              <w:jc w:val="both"/>
              <w:rPr>
                <w:sz w:val="24"/>
                <w:szCs w:val="24"/>
              </w:rPr>
            </w:pPr>
          </w:p>
          <w:p w14:paraId="64ED6B02" w14:textId="3614F516" w:rsidR="00F8060F" w:rsidRDefault="008A0CBA" w:rsidP="00CC6A06">
            <w:pPr>
              <w:spacing w:line="360" w:lineRule="auto"/>
              <w:jc w:val="both"/>
              <w:rPr>
                <w:sz w:val="24"/>
                <w:szCs w:val="24"/>
              </w:rPr>
            </w:pPr>
            <w:r>
              <w:rPr>
                <w:sz w:val="24"/>
                <w:szCs w:val="24"/>
              </w:rPr>
              <w:t xml:space="preserve"> </w:t>
            </w:r>
            <w:r w:rsidR="00541B0B" w:rsidRPr="00541B0B">
              <w:rPr>
                <w:sz w:val="24"/>
                <w:szCs w:val="24"/>
              </w:rPr>
              <w:t xml:space="preserve">There are many forms of abuse, and children may display a range of indicators that they are experiencing harm. These can include </w:t>
            </w:r>
            <w:r w:rsidR="00541B0B">
              <w:rPr>
                <w:sz w:val="24"/>
                <w:szCs w:val="24"/>
              </w:rPr>
              <w:t xml:space="preserve">but are not limited to </w:t>
            </w:r>
            <w:r w:rsidR="00541B0B" w:rsidRPr="00541B0B">
              <w:rPr>
                <w:sz w:val="24"/>
                <w:szCs w:val="24"/>
              </w:rPr>
              <w:t>changes in behaviour, personality, appearance, or mannerisms. While such signs do not necessarily indicate abuse, they may suggest that further assessment is required (NSPCC, 2025). Any enquiries should be carried out in a sensitive and person-centred manner</w:t>
            </w:r>
            <w:r w:rsidR="00541B0B">
              <w:rPr>
                <w:sz w:val="24"/>
                <w:szCs w:val="24"/>
              </w:rPr>
              <w:t>.</w:t>
            </w:r>
          </w:p>
          <w:p w14:paraId="1B6D453E" w14:textId="77777777" w:rsidR="00F8060F" w:rsidRDefault="00F8060F" w:rsidP="006134BC">
            <w:pPr>
              <w:spacing w:line="360" w:lineRule="auto"/>
              <w:jc w:val="both"/>
              <w:rPr>
                <w:sz w:val="24"/>
                <w:szCs w:val="24"/>
              </w:rPr>
            </w:pPr>
          </w:p>
          <w:p w14:paraId="28BD1055" w14:textId="77777777" w:rsidR="00F8060F" w:rsidRPr="00F8060F" w:rsidRDefault="00F8060F" w:rsidP="00F8060F">
            <w:pPr>
              <w:spacing w:line="360" w:lineRule="auto"/>
              <w:jc w:val="both"/>
              <w:rPr>
                <w:sz w:val="24"/>
                <w:szCs w:val="24"/>
              </w:rPr>
            </w:pPr>
            <w:r w:rsidRPr="00F8060F">
              <w:rPr>
                <w:sz w:val="24"/>
                <w:szCs w:val="24"/>
              </w:rPr>
              <w:t>Identifying the preferred outcomes of a safeguarding intervention is an important part of person-centred practice. It ensures that the views, wishes and feelings of children, families and carers are considered throughout the safeguarding process. By working collaboratively with those involved, professionals can develop support plans that are meaningful to the individual and more likely to achieve positive long-term outcomes.</w:t>
            </w:r>
          </w:p>
          <w:p w14:paraId="3345AD8F" w14:textId="77777777" w:rsidR="00F8060F" w:rsidRPr="006134BC" w:rsidRDefault="00F8060F" w:rsidP="006134BC">
            <w:pPr>
              <w:spacing w:line="360" w:lineRule="auto"/>
              <w:jc w:val="both"/>
              <w:rPr>
                <w:sz w:val="24"/>
                <w:szCs w:val="24"/>
              </w:rPr>
            </w:pPr>
          </w:p>
          <w:p w14:paraId="04AD2FF9" w14:textId="77777777" w:rsidR="00FB1F14" w:rsidRDefault="00FB1F14" w:rsidP="0023568B">
            <w:pPr>
              <w:jc w:val="both"/>
              <w:rPr>
                <w:sz w:val="24"/>
                <w:szCs w:val="24"/>
              </w:rPr>
            </w:pPr>
          </w:p>
          <w:p w14:paraId="0316276C" w14:textId="1D7AD459" w:rsidR="00FB1F14" w:rsidRPr="00173F8A" w:rsidRDefault="00F8060F" w:rsidP="0023568B">
            <w:pPr>
              <w:jc w:val="both"/>
              <w:rPr>
                <w:sz w:val="24"/>
                <w:szCs w:val="24"/>
              </w:rPr>
            </w:pPr>
            <w:r>
              <w:rPr>
                <w:b/>
                <w:bCs/>
                <w:sz w:val="24"/>
                <w:szCs w:val="24"/>
                <w:u w:val="single"/>
              </w:rPr>
              <w:t>WORD COUNT</w:t>
            </w:r>
            <w:proofErr w:type="gramStart"/>
            <w:r>
              <w:rPr>
                <w:b/>
                <w:bCs/>
                <w:sz w:val="24"/>
                <w:szCs w:val="24"/>
                <w:u w:val="single"/>
              </w:rPr>
              <w:t xml:space="preserve">- </w:t>
            </w:r>
            <w:r w:rsidR="00173F8A">
              <w:rPr>
                <w:b/>
                <w:bCs/>
                <w:sz w:val="24"/>
                <w:szCs w:val="24"/>
                <w:u w:val="single"/>
              </w:rPr>
              <w:t xml:space="preserve"> </w:t>
            </w:r>
            <w:r w:rsidR="00173F8A">
              <w:rPr>
                <w:sz w:val="24"/>
                <w:szCs w:val="24"/>
              </w:rPr>
              <w:t>444</w:t>
            </w:r>
            <w:proofErr w:type="gramEnd"/>
          </w:p>
          <w:p w14:paraId="181869E0" w14:textId="77777777" w:rsidR="00FB1F14" w:rsidRPr="008B28E7" w:rsidRDefault="00FB1F14" w:rsidP="00F8060F">
            <w:pPr>
              <w:jc w:val="both"/>
              <w:rPr>
                <w:b/>
                <w:sz w:val="24"/>
                <w:szCs w:val="24"/>
              </w:rPr>
            </w:pPr>
          </w:p>
        </w:tc>
      </w:tr>
    </w:tbl>
    <w:p w14:paraId="0E45906B" w14:textId="77777777" w:rsidR="00FB1F14" w:rsidRDefault="00FB1F14" w:rsidP="00FB1F14">
      <w:pPr>
        <w:jc w:val="both"/>
        <w:rPr>
          <w:sz w:val="24"/>
          <w:szCs w:val="24"/>
        </w:rPr>
      </w:pPr>
    </w:p>
    <w:p w14:paraId="2C9304D0" w14:textId="77777777" w:rsidR="00F16365" w:rsidRDefault="00F16365" w:rsidP="00FB1F14">
      <w:pPr>
        <w:jc w:val="both"/>
        <w:rPr>
          <w:sz w:val="24"/>
          <w:szCs w:val="24"/>
        </w:rPr>
      </w:pPr>
    </w:p>
    <w:p w14:paraId="052F3924" w14:textId="77777777" w:rsidR="00F16365" w:rsidRDefault="00F16365" w:rsidP="00FB1F14">
      <w:pPr>
        <w:jc w:val="both"/>
        <w:rPr>
          <w:sz w:val="24"/>
          <w:szCs w:val="24"/>
        </w:rPr>
      </w:pPr>
    </w:p>
    <w:p w14:paraId="17002BAA" w14:textId="77777777" w:rsidR="00F16365" w:rsidRDefault="00F16365" w:rsidP="00FB1F14">
      <w:pPr>
        <w:jc w:val="both"/>
        <w:rPr>
          <w:sz w:val="24"/>
          <w:szCs w:val="24"/>
        </w:rPr>
      </w:pPr>
    </w:p>
    <w:p w14:paraId="69740995" w14:textId="77777777" w:rsidR="00F16365" w:rsidRDefault="00F16365" w:rsidP="00FB1F14">
      <w:pPr>
        <w:jc w:val="both"/>
        <w:rPr>
          <w:sz w:val="24"/>
          <w:szCs w:val="24"/>
        </w:rPr>
      </w:pPr>
    </w:p>
    <w:p w14:paraId="62412DE5" w14:textId="77777777" w:rsidR="00F16365" w:rsidRDefault="00F16365" w:rsidP="00FB1F14">
      <w:pPr>
        <w:jc w:val="both"/>
        <w:rPr>
          <w:sz w:val="24"/>
          <w:szCs w:val="24"/>
        </w:rPr>
      </w:pPr>
    </w:p>
    <w:p w14:paraId="76756C2E" w14:textId="77777777" w:rsidR="00F16365" w:rsidRDefault="00F16365" w:rsidP="00FB1F14">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B1F14" w:rsidRPr="008B28E7" w14:paraId="48FAC5D9" w14:textId="77777777" w:rsidTr="0023568B">
        <w:tc>
          <w:tcPr>
            <w:tcW w:w="10278" w:type="dxa"/>
          </w:tcPr>
          <w:p w14:paraId="2807F29B" w14:textId="77777777" w:rsidR="00F16365" w:rsidRPr="00EF5A45" w:rsidRDefault="00F16365" w:rsidP="0023568B">
            <w:pPr>
              <w:jc w:val="both"/>
              <w:rPr>
                <w:bCs/>
                <w:sz w:val="24"/>
                <w:szCs w:val="24"/>
              </w:rPr>
            </w:pPr>
          </w:p>
          <w:p w14:paraId="1DC2180A" w14:textId="11C40531" w:rsidR="00FB1F14" w:rsidRPr="00EF5A45" w:rsidRDefault="00FB1F14" w:rsidP="0023568B">
            <w:pPr>
              <w:jc w:val="both"/>
              <w:rPr>
                <w:b/>
                <w:sz w:val="24"/>
                <w:szCs w:val="24"/>
              </w:rPr>
            </w:pPr>
            <w:r w:rsidRPr="00EF5A45">
              <w:rPr>
                <w:b/>
                <w:sz w:val="24"/>
                <w:szCs w:val="24"/>
              </w:rPr>
              <w:t>Question b:</w:t>
            </w:r>
          </w:p>
          <w:p w14:paraId="3A20EFD4" w14:textId="77777777" w:rsidR="00FB1F14" w:rsidRDefault="00FB1F14" w:rsidP="0023568B">
            <w:pPr>
              <w:jc w:val="both"/>
              <w:rPr>
                <w:bCs/>
                <w:sz w:val="24"/>
                <w:szCs w:val="24"/>
              </w:rPr>
            </w:pPr>
            <w:r w:rsidRPr="00EF5A45">
              <w:rPr>
                <w:bCs/>
                <w:sz w:val="24"/>
                <w:szCs w:val="24"/>
              </w:rPr>
              <w:t>Reflect on the difference between safeguarding in adults’ and children’s work</w:t>
            </w:r>
          </w:p>
          <w:p w14:paraId="0796332E" w14:textId="77777777" w:rsidR="00354CCC" w:rsidRPr="00EF5A45" w:rsidRDefault="00354CCC" w:rsidP="00354CCC">
            <w:pPr>
              <w:jc w:val="both"/>
              <w:rPr>
                <w:bCs/>
                <w:sz w:val="24"/>
                <w:szCs w:val="24"/>
              </w:rPr>
            </w:pPr>
          </w:p>
          <w:p w14:paraId="28362F86" w14:textId="77777777" w:rsidR="00354CCC" w:rsidRPr="00EF5A45" w:rsidRDefault="00354CCC" w:rsidP="00354CCC">
            <w:pPr>
              <w:jc w:val="both"/>
              <w:rPr>
                <w:bCs/>
                <w:sz w:val="24"/>
                <w:szCs w:val="24"/>
              </w:rPr>
            </w:pPr>
          </w:p>
          <w:p w14:paraId="41C9E9EB" w14:textId="77777777" w:rsidR="00354CCC" w:rsidRPr="00EF5A45" w:rsidRDefault="00354CCC" w:rsidP="00354CCC">
            <w:pPr>
              <w:jc w:val="both"/>
              <w:rPr>
                <w:bCs/>
                <w:i/>
                <w:sz w:val="24"/>
                <w:szCs w:val="24"/>
              </w:rPr>
            </w:pPr>
            <w:r w:rsidRPr="00EF5A45">
              <w:rPr>
                <w:bCs/>
                <w:i/>
                <w:sz w:val="24"/>
                <w:szCs w:val="24"/>
              </w:rPr>
              <w:t>400 words</w:t>
            </w:r>
            <w:r w:rsidRPr="00EF5A45">
              <w:rPr>
                <w:bCs/>
                <w:sz w:val="24"/>
                <w:szCs w:val="24"/>
              </w:rPr>
              <w:t xml:space="preserve"> </w:t>
            </w:r>
            <w:r w:rsidRPr="00EF5A45">
              <w:rPr>
                <w:bCs/>
                <w:i/>
                <w:sz w:val="24"/>
                <w:szCs w:val="24"/>
              </w:rPr>
              <w:t>(+/- 10%: include your actual word count at the end of each section).</w:t>
            </w:r>
          </w:p>
          <w:p w14:paraId="42BA7E90" w14:textId="77777777" w:rsidR="00354CCC" w:rsidRDefault="00354CCC" w:rsidP="0023568B">
            <w:pPr>
              <w:jc w:val="both"/>
              <w:rPr>
                <w:bCs/>
                <w:sz w:val="24"/>
                <w:szCs w:val="24"/>
              </w:rPr>
            </w:pPr>
          </w:p>
          <w:p w14:paraId="1A35FC71" w14:textId="77777777" w:rsidR="00EF5A45" w:rsidRDefault="00EF5A45" w:rsidP="0023568B">
            <w:pPr>
              <w:jc w:val="both"/>
              <w:rPr>
                <w:bCs/>
                <w:sz w:val="24"/>
                <w:szCs w:val="24"/>
              </w:rPr>
            </w:pPr>
          </w:p>
          <w:p w14:paraId="4E402423" w14:textId="77777777" w:rsidR="00EF5A45" w:rsidRPr="00EF5A45" w:rsidRDefault="00EF5A45" w:rsidP="0023568B">
            <w:pPr>
              <w:jc w:val="both"/>
              <w:rPr>
                <w:bCs/>
                <w:sz w:val="24"/>
                <w:szCs w:val="24"/>
              </w:rPr>
            </w:pPr>
          </w:p>
          <w:p w14:paraId="2B912F0A" w14:textId="77777777" w:rsidR="00F16365" w:rsidRPr="00EF5A45" w:rsidRDefault="00F16365" w:rsidP="0023568B">
            <w:pPr>
              <w:jc w:val="both"/>
              <w:rPr>
                <w:bCs/>
                <w:sz w:val="24"/>
                <w:szCs w:val="24"/>
              </w:rPr>
            </w:pPr>
          </w:p>
          <w:p w14:paraId="74617392" w14:textId="77777777" w:rsidR="00EF5A45" w:rsidRDefault="00EF5A45" w:rsidP="00EF5A45">
            <w:pPr>
              <w:spacing w:line="360" w:lineRule="auto"/>
              <w:jc w:val="both"/>
              <w:rPr>
                <w:bCs/>
                <w:sz w:val="24"/>
                <w:szCs w:val="24"/>
              </w:rPr>
            </w:pPr>
            <w:r w:rsidRPr="00EF5A45">
              <w:rPr>
                <w:bCs/>
                <w:sz w:val="24"/>
                <w:szCs w:val="24"/>
              </w:rPr>
              <w:t>In Wales, safeguarding children is mainly based on the Social Services and Well-being (Wales) Act 2014 and the Children Act 1989. The Wales Safeguarding Procedures help guide professionals when responding to concerns about abuse or neglect. They include separate guidance for safeguarding children and adults. Under Section 130 of the Social Services and Well-being (Wales) Act 2014, professionals have a duty to report concerns if they believe a child may be at risk. The local authority must then decide whether a Section 47 enquiry under the Children Act 1989 is needed to investigate concerns of significant harm. Most of the Children Act 1989 applies in both England and Wales.</w:t>
            </w:r>
          </w:p>
          <w:p w14:paraId="32144E34" w14:textId="77777777" w:rsidR="004A5B97" w:rsidRDefault="00354CCC" w:rsidP="004A5B97">
            <w:pPr>
              <w:spacing w:line="360" w:lineRule="auto"/>
              <w:jc w:val="both"/>
              <w:rPr>
                <w:bCs/>
                <w:sz w:val="24"/>
                <w:szCs w:val="24"/>
              </w:rPr>
            </w:pPr>
            <w:r>
              <w:rPr>
                <w:bCs/>
                <w:sz w:val="24"/>
                <w:szCs w:val="24"/>
              </w:rPr>
              <w:t>Ensuring a child’s wellbeing and safety is paramount and their choice can often be overridden by a professional if those professionals feel that the child is being harmed and is at risk. However, an adult that is deemed to have the mental capacity to make their own decisions, despite the potential of being coerced has a legal right to make their own choice, this choice could be not accepting help, this is called an “unwise” or “risky decision”</w:t>
            </w:r>
            <w:r w:rsidR="004A5B97">
              <w:rPr>
                <w:bCs/>
                <w:sz w:val="24"/>
                <w:szCs w:val="24"/>
              </w:rPr>
              <w:t xml:space="preserve">. </w:t>
            </w:r>
          </w:p>
          <w:p w14:paraId="00B75774" w14:textId="5008E1ED" w:rsidR="004A5B97" w:rsidRDefault="004A5B97" w:rsidP="004A5B97">
            <w:pPr>
              <w:spacing w:line="360" w:lineRule="auto"/>
              <w:jc w:val="both"/>
              <w:rPr>
                <w:bCs/>
                <w:sz w:val="24"/>
                <w:szCs w:val="24"/>
              </w:rPr>
            </w:pPr>
            <w:r w:rsidRPr="004A5B97">
              <w:rPr>
                <w:bCs/>
                <w:sz w:val="24"/>
                <w:szCs w:val="24"/>
              </w:rPr>
              <w:t>T</w:t>
            </w:r>
            <w:r w:rsidRPr="004A5B97">
              <w:rPr>
                <w:bCs/>
                <w:sz w:val="24"/>
                <w:szCs w:val="24"/>
              </w:rPr>
              <w:t>he Mental Capacity Act 2005 is based on the principle that adults should be presumed to have capacity to make their own decisions unless there is evidence to show otherwise. The Act applies to people aged 16 and over. When working with children, practitioners may use Gillick Competence and the Fraser Guidelines to help determine whether a child is able to understand and make decisions about their own care (NSPCC, 2022). Although a child's views and wishes should always be listened to, their safety and wellbeing remain the main priority. Taking a child-centred approach means considering what matters to the child and involving them in decisions where possible, while ensuring that their rights are respected and that any actions taken are in their best interests (Welsh Government, 2018b).</w:t>
            </w:r>
          </w:p>
          <w:p w14:paraId="4F3F5E49" w14:textId="77777777" w:rsidR="00B878B3" w:rsidRDefault="00B878B3" w:rsidP="004A5B97">
            <w:pPr>
              <w:spacing w:line="360" w:lineRule="auto"/>
              <w:jc w:val="both"/>
              <w:rPr>
                <w:bCs/>
                <w:sz w:val="24"/>
                <w:szCs w:val="24"/>
              </w:rPr>
            </w:pPr>
          </w:p>
          <w:p w14:paraId="1C7A7B43" w14:textId="60949E52" w:rsidR="00B878B3" w:rsidRPr="004A5B97" w:rsidRDefault="00B878B3" w:rsidP="004A5B97">
            <w:pPr>
              <w:spacing w:line="360" w:lineRule="auto"/>
              <w:jc w:val="both"/>
              <w:rPr>
                <w:bCs/>
                <w:sz w:val="24"/>
                <w:szCs w:val="24"/>
              </w:rPr>
            </w:pPr>
            <w:r>
              <w:rPr>
                <w:bCs/>
                <w:sz w:val="24"/>
                <w:szCs w:val="24"/>
              </w:rPr>
              <w:lastRenderedPageBreak/>
              <w:t xml:space="preserve">Anybody can be the victim of abuse and harm; however, </w:t>
            </w:r>
            <w:r w:rsidR="00225692">
              <w:rPr>
                <w:bCs/>
                <w:sz w:val="24"/>
                <w:szCs w:val="24"/>
              </w:rPr>
              <w:t xml:space="preserve">the </w:t>
            </w:r>
            <w:r w:rsidR="00225692" w:rsidRPr="00225692">
              <w:rPr>
                <w:bCs/>
                <w:sz w:val="24"/>
                <w:szCs w:val="24"/>
              </w:rPr>
              <w:t>Office for National Statistics (2019) found that</w:t>
            </w:r>
            <w:r>
              <w:rPr>
                <w:bCs/>
                <w:sz w:val="24"/>
                <w:szCs w:val="24"/>
              </w:rPr>
              <w:t xml:space="preserve"> individuals with a learning or physical disability are 2-4 more likely to be abused. This could be down to power imbalance, </w:t>
            </w:r>
            <w:r w:rsidR="00225692">
              <w:rPr>
                <w:bCs/>
                <w:sz w:val="24"/>
                <w:szCs w:val="24"/>
              </w:rPr>
              <w:t xml:space="preserve">difficulties with reporting or unique forms of abuse which could be withholding medication or medical equipment. </w:t>
            </w:r>
          </w:p>
          <w:p w14:paraId="3599399B" w14:textId="14A2BE1B" w:rsidR="002828DD" w:rsidRDefault="002828DD" w:rsidP="00EF5A45">
            <w:pPr>
              <w:spacing w:line="360" w:lineRule="auto"/>
              <w:jc w:val="both"/>
              <w:rPr>
                <w:bCs/>
                <w:sz w:val="24"/>
                <w:szCs w:val="24"/>
              </w:rPr>
            </w:pPr>
          </w:p>
          <w:p w14:paraId="14B0A509" w14:textId="77777777" w:rsidR="00FB1F14" w:rsidRDefault="00FB1F14" w:rsidP="0023568B">
            <w:pPr>
              <w:jc w:val="both"/>
              <w:rPr>
                <w:bCs/>
                <w:sz w:val="24"/>
                <w:szCs w:val="24"/>
              </w:rPr>
            </w:pPr>
          </w:p>
          <w:p w14:paraId="455DFE9A" w14:textId="785D7B17" w:rsidR="00225692" w:rsidRPr="00225692" w:rsidRDefault="00225692" w:rsidP="0023568B">
            <w:pPr>
              <w:jc w:val="both"/>
              <w:rPr>
                <w:bCs/>
                <w:sz w:val="24"/>
                <w:szCs w:val="24"/>
              </w:rPr>
            </w:pPr>
            <w:r>
              <w:rPr>
                <w:b/>
                <w:sz w:val="24"/>
                <w:szCs w:val="24"/>
                <w:u w:val="single"/>
              </w:rPr>
              <w:t xml:space="preserve">WORD COUNT - </w:t>
            </w:r>
            <w:r>
              <w:rPr>
                <w:bCs/>
                <w:sz w:val="24"/>
                <w:szCs w:val="24"/>
              </w:rPr>
              <w:t>370</w:t>
            </w:r>
          </w:p>
          <w:p w14:paraId="57B807B6" w14:textId="77777777" w:rsidR="00FB1F14" w:rsidRPr="00EF5A45" w:rsidRDefault="00FB1F14" w:rsidP="0023568B">
            <w:pPr>
              <w:jc w:val="both"/>
              <w:rPr>
                <w:bCs/>
                <w:sz w:val="24"/>
                <w:szCs w:val="24"/>
              </w:rPr>
            </w:pPr>
          </w:p>
          <w:p w14:paraId="4A0CA8DC" w14:textId="77777777" w:rsidR="00FB1F14" w:rsidRPr="00EF5A45" w:rsidRDefault="00FB1F14" w:rsidP="0023568B">
            <w:pPr>
              <w:jc w:val="both"/>
              <w:rPr>
                <w:bCs/>
                <w:sz w:val="24"/>
                <w:szCs w:val="24"/>
              </w:rPr>
            </w:pPr>
          </w:p>
          <w:p w14:paraId="62B6CE4C" w14:textId="77777777" w:rsidR="00FB1F14" w:rsidRPr="00EF5A45" w:rsidRDefault="00FB1F14" w:rsidP="0023568B">
            <w:pPr>
              <w:jc w:val="both"/>
              <w:rPr>
                <w:bCs/>
                <w:sz w:val="24"/>
                <w:szCs w:val="24"/>
              </w:rPr>
            </w:pPr>
          </w:p>
          <w:p w14:paraId="34F8D471" w14:textId="77777777" w:rsidR="00FB1F14" w:rsidRPr="00EF5A45" w:rsidRDefault="00FB1F14" w:rsidP="00354CCC">
            <w:pPr>
              <w:jc w:val="both"/>
              <w:rPr>
                <w:bCs/>
                <w:sz w:val="24"/>
                <w:szCs w:val="24"/>
              </w:rPr>
            </w:pPr>
          </w:p>
        </w:tc>
      </w:tr>
    </w:tbl>
    <w:p w14:paraId="5784E4A8" w14:textId="77777777" w:rsidR="00FB1F14" w:rsidRDefault="00FB1F14" w:rsidP="00FB1F14">
      <w:pPr>
        <w:rPr>
          <w:sz w:val="24"/>
          <w:szCs w:val="24"/>
        </w:rPr>
      </w:pPr>
    </w:p>
    <w:p w14:paraId="6B74B4E1" w14:textId="77777777" w:rsidR="002012A0" w:rsidRDefault="002012A0"/>
    <w:sectPr w:rsidR="002012A0" w:rsidSect="00FB1F14">
      <w:headerReference w:type="default" r:id="rId8"/>
      <w:footerReference w:type="default" r:id="rId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567E4" w14:textId="77777777" w:rsidR="008F6056" w:rsidRDefault="008F6056">
      <w:r>
        <w:separator/>
      </w:r>
    </w:p>
  </w:endnote>
  <w:endnote w:type="continuationSeparator" w:id="0">
    <w:p w14:paraId="058B339D" w14:textId="77777777" w:rsidR="008F6056" w:rsidRDefault="008F60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FBBFF" w14:textId="77777777" w:rsidR="00FB1F14" w:rsidRDefault="00FB1F14">
    <w:pPr>
      <w:pStyle w:val="Footer"/>
      <w:jc w:val="right"/>
    </w:pPr>
    <w:r>
      <w:fldChar w:fldCharType="begin"/>
    </w:r>
    <w:r>
      <w:instrText xml:space="preserve"> PAGE   \* MERGEFORMAT </w:instrText>
    </w:r>
    <w:r>
      <w:fldChar w:fldCharType="separate"/>
    </w:r>
    <w:r>
      <w:rPr>
        <w:noProof/>
      </w:rPr>
      <w:t>2</w:t>
    </w:r>
    <w:r>
      <w:rPr>
        <w:noProof/>
      </w:rPr>
      <w:t>4</w:t>
    </w:r>
    <w:r>
      <w:rPr>
        <w:noProof/>
      </w:rPr>
      <w:fldChar w:fldCharType="end"/>
    </w:r>
  </w:p>
  <w:p w14:paraId="21FBD957" w14:textId="77777777" w:rsidR="00FB1F14" w:rsidRPr="00E60F42" w:rsidRDefault="00FB1F14"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7ADD0" w14:textId="77777777" w:rsidR="008F6056" w:rsidRDefault="008F6056">
      <w:r>
        <w:separator/>
      </w:r>
    </w:p>
  </w:footnote>
  <w:footnote w:type="continuationSeparator" w:id="0">
    <w:p w14:paraId="1E67D249" w14:textId="77777777" w:rsidR="008F6056" w:rsidRDefault="008F60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63C28" w14:textId="77777777" w:rsidR="00FB1F14" w:rsidRDefault="00FB1F14">
    <w:pPr>
      <w:pStyle w:val="Header"/>
    </w:pPr>
    <w:r>
      <w:t xml:space="preserve">Version 1_Cohort 15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F14"/>
    <w:rsid w:val="00017FE5"/>
    <w:rsid w:val="000A0D9A"/>
    <w:rsid w:val="00173F8A"/>
    <w:rsid w:val="002012A0"/>
    <w:rsid w:val="00225692"/>
    <w:rsid w:val="002828DD"/>
    <w:rsid w:val="00284D68"/>
    <w:rsid w:val="002A3A4D"/>
    <w:rsid w:val="002B077D"/>
    <w:rsid w:val="00354CCC"/>
    <w:rsid w:val="004A5B97"/>
    <w:rsid w:val="00534744"/>
    <w:rsid w:val="00541B0B"/>
    <w:rsid w:val="005D7C6F"/>
    <w:rsid w:val="006134BC"/>
    <w:rsid w:val="00755B8A"/>
    <w:rsid w:val="00841AB2"/>
    <w:rsid w:val="008A0CBA"/>
    <w:rsid w:val="008A1F95"/>
    <w:rsid w:val="008F6056"/>
    <w:rsid w:val="00A240FD"/>
    <w:rsid w:val="00A52497"/>
    <w:rsid w:val="00B878B3"/>
    <w:rsid w:val="00CC6A06"/>
    <w:rsid w:val="00CD7055"/>
    <w:rsid w:val="00E231D0"/>
    <w:rsid w:val="00ED4E1B"/>
    <w:rsid w:val="00EE24FE"/>
    <w:rsid w:val="00EF5A45"/>
    <w:rsid w:val="00F16365"/>
    <w:rsid w:val="00F8060F"/>
    <w:rsid w:val="00FB1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5F998"/>
  <w15:chartTrackingRefBased/>
  <w15:docId w15:val="{FACD7959-364A-4E3B-8C84-C9F208310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F14"/>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FB1F14"/>
    <w:pPr>
      <w:keepNext/>
      <w:keepLines/>
      <w:overflowPunct/>
      <w:autoSpaceDE/>
      <w:autoSpaceDN/>
      <w:adjustRightInd/>
      <w:spacing w:before="360" w:after="80" w:line="278" w:lineRule="auto"/>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B1F14"/>
    <w:pPr>
      <w:keepNext/>
      <w:keepLines/>
      <w:overflowPunct/>
      <w:autoSpaceDE/>
      <w:autoSpaceDN/>
      <w:adjustRightInd/>
      <w:spacing w:before="160" w:after="80" w:line="278" w:lineRule="auto"/>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B1F14"/>
    <w:pPr>
      <w:keepNext/>
      <w:keepLines/>
      <w:overflowPunct/>
      <w:autoSpaceDE/>
      <w:autoSpaceDN/>
      <w:adjustRightInd/>
      <w:spacing w:before="160" w:after="80" w:line="278" w:lineRule="auto"/>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B1F14"/>
    <w:pPr>
      <w:keepNext/>
      <w:keepLines/>
      <w:overflowPunct/>
      <w:autoSpaceDE/>
      <w:autoSpaceDN/>
      <w:adjustRightInd/>
      <w:spacing w:before="80" w:after="40" w:line="278" w:lineRule="auto"/>
      <w:textAlignment w:val="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FB1F14"/>
    <w:pPr>
      <w:keepNext/>
      <w:keepLines/>
      <w:overflowPunct/>
      <w:autoSpaceDE/>
      <w:autoSpaceDN/>
      <w:adjustRightInd/>
      <w:spacing w:before="80" w:after="40" w:line="278" w:lineRule="auto"/>
      <w:textAlignment w:val="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FB1F14"/>
    <w:pPr>
      <w:keepNext/>
      <w:keepLines/>
      <w:overflowPunct/>
      <w:autoSpaceDE/>
      <w:autoSpaceDN/>
      <w:adjustRightInd/>
      <w:spacing w:before="40" w:line="278" w:lineRule="auto"/>
      <w:textAlignment w:val="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FB1F14"/>
    <w:pPr>
      <w:keepNext/>
      <w:keepLines/>
      <w:overflowPunct/>
      <w:autoSpaceDE/>
      <w:autoSpaceDN/>
      <w:adjustRightInd/>
      <w:spacing w:before="40" w:line="278" w:lineRule="auto"/>
      <w:textAlignment w:val="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FB1F14"/>
    <w:pPr>
      <w:keepNext/>
      <w:keepLines/>
      <w:overflowPunct/>
      <w:autoSpaceDE/>
      <w:autoSpaceDN/>
      <w:adjustRightInd/>
      <w:spacing w:line="278" w:lineRule="auto"/>
      <w:textAlignment w:val="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FB1F14"/>
    <w:pPr>
      <w:keepNext/>
      <w:keepLines/>
      <w:overflowPunct/>
      <w:autoSpaceDE/>
      <w:autoSpaceDN/>
      <w:adjustRightInd/>
      <w:spacing w:line="278" w:lineRule="auto"/>
      <w:textAlignment w:val="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F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F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F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F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F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F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F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F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F14"/>
    <w:rPr>
      <w:rFonts w:eastAsiaTheme="majorEastAsia" w:cstheme="majorBidi"/>
      <w:color w:val="272727" w:themeColor="text1" w:themeTint="D8"/>
    </w:rPr>
  </w:style>
  <w:style w:type="paragraph" w:styleId="Title">
    <w:name w:val="Title"/>
    <w:basedOn w:val="Normal"/>
    <w:next w:val="Normal"/>
    <w:link w:val="TitleChar"/>
    <w:uiPriority w:val="10"/>
    <w:qFormat/>
    <w:rsid w:val="00FB1F14"/>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B1F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F14"/>
    <w:pPr>
      <w:numPr>
        <w:ilvl w:val="1"/>
      </w:numPr>
      <w:overflowPunct/>
      <w:autoSpaceDE/>
      <w:autoSpaceDN/>
      <w:adjustRightInd/>
      <w:spacing w:after="160" w:line="278"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B1F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F14"/>
    <w:pPr>
      <w:overflowPunct/>
      <w:autoSpaceDE/>
      <w:autoSpaceDN/>
      <w:adjustRightInd/>
      <w:spacing w:before="160" w:after="160" w:line="278" w:lineRule="auto"/>
      <w:jc w:val="center"/>
      <w:textAlignment w:val="auto"/>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FB1F14"/>
    <w:rPr>
      <w:i/>
      <w:iCs/>
      <w:color w:val="404040" w:themeColor="text1" w:themeTint="BF"/>
    </w:rPr>
  </w:style>
  <w:style w:type="paragraph" w:styleId="ListParagraph">
    <w:name w:val="List Paragraph"/>
    <w:basedOn w:val="Normal"/>
    <w:uiPriority w:val="34"/>
    <w:qFormat/>
    <w:rsid w:val="00FB1F14"/>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 w:type="character" w:styleId="IntenseEmphasis">
    <w:name w:val="Intense Emphasis"/>
    <w:basedOn w:val="DefaultParagraphFont"/>
    <w:uiPriority w:val="21"/>
    <w:qFormat/>
    <w:rsid w:val="00FB1F14"/>
    <w:rPr>
      <w:i/>
      <w:iCs/>
      <w:color w:val="0F4761" w:themeColor="accent1" w:themeShade="BF"/>
    </w:rPr>
  </w:style>
  <w:style w:type="paragraph" w:styleId="IntenseQuote">
    <w:name w:val="Intense Quote"/>
    <w:basedOn w:val="Normal"/>
    <w:next w:val="Normal"/>
    <w:link w:val="IntenseQuoteChar"/>
    <w:uiPriority w:val="30"/>
    <w:qFormat/>
    <w:rsid w:val="00FB1F14"/>
    <w:pPr>
      <w:pBdr>
        <w:top w:val="single" w:sz="4" w:space="10" w:color="0F4761" w:themeColor="accent1" w:themeShade="BF"/>
        <w:bottom w:val="single" w:sz="4" w:space="10" w:color="0F4761" w:themeColor="accent1" w:themeShade="BF"/>
      </w:pBdr>
      <w:overflowPunct/>
      <w:autoSpaceDE/>
      <w:autoSpaceDN/>
      <w:adjustRightInd/>
      <w:spacing w:before="360" w:after="360" w:line="278" w:lineRule="auto"/>
      <w:ind w:left="864" w:right="864"/>
      <w:jc w:val="center"/>
      <w:textAlignment w:val="auto"/>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FB1F14"/>
    <w:rPr>
      <w:i/>
      <w:iCs/>
      <w:color w:val="0F4761" w:themeColor="accent1" w:themeShade="BF"/>
    </w:rPr>
  </w:style>
  <w:style w:type="character" w:styleId="IntenseReference">
    <w:name w:val="Intense Reference"/>
    <w:basedOn w:val="DefaultParagraphFont"/>
    <w:uiPriority w:val="32"/>
    <w:qFormat/>
    <w:rsid w:val="00FB1F14"/>
    <w:rPr>
      <w:b/>
      <w:bCs/>
      <w:smallCaps/>
      <w:color w:val="0F4761" w:themeColor="accent1" w:themeShade="BF"/>
      <w:spacing w:val="5"/>
    </w:rPr>
  </w:style>
  <w:style w:type="paragraph" w:styleId="Header">
    <w:name w:val="header"/>
    <w:basedOn w:val="Normal"/>
    <w:link w:val="HeaderChar"/>
    <w:semiHidden/>
    <w:rsid w:val="00FB1F14"/>
    <w:pPr>
      <w:tabs>
        <w:tab w:val="center" w:pos="4320"/>
        <w:tab w:val="right" w:pos="8640"/>
      </w:tabs>
    </w:pPr>
  </w:style>
  <w:style w:type="character" w:customStyle="1" w:styleId="HeaderChar">
    <w:name w:val="Header Char"/>
    <w:basedOn w:val="DefaultParagraphFont"/>
    <w:link w:val="Header"/>
    <w:semiHidden/>
    <w:rsid w:val="00FB1F14"/>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FB1F14"/>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FB1F14"/>
    <w:rPr>
      <w:rFonts w:ascii="Arial" w:eastAsia="Times New Roman" w:hAnsi="Arial" w:cs="Times New Roman"/>
      <w:color w:val="000000"/>
      <w:kern w:val="0"/>
      <w:sz w:val="20"/>
      <w:szCs w:val="20"/>
      <w:lang w:val="x-none" w:eastAsia="x-none"/>
      <w14:ligatures w14:val="none"/>
    </w:rPr>
  </w:style>
  <w:style w:type="character" w:styleId="Hyperlink">
    <w:name w:val="Hyperlink"/>
    <w:rsid w:val="00FB1F14"/>
    <w:rPr>
      <w:color w:val="0000FF"/>
      <w:u w:val="single"/>
    </w:rPr>
  </w:style>
  <w:style w:type="character" w:styleId="UnresolvedMention">
    <w:name w:val="Unresolved Mention"/>
    <w:basedOn w:val="DefaultParagraphFont"/>
    <w:uiPriority w:val="99"/>
    <w:semiHidden/>
    <w:unhideWhenUsed/>
    <w:rsid w:val="00282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mailto:2434866@student.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336</TotalTime>
  <Pages>5</Pages>
  <Words>990</Words>
  <Characters>5647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sharley</dc:creator>
  <cp:keywords/>
  <dc:description/>
  <cp:lastModifiedBy>rob sharley</cp:lastModifiedBy>
  <cp:revision>9</cp:revision>
  <dcterms:created xsi:type="dcterms:W3CDTF">2026-10-05T07:39:00Z</dcterms:created>
  <dcterms:modified xsi:type="dcterms:W3CDTF">2026-10-05T20:50:00Z</dcterms:modified>
</cp:coreProperties>
</file>