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notes.xml" ContentType="application/vnd.openxmlformats-officedocument.wordprocessingml.footnotes+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Georgia" w:hAnsi="Georgia" w:eastAsia="Georgia" w:cs="Georgia"/>
          <w:color w:val="000000"/>
          <w:sz w:val="21"/>
          <w:szCs w:val="21"/>
          <w:u w:val="none" w:color="000000"/>
        </w:rPr>
      </w:pPr>
      <w:r>
        <w:rPr/>
        <w:drawing>
          <wp:inline distT="0" distB="0" distL="0" distR="0">
            <wp:extent cx="1908175" cy="63627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908175" cy="636270"/>
                    </a:xfrm>
                    <a:prstGeom prst="rect">
                      <a:avLst/>
                    </a:prstGeom>
                  </pic:spPr>
                </pic:pic>
              </a:graphicData>
            </a:graphic>
          </wp:inline>
        </w:drawing>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 xml:space="preserve">Postgraduate/Distance Learning </w:t>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Assignment coversheet &amp; feedback form</w:t>
      </w:r>
    </w:p>
    <w:p>
      <w:pPr>
        <w:pStyle w:val="Body"/>
        <w:rPr>
          <w:rFonts w:ascii="Arial" w:hAnsi="Arial" w:eastAsia="Arial" w:cs="Arial"/>
          <w:sz w:val="28"/>
          <w:szCs w:val="28"/>
          <w:u w:val="none" w:color="000000"/>
        </w:rPr>
      </w:pPr>
      <w:r>
        <w:rPr>
          <w:rFonts w:eastAsia="Arial" w:cs="Arial" w:ascii="Arial" w:hAnsi="Arial"/>
          <w:sz w:val="28"/>
          <w:szCs w:val="28"/>
          <w:u w:val="none" w:color="000000"/>
        </w:rPr>
      </w:r>
    </w:p>
    <w:p>
      <w:pPr>
        <w:pStyle w:val="Heading3"/>
        <w:pBdr>
          <w:top w:val="nil"/>
        </w:pBdr>
        <w:spacing w:lineRule="auto" w:line="240" w:before="0" w:after="0"/>
        <w:ind w:left="720" w:hanging="0"/>
        <w:jc w:val="center"/>
        <w:rPr>
          <w:rFonts w:ascii="Tahoma Bold" w:hAnsi="Tahoma Bold" w:eastAsia="Tahoma Bold" w:cs="Tahoma Bold"/>
          <w:spacing w:val="0"/>
          <w:sz w:val="20"/>
          <w:szCs w:val="20"/>
          <w:u w:val="none" w:color="000000"/>
        </w:rPr>
      </w:pPr>
      <w:r>
        <w:rPr>
          <w:rFonts w:ascii="Tahoma Bold" w:hAnsi="Tahoma Bold"/>
          <w:spacing w:val="0"/>
          <w:sz w:val="20"/>
          <w:szCs w:val="20"/>
          <w:u w:val="none" w:color="000000"/>
        </w:rPr>
        <w:t>THIS SHEET MUST BE THE FIRST PAGE OF THE ASSIGNMENT YOU ARE SUBMITTING (DO NOT SEND AS A SEPARATE FILE)</w:t>
      </w:r>
    </w:p>
    <w:p>
      <w:pPr>
        <w:pStyle w:val="Heading3"/>
        <w:pBdr>
          <w:top w:val="nil"/>
        </w:pBdr>
        <w:spacing w:lineRule="auto" w:line="240" w:before="0" w:after="0"/>
        <w:ind w:left="720" w:hanging="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tbl>
      <w:tblPr>
        <w:tblW w:w="8856" w:type="dxa"/>
        <w:jc w:val="center"/>
        <w:tblInd w:w="0" w:type="dxa"/>
        <w:tblLayout w:type="fixed"/>
        <w:tblCellMar>
          <w:top w:w="80" w:type="dxa"/>
          <w:left w:w="80" w:type="dxa"/>
          <w:bottom w:w="80" w:type="dxa"/>
          <w:right w:w="114" w:type="dxa"/>
        </w:tblCellMar>
        <w:tblLook w:firstRow="0" w:noVBand="0" w:lastRow="0" w:firstColumn="0" w:lastColumn="0" w:noHBand="0" w:val="0000"/>
      </w:tblPr>
      <w:tblGrid>
        <w:gridCol w:w="4788"/>
        <w:gridCol w:w="421"/>
        <w:gridCol w:w="1556"/>
        <w:gridCol w:w="287"/>
        <w:gridCol w:w="1804"/>
      </w:tblGrid>
      <w:tr>
        <w:trPr>
          <w:trHeight w:val="454"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b/>
                <w:bCs/>
                <w:color w:val="000000"/>
                <w:sz w:val="22"/>
                <w:szCs w:val="22"/>
                <w:u w:val="none" w:color="000000"/>
              </w:rPr>
              <w:t>For completion by the student</w:t>
            </w:r>
            <w:r>
              <w:rPr>
                <w:rFonts w:eastAsia="Arial Unicode MS" w:cs="Arial Unicode MS" w:ascii="Arial" w:hAnsi="Arial"/>
                <w:color w:val="000000"/>
                <w:sz w:val="22"/>
                <w:szCs w:val="22"/>
                <w:u w:val="none" w:color="000000"/>
              </w:rPr>
              <w:t>:</w:t>
            </w:r>
          </w:p>
        </w:tc>
      </w:tr>
      <w:tr>
        <w:trPr>
          <w:trHeight w:val="55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Name: Rebecca Booker</w:t>
            </w:r>
          </w:p>
        </w:tc>
      </w:tr>
      <w:tr>
        <w:trPr>
          <w:trHeight w:val="1443" w:hRule="atLeast"/>
          <w:cantSplit w:val="true"/>
        </w:trPr>
        <w:tc>
          <w:tcPr>
            <w:tcW w:w="478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Module code: HPCA7016</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Module title: Researching Contemporary Cosmologies</w:t>
            </w:r>
          </w:p>
          <w:p>
            <w:pPr>
              <w:pStyle w:val="Normal"/>
              <w:widowControl w:val="false"/>
              <w:ind w:right="34" w:hanging="0"/>
              <w:rPr/>
            </w:pPr>
            <w:r>
              <w:rPr/>
            </w:r>
          </w:p>
        </w:tc>
        <w:tc>
          <w:tcPr>
            <w:tcW w:w="2264"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ID number:  2218810</w:t>
            </w:r>
          </w:p>
        </w:tc>
        <w:tc>
          <w:tcPr>
            <w:tcW w:w="1804"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Educational support needs:</w:t>
            </w:r>
          </w:p>
          <w:p>
            <w:pPr>
              <w:pStyle w:val="Normal"/>
              <w:widowControl w:val="false"/>
              <w:ind w:right="34" w:hanging="0"/>
              <w:rPr/>
            </w:pPr>
            <w:r>
              <w:rPr>
                <w:rFonts w:eastAsia="Arial Unicode MS" w:cs="Arial Unicode MS" w:ascii="Arial" w:hAnsi="Arial"/>
                <w:color w:val="000000"/>
                <w:sz w:val="22"/>
                <w:szCs w:val="22"/>
                <w:u w:val="none" w:color="000000"/>
              </w:rPr>
              <w:t>/No</w:t>
            </w:r>
          </w:p>
        </w:tc>
      </w:tr>
      <w:tr>
        <w:trPr>
          <w:trHeight w:val="979"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 xml:space="preserve">Module tutor:  </w:t>
            </w:r>
            <w:r>
              <w:rPr>
                <w:rFonts w:eastAsia="Arial" w:cs="Arial" w:ascii="Arial" w:hAnsi="Arial"/>
                <w:color w:val="000000"/>
                <w:sz w:val="22"/>
                <w:szCs w:val="22"/>
                <w:u w:val="none" w:color="000000"/>
              </w:rPr>
              <w:t>Jack Hunter</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pPr>
            <w:r>
              <w:rPr>
                <w:rFonts w:eastAsia="Arial Unicode MS" w:cs="Arial Unicode MS" w:ascii="Arial" w:hAnsi="Arial"/>
                <w:color w:val="000000"/>
                <w:sz w:val="22"/>
                <w:szCs w:val="22"/>
                <w:u w:val="none" w:color="000000"/>
              </w:rPr>
              <w:t>Assignment due date: 15.03.2024</w:t>
            </w:r>
          </w:p>
        </w:tc>
      </w:tr>
      <w:tr>
        <w:trPr>
          <w:trHeight w:val="81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u w:val="none" w:color="000000"/>
              </w:rPr>
            </w:pPr>
            <w:r>
              <w:rPr>
                <w:rFonts w:ascii="Arial" w:hAnsi="Arial"/>
                <w:u w:val="none" w:color="000000"/>
                <w:lang w:val="en-US"/>
              </w:rPr>
              <w:t>If your module has multiple submissions, please indicate which piece of work this is.</w:t>
            </w:r>
          </w:p>
          <w:p>
            <w:pPr>
              <w:pStyle w:val="Body"/>
              <w:widowControl w:val="false"/>
              <w:rPr>
                <w:rFonts w:ascii="Arial" w:hAnsi="Arial" w:eastAsia="Arial" w:cs="Arial"/>
                <w:u w:val="none" w:color="000000"/>
                <w:lang w:val="en-US"/>
              </w:rPr>
            </w:pPr>
            <w:r>
              <w:rPr>
                <w:rFonts w:eastAsia="Arial" w:cs="Arial" w:ascii="Arial" w:hAnsi="Arial"/>
                <w:u w:val="none" w:color="000000"/>
                <w:lang w:val="en-US"/>
              </w:rPr>
            </w:r>
          </w:p>
          <w:p>
            <w:pPr>
              <w:pStyle w:val="Body"/>
              <w:widowControl w:val="false"/>
              <w:rPr>
                <w:rFonts w:ascii="Arial" w:hAnsi="Arial"/>
                <w:u w:val="none" w:color="000000"/>
                <w:lang w:val="en-US"/>
              </w:rPr>
            </w:pPr>
            <w:r>
              <w:rPr>
                <w:rFonts w:ascii="Arial" w:hAnsi="Arial"/>
                <w:u w:val="none" w:color="000000"/>
                <w:lang w:val="en-US"/>
              </w:rPr>
              <w:t>1st</w:t>
            </w:r>
          </w:p>
        </w:tc>
      </w:tr>
      <w:tr>
        <w:trPr>
          <w:trHeight w:val="1537"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I confirm that this is my original work and that I have adhered to the University policy on plagiarism.</w:t>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Signed (type your name in) Rebecca Booker………… ……………………………………………</w:t>
            </w:r>
          </w:p>
          <w:p>
            <w:pPr>
              <w:pStyle w:val="Normal"/>
              <w:widowControl w:val="false"/>
              <w:ind w:right="34" w:hanging="0"/>
              <w:rPr>
                <w:rFonts w:ascii="Calibri" w:hAnsi="Calibri" w:eastAsia="Calibri" w:cs="Calibri"/>
                <w:b/>
                <w:b/>
                <w:bCs/>
                <w:color w:val="000000"/>
                <w:sz w:val="44"/>
                <w:szCs w:val="44"/>
                <w:u w:val="none" w:color="000000"/>
              </w:rPr>
            </w:pPr>
            <w:r>
              <w:rPr>
                <w:rFonts w:eastAsia="Arial Unicode MS" w:cs="Arial Unicode MS" w:ascii="Calibri" w:hAnsi="Calibri"/>
                <w:b/>
                <w:bCs/>
                <w:color w:val="000000"/>
                <w:u w:val="none" w:color="000000"/>
              </w:rPr>
              <w:t xml:space="preserve">Email submission: if you are submitting this form via email, please tick this box </w:t>
            </w:r>
            <w:r>
              <w:rPr>
                <w:rFonts w:eastAsia="Arial Unicode MS" w:cs="Arial Unicode MS" w:ascii="Calibri" w:hAnsi="Calibri"/>
                <w:b/>
                <w:bCs/>
                <w:color w:val="000000"/>
                <w:sz w:val="44"/>
                <w:szCs w:val="44"/>
                <w:u w:val="none" w:color="000000"/>
              </w:rPr>
              <w:t>□</w:t>
            </w:r>
          </w:p>
          <w:p>
            <w:pPr>
              <w:pStyle w:val="Normal"/>
              <w:widowControl w:val="false"/>
              <w:ind w:right="34" w:hanging="0"/>
              <w:rPr/>
            </w:pPr>
            <w:r>
              <w:rPr>
                <w:rFonts w:eastAsia="Arial Unicode MS" w:cs="Arial Unicode MS" w:ascii="Calibri" w:hAnsi="Calibri"/>
                <w:b/>
                <w:bCs/>
                <w:color w:val="000000"/>
                <w:u w:val="none" w:color="000000"/>
              </w:rPr>
              <w:t>(as a substitute for your signature) to confirm that you agree to the above declaration.</w:t>
            </w:r>
          </w:p>
        </w:tc>
      </w:tr>
      <w:tr>
        <w:trPr>
          <w:trHeight w:val="3812"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Assignment Mark</w:t>
            </w:r>
          </w:p>
          <w:p>
            <w:pPr>
              <w:pStyle w:val="Body"/>
              <w:widowControl w:val="false"/>
              <w:rPr>
                <w:rFonts w:ascii="Arial" w:hAnsi="Arial" w:eastAsia="Arial" w:cs="Arial"/>
                <w:sz w:val="20"/>
                <w:szCs w:val="20"/>
                <w:u w:val="none" w:color="000000"/>
                <w:lang w:val="en-US"/>
              </w:rPr>
            </w:pPr>
            <w:r>
              <w:rPr>
                <w:rFonts w:eastAsia="Arial" w:cs="Arial" w:ascii="Arial" w:hAnsi="Arial"/>
                <w:sz w:val="20"/>
                <w:szCs w:val="20"/>
                <w:u w:val="none" w:color="000000"/>
                <w:lang w:val="en-US"/>
              </w:rPr>
            </w:r>
          </w:p>
          <w:p>
            <w:pPr>
              <w:pStyle w:val="Body"/>
              <w:widowControl w:val="false"/>
              <w:rPr>
                <w:rFonts w:ascii="Arial" w:hAnsi="Arial" w:eastAsia="Arial" w:cs="Arial"/>
                <w:b/>
                <w:b/>
                <w:bCs/>
                <w:sz w:val="20"/>
                <w:szCs w:val="20"/>
                <w:u w:val="none" w:color="000000"/>
              </w:rPr>
            </w:pPr>
            <w:r>
              <w:rPr>
                <w:rFonts w:ascii="Arial" w:hAnsi="Arial"/>
                <w:b/>
                <w:bCs/>
                <w:sz w:val="20"/>
                <w:szCs w:val="20"/>
                <w:u w:val="none" w:color="000000"/>
                <w:lang w:val="en-US"/>
              </w:rPr>
              <w:t>Final Mark</w:t>
            </w:r>
          </w:p>
          <w:p>
            <w:pPr>
              <w:pStyle w:val="Body"/>
              <w:widowControl w:val="false"/>
              <w:rPr>
                <w:rFonts w:ascii="Arial" w:hAnsi="Arial" w:eastAsia="Arial" w:cs="Arial"/>
                <w:sz w:val="20"/>
                <w:szCs w:val="20"/>
                <w:u w:val="none" w:color="000000"/>
                <w:lang w:val="en-US"/>
              </w:rPr>
            </w:pPr>
            <w:r>
              <w:rPr>
                <w:rFonts w:eastAsia="Arial" w:cs="Arial" w:ascii="Arial" w:hAnsi="Arial"/>
                <w:b/>
                <w:bCs/>
                <w:sz w:val="20"/>
                <w:szCs w:val="20"/>
                <w:u w:val="none" w:color="000000"/>
              </w:rPr>
              <w:tab/>
            </w:r>
            <w:r>
              <w:rPr>
                <w:rFonts w:ascii="Arial" w:hAnsi="Arial"/>
                <w:sz w:val="20"/>
                <w:szCs w:val="20"/>
                <w:u w:val="none" w:color="000000"/>
                <w:lang w:val="en-US"/>
              </w:rPr>
              <w:t>WILL BE GIVEN ON TURNITIN</w:t>
            </w:r>
          </w:p>
          <w:p>
            <w:pPr>
              <w:pStyle w:val="Normal"/>
              <w:widowControl w:val="false"/>
              <w:ind w:left="142" w:right="34" w:hanging="0"/>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ind w:left="142" w:right="34" w:hanging="0"/>
              <w:rPr>
                <w:rFonts w:ascii="Arial" w:hAnsi="Arial" w:eastAsia="Arial" w:cs="Arial"/>
                <w:color w:val="000000"/>
                <w:sz w:val="22"/>
                <w:szCs w:val="22"/>
                <w:u w:val="none" w:color="000000"/>
              </w:rPr>
            </w:pPr>
            <w:r>
              <w:rPr>
                <w:rFonts w:eastAsia="Arial Unicode MS" w:cs="Arial Unicode MS" w:ascii="Arial" w:hAnsi="Arial"/>
                <w:b/>
                <w:bCs/>
                <w:color w:val="000000"/>
                <w:sz w:val="22"/>
                <w:szCs w:val="22"/>
                <w:u w:val="none" w:color="000000"/>
              </w:rPr>
              <w:t>NB.</w:t>
            </w:r>
            <w:r>
              <w:rPr>
                <w:rFonts w:eastAsia="Arial Unicode MS" w:cs="Arial Unicode MS" w:ascii="Arial" w:hAnsi="Arial"/>
                <w:color w:val="000000"/>
                <w:sz w:val="22"/>
                <w:szCs w:val="22"/>
                <w:u w:val="none" w:color="000000"/>
              </w:rPr>
              <w:t xml:space="preserve">  All marks are provisional until confirmed by the Final Examination Board.</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PLEASE NOTE: ALL COMMENTS WILL BE POSTED ON TURNITIN</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1:</w:t>
            </w:r>
          </w:p>
          <w:p>
            <w:pPr>
              <w:pStyle w:val="Normal"/>
              <w:widowControl w:val="false"/>
              <w:spacing w:before="100" w:after="100"/>
              <w:rPr/>
            </w:pPr>
            <w:r>
              <w:rPr>
                <w:rFonts w:eastAsia="Arial Unicode MS" w:cs="Arial Unicode MS" w:ascii="Arial" w:hAnsi="Arial"/>
                <w:color w:val="000000"/>
                <w:sz w:val="22"/>
                <w:szCs w:val="22"/>
                <w:u w:val="none" w:color="000000"/>
              </w:rPr>
              <w:t>Comments:</w:t>
            </w:r>
          </w:p>
        </w:tc>
      </w:tr>
      <w:tr>
        <w:trPr>
          <w:trHeight w:val="332" w:hRule="atLeast"/>
          <w:cantSplit w:val="true"/>
        </w:trPr>
        <w:tc>
          <w:tcPr>
            <w:tcW w:w="6765" w:type="dxa"/>
            <w:gridSpan w:val="3"/>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Marker’s signature:</w:t>
            </w:r>
          </w:p>
        </w:tc>
        <w:tc>
          <w:tcPr>
            <w:tcW w:w="2091" w:type="dxa"/>
            <w:gridSpan w:val="2"/>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Date:</w:t>
            </w:r>
          </w:p>
        </w:tc>
      </w:tr>
      <w:tr>
        <w:trPr>
          <w:trHeight w:val="168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rFonts w:ascii="Arial" w:hAnsi="Arial" w:eastAsia="Arial" w:cs="Arial"/>
                <w:i/>
                <w:i/>
                <w:iCs/>
                <w:color w:val="000000"/>
                <w:sz w:val="22"/>
                <w:szCs w:val="22"/>
                <w:u w:val="none" w:color="000000"/>
              </w:rPr>
            </w:pPr>
            <w:r>
              <w:rPr>
                <w:rFonts w:eastAsia="Arial" w:cs="Arial" w:ascii="Arial" w:hAnsi="Arial"/>
                <w:i/>
                <w:i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2/Moderator:</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Comments:</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Date:</w:t>
            </w:r>
          </w:p>
        </w:tc>
      </w:tr>
      <w:tr>
        <w:trPr>
          <w:trHeight w:val="264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AGREED INTERNAL MARK (where necessary):</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Comment on process of arriving at agreed mark:</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pPr>
            <w:r>
              <w:rPr/>
            </w:r>
          </w:p>
        </w:tc>
      </w:tr>
      <w:tr>
        <w:trPr>
          <w:trHeight w:val="192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External Examiner’s comments (if relevant)</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Date:</w:t>
            </w:r>
          </w:p>
        </w:tc>
      </w:tr>
    </w:tbl>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rPr>
          <w:rFonts w:ascii="Times New Roman" w:hAnsi="Times New Roman" w:eastAsia="Times New Roman" w:cs="Times New Roman"/>
        </w:rPr>
      </w:pPr>
      <w:r>
        <w:rPr>
          <w:rFonts w:eastAsia="Times New Roman" w:cs="Times New Roman" w:ascii="Times New Roman" w:hAnsi="Times New Roman"/>
        </w:rPr>
      </w:r>
    </w:p>
    <w:p>
      <w:pPr>
        <w:pStyle w:val="Body"/>
        <w:jc w:val="both"/>
        <w:rPr>
          <w:rFonts w:ascii="Verdana Pro Light" w:hAnsi="Verdana Pro Light"/>
        </w:rPr>
      </w:pPr>
      <w:r>
        <w:rPr>
          <w:rFonts w:ascii="Verdana Pro Light" w:hAnsi="Verdana Pro Light"/>
          <w:b/>
          <w:bCs/>
        </w:rPr>
        <w:t xml:space="preserve">A critical comparison of two secondary sources. </w:t>
      </w:r>
    </w:p>
    <w:p>
      <w:pPr>
        <w:pStyle w:val="Body"/>
        <w:jc w:val="both"/>
        <w:rPr>
          <w:rFonts w:ascii="Arial Nova Light" w:hAnsi="Arial Nova Light"/>
        </w:rPr>
      </w:pPr>
      <w:r>
        <w:rPr>
          <w:rFonts w:ascii="Arial Nova Light" w:hAnsi="Arial Nova Light"/>
        </w:rPr>
        <w:tab/>
      </w:r>
    </w:p>
    <w:p>
      <w:pPr>
        <w:pStyle w:val="TextBody"/>
        <w:jc w:val="both"/>
        <w:rPr>
          <w:rFonts w:ascii="Verdana Pro Light" w:hAnsi="Verdana Pro Light"/>
          <w:b/>
          <w:b/>
          <w:bCs/>
        </w:rPr>
      </w:pPr>
      <w:r>
        <w:rPr>
          <w:rFonts w:ascii="Verdana Pro Light" w:hAnsi="Verdana Pro Light"/>
          <w:b/>
          <w:bCs/>
        </w:rPr>
        <w:t>Introduction</w:t>
      </w:r>
    </w:p>
    <w:p>
      <w:pPr>
        <w:pStyle w:val="TextBody"/>
        <w:jc w:val="both"/>
        <w:rPr>
          <w:rFonts w:ascii="Verdana Pro Light" w:hAnsi="Verdana Pro Light"/>
        </w:rPr>
      </w:pPr>
      <w:r>
        <w:rPr>
          <w:rFonts w:ascii="Verdana Pro Light" w:hAnsi="Verdana Pro Light"/>
        </w:rPr>
        <w:tab/>
        <w:t xml:space="preserve">This essay compares and contrasts Tony Walter and Helen Waterhouse’s article on ‘A Very Private Belief: Reincarnation in Contemporary England’ published in the online journal </w:t>
      </w:r>
      <w:r>
        <w:rPr>
          <w:rFonts w:ascii="Verdana Pro Light" w:hAnsi="Verdana Pro Light"/>
          <w:i/>
          <w:iCs/>
        </w:rPr>
        <w:t>Sociology of Religion</w:t>
      </w:r>
      <w:r>
        <w:rPr>
          <w:rFonts w:ascii="Verdana Pro Light" w:hAnsi="Verdana Pro Light"/>
        </w:rPr>
        <w:t xml:space="preserve"> in 1999</w:t>
      </w:r>
      <w:r>
        <w:rPr>
          <w:rStyle w:val="FootnoteAnchor"/>
          <w:rFonts w:ascii="Verdana Pro Light" w:hAnsi="Verdana Pro Light"/>
        </w:rPr>
        <w:footnoteReference w:id="2"/>
      </w:r>
      <w:r>
        <w:rPr>
          <w:rFonts w:ascii="Verdana Pro Light" w:hAnsi="Verdana Pro Light"/>
        </w:rPr>
        <w:t xml:space="preserve">, with T. L. Brink ‘s article on the ‘Inconsistency of Belief among Roman Catholic Girls: Concerning Religion, Astrology, Reincarnation’ published in </w:t>
      </w:r>
      <w:r>
        <w:rPr>
          <w:rFonts w:ascii="Verdana Pro Light" w:hAnsi="Verdana Pro Light"/>
          <w:i/>
          <w:iCs/>
        </w:rPr>
        <w:t>Review of Religious Research</w:t>
      </w:r>
      <w:r>
        <w:rPr>
          <w:rFonts w:ascii="Verdana Pro Light" w:hAnsi="Verdana Pro Light"/>
        </w:rPr>
        <w:t xml:space="preserve"> in 1978</w:t>
      </w:r>
      <w:r>
        <w:rPr>
          <w:rStyle w:val="FootnoteAnchor"/>
          <w:rFonts w:ascii="Verdana Pro Light" w:hAnsi="Verdana Pro Light"/>
        </w:rPr>
        <w:footnoteReference w:id="3"/>
      </w:r>
      <w:r>
        <w:rPr>
          <w:rFonts w:ascii="Verdana Pro Light" w:hAnsi="Verdana Pro Light"/>
        </w:rPr>
        <w:t xml:space="preserve">. </w:t>
      </w:r>
    </w:p>
    <w:p>
      <w:pPr>
        <w:pStyle w:val="TextBody"/>
        <w:jc w:val="both"/>
        <w:rPr>
          <w:rFonts w:ascii="Verdana Pro Light" w:hAnsi="Verdana Pro Light"/>
        </w:rPr>
      </w:pPr>
      <w:r>
        <w:rPr>
          <w:rFonts w:ascii="Verdana Pro Light" w:hAnsi="Verdana Pro Light"/>
          <w:b/>
          <w:bCs/>
        </w:rPr>
        <w:t xml:space="preserve">The Context of the Articles </w:t>
      </w:r>
    </w:p>
    <w:p>
      <w:pPr>
        <w:pStyle w:val="TextBody"/>
        <w:jc w:val="both"/>
        <w:rPr>
          <w:rFonts w:ascii="Verdana Pro Light" w:hAnsi="Verdana Pro Light"/>
        </w:rPr>
      </w:pPr>
      <w:r>
        <w:rPr>
          <w:rFonts w:ascii="Verdana Pro Light" w:hAnsi="Verdana Pro Light"/>
        </w:rPr>
        <w:tab/>
        <w:t>Tony Walter and Helen Waterhouse’s article</w:t>
      </w:r>
      <w:r>
        <w:rPr>
          <w:rStyle w:val="FootnoteAnchor"/>
          <w:rFonts w:ascii="Verdana Pro Light" w:hAnsi="Verdana Pro Light"/>
        </w:rPr>
        <w:footnoteReference w:id="4"/>
      </w:r>
      <w:r>
        <w:rPr>
          <w:rFonts w:ascii="Verdana Pro Light" w:hAnsi="Verdana Pro Light"/>
        </w:rPr>
        <w:t xml:space="preserve"> is published in the journal ‘Sociology of Religion’ in 1999. This journal is published for the purpose of advancing scholarship in the sociological study of religion</w:t>
      </w:r>
      <w:r>
        <w:rPr>
          <w:rStyle w:val="FootnoteAnchor"/>
          <w:rFonts w:ascii="Verdana Pro Light" w:hAnsi="Verdana Pro Light"/>
        </w:rPr>
        <w:footnoteReference w:id="5"/>
      </w:r>
      <w:r>
        <w:rPr>
          <w:rFonts w:ascii="Verdana Pro Light" w:hAnsi="Verdana Pro Light"/>
        </w:rPr>
        <w:t xml:space="preserve">. Therefore, Walter and Waterhouse’s article is an academic piece of writing potentially aimed at students as well as other academic professionals who have an interest in the sociology of religion. Both Walter and Waterhouse are academics themselves. </w:t>
      </w:r>
      <w:r>
        <w:rPr>
          <w:rFonts w:ascii="Verdana Pro Light" w:hAnsi="Verdana Pro Light"/>
          <w:color w:val="000000"/>
        </w:rPr>
        <w:t>Tony Walter born 1948</w:t>
      </w:r>
      <w:r>
        <w:rPr>
          <w:rStyle w:val="FootnoteAnchor"/>
          <w:rFonts w:ascii="Verdana Pro Light" w:hAnsi="Verdana Pro Light"/>
          <w:color w:val="000000"/>
        </w:rPr>
        <w:footnoteReference w:id="6"/>
      </w:r>
      <w:r>
        <w:rPr>
          <w:rFonts w:ascii="Verdana Pro Light" w:hAnsi="Verdana Pro Light"/>
          <w:color w:val="000000"/>
        </w:rPr>
        <w:t xml:space="preserve"> is a professor of death studies at the University of Bath, his research has included end of life care, social networks and care, funeral practices, bereavements, spiritualism, belief in reincarnation, the idea that the dead become angles, mass media and social media, pilgrimage, and the human remains in exhibition. He has lectured around the world and trained in clergy and funeral celebrants. His work includes 17 books and prior to 1994 he was a freelance, writing books and articles on religion, landscape, social security reform and basic income</w:t>
      </w:r>
      <w:r>
        <w:rPr>
          <w:rStyle w:val="FootnoteAnchor"/>
          <w:rFonts w:ascii="Verdana Pro Light" w:hAnsi="Verdana Pro Light"/>
          <w:color w:val="000000"/>
        </w:rPr>
        <w:footnoteReference w:id="7"/>
      </w:r>
      <w:r>
        <w:rPr>
          <w:rFonts w:ascii="Verdana Pro Light" w:hAnsi="Verdana Pro Light"/>
          <w:color w:val="000000"/>
        </w:rPr>
        <w:t>. Helen Waterhouse on the other hand is a senior lecturer of religious studies at the Open University. Her works include research on Buddhism and reincarnation belief in Britain</w:t>
      </w:r>
      <w:r>
        <w:rPr>
          <w:rStyle w:val="FootnoteAnchor"/>
          <w:rFonts w:ascii="Verdana Pro Light" w:hAnsi="Verdana Pro Light"/>
          <w:color w:val="000000"/>
        </w:rPr>
        <w:footnoteReference w:id="8"/>
      </w:r>
      <w:r>
        <w:rPr>
          <w:rFonts w:ascii="Verdana Pro Light" w:hAnsi="Verdana Pro Light"/>
          <w:color w:val="000000"/>
        </w:rPr>
        <w:t xml:space="preserve">. </w:t>
      </w:r>
    </w:p>
    <w:p>
      <w:pPr>
        <w:pStyle w:val="TextBody"/>
        <w:jc w:val="both"/>
        <w:rPr>
          <w:rFonts w:ascii="Verdana Pro Light" w:hAnsi="Verdana Pro Light"/>
        </w:rPr>
      </w:pPr>
      <w:r>
        <w:rPr>
          <w:rFonts w:ascii="Verdana Pro Light" w:hAnsi="Verdana Pro Light"/>
          <w:color w:val="000000"/>
        </w:rPr>
        <w:tab/>
      </w:r>
      <w:r>
        <w:rPr>
          <w:rFonts w:ascii="Verdana Pro Light" w:hAnsi="Verdana Pro Light"/>
        </w:rPr>
        <w:t>Brink’s</w:t>
      </w:r>
      <w:r>
        <w:rPr>
          <w:rStyle w:val="FootnoteAnchor"/>
          <w:rFonts w:ascii="Verdana Pro Light" w:hAnsi="Verdana Pro Light"/>
        </w:rPr>
        <w:footnoteReference w:id="9"/>
      </w:r>
      <w:r>
        <w:rPr>
          <w:rFonts w:ascii="Verdana Pro Light" w:hAnsi="Verdana Pro Light"/>
        </w:rPr>
        <w:t xml:space="preserve"> article is a scholarly published article, it was published in 1978 in the journal ‘Review of Religious Research’ that shares information on methods, findings, and uses of religious research</w:t>
      </w:r>
      <w:r>
        <w:rPr>
          <w:rStyle w:val="FootnoteAnchor"/>
          <w:rFonts w:ascii="Verdana Pro Light" w:hAnsi="Verdana Pro Light"/>
        </w:rPr>
        <w:footnoteReference w:id="10"/>
      </w:r>
      <w:r>
        <w:rPr>
          <w:rFonts w:ascii="Verdana Pro Light" w:hAnsi="Verdana Pro Light"/>
        </w:rPr>
        <w:t xml:space="preserve">. According to the journal’s information, the article is aimed at a vast variety of audiences, both students and academics who share an interest in religious research. </w:t>
      </w:r>
    </w:p>
    <w:p>
      <w:pPr>
        <w:pStyle w:val="TextBody"/>
        <w:jc w:val="both"/>
        <w:rPr>
          <w:rFonts w:ascii="Verdana Pro Light" w:hAnsi="Verdana Pro Light"/>
        </w:rPr>
      </w:pPr>
      <w:r>
        <w:rPr>
          <w:rFonts w:ascii="Verdana Pro Light" w:hAnsi="Verdana Pro Light"/>
        </w:rPr>
        <w:tab/>
        <w:t>The author B</w:t>
      </w:r>
      <w:r>
        <w:rPr>
          <w:rFonts w:ascii="Verdana Pro Light" w:hAnsi="Verdana Pro Light"/>
          <w:color w:val="000000"/>
        </w:rPr>
        <w:t>rink is also an academic, he is a social scientist and is the author of numerous books, articles, reviews, and conference presentations. His areas of interests include clinical assessment, treatment of mental disorders in later life, qualitative research methods, consumer behavior, and religious phenomena. He has served as editor for a peer reviewer for professional journals. He is currently a professor of psychology at Crafton Hills College</w:t>
      </w:r>
      <w:r>
        <w:rPr>
          <w:rStyle w:val="FootnoteAnchor"/>
          <w:rFonts w:ascii="Verdana Pro Light" w:hAnsi="Verdana Pro Light"/>
          <w:color w:val="000000"/>
        </w:rPr>
        <w:footnoteReference w:id="11"/>
      </w:r>
      <w:r>
        <w:rPr>
          <w:rFonts w:ascii="Verdana Pro Light" w:hAnsi="Verdana Pro Light"/>
          <w:color w:val="000000"/>
        </w:rPr>
        <w:t xml:space="preserve">. </w:t>
        <w:tab/>
      </w:r>
    </w:p>
    <w:p>
      <w:pPr>
        <w:pStyle w:val="TextBody"/>
        <w:jc w:val="both"/>
        <w:rPr>
          <w:rFonts w:ascii="Verdana Pro Light" w:hAnsi="Verdana Pro Light"/>
        </w:rPr>
      </w:pPr>
      <w:r>
        <w:rPr>
          <w:rFonts w:ascii="Verdana Pro Light" w:hAnsi="Verdana Pro Light"/>
          <w:b/>
          <w:bCs/>
        </w:rPr>
        <w:t>A Summary of the Articles</w:t>
      </w:r>
    </w:p>
    <w:p>
      <w:pPr>
        <w:pStyle w:val="TextBody"/>
        <w:jc w:val="both"/>
        <w:rPr>
          <w:rFonts w:ascii="Verdana Pro Light" w:hAnsi="Verdana Pro Light"/>
        </w:rPr>
      </w:pPr>
      <w:r>
        <w:rPr>
          <w:rFonts w:ascii="Verdana Pro Light" w:hAnsi="Verdana Pro Light"/>
          <w:color w:val="000000"/>
        </w:rPr>
        <w:tab/>
      </w:r>
      <w:r>
        <w:rPr>
          <w:rFonts w:ascii="Verdana Pro Light" w:hAnsi="Verdana Pro Light"/>
        </w:rPr>
        <w:t>Both articles investigate perspectives on reincarnation within religion. However, Brink’s</w:t>
      </w:r>
      <w:r>
        <w:rPr>
          <w:rStyle w:val="FootnoteAnchor"/>
          <w:rFonts w:ascii="Verdana Pro Light" w:hAnsi="Verdana Pro Light"/>
        </w:rPr>
        <w:footnoteReference w:id="12"/>
      </w:r>
      <w:r>
        <w:rPr>
          <w:rFonts w:ascii="Verdana Pro Light" w:hAnsi="Verdana Pro Light"/>
        </w:rPr>
        <w:t xml:space="preserve"> article also addresses astrology and </w:t>
      </w:r>
      <w:r>
        <w:rPr>
          <w:rFonts w:ascii="Verdana Pro Light" w:hAnsi="Verdana Pro Light"/>
          <w:color w:val="000000"/>
        </w:rPr>
        <w:t>whether you can believe in both astrology and reincarnation if you follow the Catholic doctrine. Brink’s article relies on information gathered from a questionnaire and therefore provides a quantitative result which is presented in a numerical and statistical form</w:t>
      </w:r>
      <w:r>
        <w:rPr>
          <w:rStyle w:val="FootnoteAnchor"/>
          <w:rFonts w:ascii="Verdana Pro Light" w:hAnsi="Verdana Pro Light"/>
          <w:color w:val="000000"/>
        </w:rPr>
        <w:footnoteReference w:id="13"/>
      </w:r>
      <w:r>
        <w:rPr>
          <w:rFonts w:ascii="Verdana Pro Light" w:hAnsi="Verdana Pro Light"/>
          <w:color w:val="000000"/>
        </w:rPr>
        <w:t xml:space="preserve">. The intentions of the investigated research are found within the hypothesis, where Brink has predicted. </w:t>
      </w:r>
    </w:p>
    <w:p>
      <w:pPr>
        <w:pStyle w:val="TextBody"/>
        <w:jc w:val="both"/>
        <w:rPr>
          <w:rFonts w:ascii="Verdana Pro Light" w:hAnsi="Verdana Pro Light"/>
        </w:rPr>
      </w:pPr>
      <w:r>
        <w:rPr>
          <w:rFonts w:ascii="Verdana Pro Light" w:hAnsi="Verdana Pro Light"/>
        </w:rPr>
      </w:r>
    </w:p>
    <w:p>
      <w:pPr>
        <w:pStyle w:val="TextBody"/>
        <w:jc w:val="both"/>
        <w:rPr>
          <w:rFonts w:ascii="Verdana Pro Light" w:hAnsi="Verdana Pro Light"/>
        </w:rPr>
      </w:pPr>
      <w:r>
        <w:rPr>
          <w:rFonts w:ascii="Verdana Pro Light" w:hAnsi="Verdana Pro Light"/>
        </w:rPr>
        <w:t>“</w:t>
      </w:r>
      <w:r>
        <w:rPr>
          <w:rFonts w:ascii="Verdana Pro Light" w:hAnsi="Verdana Pro Light"/>
        </w:rPr>
        <w:t>That a study of beliefs of adolescent girls will show an acceptance of only one of these three belief sets (Roman Catholic, astrology, reincarnation) accompanied by a rejection of the others”</w:t>
      </w:r>
      <w:r>
        <w:rPr>
          <w:rStyle w:val="FootnoteAnchor"/>
          <w:rFonts w:ascii="Verdana Pro Light" w:hAnsi="Verdana Pro Light"/>
        </w:rPr>
        <w:footnoteReference w:id="14"/>
      </w:r>
      <w:r>
        <w:rPr>
          <w:rFonts w:ascii="Verdana Pro Light" w:hAnsi="Verdana Pro Light"/>
        </w:rPr>
        <w:t>.</w:t>
      </w:r>
    </w:p>
    <w:p>
      <w:pPr>
        <w:pStyle w:val="TextBody"/>
        <w:jc w:val="both"/>
        <w:rPr>
          <w:rFonts w:ascii="Verdana Pro Light" w:hAnsi="Verdana Pro Light"/>
        </w:rPr>
      </w:pPr>
      <w:r>
        <w:rPr>
          <w:rFonts w:ascii="Verdana Pro Light" w:hAnsi="Verdana Pro Light"/>
        </w:rPr>
      </w:r>
    </w:p>
    <w:p>
      <w:pPr>
        <w:pStyle w:val="TextBody"/>
        <w:jc w:val="both"/>
        <w:rPr>
          <w:rFonts w:ascii="Verdana Pro Light" w:hAnsi="Verdana Pro Light"/>
        </w:rPr>
      </w:pPr>
      <w:r>
        <w:rPr>
          <w:rFonts w:ascii="Verdana Pro Light" w:hAnsi="Verdana Pro Light"/>
        </w:rPr>
        <w:t>Moreover, his main arguments can be found within the abstract of the article, here Brink points out an overview of his findings. He found that students who believed in astrology did not have religious attitudes that differed hugely from the other students and those who believed in reincarnation had only slight attitude differences. Students who believed in astrology were more likely to believe in reincarnation. Furthermore, his findings present inconsistencies with cognitive theories which stress the importance of attitude consistency</w:t>
      </w:r>
      <w:r>
        <w:rPr>
          <w:rStyle w:val="FootnoteAnchor"/>
          <w:rFonts w:ascii="Verdana Pro Light" w:hAnsi="Verdana Pro Light"/>
        </w:rPr>
        <w:footnoteReference w:id="15"/>
      </w:r>
      <w:r>
        <w:rPr>
          <w:rFonts w:ascii="Verdana Pro Light" w:hAnsi="Verdana Pro Light"/>
        </w:rPr>
        <w:t>.</w:t>
      </w:r>
    </w:p>
    <w:p>
      <w:pPr>
        <w:pStyle w:val="TextBody"/>
        <w:jc w:val="both"/>
        <w:rPr>
          <w:rFonts w:ascii="Verdana Pro Light" w:hAnsi="Verdana Pro Light"/>
        </w:rPr>
      </w:pPr>
      <w:r>
        <w:rPr>
          <w:rFonts w:ascii="Verdana Pro Light" w:hAnsi="Verdana Pro Light"/>
        </w:rPr>
        <w:tab/>
        <w:t>On the other hand, Walter, and Waterhouse’s article</w:t>
      </w:r>
      <w:r>
        <w:rPr>
          <w:rStyle w:val="FootnoteAnchor"/>
          <w:rFonts w:ascii="Verdana Pro Light" w:hAnsi="Verdana Pro Light"/>
        </w:rPr>
        <w:footnoteReference w:id="16"/>
      </w:r>
      <w:r>
        <w:rPr>
          <w:rFonts w:ascii="Verdana Pro Light" w:hAnsi="Verdana Pro Light"/>
        </w:rPr>
        <w:t xml:space="preserve"> takes a qualitative approach to the investigation of belief in reincarnation within a religious content. The results are presented in a detailed descriptive manner. Furthermore, Walter and Waterhouse make clear their intentions of what it is they are to investigate, stating:</w:t>
      </w:r>
    </w:p>
    <w:p>
      <w:pPr>
        <w:pStyle w:val="TextBody"/>
        <w:jc w:val="both"/>
        <w:rPr>
          <w:rFonts w:ascii="Verdana Pro Light" w:hAnsi="Verdana Pro Light"/>
        </w:rPr>
      </w:pPr>
      <w:r>
        <w:rPr>
          <w:rFonts w:ascii="Verdana Pro Light" w:hAnsi="Verdana Pro Light"/>
        </w:rPr>
      </w:r>
    </w:p>
    <w:p>
      <w:pPr>
        <w:pStyle w:val="TextBody"/>
        <w:jc w:val="both"/>
        <w:rPr>
          <w:rFonts w:ascii="Verdana Pro Light" w:hAnsi="Verdana Pro Light"/>
        </w:rPr>
      </w:pPr>
      <w:r>
        <w:rPr>
          <w:rFonts w:ascii="Verdana Pro Light" w:hAnsi="Verdana Pro Light"/>
        </w:rPr>
        <w:t>“</w:t>
      </w:r>
      <w:r>
        <w:rPr>
          <w:rFonts w:ascii="Verdana Pro Light" w:hAnsi="Verdana Pro Light"/>
        </w:rPr>
        <w:t>This article explores what reincarnation means to some of those who believe in it, why they find it attractive, and how it relates to other aspects of their life – not least the religious organizations to which they belong but which do not teach it”.</w:t>
      </w:r>
      <w:r>
        <w:rPr>
          <w:rStyle w:val="FootnoteAnchor"/>
          <w:rFonts w:ascii="Verdana Pro Light" w:hAnsi="Verdana Pro Light"/>
        </w:rPr>
        <w:footnoteReference w:id="17"/>
      </w:r>
      <w:r>
        <w:rPr>
          <w:rFonts w:ascii="Verdana Pro Light" w:hAnsi="Verdana Pro Light"/>
        </w:rPr>
        <w:t xml:space="preserve"> </w:t>
      </w:r>
    </w:p>
    <w:p>
      <w:pPr>
        <w:pStyle w:val="TextBody"/>
        <w:jc w:val="both"/>
        <w:rPr>
          <w:rFonts w:ascii="Verdana Pro Light" w:hAnsi="Verdana Pro Light"/>
        </w:rPr>
      </w:pPr>
      <w:r>
        <w:rPr>
          <w:rFonts w:ascii="Verdana Pro Light" w:hAnsi="Verdana Pro Light"/>
        </w:rPr>
        <w:t>Furthermore, the article asks, ‘whether the twentieth century privatization of belief makes it easier to hold beliefs not taught by one's church’.</w:t>
      </w:r>
      <w:r>
        <w:rPr>
          <w:rStyle w:val="FootnoteAnchor"/>
          <w:rFonts w:ascii="Verdana Pro Light" w:hAnsi="Verdana Pro Light"/>
        </w:rPr>
        <w:footnoteReference w:id="18"/>
      </w:r>
      <w:r>
        <w:rPr>
          <w:rFonts w:ascii="Verdana Pro Light" w:hAnsi="Verdana Pro Light"/>
        </w:rPr>
        <w:t xml:space="preserve"> </w:t>
      </w:r>
    </w:p>
    <w:p>
      <w:pPr>
        <w:pStyle w:val="TextBody"/>
        <w:jc w:val="both"/>
        <w:rPr>
          <w:rFonts w:ascii="Verdana Pro Light" w:hAnsi="Verdana Pro Light"/>
        </w:rPr>
      </w:pPr>
      <w:r>
        <w:rPr>
          <w:rFonts w:ascii="Verdana Pro Light" w:hAnsi="Verdana Pro Light"/>
          <w:color w:val="000000"/>
        </w:rPr>
        <w:tab/>
        <w:t>In support of the findings, it is</w:t>
      </w:r>
      <w:r>
        <w:rPr>
          <w:rFonts w:ascii="Verdana Pro Light" w:hAnsi="Verdana Pro Light"/>
          <w:color w:val="2A6099"/>
        </w:rPr>
        <w:t xml:space="preserve"> </w:t>
      </w:r>
      <w:r>
        <w:rPr>
          <w:rFonts w:ascii="Verdana Pro Light" w:hAnsi="Verdana Pro Light"/>
          <w:color w:val="000000"/>
        </w:rPr>
        <w:t xml:space="preserve">concluded by Walter and Waterhouse that increase belief in reincarnation holds neither a spiritual nor a moral revolution but can simply fit into the privatized religion that characterizes modern western societies, particularly in England. Moreover, reincarnation for them is a very private belief that is detached from religious and other </w:t>
      </w:r>
      <w:r>
        <w:rPr>
          <w:rFonts w:eastAsia="Arial Unicode MS" w:cs="Arial Unicode MS" w:ascii="Verdana Pro Light" w:hAnsi="Verdana Pro Light"/>
          <w:color w:val="000000"/>
          <w:lang w:val="en-GB" w:eastAsia="en-GB"/>
        </w:rPr>
        <w:t>organizations</w:t>
      </w:r>
      <w:r>
        <w:rPr>
          <w:rFonts w:ascii="Verdana Pro Light" w:hAnsi="Verdana Pro Light"/>
          <w:color w:val="000000"/>
        </w:rPr>
        <w:t>, from the New Age, from popular literature on the subject, and from everyday life,</w:t>
      </w:r>
      <w:r>
        <w:rPr>
          <w:rStyle w:val="FootnoteAnchor"/>
          <w:rFonts w:ascii="Verdana Pro Light" w:hAnsi="Verdana Pro Light"/>
          <w:color w:val="000000"/>
        </w:rPr>
        <w:footnoteReference w:id="19"/>
      </w:r>
      <w:r>
        <w:rPr>
          <w:rFonts w:ascii="Verdana Pro Light" w:hAnsi="Verdana Pro Light"/>
          <w:color w:val="000000"/>
        </w:rPr>
        <w:t xml:space="preserve"> The main arguments and intentions are addressed in both articles however these are made clearer in Walter and Waterhouse’s article in comparison to Brink.</w:t>
      </w:r>
    </w:p>
    <w:p>
      <w:pPr>
        <w:pStyle w:val="TextBody"/>
        <w:jc w:val="both"/>
        <w:rPr>
          <w:rFonts w:ascii="Verdana Pro Light" w:hAnsi="Verdana Pro Light"/>
        </w:rPr>
      </w:pPr>
      <w:r>
        <w:rPr>
          <w:rFonts w:ascii="Verdana Pro Light" w:hAnsi="Verdana Pro Light"/>
        </w:rPr>
      </w:r>
    </w:p>
    <w:p>
      <w:pPr>
        <w:pStyle w:val="TextBody"/>
        <w:jc w:val="both"/>
        <w:rPr>
          <w:rFonts w:ascii="Verdana Pro Light" w:hAnsi="Verdana Pro Light"/>
        </w:rPr>
      </w:pPr>
      <w:r>
        <w:rPr>
          <w:rFonts w:ascii="Verdana Pro Light" w:hAnsi="Verdana Pro Light"/>
          <w:b/>
          <w:bCs/>
          <w:color w:val="000000"/>
        </w:rPr>
        <w:t>The Structure</w:t>
      </w:r>
    </w:p>
    <w:p>
      <w:pPr>
        <w:pStyle w:val="TextBody"/>
        <w:jc w:val="both"/>
        <w:rPr>
          <w:rFonts w:ascii="Verdana Pro Light" w:hAnsi="Verdana Pro Light"/>
        </w:rPr>
      </w:pPr>
      <w:r>
        <w:rPr>
          <w:rFonts w:ascii="Verdana Pro Light" w:hAnsi="Verdana Pro Light"/>
          <w:b/>
          <w:bCs/>
          <w:color w:val="000000"/>
        </w:rPr>
        <w:tab/>
      </w:r>
      <w:r>
        <w:rPr>
          <w:rFonts w:ascii="Verdana Pro Light" w:hAnsi="Verdana Pro Light"/>
          <w:color w:val="000000"/>
        </w:rPr>
        <w:t>Gronmo</w:t>
      </w:r>
      <w:r>
        <w:rPr>
          <w:rStyle w:val="FootnoteAnchor"/>
          <w:rFonts w:ascii="Verdana Pro Light" w:hAnsi="Verdana Pro Light"/>
          <w:color w:val="000000"/>
        </w:rPr>
        <w:footnoteReference w:id="20"/>
      </w:r>
      <w:r>
        <w:rPr>
          <w:rFonts w:ascii="Verdana Pro Light" w:hAnsi="Verdana Pro Light"/>
          <w:color w:val="000000"/>
        </w:rPr>
        <w:t xml:space="preserve"> states that a typical structure of research reports should consist of an abstract and an introduction. The introduction should provide background information on the related topic; it should identify the research question and provide a literature review. Furthermore, it should contain a methodology which identifies the research design, data, the methods used to collect the data and a method of data analyses. It should also contain a results section that provides a data analysis and the findings of the study. Last of all it should provide a conclusion that discusses the findings, the limitations of the study and perhaps recommendations for further research. In addition to this there may be a reference list depending on the type of report. Walter and Waterhouse's</w:t>
      </w:r>
      <w:r>
        <w:rPr>
          <w:rStyle w:val="FootnoteAnchor"/>
          <w:rFonts w:ascii="Verdana Pro Light" w:hAnsi="Verdana Pro Light"/>
          <w:color w:val="000000"/>
        </w:rPr>
        <w:footnoteReference w:id="21"/>
      </w:r>
      <w:r>
        <w:rPr>
          <w:rFonts w:ascii="Verdana Pro Light" w:hAnsi="Verdana Pro Light"/>
          <w:color w:val="000000"/>
        </w:rPr>
        <w:t xml:space="preserve"> paper includes an abstract which can be identified by the different font. Following on from this, the introduction sets out the purpose of research. Under the survey data heading, literature on reincarnation is discussed which helps the authors to conclude that they should conduct interviews as this will help to ‘</w:t>
      </w:r>
      <w:r>
        <w:rPr>
          <w:rFonts w:ascii="Verdana Pro Light" w:hAnsi="Verdana Pro Light"/>
        </w:rPr>
        <w:t>elicit the meaning of reincarnation to those who believe it’</w:t>
      </w:r>
      <w:r>
        <w:rPr>
          <w:rStyle w:val="FootnoteAnchor"/>
          <w:rFonts w:ascii="Verdana Pro Light" w:hAnsi="Verdana Pro Light"/>
        </w:rPr>
        <w:footnoteReference w:id="22"/>
      </w:r>
      <w:r>
        <w:rPr>
          <w:rFonts w:ascii="Verdana Pro Light" w:hAnsi="Verdana Pro Light"/>
        </w:rPr>
        <w:t>. Interviews have been identified here as a method for collecting data. Following on from this, is a findings section where the results are discussed. It also includes a conclusion. The structure of this research article is a good example of a typical research paper structure according to Sigmund Gronmo. Brink’s</w:t>
      </w:r>
      <w:r>
        <w:rPr>
          <w:rStyle w:val="FootnoteAnchor"/>
          <w:rFonts w:ascii="Verdana Pro Light" w:hAnsi="Verdana Pro Light"/>
        </w:rPr>
        <w:footnoteReference w:id="23"/>
      </w:r>
      <w:r>
        <w:rPr>
          <w:rFonts w:ascii="Verdana Pro Light" w:hAnsi="Verdana Pro Light"/>
        </w:rPr>
        <w:t xml:space="preserve"> article also meets the criteria as there is an identifiable abstract, a small introduction that contains background information on Roman catholic doctrine, reincarnation, and astrology. It must be said that the literature review that is provided is immensely brief. Moreover, the article also sets out the research objective by making a prediction. The research conducted is then set out to prove the hypothesis correct or incorrect. The methods used are identified in the procedures and results. Following on from this is a discussion and conclusion that provides information on limitations and suggests further research. </w:t>
      </w:r>
    </w:p>
    <w:p>
      <w:pPr>
        <w:pStyle w:val="TextBody"/>
        <w:jc w:val="both"/>
        <w:rPr>
          <w:rFonts w:ascii="Verdana Pro Light" w:hAnsi="Verdana Pro Light"/>
        </w:rPr>
      </w:pPr>
      <w:r>
        <w:rPr>
          <w:rFonts w:ascii="Verdana Pro Light" w:hAnsi="Verdana Pro Light"/>
          <w:color w:val="000000"/>
        </w:rPr>
        <w:t>“</w:t>
      </w:r>
      <w:r>
        <w:rPr>
          <w:rFonts w:ascii="Verdana Pro Light" w:hAnsi="Verdana Pro Light"/>
          <w:color w:val="000000"/>
        </w:rPr>
        <w:t>Further research on this topic should try to ascertain some of the factors in adolescent backgrounds (societal, familial, educational) which correlate with belief in astrology and reincarnation, or belief inconsistency in general”</w:t>
      </w:r>
      <w:r>
        <w:rPr>
          <w:rStyle w:val="FootnoteAnchor"/>
          <w:rFonts w:ascii="Verdana Pro Light" w:hAnsi="Verdana Pro Light"/>
          <w:color w:val="000000"/>
        </w:rPr>
        <w:footnoteReference w:id="24"/>
      </w:r>
      <w:r>
        <w:rPr>
          <w:rFonts w:ascii="Verdana Pro Light" w:hAnsi="Verdana Pro Light"/>
          <w:color w:val="000000"/>
        </w:rPr>
        <w:t xml:space="preserve">. </w:t>
      </w:r>
    </w:p>
    <w:p>
      <w:pPr>
        <w:pStyle w:val="TextBody"/>
        <w:jc w:val="both"/>
        <w:rPr>
          <w:rFonts w:ascii="Verdana Pro Light" w:hAnsi="Verdana Pro Light"/>
        </w:rPr>
      </w:pPr>
      <w:r>
        <w:rPr>
          <w:rFonts w:ascii="Verdana Pro Light" w:hAnsi="Verdana Pro Light"/>
        </w:rPr>
        <w:t xml:space="preserve">To conclude Both articles follow a typical research article structure according to Sigmund Gronmo. </w:t>
      </w:r>
    </w:p>
    <w:p>
      <w:pPr>
        <w:pStyle w:val="TextBody"/>
        <w:jc w:val="both"/>
        <w:rPr>
          <w:rFonts w:ascii="Verdana Pro Light" w:hAnsi="Verdana Pro Light"/>
        </w:rPr>
      </w:pPr>
      <w:r>
        <w:rPr>
          <w:rFonts w:ascii="Verdana Pro Light" w:hAnsi="Verdana Pro Light"/>
        </w:rPr>
        <w:tab/>
        <w:t>In addition to the structure of the article, Brink’s article</w:t>
      </w:r>
      <w:r>
        <w:rPr>
          <w:rStyle w:val="FootnoteAnchor"/>
          <w:rFonts w:ascii="Verdana Pro Light" w:hAnsi="Verdana Pro Light"/>
        </w:rPr>
        <w:footnoteReference w:id="25"/>
      </w:r>
      <w:r>
        <w:rPr>
          <w:rFonts w:ascii="Verdana Pro Light" w:hAnsi="Verdana Pro Light"/>
        </w:rPr>
        <w:t xml:space="preserve"> consists of the following headings, a hypothesis, procedures, and results followed by a discussion and conclusion. Similarly structured, Walter and Waterhouse’s article</w:t>
      </w:r>
      <w:r>
        <w:rPr>
          <w:rStyle w:val="FootnoteAnchor"/>
          <w:rFonts w:ascii="Verdana Pro Light" w:hAnsi="Verdana Pro Light"/>
        </w:rPr>
        <w:footnoteReference w:id="26"/>
      </w:r>
      <w:r>
        <w:rPr>
          <w:rFonts w:ascii="Verdana Pro Light" w:hAnsi="Verdana Pro Light"/>
        </w:rPr>
        <w:t xml:space="preserve"> contains the heading ‘survey data’ as well as a subheading of ‘interview data’. The section findings contain the following subheadings, Religious Association, The nature of belief, sources of belief, the content of belief, and effects. Thomson and Kamler state that articles are required to use headings and subheadings as it helps the reader to understand the order of steps in the argument as well as to understand the themes that hold sets of details together. Headings also aid the reader in deciding whether the article is worth reading.</w:t>
      </w:r>
      <w:r>
        <w:rPr>
          <w:rStyle w:val="FootnoteAnchor"/>
          <w:rFonts w:ascii="Verdana Pro Light" w:hAnsi="Verdana Pro Light"/>
        </w:rPr>
        <w:footnoteReference w:id="27"/>
      </w:r>
      <w:r>
        <w:rPr>
          <w:rFonts w:ascii="Verdana Pro Light" w:hAnsi="Verdana Pro Light"/>
        </w:rPr>
        <w:t xml:space="preserve"> Brink’s</w:t>
      </w:r>
      <w:r>
        <w:rPr>
          <w:rStyle w:val="FootnoteAnchor"/>
          <w:rFonts w:ascii="Verdana Pro Light" w:hAnsi="Verdana Pro Light"/>
        </w:rPr>
        <w:footnoteReference w:id="28"/>
      </w:r>
      <w:r>
        <w:rPr>
          <w:rFonts w:ascii="Verdana Pro Light" w:hAnsi="Verdana Pro Light"/>
        </w:rPr>
        <w:t xml:space="preserve"> article on the other hand contains no subheadings, but it does contain headings that can help the reader to identify whether the paper is worth reading. However, in contrast to this both articles do not clearly label their abstract or their introduction. </w:t>
      </w:r>
    </w:p>
    <w:p>
      <w:pPr>
        <w:pStyle w:val="TextBody"/>
        <w:jc w:val="both"/>
        <w:rPr>
          <w:rFonts w:ascii="Verdana Pro Light" w:hAnsi="Verdana Pro Light"/>
        </w:rPr>
      </w:pPr>
      <w:r>
        <w:rPr>
          <w:rFonts w:ascii="Verdana Pro Light" w:hAnsi="Verdana Pro Light"/>
        </w:rPr>
        <w:tab/>
      </w:r>
      <w:r>
        <w:rPr>
          <w:rFonts w:ascii="Verdana Pro Light" w:hAnsi="Verdana Pro Light"/>
          <w:b/>
          <w:bCs/>
          <w:color w:val="000000"/>
        </w:rPr>
        <w:t>The Methodology and Theory</w:t>
      </w:r>
    </w:p>
    <w:p>
      <w:pPr>
        <w:pStyle w:val="TextBody"/>
        <w:jc w:val="both"/>
        <w:rPr>
          <w:rFonts w:ascii="Verdana Pro Light" w:hAnsi="Verdana Pro Light"/>
        </w:rPr>
      </w:pPr>
      <w:r>
        <w:rPr>
          <w:rFonts w:ascii="Verdana Pro Light" w:hAnsi="Verdana Pro Light"/>
          <w:color w:val="000000"/>
        </w:rPr>
        <w:tab/>
        <w:t>Brink’s article</w:t>
      </w:r>
      <w:r>
        <w:rPr>
          <w:rStyle w:val="FootnoteAnchor"/>
          <w:rFonts w:ascii="Verdana Pro Light" w:hAnsi="Verdana Pro Light"/>
          <w:color w:val="000000"/>
        </w:rPr>
        <w:footnoteReference w:id="29"/>
      </w:r>
      <w:r>
        <w:rPr>
          <w:rFonts w:ascii="Verdana Pro Light" w:hAnsi="Verdana Pro Light"/>
          <w:color w:val="000000"/>
        </w:rPr>
        <w:t xml:space="preserve"> is based on limited theory. However, he is guided by some relevant theory that gives a basis for his hypothesis. However, it is the hypothesis that led him to investigate further and to do this, he used questionnaires to gather quantitative data. The information is presented in statistics and demonstrates a numerical approach. Corbetta states that ‘quantitative research lies at the core of the transformation of theoretical hypothesis into empirically testable propositions’</w:t>
      </w:r>
      <w:r>
        <w:rPr>
          <w:rStyle w:val="FootnoteAnchor"/>
          <w:rFonts w:ascii="Verdana Pro Light" w:hAnsi="Verdana Pro Light"/>
          <w:color w:val="000000"/>
        </w:rPr>
        <w:footnoteReference w:id="30"/>
      </w:r>
      <w:r>
        <w:rPr>
          <w:rFonts w:ascii="Verdana Pro Light" w:hAnsi="Verdana Pro Light"/>
          <w:color w:val="000000"/>
        </w:rPr>
        <w:t xml:space="preserve"> In comparison to this Walter and Waterhouse's</w:t>
      </w:r>
      <w:r>
        <w:rPr>
          <w:rStyle w:val="FootnoteAnchor"/>
          <w:rFonts w:ascii="Verdana Pro Light" w:hAnsi="Verdana Pro Light"/>
          <w:color w:val="000000"/>
        </w:rPr>
        <w:footnoteReference w:id="31"/>
      </w:r>
      <w:r>
        <w:rPr>
          <w:rFonts w:ascii="Verdana Pro Light" w:hAnsi="Verdana Pro Light"/>
          <w:color w:val="000000"/>
        </w:rPr>
        <w:t xml:space="preserve"> article is both theory and method based, as it identifies other surveys that have been carried out. Under the heading survey data, Walter and Waterhouse address surveys that have been carried out in 1947, 1981, and 1990</w:t>
      </w:r>
      <w:r>
        <w:rPr>
          <w:rStyle w:val="FootnoteAnchor"/>
          <w:rFonts w:ascii="Verdana Pro Light" w:hAnsi="Verdana Pro Light"/>
          <w:color w:val="000000"/>
        </w:rPr>
        <w:footnoteReference w:id="32"/>
      </w:r>
      <w:r>
        <w:rPr>
          <w:rFonts w:ascii="Verdana Pro Light" w:hAnsi="Verdana Pro Light"/>
          <w:color w:val="000000"/>
        </w:rPr>
        <w:t>. Furthermore, they use interviews to gather qualitative research. The interviews were open-ended, which allowed the interviewees to speak on their own terms. The interviewers were careful not to ask leading questions. The data was analyzed by both authors with Waterhouse coming from a religious studies perspective and Walter from a sociology perspective. The information is presented in detail and in paragraphs.</w:t>
      </w:r>
      <w:r>
        <w:rPr>
          <w:rStyle w:val="FootnoteAnchor"/>
          <w:rFonts w:ascii="Verdana Pro Light" w:hAnsi="Verdana Pro Light"/>
          <w:color w:val="000000"/>
        </w:rPr>
        <w:footnoteReference w:id="33"/>
      </w:r>
      <w:r>
        <w:rPr>
          <w:rFonts w:ascii="Verdana Pro Light" w:hAnsi="Verdana Pro Light"/>
          <w:color w:val="000000"/>
        </w:rPr>
        <w:t xml:space="preserve"> </w:t>
      </w:r>
    </w:p>
    <w:p>
      <w:pPr>
        <w:pStyle w:val="TextBody"/>
        <w:jc w:val="both"/>
        <w:rPr>
          <w:rFonts w:ascii="Verdana Pro Light" w:hAnsi="Verdana Pro Light"/>
        </w:rPr>
      </w:pPr>
      <w:r>
        <w:rPr>
          <w:rFonts w:ascii="Verdana Pro Light" w:hAnsi="Verdana Pro Light"/>
        </w:rPr>
        <w:tab/>
        <w:t>Walter and Waterhouse conducted interviews with both adults and children.</w:t>
      </w:r>
    </w:p>
    <w:p>
      <w:pPr>
        <w:pStyle w:val="TextBody"/>
        <w:jc w:val="both"/>
        <w:rPr>
          <w:rFonts w:ascii="Verdana Pro Light" w:hAnsi="Verdana Pro Light"/>
        </w:rPr>
      </w:pPr>
      <w:r>
        <w:rPr>
          <w:rFonts w:ascii="Verdana Pro Light" w:hAnsi="Verdana Pro Light"/>
        </w:rPr>
        <w:t>“</w:t>
      </w:r>
      <w:r>
        <w:rPr>
          <w:rFonts w:ascii="Verdana Pro Light" w:hAnsi="Verdana Pro Light"/>
        </w:rPr>
        <w:t>Helen Waterhouse conducted thirty taped interviews with adults, in their own homes, who had expressed interest in being interviewed on the subject, and three group interviews were conducted with 21 school children aged 11, 14-15, and 17-18 respectively”</w:t>
      </w:r>
      <w:r>
        <w:rPr>
          <w:rStyle w:val="FootnoteAnchor"/>
          <w:rFonts w:ascii="Verdana Pro Light" w:hAnsi="Verdana Pro Light"/>
        </w:rPr>
        <w:footnoteReference w:id="34"/>
      </w:r>
      <w:r>
        <w:rPr>
          <w:rFonts w:ascii="Verdana Pro Light" w:hAnsi="Verdana Pro Light"/>
        </w:rPr>
        <w:t xml:space="preserve">. </w:t>
      </w:r>
    </w:p>
    <w:p>
      <w:pPr>
        <w:pStyle w:val="TextBody"/>
        <w:jc w:val="both"/>
        <w:rPr>
          <w:rFonts w:ascii="Verdana Pro Light" w:hAnsi="Verdana Pro Light"/>
        </w:rPr>
      </w:pPr>
      <w:r>
        <w:rPr>
          <w:rFonts w:ascii="Verdana Pro Light" w:hAnsi="Verdana Pro Light"/>
        </w:rPr>
        <w:t>The issue here is that the authors Walter and Waterhouse have not said that consent was given but simply said that the interviews were conducted ‘respectively’</w:t>
      </w:r>
      <w:r>
        <w:rPr>
          <w:rStyle w:val="FootnoteAnchor"/>
          <w:rFonts w:ascii="Verdana Pro Light" w:hAnsi="Verdana Pro Light"/>
        </w:rPr>
        <w:footnoteReference w:id="35"/>
      </w:r>
      <w:r>
        <w:rPr>
          <w:rFonts w:ascii="Verdana Pro Light" w:hAnsi="Verdana Pro Light"/>
        </w:rPr>
        <w:t xml:space="preserve">. These interviews were conducted in 1997 therefore consent may not have been a requirement and if the interviewees have shown an interest in the topic, then surely, they have provided information voluntarily. As there is limited information on whether the authors have been given consent this could be seen as problematic for the reader, particularly if the reader wants to use the information in their own studies.  </w:t>
      </w:r>
    </w:p>
    <w:p>
      <w:pPr>
        <w:pStyle w:val="TextBody"/>
        <w:jc w:val="both"/>
        <w:rPr>
          <w:rFonts w:ascii="Verdana Pro Light" w:hAnsi="Verdana Pro Light"/>
        </w:rPr>
      </w:pPr>
      <w:r>
        <w:rPr>
          <w:rFonts w:ascii="Verdana Pro Light" w:hAnsi="Verdana Pro Light"/>
          <w:color w:val="000000"/>
        </w:rPr>
        <w:tab/>
        <w:t>In comparison Brink</w:t>
      </w:r>
      <w:r>
        <w:rPr>
          <w:rStyle w:val="FootnoteAnchor"/>
          <w:rFonts w:ascii="Verdana Pro Light" w:hAnsi="Verdana Pro Light"/>
          <w:color w:val="000000"/>
        </w:rPr>
        <w:footnoteReference w:id="36"/>
      </w:r>
      <w:r>
        <w:rPr>
          <w:rFonts w:ascii="Verdana Pro Light" w:hAnsi="Verdana Pro Light"/>
          <w:color w:val="000000"/>
        </w:rPr>
        <w:t xml:space="preserve"> has also not stated whether he has had permission from the participants. Brink used questionnaires for his method of collecting data. The questionnaires were given to 227 juniors and seniors at a Catholic girls' high school in June 1976 during class time. Whoever was present in the compulsory religious studies class at the time was given a questionnaire.</w:t>
      </w:r>
      <w:r>
        <w:rPr>
          <w:rStyle w:val="FootnoteAnchor"/>
          <w:rFonts w:ascii="Verdana Pro Light" w:hAnsi="Verdana Pro Light"/>
          <w:color w:val="000000"/>
        </w:rPr>
        <w:footnoteReference w:id="37"/>
      </w:r>
      <w:r>
        <w:rPr>
          <w:rFonts w:ascii="Verdana Pro Light" w:hAnsi="Verdana Pro Light"/>
          <w:color w:val="000000"/>
        </w:rPr>
        <w:t xml:space="preserve"> Both articles raise the ethical concerns of whether they had permission from the participants. According to Bryman’s research methods, it is general practice to get permission from participants before conducting research. This can be done by getting the participants to sign a consent form.</w:t>
      </w:r>
      <w:r>
        <w:rPr>
          <w:rStyle w:val="FootnoteAnchor"/>
          <w:rFonts w:ascii="Verdana Pro Light" w:hAnsi="Verdana Pro Light"/>
          <w:color w:val="000000"/>
        </w:rPr>
        <w:footnoteReference w:id="38"/>
      </w:r>
      <w:r>
        <w:rPr>
          <w:rFonts w:ascii="Verdana Pro Light" w:hAnsi="Verdana Pro Light"/>
          <w:color w:val="000000"/>
        </w:rPr>
        <w:t xml:space="preserve"> More to the point, </w:t>
      </w:r>
      <w:r>
        <w:rPr>
          <w:rFonts w:ascii="Verdana Pro Light" w:hAnsi="Verdana Pro Light"/>
          <w:color w:val="242424"/>
        </w:rPr>
        <w:t>it is not advisable to rely on verbal consent because during the process things can change and the unexpected can occur. If consent was only given via verbal communication, it can therefore be open to change and could be adjusted by third parties. If this was to happen then there would be no proof to say that consent had been given. Consent must be voluntary and not forced</w:t>
      </w:r>
      <w:r>
        <w:rPr>
          <w:rStyle w:val="FootnoteAnchor"/>
          <w:rFonts w:ascii="Verdana Pro Light" w:hAnsi="Verdana Pro Light"/>
          <w:color w:val="242424"/>
        </w:rPr>
        <w:footnoteReference w:id="39"/>
      </w:r>
      <w:r>
        <w:rPr>
          <w:rFonts w:ascii="Verdana Pro Light" w:hAnsi="Verdana Pro Light"/>
          <w:color w:val="242424"/>
        </w:rPr>
        <w:t>. Whilst consent is an important part of any research process, conducting research with children can pose further ethical concerns. This is because it needs to be decided on whether the child can give consent or whether the parents or guardians of the children need to give permission.</w:t>
      </w:r>
      <w:r>
        <w:rPr>
          <w:rStyle w:val="FootnoteAnchor"/>
          <w:rFonts w:ascii="Verdana Pro Light" w:hAnsi="Verdana Pro Light"/>
          <w:color w:val="242424"/>
        </w:rPr>
        <w:footnoteReference w:id="40"/>
      </w:r>
      <w:r>
        <w:rPr>
          <w:rFonts w:ascii="Verdana Pro Light" w:hAnsi="Verdana Pro Light"/>
          <w:color w:val="242424"/>
        </w:rPr>
        <w:t xml:space="preserve"> Both articles have included children.  Brink’s article gathered information from juniors.</w:t>
      </w:r>
      <w:r>
        <w:rPr>
          <w:rStyle w:val="FootnoteAnchor"/>
          <w:rFonts w:ascii="Verdana Pro Light" w:hAnsi="Verdana Pro Light"/>
          <w:color w:val="242424"/>
        </w:rPr>
        <w:footnoteReference w:id="41"/>
      </w:r>
      <w:r>
        <w:rPr>
          <w:rFonts w:ascii="Verdana Pro Light" w:hAnsi="Verdana Pro Light"/>
          <w:color w:val="242424"/>
        </w:rPr>
        <w:t xml:space="preserve"> Whereas Walter and Waterhouse’s article interviewed children as young as 11.</w:t>
      </w:r>
      <w:r>
        <w:rPr>
          <w:rStyle w:val="FootnoteAnchor"/>
          <w:rFonts w:ascii="Verdana Pro Light" w:hAnsi="Verdana Pro Light"/>
          <w:color w:val="242424"/>
        </w:rPr>
        <w:footnoteReference w:id="42"/>
      </w:r>
      <w:r>
        <w:rPr>
          <w:rFonts w:ascii="Verdana Pro Light" w:hAnsi="Verdana Pro Light"/>
          <w:color w:val="242424"/>
        </w:rPr>
        <w:t xml:space="preserve">  </w:t>
      </w:r>
    </w:p>
    <w:p>
      <w:pPr>
        <w:pStyle w:val="TextBody"/>
        <w:jc w:val="both"/>
        <w:rPr>
          <w:rFonts w:ascii="Verdana Pro Light" w:hAnsi="Verdana Pro Light"/>
        </w:rPr>
      </w:pPr>
      <w:r>
        <w:rPr>
          <w:rFonts w:ascii="Verdana Pro Light" w:hAnsi="Verdana Pro Light"/>
          <w:b/>
          <w:bCs/>
        </w:rPr>
        <w:t>The Sources</w:t>
      </w:r>
    </w:p>
    <w:p>
      <w:pPr>
        <w:pStyle w:val="TextBody"/>
        <w:jc w:val="both"/>
        <w:rPr>
          <w:rFonts w:ascii="Verdana Pro Light" w:hAnsi="Verdana Pro Light"/>
        </w:rPr>
      </w:pPr>
      <w:r>
        <w:rPr>
          <w:rFonts w:ascii="Verdana Pro Light" w:hAnsi="Verdana Pro Light"/>
          <w:b/>
          <w:bCs/>
          <w:color w:val="242424"/>
        </w:rPr>
        <w:tab/>
      </w:r>
      <w:r>
        <w:rPr>
          <w:rFonts w:ascii="Verdana Pro Light" w:hAnsi="Verdana Pro Light"/>
          <w:color w:val="242424"/>
        </w:rPr>
        <w:t>Brink’s article</w:t>
      </w:r>
      <w:r>
        <w:rPr>
          <w:rStyle w:val="FootnoteAnchor"/>
          <w:rFonts w:ascii="Verdana Pro Light" w:hAnsi="Verdana Pro Light"/>
          <w:color w:val="242424"/>
        </w:rPr>
        <w:footnoteReference w:id="43"/>
      </w:r>
      <w:r>
        <w:rPr>
          <w:rFonts w:ascii="Verdana Pro Light" w:hAnsi="Verdana Pro Light"/>
          <w:color w:val="242424"/>
        </w:rPr>
        <w:t xml:space="preserve"> uses a variety of primary and secondary sources and so does Walter and Waterhouse’s article</w:t>
      </w:r>
      <w:r>
        <w:rPr>
          <w:rStyle w:val="FootnoteAnchor"/>
          <w:rFonts w:ascii="Verdana Pro Light" w:hAnsi="Verdana Pro Light"/>
          <w:color w:val="242424"/>
        </w:rPr>
        <w:footnoteReference w:id="44"/>
      </w:r>
      <w:r>
        <w:rPr>
          <w:rFonts w:ascii="Verdana Pro Light" w:hAnsi="Verdana Pro Light"/>
          <w:color w:val="242424"/>
        </w:rPr>
        <w:t>. The primary sources used within Brink’s article are the 227 students that he provided the questionnaires to. The students were not necessarily picked at random but rather the student who attended the compulsory religious studies class on that day were given the questionnaire</w:t>
      </w:r>
      <w:r>
        <w:rPr>
          <w:rStyle w:val="FootnoteAnchor"/>
          <w:rFonts w:ascii="Verdana Pro Light" w:hAnsi="Verdana Pro Light"/>
          <w:color w:val="242424"/>
        </w:rPr>
        <w:footnoteReference w:id="45"/>
      </w:r>
      <w:r>
        <w:rPr>
          <w:rFonts w:ascii="Verdana Pro Light" w:hAnsi="Verdana Pro Light"/>
          <w:color w:val="242424"/>
        </w:rPr>
        <w:t>. Brink sets out to prove that catholic students will not hold a belief in Catholicism, astrology as well as reincarnation. To find out whether his prediction is true he uses questionnaires.</w:t>
      </w:r>
      <w:r>
        <w:rPr>
          <w:rStyle w:val="FootnoteAnchor"/>
          <w:rFonts w:ascii="Verdana Pro Light" w:hAnsi="Verdana Pro Light"/>
          <w:color w:val="242424"/>
        </w:rPr>
        <w:footnoteReference w:id="46"/>
      </w:r>
      <w:r>
        <w:rPr>
          <w:rFonts w:ascii="Verdana Pro Light" w:hAnsi="Verdana Pro Light"/>
          <w:color w:val="242424"/>
        </w:rPr>
        <w:t xml:space="preserve"> Questionnaires are easy to score, and the results can easily be analyzed particularity if the answers are of choices.</w:t>
      </w:r>
      <w:r>
        <w:rPr>
          <w:rStyle w:val="FootnoteAnchor"/>
          <w:rFonts w:ascii="Verdana Pro Light" w:hAnsi="Verdana Pro Light"/>
          <w:color w:val="242424"/>
        </w:rPr>
        <w:footnoteReference w:id="47"/>
      </w:r>
      <w:r>
        <w:rPr>
          <w:rFonts w:ascii="Verdana Pro Light" w:hAnsi="Verdana Pro Light"/>
          <w:color w:val="242424"/>
        </w:rPr>
        <w:t xml:space="preserve"> Brink asked questions such as “I believe in astrology and I believe in reincarnation”.</w:t>
      </w:r>
      <w:r>
        <w:rPr>
          <w:rStyle w:val="FootnoteAnchor"/>
          <w:rFonts w:ascii="Verdana Pro Light" w:hAnsi="Verdana Pro Light"/>
          <w:color w:val="242424"/>
        </w:rPr>
        <w:footnoteReference w:id="48"/>
      </w:r>
      <w:r>
        <w:rPr>
          <w:rFonts w:ascii="Verdana Pro Light" w:hAnsi="Verdana Pro Light"/>
          <w:color w:val="242424"/>
        </w:rPr>
        <w:t xml:space="preserve"> This information within the data chart has helped to identify that the responses to the questions were most probably a tick answer. The primary source of questionnaires and the hypotheses identify questionnaires as an appropriate technique. The secondary sources that are cited in Brink’s article date back to as early as the 1915’s with many sources dating back to the 1950’s and 60’s. However, the article itself was published in 1978,</w:t>
      </w:r>
      <w:r>
        <w:rPr>
          <w:rStyle w:val="FootnoteAnchor"/>
          <w:rFonts w:ascii="Verdana Pro Light" w:hAnsi="Verdana Pro Light"/>
          <w:color w:val="242424"/>
        </w:rPr>
        <w:footnoteReference w:id="49"/>
      </w:r>
      <w:r>
        <w:rPr>
          <w:rFonts w:ascii="Verdana Pro Light" w:hAnsi="Verdana Pro Light"/>
          <w:color w:val="242424"/>
        </w:rPr>
        <w:t xml:space="preserve"> therefore the sources used are of an older date and could potentially be out of date at the time, meaning newer sources could have been available. </w:t>
      </w:r>
    </w:p>
    <w:p>
      <w:pPr>
        <w:pStyle w:val="TextBody"/>
        <w:jc w:val="both"/>
        <w:rPr>
          <w:rFonts w:ascii="Verdana Pro Light" w:hAnsi="Verdana Pro Light"/>
        </w:rPr>
      </w:pPr>
      <w:r>
        <w:rPr>
          <w:rFonts w:ascii="Verdana Pro Light" w:hAnsi="Verdana Pro Light"/>
          <w:color w:val="242424"/>
        </w:rPr>
        <w:tab/>
        <w:t>On the other hand, Walter, and Waterhouse’s article</w:t>
      </w:r>
      <w:r>
        <w:rPr>
          <w:rStyle w:val="FootnoteAnchor"/>
          <w:rFonts w:ascii="Verdana Pro Light" w:hAnsi="Verdana Pro Light"/>
          <w:color w:val="242424"/>
        </w:rPr>
        <w:footnoteReference w:id="50"/>
      </w:r>
      <w:r>
        <w:rPr>
          <w:rFonts w:ascii="Verdana Pro Light" w:hAnsi="Verdana Pro Light"/>
          <w:color w:val="2A6099"/>
        </w:rPr>
        <w:t xml:space="preserve"> </w:t>
      </w:r>
      <w:r>
        <w:rPr>
          <w:rFonts w:ascii="Verdana Pro Light" w:hAnsi="Verdana Pro Light"/>
          <w:color w:val="000000"/>
        </w:rPr>
        <w:t>have used sources that are within the time the article was published. The article was published 1999 and many sources used where published in the 1990’s. Out of the 25 sources cited, only 8 of them were published beyond the 1990’s.</w:t>
      </w:r>
      <w:r>
        <w:rPr>
          <w:rStyle w:val="FootnoteAnchor"/>
          <w:rFonts w:ascii="Verdana Pro Light" w:hAnsi="Verdana Pro Light"/>
          <w:color w:val="000000"/>
        </w:rPr>
        <w:footnoteReference w:id="51"/>
      </w:r>
      <w:r>
        <w:rPr>
          <w:rFonts w:ascii="Verdana Pro Light" w:hAnsi="Verdana Pro Light"/>
          <w:color w:val="000000"/>
        </w:rPr>
        <w:t xml:space="preserve"> The primary source for this article was an interview. The purpose of the article was to gather personal information on the belief in reincarnation, what it means to them, why they find it appealing and how it links to other aspects of their life</w:t>
      </w:r>
      <w:r>
        <w:rPr>
          <w:rStyle w:val="FootnoteAnchor"/>
          <w:rFonts w:ascii="Verdana Pro Light" w:hAnsi="Verdana Pro Light"/>
          <w:color w:val="000000"/>
        </w:rPr>
        <w:footnoteReference w:id="52"/>
      </w:r>
      <w:r>
        <w:rPr>
          <w:rFonts w:ascii="Verdana Pro Light" w:hAnsi="Verdana Pro Light"/>
          <w:color w:val="000000"/>
        </w:rPr>
        <w:t>. Interviews in this case were fit for purpose. Bremborg states that</w:t>
      </w:r>
    </w:p>
    <w:p>
      <w:pPr>
        <w:pStyle w:val="TextBody"/>
        <w:jc w:val="both"/>
        <w:rPr>
          <w:rFonts w:ascii="Verdana Pro Light" w:hAnsi="Verdana Pro Light"/>
        </w:rPr>
      </w:pPr>
      <w:r>
        <w:rPr>
          <w:rFonts w:ascii="Verdana Pro Light" w:hAnsi="Verdana Pro Light"/>
          <w:color w:val="000000"/>
        </w:rPr>
        <w:t>“</w:t>
      </w:r>
      <w:r>
        <w:rPr>
          <w:rFonts w:ascii="Verdana Pro Light" w:hAnsi="Verdana Pro Light"/>
          <w:color w:val="000000"/>
        </w:rPr>
        <w:t>Interviews within religious studies are useful for studying peoples’ complex conceptions of religion and beliefs. They allow individuals to express their personal and intimate views and thoughts in substantial ways”</w:t>
      </w:r>
      <w:r>
        <w:rPr>
          <w:rStyle w:val="FootnoteAnchor"/>
          <w:rFonts w:ascii="Verdana Pro Light" w:hAnsi="Verdana Pro Light"/>
          <w:color w:val="000000"/>
        </w:rPr>
        <w:footnoteReference w:id="53"/>
      </w:r>
      <w:r>
        <w:rPr>
          <w:rFonts w:ascii="Verdana Pro Light" w:hAnsi="Verdana Pro Light"/>
          <w:color w:val="000000"/>
        </w:rPr>
        <w:t xml:space="preserve">. </w:t>
      </w:r>
    </w:p>
    <w:p>
      <w:pPr>
        <w:pStyle w:val="TextBody"/>
        <w:jc w:val="both"/>
        <w:rPr>
          <w:rFonts w:ascii="Verdana Pro Light" w:hAnsi="Verdana Pro Light"/>
        </w:rPr>
      </w:pPr>
      <w:r>
        <w:rPr>
          <w:rFonts w:ascii="Verdana Pro Light" w:hAnsi="Verdana Pro Light"/>
          <w:color w:val="000000"/>
        </w:rPr>
        <w:t xml:space="preserve">The primary sources used are valid and appropriate.  </w:t>
      </w:r>
    </w:p>
    <w:p>
      <w:pPr>
        <w:pStyle w:val="TextBody"/>
        <w:jc w:val="both"/>
        <w:rPr>
          <w:rFonts w:ascii="Verdana Pro Light" w:hAnsi="Verdana Pro Light"/>
        </w:rPr>
      </w:pPr>
      <w:r>
        <w:rPr>
          <w:rFonts w:ascii="Verdana Pro Light" w:hAnsi="Verdana Pro Light"/>
          <w:b/>
          <w:bCs/>
        </w:rPr>
        <w:t xml:space="preserve">Strengths and Weaknesses </w:t>
      </w:r>
    </w:p>
    <w:p>
      <w:pPr>
        <w:pStyle w:val="TextBody"/>
        <w:jc w:val="both"/>
        <w:rPr>
          <w:rFonts w:ascii="Verdana Pro Light" w:hAnsi="Verdana Pro Light"/>
        </w:rPr>
      </w:pPr>
      <w:r>
        <w:rPr>
          <w:rFonts w:ascii="Verdana Pro Light" w:hAnsi="Verdana Pro Light"/>
        </w:rPr>
        <w:tab/>
        <w:t>Brink identifies the sample size in his article, he identifies 227 students for his quantitative study</w:t>
      </w:r>
      <w:r>
        <w:rPr>
          <w:rStyle w:val="FootnoteAnchor"/>
          <w:rFonts w:ascii="Verdana Pro Light" w:hAnsi="Verdana Pro Light"/>
        </w:rPr>
        <w:footnoteReference w:id="54"/>
      </w:r>
      <w:r>
        <w:rPr>
          <w:rFonts w:ascii="Verdana Pro Light" w:hAnsi="Verdana Pro Light"/>
        </w:rPr>
        <w:t>, but does not mention why he has chosen that amount. As a reader it is difficult to know whether the data is a true reflection of the Catholic community because the author has not explained why they had chosen that sample size. Whilst 227 seems of a large scale, that scale is unlikely to represent the opinions of Catholics “living on Chicago's Northwest side”.</w:t>
      </w:r>
      <w:r>
        <w:rPr>
          <w:rStyle w:val="FootnoteAnchor"/>
          <w:rFonts w:ascii="Verdana Pro Light" w:hAnsi="Verdana Pro Light"/>
        </w:rPr>
        <w:footnoteReference w:id="55"/>
      </w:r>
      <w:r>
        <w:rPr>
          <w:rFonts w:ascii="Verdana Pro Light" w:hAnsi="Verdana Pro Light"/>
        </w:rPr>
        <w:t xml:space="preserve"> The type of study in quantitative research determines the sample size. Furthermore, the sample size is important for testing the hypothesis but in general the rule is, the larger the sample, the more accurate your results are. </w:t>
      </w:r>
      <w:r>
        <w:rPr>
          <w:rStyle w:val="FootnoteAnchor"/>
          <w:rFonts w:ascii="Verdana Pro Light" w:hAnsi="Verdana Pro Light"/>
        </w:rPr>
        <w:footnoteReference w:id="56"/>
      </w:r>
      <w:r>
        <w:rPr>
          <w:rFonts w:ascii="Verdana Pro Light" w:hAnsi="Verdana Pro Light"/>
        </w:rPr>
        <w:t>In contrast to this Walter and Waterhouse have briefly addressed their choice of sample size by stating</w:t>
      </w:r>
    </w:p>
    <w:p>
      <w:pPr>
        <w:pStyle w:val="TextBody"/>
        <w:jc w:val="both"/>
        <w:rPr>
          <w:rFonts w:ascii="Verdana Pro Light" w:hAnsi="Verdana Pro Light"/>
        </w:rPr>
      </w:pPr>
      <w:r>
        <w:rPr>
          <w:rFonts w:ascii="Verdana Pro Light" w:hAnsi="Verdana Pro Light"/>
        </w:rPr>
        <w:t xml:space="preserve"> “</w:t>
      </w:r>
      <w:r>
        <w:rPr>
          <w:rFonts w:ascii="Verdana Pro Light" w:hAnsi="Verdana Pro Light"/>
          <w:color w:val="000000"/>
        </w:rPr>
        <w:t>The intention was not to assemble a representative sample, but to discover the range of meanings given to the idea of reincarnation; to this end, the interviews were very open-ended,”</w:t>
      </w:r>
      <w:r>
        <w:rPr>
          <w:rStyle w:val="FootnoteAnchor"/>
          <w:rFonts w:ascii="Verdana Pro Light" w:hAnsi="Verdana Pro Light"/>
          <w:color w:val="000000"/>
        </w:rPr>
        <w:footnoteReference w:id="57"/>
      </w:r>
      <w:r>
        <w:rPr>
          <w:rFonts w:ascii="Verdana Pro Light" w:hAnsi="Verdana Pro Light"/>
          <w:color w:val="000000"/>
        </w:rPr>
        <w:t xml:space="preserve">. </w:t>
      </w:r>
    </w:p>
    <w:p>
      <w:pPr>
        <w:pStyle w:val="TextBody"/>
        <w:jc w:val="both"/>
        <w:rPr>
          <w:rFonts w:ascii="Verdana Pro Light" w:hAnsi="Verdana Pro Light"/>
        </w:rPr>
      </w:pPr>
      <w:r>
        <w:rPr>
          <w:rFonts w:ascii="Verdana Pro Light" w:hAnsi="Verdana Pro Light"/>
          <w:color w:val="000000"/>
        </w:rPr>
        <w:t xml:space="preserve">This short statement provides the reader with some slight understanding as to why they have chosen that sample size. </w:t>
      </w:r>
    </w:p>
    <w:p>
      <w:pPr>
        <w:pStyle w:val="TextBody"/>
        <w:jc w:val="both"/>
        <w:rPr>
          <w:rFonts w:ascii="Verdana Pro Light" w:hAnsi="Verdana Pro Light"/>
        </w:rPr>
      </w:pPr>
      <w:r>
        <w:rPr>
          <w:rFonts w:ascii="Verdana Pro Light" w:hAnsi="Verdana Pro Light"/>
        </w:rPr>
        <w:tab/>
        <w:t>Another critique of Brink is that he mentions the study being conducted on students who come from working class families who are of a polish and Italian ethnic background</w:t>
      </w:r>
      <w:r>
        <w:rPr>
          <w:rStyle w:val="FootnoteAnchor"/>
          <w:rFonts w:ascii="Verdana Pro Light" w:hAnsi="Verdana Pro Light"/>
        </w:rPr>
        <w:footnoteReference w:id="58"/>
      </w:r>
      <w:r>
        <w:rPr>
          <w:rFonts w:ascii="Verdana Pro Light" w:hAnsi="Verdana Pro Light"/>
        </w:rPr>
        <w:t xml:space="preserve">. There is no evidence to suggest that these factors have influenced the results of the research or that these statements were included in the questions asked in the questionnaires. </w:t>
      </w:r>
    </w:p>
    <w:p>
      <w:pPr>
        <w:pStyle w:val="TextBody"/>
        <w:jc w:val="both"/>
        <w:rPr>
          <w:rFonts w:ascii="Verdana Pro Light" w:hAnsi="Verdana Pro Light"/>
          <w:b/>
          <w:b/>
          <w:bCs/>
        </w:rPr>
      </w:pPr>
      <w:r>
        <w:rPr>
          <w:rFonts w:ascii="Verdana Pro Light" w:hAnsi="Verdana Pro Light"/>
          <w:b/>
          <w:bCs/>
        </w:rPr>
        <w:t xml:space="preserve">Conclusion </w:t>
      </w:r>
    </w:p>
    <w:p>
      <w:pPr>
        <w:pStyle w:val="TextBody"/>
        <w:jc w:val="both"/>
        <w:rPr>
          <w:rFonts w:ascii="Verdana Pro Light" w:hAnsi="Verdana Pro Light"/>
        </w:rPr>
      </w:pPr>
      <w:r>
        <w:rPr>
          <w:rFonts w:ascii="Verdana Pro Light" w:hAnsi="Verdana Pro Light"/>
          <w:b/>
          <w:bCs/>
        </w:rPr>
        <w:tab/>
        <w:t>T</w:t>
      </w:r>
      <w:r>
        <w:rPr>
          <w:rFonts w:ascii="Verdana Pro Light" w:hAnsi="Verdana Pro Light"/>
        </w:rPr>
        <w:t>his study was set out to compare and contrast Tony Walter and Helen Waterhouse’s article on ‘A Very Private Belief: Reincarnation in Contemporary England’</w:t>
      </w:r>
      <w:r>
        <w:rPr>
          <w:rStyle w:val="FootnoteAnchor"/>
          <w:rFonts w:ascii="Verdana Pro Light" w:hAnsi="Verdana Pro Light"/>
        </w:rPr>
        <w:footnoteReference w:id="59"/>
      </w:r>
      <w:r>
        <w:rPr>
          <w:rFonts w:ascii="Verdana Pro Light" w:hAnsi="Verdana Pro Light"/>
        </w:rPr>
        <w:t xml:space="preserve">, with T. L. Brink ‘s article on the ‘Inconsistency of Belief among Roman Catholic Girls: Concerning Religion, Astrology, Reincarnation’.  It has been identified that both articles address the topic of reincarnation. however Brink’s article also includes the topic of astrology.  Brink’s article is </w:t>
      </w:r>
      <w:r>
        <w:rPr>
          <w:rFonts w:ascii="Verdana Pro Light" w:hAnsi="Verdana Pro Light"/>
        </w:rPr>
        <w:t xml:space="preserve">based </w:t>
      </w:r>
      <w:r>
        <w:rPr>
          <w:rFonts w:ascii="Verdana Pro Light" w:hAnsi="Verdana Pro Light"/>
        </w:rPr>
        <w:t xml:space="preserve">on </w:t>
      </w:r>
      <w:r>
        <w:rPr>
          <w:rFonts w:ascii="Verdana Pro Light" w:hAnsi="Verdana Pro Light"/>
        </w:rPr>
        <w:t>a</w:t>
      </w:r>
      <w:r>
        <w:rPr>
          <w:rFonts w:ascii="Verdana Pro Light" w:hAnsi="Verdana Pro Light"/>
        </w:rPr>
        <w:t xml:space="preserve"> quantity </w:t>
      </w:r>
      <w:r>
        <w:rPr>
          <w:rFonts w:ascii="Verdana Pro Light" w:hAnsi="Verdana Pro Light"/>
        </w:rPr>
        <w:t>approach</w:t>
      </w:r>
      <w:r>
        <w:rPr>
          <w:rFonts w:ascii="Verdana Pro Light" w:hAnsi="Verdana Pro Light"/>
        </w:rPr>
        <w:t xml:space="preserve"> and has chosen a questionnaire to obtain information, </w:t>
      </w:r>
      <w:r>
        <w:rPr>
          <w:rFonts w:ascii="Verdana Pro Light" w:hAnsi="Verdana Pro Light"/>
        </w:rPr>
        <w:t>However,</w:t>
      </w:r>
      <w:r>
        <w:rPr>
          <w:rFonts w:ascii="Verdana Pro Light" w:hAnsi="Verdana Pro Light"/>
        </w:rPr>
        <w:t xml:space="preserve"> it has not been stated whether consent was given. In comparison Walter and Waterhouse explore personal views on reincarnation through interviews, </w:t>
      </w:r>
      <w:r>
        <w:rPr>
          <w:rFonts w:ascii="Verdana Pro Light" w:hAnsi="Verdana Pro Light"/>
        </w:rPr>
        <w:t xml:space="preserve">which provides quality data. </w:t>
      </w:r>
      <w:r>
        <w:rPr>
          <w:rFonts w:ascii="Verdana Pro Light" w:hAnsi="Verdana Pro Light"/>
        </w:rPr>
        <w:t xml:space="preserve">Walter and Waterhouse’s article had a much better structure and was easier to read and follow in comparison with Brink. </w:t>
      </w:r>
    </w:p>
    <w:p>
      <w:pPr>
        <w:pStyle w:val="Body"/>
        <w:jc w:val="both"/>
        <w:rPr>
          <w:rFonts w:ascii="Arial Nova Light" w:hAnsi="Arial Nova Light"/>
          <w:b/>
          <w:b/>
          <w:bCs/>
        </w:rPr>
      </w:pPr>
      <w:r>
        <w:rPr>
          <w:rFonts w:ascii="Arial Nova Light" w:hAnsi="Arial Nova Light"/>
          <w:b/>
          <w:bCs/>
        </w:rPr>
      </w:r>
    </w:p>
    <w:p>
      <w:pPr>
        <w:pStyle w:val="Body"/>
        <w:jc w:val="both"/>
        <w:rPr>
          <w:rFonts w:ascii="Arial Nova Light" w:hAnsi="Arial Nova Light"/>
        </w:rPr>
      </w:pPr>
      <w:r>
        <w:rPr>
          <w:rFonts w:ascii="Arial Nova Light" w:hAnsi="Arial Nova Light"/>
        </w:rPr>
      </w:r>
    </w:p>
    <w:p>
      <w:pPr>
        <w:pStyle w:val="Body"/>
        <w:jc w:val="both"/>
        <w:rPr>
          <w:rFonts w:ascii="Arial Nova Light" w:hAnsi="Arial Nova Light"/>
        </w:rPr>
      </w:pPr>
      <w:r>
        <w:rPr>
          <w:rFonts w:ascii="Arial Nova Light" w:hAnsi="Arial Nova Light"/>
        </w:rPr>
      </w:r>
    </w:p>
    <w:p>
      <w:pPr>
        <w:pStyle w:val="Body"/>
        <w:jc w:val="both"/>
        <w:rPr>
          <w:rFonts w:ascii="Arial Nova Light" w:hAnsi="Arial Nova Light"/>
        </w:rPr>
      </w:pPr>
      <w:r>
        <w:rPr>
          <w:rFonts w:ascii="Arial Nova Light" w:hAnsi="Arial Nova Light"/>
        </w:rPr>
      </w:r>
    </w:p>
    <w:p>
      <w:pPr>
        <w:pStyle w:val="Body"/>
        <w:jc w:val="both"/>
        <w:rPr>
          <w:rFonts w:ascii="Arial Nova Light" w:hAnsi="Arial Nova Light"/>
        </w:rPr>
      </w:pPr>
      <w:r>
        <w:rPr>
          <w:rFonts w:ascii="Arial Nova Light" w:hAnsi="Arial Nova Light"/>
        </w:rPr>
      </w:r>
    </w:p>
    <w:p>
      <w:pPr>
        <w:pStyle w:val="Body"/>
        <w:jc w:val="both"/>
        <w:rPr>
          <w:rFonts w:ascii="Arial Nova Light" w:hAnsi="Arial Nova Light"/>
        </w:rPr>
      </w:pPr>
      <w:r>
        <w:rPr>
          <w:rFonts w:ascii="Arial Nova Light" w:hAnsi="Arial Nova Light"/>
        </w:rPr>
      </w:r>
    </w:p>
    <w:p>
      <w:pPr>
        <w:pStyle w:val="Body"/>
        <w:jc w:val="both"/>
        <w:rPr>
          <w:rFonts w:ascii="Arial Nova Light" w:hAnsi="Arial Nova Light"/>
        </w:rPr>
      </w:pPr>
      <w:r>
        <w:rPr>
          <w:rFonts w:ascii="Arial Nova Light" w:hAnsi="Arial Nova Light"/>
        </w:rPr>
      </w:r>
    </w:p>
    <w:p>
      <w:pPr>
        <w:pStyle w:val="Body"/>
        <w:jc w:val="both"/>
        <w:rPr>
          <w:rFonts w:ascii="Verdana Pro Light" w:hAnsi="Verdana Pro Light"/>
        </w:rPr>
      </w:pPr>
      <w:r>
        <w:rPr>
          <w:rFonts w:ascii="Verdana Pro Light" w:hAnsi="Verdana Pro Light"/>
        </w:rPr>
      </w:r>
    </w:p>
    <w:p>
      <w:pPr>
        <w:pStyle w:val="Body"/>
        <w:jc w:val="both"/>
        <w:rPr>
          <w:rFonts w:ascii="Verdana Pro Light" w:hAnsi="Verdana Pro Light"/>
        </w:rPr>
      </w:pPr>
      <w:r>
        <w:rPr>
          <w:rFonts w:ascii="Verdana Pro Light" w:hAnsi="Verdana Pro Light"/>
        </w:rPr>
      </w:r>
    </w:p>
    <w:p>
      <w:pPr>
        <w:pStyle w:val="Body"/>
        <w:jc w:val="both"/>
        <w:rPr>
          <w:rFonts w:ascii="Verdana Pro Light" w:hAnsi="Verdana Pro Light"/>
        </w:rPr>
      </w:pPr>
      <w:r>
        <w:rPr>
          <w:rFonts w:ascii="Verdana Pro Light" w:hAnsi="Verdana Pro Light"/>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
    </w:p>
    <w:p>
      <w:pPr>
        <w:pStyle w:val="Body"/>
        <w:jc w:val="both"/>
        <w:rPr>
          <w:rFonts w:ascii="Verdana Pro Light" w:hAnsi="Verdana Pro Light"/>
        </w:rPr>
      </w:pPr>
      <w:r>
        <w:rPr>
          <w:rFonts w:ascii="Verdana Pro Light" w:hAnsi="Verdana Pro Light"/>
          <w:b/>
          <w:bCs/>
        </w:rPr>
        <w:t xml:space="preserve">Bibliography </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Bremborg, Davidsson, Anna, ‘Interviewing’ in </w:t>
      </w:r>
      <w:r>
        <w:rPr>
          <w:rFonts w:ascii="Verdana Pro Light" w:hAnsi="Verdana Pro Light"/>
          <w:i/>
          <w:iCs/>
          <w:sz w:val="24"/>
          <w:szCs w:val="24"/>
        </w:rPr>
        <w:t xml:space="preserve">The Routledge Handbook Of Research Methods In The Study Of Religion, </w:t>
      </w:r>
      <w:r>
        <w:rPr>
          <w:rFonts w:ascii="Verdana Pro Light" w:hAnsi="Verdana Pro Light"/>
          <w:sz w:val="24"/>
          <w:szCs w:val="24"/>
        </w:rPr>
        <w:t xml:space="preserve">ed. by Michael Stausberg and Steven Engler (Oxon: Routledge, 2011), pp. 310- 322 </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pPr>
      <w:r>
        <w:rPr>
          <w:rFonts w:ascii="Verdana Pro Light" w:hAnsi="Verdana Pro Light"/>
          <w:sz w:val="24"/>
          <w:szCs w:val="24"/>
        </w:rPr>
        <w:t>Brink, T. L. 1978. ‘Inconsistency of Belief among Roman Catholic Girls: Concerning Religion, Astrology, Reincarnation.’ Review of Religious Research, 20, 82-85. [Accessed 12</w:t>
      </w:r>
      <w:r>
        <w:rPr>
          <w:rFonts w:ascii="Verdana Pro Light" w:hAnsi="Verdana Pro Light"/>
          <w:sz w:val="24"/>
          <w:szCs w:val="24"/>
          <w:vertAlign w:val="superscript"/>
        </w:rPr>
        <w:t>th</w:t>
      </w:r>
      <w:r>
        <w:rPr>
          <w:rFonts w:ascii="Verdana Pro Light" w:hAnsi="Verdana Pro Light"/>
          <w:sz w:val="24"/>
          <w:szCs w:val="24"/>
        </w:rPr>
        <w:t xml:space="preserve"> February 2024]. Available JSTOR. &lt;</w:t>
      </w:r>
      <w:hyperlink r:id="rId3">
        <w:r>
          <w:rPr>
            <w:rStyle w:val="InternetLink"/>
            <w:rFonts w:ascii="Verdana Pro Light" w:hAnsi="Verdana Pro Light"/>
            <w:sz w:val="24"/>
            <w:szCs w:val="24"/>
          </w:rPr>
          <w:t>https://www.jstor.org/stable/3509943</w:t>
        </w:r>
      </w:hyperlink>
      <w:r>
        <w:rPr>
          <w:rFonts w:ascii="Verdana Pro Light" w:hAnsi="Verdana Pro Light"/>
          <w:sz w:val="24"/>
          <w:szCs w:val="24"/>
        </w:rPr>
        <w:t xml:space="preserve">&gt;  </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Brink, T, L </w:t>
      </w:r>
      <w:r>
        <w:rPr>
          <w:rFonts w:ascii="Verdana Pro Light" w:hAnsi="Verdana Pro Light"/>
          <w:i/>
          <w:iCs/>
          <w:sz w:val="24"/>
          <w:szCs w:val="24"/>
        </w:rPr>
        <w:t xml:space="preserve">Crafton Hills College, Human Development, faculty member. </w:t>
      </w:r>
      <w:r>
        <w:rPr>
          <w:rFonts w:ascii="Verdana Pro Light" w:hAnsi="Verdana Pro Light"/>
          <w:sz w:val="24"/>
          <w:szCs w:val="24"/>
        </w:rPr>
        <w:t>2024 &lt; Craftonhills.academia.edu&gt; [assessed 10</w:t>
      </w:r>
      <w:r>
        <w:rPr>
          <w:rFonts w:ascii="Verdana Pro Light" w:hAnsi="Verdana Pro Light"/>
          <w:sz w:val="24"/>
          <w:szCs w:val="24"/>
          <w:vertAlign w:val="superscript"/>
        </w:rPr>
        <w:t>th</w:t>
      </w:r>
      <w:r>
        <w:rPr>
          <w:rFonts w:ascii="Verdana Pro Light" w:hAnsi="Verdana Pro Light"/>
          <w:sz w:val="24"/>
          <w:szCs w:val="24"/>
        </w:rPr>
        <w:t xml:space="preserve"> February 2024] </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Clark, Tom and others, </w:t>
      </w:r>
      <w:r>
        <w:rPr>
          <w:rFonts w:ascii="Verdana Pro Light" w:hAnsi="Verdana Pro Light"/>
          <w:i/>
          <w:iCs/>
          <w:sz w:val="24"/>
          <w:szCs w:val="24"/>
        </w:rPr>
        <w:t xml:space="preserve">Bryman’s Social Research Methods. </w:t>
      </w:r>
      <w:r>
        <w:rPr>
          <w:rFonts w:ascii="Verdana Pro Light" w:hAnsi="Verdana Pro Light"/>
          <w:sz w:val="24"/>
          <w:szCs w:val="24"/>
        </w:rPr>
        <w:t>(Oxford: Oxford University Press, 2021)</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Corbetta. Piergiorgio, </w:t>
      </w:r>
      <w:r>
        <w:rPr>
          <w:rFonts w:ascii="Verdana Pro Light" w:hAnsi="Verdana Pro Light"/>
          <w:i/>
          <w:iCs/>
          <w:sz w:val="24"/>
          <w:szCs w:val="24"/>
        </w:rPr>
        <w:t xml:space="preserve">Social Research Theory, Methods, and Techniques. </w:t>
      </w:r>
      <w:r>
        <w:rPr>
          <w:rFonts w:ascii="Verdana Pro Light" w:hAnsi="Verdana Pro Light"/>
          <w:sz w:val="24"/>
          <w:szCs w:val="24"/>
        </w:rPr>
        <w:t>(London: Sage Publications LTD, 2003)</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Gronmo, Sigmund, </w:t>
      </w:r>
      <w:r>
        <w:rPr>
          <w:rFonts w:ascii="Verdana Pro Light" w:hAnsi="Verdana Pro Light"/>
          <w:i/>
          <w:iCs/>
          <w:sz w:val="24"/>
          <w:szCs w:val="24"/>
        </w:rPr>
        <w:t xml:space="preserve">Social Research Methods, Qualitative, Quantitative and Mixed Methods Approaches. </w:t>
      </w:r>
      <w:r>
        <w:rPr>
          <w:rFonts w:ascii="Verdana Pro Light" w:hAnsi="Verdana Pro Light"/>
          <w:sz w:val="24"/>
          <w:szCs w:val="24"/>
        </w:rPr>
        <w:t>(London: Sage Publications, 2020)</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pPr>
      <w:r>
        <w:rPr>
          <w:rFonts w:ascii="Verdana Pro Light" w:hAnsi="Verdana Pro Light"/>
          <w:sz w:val="24"/>
          <w:szCs w:val="24"/>
        </w:rPr>
        <w:t>JSTOR, R</w:t>
      </w:r>
      <w:r>
        <w:rPr>
          <w:rFonts w:ascii="Verdana Pro Light" w:hAnsi="Verdana Pro Light"/>
          <w:i/>
          <w:iCs/>
          <w:sz w:val="24"/>
          <w:szCs w:val="24"/>
        </w:rPr>
        <w:t xml:space="preserve">eview of Religious Research </w:t>
      </w:r>
      <w:r>
        <w:rPr>
          <w:rFonts w:ascii="Verdana Pro Light" w:hAnsi="Verdana Pro Light"/>
          <w:sz w:val="24"/>
          <w:szCs w:val="24"/>
        </w:rPr>
        <w:t>(2024) &lt;</w:t>
      </w:r>
      <w:r>
        <w:fldChar w:fldCharType="begin"/>
      </w:r>
      <w:r>
        <w:rPr>
          <w:rStyle w:val="InternetLink"/>
          <w:sz w:val="24"/>
          <w:szCs w:val="24"/>
          <w:rFonts w:ascii="Verdana Pro Light" w:hAnsi="Verdana Pro Light"/>
        </w:rPr>
        <w:instrText> HYPERLINK "https://www.jstor.org/journal/revirelirese" \l "journal-information"</w:instrText>
      </w:r>
      <w:r>
        <w:rPr>
          <w:rStyle w:val="InternetLink"/>
          <w:sz w:val="24"/>
          <w:szCs w:val="24"/>
          <w:rFonts w:ascii="Verdana Pro Light" w:hAnsi="Verdana Pro Light"/>
        </w:rPr>
        <w:fldChar w:fldCharType="separate"/>
      </w:r>
      <w:r>
        <w:rPr>
          <w:rStyle w:val="InternetLink"/>
          <w:rFonts w:ascii="Verdana Pro Light" w:hAnsi="Verdana Pro Light"/>
          <w:sz w:val="24"/>
          <w:szCs w:val="24"/>
        </w:rPr>
        <w:t>Review of Religious Research on JSTOR</w:t>
      </w:r>
      <w:r>
        <w:rPr>
          <w:rStyle w:val="InternetLink"/>
          <w:sz w:val="24"/>
          <w:szCs w:val="24"/>
          <w:rFonts w:ascii="Verdana Pro Light" w:hAnsi="Verdana Pro Light"/>
        </w:rPr>
        <w:fldChar w:fldCharType="end"/>
      </w:r>
      <w:r>
        <w:rPr>
          <w:rFonts w:ascii="Verdana Pro Light" w:hAnsi="Verdana Pro Light"/>
          <w:sz w:val="24"/>
          <w:szCs w:val="24"/>
        </w:rPr>
        <w:t xml:space="preserve"> &gt; [accessed 12</w:t>
      </w:r>
      <w:r>
        <w:rPr>
          <w:rFonts w:ascii="Verdana Pro Light" w:hAnsi="Verdana Pro Light"/>
          <w:sz w:val="24"/>
          <w:szCs w:val="24"/>
          <w:vertAlign w:val="superscript"/>
        </w:rPr>
        <w:t>th</w:t>
      </w:r>
      <w:r>
        <w:rPr>
          <w:rFonts w:ascii="Verdana Pro Light" w:hAnsi="Verdana Pro Light"/>
          <w:sz w:val="24"/>
          <w:szCs w:val="24"/>
        </w:rPr>
        <w:t xml:space="preserve"> February 2024]</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Kumar, Ranjit </w:t>
      </w:r>
      <w:r>
        <w:rPr>
          <w:rFonts w:ascii="Verdana Pro Light" w:hAnsi="Verdana Pro Light"/>
          <w:i/>
          <w:iCs/>
          <w:sz w:val="24"/>
          <w:szCs w:val="24"/>
        </w:rPr>
        <w:t xml:space="preserve">Research Methodology: A step by step guide for beginners. </w:t>
      </w:r>
      <w:r>
        <w:rPr>
          <w:rFonts w:ascii="Verdana Pro Light" w:hAnsi="Verdana Pro Light"/>
          <w:sz w:val="24"/>
          <w:szCs w:val="24"/>
        </w:rPr>
        <w:t>(London: Sage Publications Ltd, 2011)</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Melton, Gordon and Baumann, Martin </w:t>
      </w:r>
      <w:r>
        <w:rPr>
          <w:rFonts w:ascii="Verdana Pro Light" w:hAnsi="Verdana Pro Light"/>
          <w:i/>
          <w:iCs/>
          <w:sz w:val="24"/>
          <w:szCs w:val="24"/>
        </w:rPr>
        <w:t xml:space="preserve">Religions of the world. </w:t>
      </w:r>
      <w:r>
        <w:rPr>
          <w:rFonts w:ascii="Verdana Pro Light" w:hAnsi="Verdana Pro Light"/>
          <w:sz w:val="24"/>
          <w:szCs w:val="24"/>
        </w:rPr>
        <w:t>(USA: Greenwood publishing group, 2010)</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pPr>
      <w:r>
        <w:rPr>
          <w:rFonts w:ascii="Verdana Pro Light" w:hAnsi="Verdana Pro Light"/>
          <w:sz w:val="24"/>
          <w:szCs w:val="24"/>
        </w:rPr>
        <w:t xml:space="preserve">Oxford Academic, </w:t>
      </w:r>
      <w:r>
        <w:rPr>
          <w:rFonts w:ascii="Verdana Pro Light" w:hAnsi="Verdana Pro Light"/>
          <w:i/>
          <w:iCs/>
          <w:sz w:val="24"/>
          <w:szCs w:val="24"/>
        </w:rPr>
        <w:t>Sociology of Religion</w:t>
      </w:r>
      <w:r>
        <w:rPr>
          <w:rFonts w:ascii="Verdana Pro Light" w:hAnsi="Verdana Pro Light"/>
          <w:sz w:val="24"/>
          <w:szCs w:val="24"/>
        </w:rPr>
        <w:t xml:space="preserve"> (2024) &lt; </w:t>
      </w:r>
      <w:hyperlink r:id="rId4">
        <w:r>
          <w:rPr>
            <w:rStyle w:val="InternetLink"/>
            <w:rFonts w:ascii="Verdana Pro Light" w:hAnsi="Verdana Pro Light"/>
            <w:sz w:val="24"/>
            <w:szCs w:val="24"/>
          </w:rPr>
          <w:t>About | Sociology of Religion | Oxford Academic (oup.com)</w:t>
        </w:r>
      </w:hyperlink>
      <w:r>
        <w:rPr>
          <w:rFonts w:ascii="Verdana Pro Light" w:hAnsi="Verdana Pro Light"/>
          <w:sz w:val="24"/>
          <w:szCs w:val="24"/>
        </w:rPr>
        <w:t xml:space="preserve"> &gt; [accessed 12</w:t>
      </w:r>
      <w:r>
        <w:rPr>
          <w:rFonts w:ascii="Verdana Pro Light" w:hAnsi="Verdana Pro Light"/>
          <w:sz w:val="24"/>
          <w:szCs w:val="24"/>
          <w:vertAlign w:val="superscript"/>
        </w:rPr>
        <w:t>th</w:t>
      </w:r>
      <w:r>
        <w:rPr>
          <w:rFonts w:ascii="Verdana Pro Light" w:hAnsi="Verdana Pro Light"/>
          <w:sz w:val="24"/>
          <w:szCs w:val="24"/>
        </w:rPr>
        <w:t xml:space="preserve"> February 2024]</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Patten. Mildred L, </w:t>
      </w:r>
      <w:r>
        <w:rPr>
          <w:rFonts w:ascii="Verdana Pro Light" w:hAnsi="Verdana Pro Light"/>
          <w:i/>
          <w:iCs/>
          <w:sz w:val="24"/>
          <w:szCs w:val="24"/>
        </w:rPr>
        <w:t xml:space="preserve">Questionnaire Research, A Practical Guide. </w:t>
      </w:r>
      <w:r>
        <w:rPr>
          <w:rFonts w:ascii="Verdana Pro Light" w:hAnsi="Verdana Pro Light"/>
          <w:sz w:val="24"/>
          <w:szCs w:val="24"/>
        </w:rPr>
        <w:t>(Oxon: Routledge, 2017)</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Stokes, Peter and Wall, Tony, Research</w:t>
      </w:r>
      <w:r>
        <w:rPr>
          <w:rFonts w:ascii="Verdana Pro Light" w:hAnsi="Verdana Pro Light"/>
          <w:i/>
          <w:iCs/>
          <w:sz w:val="24"/>
          <w:szCs w:val="24"/>
        </w:rPr>
        <w:t xml:space="preserve"> Methods. </w:t>
      </w:r>
      <w:r>
        <w:rPr>
          <w:rFonts w:ascii="Verdana Pro Light" w:hAnsi="Verdana Pro Light"/>
          <w:sz w:val="24"/>
          <w:szCs w:val="24"/>
        </w:rPr>
        <w:t>(London: Palgrave, 2014)</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Verdana Pro Light" w:hAnsi="Verdana Pro Light"/>
          <w:sz w:val="24"/>
          <w:szCs w:val="24"/>
        </w:rPr>
      </w:pPr>
      <w:r>
        <w:rPr>
          <w:rFonts w:ascii="Verdana Pro Light" w:hAnsi="Verdana Pro Light"/>
          <w:sz w:val="24"/>
          <w:szCs w:val="24"/>
        </w:rPr>
        <w:t xml:space="preserve">Thomson, Pat, and Kamler, Barbara, </w:t>
      </w:r>
      <w:r>
        <w:rPr>
          <w:rFonts w:ascii="Verdana Pro Light" w:hAnsi="Verdana Pro Light"/>
          <w:i/>
          <w:iCs/>
          <w:sz w:val="24"/>
          <w:szCs w:val="24"/>
        </w:rPr>
        <w:t xml:space="preserve">Writing for peer reviewed journals. </w:t>
      </w:r>
      <w:r>
        <w:rPr>
          <w:rFonts w:ascii="Verdana Pro Light" w:hAnsi="Verdana Pro Light"/>
          <w:sz w:val="24"/>
          <w:szCs w:val="24"/>
        </w:rPr>
        <w:t>(Oxon: Routledge, 2013)</w:t>
      </w:r>
    </w:p>
    <w:p>
      <w:pPr>
        <w:pStyle w:val="FootnoteText1"/>
        <w:jc w:val="both"/>
        <w:rPr>
          <w:rFonts w:ascii="Verdana Pro Light" w:hAnsi="Verdana Pro Light"/>
          <w:sz w:val="24"/>
          <w:szCs w:val="24"/>
        </w:rPr>
      </w:pPr>
      <w:r>
        <w:rPr>
          <w:rFonts w:ascii="Verdana Pro Light" w:hAnsi="Verdana Pro Light"/>
          <w:sz w:val="24"/>
          <w:szCs w:val="24"/>
        </w:rPr>
      </w:r>
    </w:p>
    <w:p>
      <w:pPr>
        <w:pStyle w:val="Normal"/>
        <w:jc w:val="both"/>
        <w:rPr>
          <w:rFonts w:ascii="Verdana Pro Light" w:hAnsi="Verdana Pro Light"/>
        </w:rPr>
      </w:pPr>
      <w:r>
        <w:rPr>
          <w:rFonts w:ascii="Verdana Pro Light" w:hAnsi="Verdana Pro Light"/>
          <w:color w:val="000000"/>
        </w:rPr>
        <w:t>Walter, T. &amp; Waterhouse, H. 1999. ‘A Very Private Belief: Reincarnation in Contemporary England’. Sociology of Religion, 60, 187-197. [accessed 12</w:t>
      </w:r>
      <w:r>
        <w:rPr>
          <w:rFonts w:ascii="Verdana Pro Light" w:hAnsi="Verdana Pro Light"/>
          <w:color w:val="000000"/>
          <w:vertAlign w:val="superscript"/>
        </w:rPr>
        <w:t>th</w:t>
      </w:r>
      <w:r>
        <w:rPr>
          <w:rFonts w:ascii="Verdana Pro Light" w:hAnsi="Verdana Pro Light"/>
          <w:color w:val="000000"/>
        </w:rPr>
        <w:t xml:space="preserve"> February 2024]. Available JSTOR. &lt; </w:t>
      </w:r>
      <w:hyperlink r:id="rId5">
        <w:r>
          <w:rPr>
            <w:rStyle w:val="InternetLink"/>
            <w:rFonts w:ascii="Verdana Pro Light" w:hAnsi="Verdana Pro Light"/>
            <w:color w:val="000000"/>
          </w:rPr>
          <w:t>https://www.jstor.org/stable/3711748</w:t>
        </w:r>
      </w:hyperlink>
      <w:r>
        <w:rPr>
          <w:rFonts w:ascii="Verdana Pro Light" w:hAnsi="Verdana Pro Light"/>
          <w:color w:val="000000"/>
        </w:rPr>
        <w:t xml:space="preserve">&gt; </w:t>
      </w:r>
    </w:p>
    <w:p>
      <w:pPr>
        <w:pStyle w:val="Normal"/>
        <w:jc w:val="both"/>
        <w:rPr>
          <w:rFonts w:ascii="Verdana Pro Light" w:hAnsi="Verdana Pro Light"/>
          <w:color w:val="000000"/>
        </w:rPr>
      </w:pPr>
      <w:r>
        <w:rPr>
          <w:rFonts w:ascii="Verdana Pro Light" w:hAnsi="Verdana Pro Light"/>
          <w:color w:val="000000"/>
        </w:rPr>
      </w:r>
    </w:p>
    <w:p>
      <w:pPr>
        <w:pStyle w:val="FootnoteText1"/>
        <w:jc w:val="both"/>
        <w:rPr/>
      </w:pPr>
      <w:r>
        <w:rPr>
          <w:rFonts w:ascii="Verdana Pro Light" w:hAnsi="Verdana Pro Light"/>
          <w:sz w:val="24"/>
          <w:szCs w:val="24"/>
        </w:rPr>
        <w:t xml:space="preserve">Walter, Dr Tony University of reading, </w:t>
      </w:r>
      <w:r>
        <w:rPr>
          <w:rFonts w:ascii="Verdana Pro Light" w:hAnsi="Verdana Pro Light"/>
          <w:i/>
          <w:iCs/>
          <w:sz w:val="24"/>
          <w:szCs w:val="24"/>
        </w:rPr>
        <w:t>University of Reading. ac.uk &lt;</w:t>
      </w:r>
      <w:hyperlink r:id="rId6">
        <w:r>
          <w:rPr>
            <w:rStyle w:val="InternetLink"/>
            <w:rFonts w:ascii="Verdana Pro Light" w:hAnsi="Verdana Pro Light"/>
            <w:sz w:val="24"/>
            <w:szCs w:val="24"/>
          </w:rPr>
          <w:t>www.universityofreading.ac.uk</w:t>
        </w:r>
      </w:hyperlink>
      <w:r>
        <w:rPr>
          <w:rFonts w:ascii="Verdana Pro Light" w:hAnsi="Verdana Pro Light"/>
          <w:sz w:val="24"/>
          <w:szCs w:val="24"/>
        </w:rPr>
        <w:t>&gt; [assessed 10</w:t>
      </w:r>
      <w:r>
        <w:rPr>
          <w:rFonts w:ascii="Verdana Pro Light" w:hAnsi="Verdana Pro Light"/>
          <w:sz w:val="24"/>
          <w:szCs w:val="24"/>
          <w:vertAlign w:val="superscript"/>
        </w:rPr>
        <w:t>th</w:t>
      </w:r>
      <w:r>
        <w:rPr>
          <w:rFonts w:ascii="Verdana Pro Light" w:hAnsi="Verdana Pro Light"/>
          <w:sz w:val="24"/>
          <w:szCs w:val="24"/>
        </w:rPr>
        <w:t xml:space="preserve"> February 2024]</w:t>
      </w:r>
    </w:p>
    <w:p>
      <w:pPr>
        <w:pStyle w:val="FootnoteText1"/>
        <w:jc w:val="both"/>
        <w:rPr>
          <w:rFonts w:ascii="Verdana Pro Light" w:hAnsi="Verdana Pro Light"/>
          <w:sz w:val="24"/>
          <w:szCs w:val="24"/>
        </w:rPr>
      </w:pPr>
      <w:r>
        <w:rPr>
          <w:rFonts w:ascii="Verdana Pro Light" w:hAnsi="Verdana Pro Light"/>
          <w:sz w:val="24"/>
          <w:szCs w:val="24"/>
        </w:rPr>
      </w:r>
    </w:p>
    <w:p>
      <w:pPr>
        <w:pStyle w:val="FootnoteText1"/>
        <w:jc w:val="both"/>
        <w:rPr>
          <w:rFonts w:ascii="Arial Nova Light" w:hAnsi="Arial Nova Light"/>
        </w:rPr>
      </w:pPr>
      <w:r>
        <w:rPr>
          <w:rFonts w:ascii="Verdana Pro Light" w:hAnsi="Verdana Pro Light"/>
          <w:sz w:val="24"/>
          <w:szCs w:val="24"/>
        </w:rPr>
        <w:t xml:space="preserve">Walter, Tony.  </w:t>
      </w:r>
      <w:r>
        <w:rPr>
          <w:rFonts w:ascii="Verdana Pro Light" w:hAnsi="Verdana Pro Light"/>
          <w:i/>
          <w:iCs/>
          <w:sz w:val="24"/>
          <w:szCs w:val="24"/>
        </w:rPr>
        <w:t>Death in the Modern World</w:t>
      </w:r>
      <w:r>
        <w:rPr>
          <w:rFonts w:ascii="Verdana Pro Light" w:hAnsi="Verdana Pro Light"/>
          <w:sz w:val="24"/>
          <w:szCs w:val="24"/>
        </w:rPr>
        <w:t>. (London: Sage Publications. 2020) E-book</w:t>
      </w:r>
      <w:r>
        <w:rPr>
          <w:rFonts w:ascii="Arial Nova Light" w:hAnsi="Arial Nova Light"/>
          <w:sz w:val="24"/>
          <w:szCs w:val="24"/>
        </w:rPr>
        <w:t xml:space="preserve"> </w:t>
      </w:r>
    </w:p>
    <w:p>
      <w:pPr>
        <w:pStyle w:val="FootnoteText1"/>
        <w:jc w:val="both"/>
        <w:rPr>
          <w:rFonts w:ascii="Arial Nova Light" w:hAnsi="Arial Nova Light"/>
        </w:rPr>
      </w:pPr>
      <w:r>
        <w:rPr/>
      </w:r>
    </w:p>
    <w:sectPr>
      <w:headerReference w:type="default" r:id="rId7"/>
      <w:footerReference w:type="default" r:id="rId8"/>
      <w:footnotePr>
        <w:numFmt w:val="decimal"/>
      </w:footnotePr>
      <w:type w:val="nextPage"/>
      <w:pgSz w:w="11906" w:h="16838"/>
      <w:pgMar w:left="1134" w:right="1134" w:header="709" w:top="1134" w:footer="85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Helvetica Neue">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Georgia">
    <w:charset w:val="00"/>
    <w:family w:val="roman"/>
    <w:pitch w:val="variable"/>
  </w:font>
  <w:font w:name="Arial">
    <w:charset w:val="00"/>
    <w:family w:val="roman"/>
    <w:pitch w:val="variable"/>
  </w:font>
  <w:font w:name="Tahoma Bold">
    <w:charset w:val="00"/>
    <w:family w:val="roman"/>
    <w:pitch w:val="variable"/>
  </w:font>
  <w:font w:name="Trebuchet MS">
    <w:charset w:val="00"/>
    <w:family w:val="roman"/>
    <w:pitch w:val="variable"/>
  </w:font>
  <w:font w:name="Calibri">
    <w:charset w:val="00"/>
    <w:family w:val="roman"/>
    <w:pitch w:val="variable"/>
  </w:font>
  <w:font w:name="Verdana Pro Light">
    <w:charset w:val="00"/>
    <w:family w:val="roman"/>
    <w:pitch w:val="variable"/>
  </w:font>
  <w:font w:name="Arial Nova Light">
    <w:charset w:val="00"/>
    <w:family w:val="roman"/>
    <w:pitch w:val="variable"/>
  </w:font>
  <w:font w:name="Arial Nova Light">
    <w:charset w:val="01"/>
    <w:family w:val="swiss"/>
    <w:pitch w:val="variable"/>
  </w:font>
  <w:font w:name="Roboto">
    <w:altName w:val="Helvetica Neue"/>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rPr>
        <w:rFonts w:eastAsia="Arial Unicode MS"/>
        <w:sz w:val="20"/>
        <w:szCs w:val="20"/>
      </w:rPr>
    </w:pPr>
    <w:r>
      <w:rPr>
        <w:rFonts w:eastAsia="Arial Unicode MS"/>
        <w:sz w:val="20"/>
        <w:szCs w:val="20"/>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Normal"/>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 xml:space="preserve">T </w:t>
      </w:r>
      <w:r>
        <w:rPr>
          <w:rFonts w:ascii="Arial Nova Light" w:hAnsi="Arial Nova Light"/>
          <w:color w:val="000000"/>
          <w:sz w:val="20"/>
          <w:szCs w:val="20"/>
        </w:rPr>
        <w:t xml:space="preserve">Walter, &amp; Helen Waterhouse, 1999. ‘A Very Private Belief: Reincarnation in Contemporary England’. Sociology of Religion, 60, 187-197. – Available JSTOR. &lt; </w:t>
      </w:r>
      <w:hyperlink r:id="rId1">
        <w:r>
          <w:rPr>
            <w:rStyle w:val="InternetLink"/>
            <w:rFonts w:ascii="Arial Nova Light" w:hAnsi="Arial Nova Light"/>
            <w:color w:val="000000"/>
            <w:sz w:val="20"/>
            <w:szCs w:val="20"/>
          </w:rPr>
          <w:t>https://www.jstor.org/stable/3711748</w:t>
        </w:r>
      </w:hyperlink>
      <w:r>
        <w:rPr>
          <w:rFonts w:ascii="Arial Nova Light" w:hAnsi="Arial Nova Light"/>
          <w:color w:val="000000"/>
          <w:sz w:val="20"/>
          <w:szCs w:val="20"/>
        </w:rPr>
        <w:t xml:space="preserve">&gt; </w:t>
      </w:r>
    </w:p>
  </w:footnote>
  <w:footnote w:id="3">
    <w:p>
      <w:pPr>
        <w:pStyle w:val="FootnoteText1"/>
        <w:rPr>
          <w:rFonts w:ascii="Arial Nova Light" w:hAnsi="Arial Nova Light"/>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T. L. Brink, 1978. ‘Inconsistency of Belief among Roman Catholic Girls: Concerning Religion, Astrology, Reincarnation.’ Review of Religious Research, 20, 82-85. – Available JSTOR. &lt;</w:t>
      </w:r>
      <w:hyperlink r:id="rId2">
        <w:r>
          <w:rPr>
            <w:rStyle w:val="InternetLink"/>
            <w:rFonts w:ascii="Arial Nova Light" w:hAnsi="Arial Nova Light"/>
          </w:rPr>
          <w:t>https://www.jstor.org/stable/3509943</w:t>
        </w:r>
      </w:hyperlink>
      <w:r>
        <w:rPr>
          <w:rFonts w:ascii="Arial Nova Light" w:hAnsi="Arial Nova Light"/>
        </w:rPr>
        <w:t xml:space="preserve">&gt; </w:t>
      </w:r>
      <w:r>
        <w:rPr>
          <w:rFonts w:ascii="Arial Nova Light" w:hAnsi="Arial Nova Light"/>
          <w:sz w:val="20"/>
          <w:szCs w:val="20"/>
        </w:rPr>
        <w:t xml:space="preserve"> </w:t>
      </w:r>
    </w:p>
  </w:footnote>
  <w:footnote w:id="4">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pp. 187-197.</w:t>
      </w:r>
    </w:p>
  </w:footnote>
  <w:footnote w:id="5">
    <w:p>
      <w:pPr>
        <w:pStyle w:val="FootnoteText1"/>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 xml:space="preserve">Oxford Academic, </w:t>
      </w:r>
      <w:r>
        <w:rPr>
          <w:rFonts w:ascii="Arial Nova Light" w:hAnsi="Arial Nova Light"/>
          <w:i/>
          <w:iCs/>
          <w:sz w:val="20"/>
          <w:szCs w:val="20"/>
        </w:rPr>
        <w:t>Sociology of Religion</w:t>
      </w:r>
      <w:r>
        <w:rPr>
          <w:rFonts w:ascii="Arial Nova Light" w:hAnsi="Arial Nova Light"/>
          <w:sz w:val="20"/>
          <w:szCs w:val="20"/>
        </w:rPr>
        <w:t xml:space="preserve"> (2024) &lt; </w:t>
      </w:r>
      <w:hyperlink r:id="rId3">
        <w:r>
          <w:rPr>
            <w:rStyle w:val="InternetLink"/>
            <w:rFonts w:ascii="Arial Nova Light" w:hAnsi="Arial Nova Light"/>
            <w:sz w:val="20"/>
            <w:szCs w:val="20"/>
          </w:rPr>
          <w:t>About | Sociology of Religion | Oxford Academic (oup.com)</w:t>
        </w:r>
      </w:hyperlink>
      <w:r>
        <w:rPr>
          <w:rFonts w:ascii="Arial Nova Light" w:hAnsi="Arial Nova Light"/>
          <w:sz w:val="20"/>
          <w:szCs w:val="20"/>
        </w:rPr>
        <w:t xml:space="preserve"> &gt; [accessed 12</w:t>
      </w:r>
      <w:r>
        <w:rPr>
          <w:rFonts w:ascii="Arial Nova Light" w:hAnsi="Arial Nova Light"/>
          <w:sz w:val="20"/>
          <w:szCs w:val="20"/>
          <w:vertAlign w:val="superscript"/>
        </w:rPr>
        <w:t>th</w:t>
      </w:r>
      <w:r>
        <w:rPr>
          <w:rFonts w:ascii="Arial Nova Light" w:hAnsi="Arial Nova Light"/>
          <w:sz w:val="20"/>
          <w:szCs w:val="20"/>
        </w:rPr>
        <w:t xml:space="preserve"> February 2024]. </w:t>
      </w:r>
    </w:p>
  </w:footnote>
  <w:footnote w:id="6">
    <w:p>
      <w:pPr>
        <w:pStyle w:val="FootnoteText1"/>
        <w:rPr/>
      </w:pPr>
      <w:r>
        <w:rPr>
          <w:rStyle w:val="FootnoteCharacters"/>
        </w:rPr>
        <w:footnoteRef/>
      </w:r>
      <w:r>
        <w:rPr/>
        <w:t xml:space="preserve"> </w:t>
      </w:r>
      <w:r>
        <w:rPr>
          <w:rFonts w:ascii="Arial Nova Light" w:hAnsi="Arial Nova Light"/>
          <w:sz w:val="20"/>
          <w:szCs w:val="20"/>
        </w:rPr>
        <w:t xml:space="preserve"> </w:t>
      </w:r>
      <w:r>
        <w:rPr>
          <w:rFonts w:ascii="Arial Nova Light" w:hAnsi="Arial Nova Light"/>
          <w:sz w:val="20"/>
          <w:szCs w:val="20"/>
        </w:rPr>
        <w:t xml:space="preserve">Dr Tony Walter, University of reading, </w:t>
      </w:r>
      <w:r>
        <w:rPr>
          <w:rFonts w:ascii="Arial Nova Light" w:hAnsi="Arial Nova Light"/>
          <w:i/>
          <w:iCs/>
          <w:sz w:val="20"/>
          <w:szCs w:val="20"/>
        </w:rPr>
        <w:t>University of Reading. ac.uk &lt;</w:t>
      </w:r>
      <w:hyperlink r:id="rId4">
        <w:r>
          <w:rPr>
            <w:rStyle w:val="InternetLink"/>
            <w:rFonts w:ascii="Arial Nova Light" w:hAnsi="Arial Nova Light"/>
            <w:sz w:val="20"/>
            <w:szCs w:val="20"/>
          </w:rPr>
          <w:t>www.universityofreading.ac.uk</w:t>
        </w:r>
      </w:hyperlink>
      <w:r>
        <w:rPr>
          <w:rFonts w:ascii="Arial Nova Light" w:hAnsi="Arial Nova Light"/>
          <w:sz w:val="20"/>
          <w:szCs w:val="20"/>
        </w:rPr>
        <w:t>&gt; [assessed 10</w:t>
      </w:r>
      <w:r>
        <w:rPr>
          <w:rFonts w:ascii="Arial Nova Light" w:hAnsi="Arial Nova Light"/>
          <w:sz w:val="20"/>
          <w:szCs w:val="20"/>
          <w:vertAlign w:val="superscript"/>
        </w:rPr>
        <w:t>th</w:t>
      </w:r>
      <w:r>
        <w:rPr>
          <w:rFonts w:ascii="Arial Nova Light" w:hAnsi="Arial Nova Light"/>
          <w:sz w:val="20"/>
          <w:szCs w:val="20"/>
        </w:rPr>
        <w:t xml:space="preserve"> February 2024]. </w:t>
      </w:r>
    </w:p>
  </w:footnote>
  <w:footnote w:id="7">
    <w:p>
      <w:pPr>
        <w:pStyle w:val="FootnoteText1"/>
        <w:rPr/>
      </w:pPr>
      <w:r>
        <w:rPr>
          <w:rStyle w:val="FootnoteCharacters"/>
        </w:rPr>
        <w:footnoteRef/>
      </w:r>
      <w:r>
        <w:rPr/>
        <w:t xml:space="preserve"> </w:t>
      </w:r>
      <w:r>
        <w:rPr>
          <w:rFonts w:ascii="Arial Nova Light" w:hAnsi="Arial Nova Light"/>
          <w:sz w:val="20"/>
          <w:szCs w:val="20"/>
        </w:rPr>
        <w:t xml:space="preserve">Tony Walter, </w:t>
      </w:r>
      <w:r>
        <w:rPr>
          <w:rFonts w:ascii="Arial Nova Light" w:hAnsi="Arial Nova Light"/>
          <w:i/>
          <w:iCs/>
          <w:sz w:val="20"/>
          <w:szCs w:val="20"/>
        </w:rPr>
        <w:t>Death in the modern world</w:t>
      </w:r>
      <w:r>
        <w:rPr>
          <w:rFonts w:ascii="Arial Nova Light" w:hAnsi="Arial Nova Light"/>
          <w:sz w:val="20"/>
          <w:szCs w:val="20"/>
        </w:rPr>
        <w:t xml:space="preserve">. (London: sage publications. 2020) E-book </w:t>
      </w:r>
    </w:p>
  </w:footnote>
  <w:footnote w:id="8">
    <w:p>
      <w:pPr>
        <w:pStyle w:val="FootnoteText1"/>
        <w:rPr/>
      </w:pPr>
      <w:r>
        <w:rPr>
          <w:rStyle w:val="FootnoteCharacters"/>
        </w:rPr>
        <w:footnoteRef/>
      </w:r>
      <w:r>
        <w:rPr/>
        <w:t xml:space="preserve"> </w:t>
      </w:r>
      <w:r>
        <w:rPr>
          <w:rFonts w:ascii="Arial Nova Light" w:hAnsi="Arial Nova Light"/>
          <w:sz w:val="20"/>
          <w:szCs w:val="20"/>
        </w:rPr>
        <w:t xml:space="preserve">Gordon Melton and martin Baumann, </w:t>
      </w:r>
      <w:r>
        <w:rPr>
          <w:rFonts w:ascii="Arial Nova Light" w:hAnsi="Arial Nova Light"/>
          <w:i/>
          <w:iCs/>
          <w:sz w:val="20"/>
          <w:szCs w:val="20"/>
        </w:rPr>
        <w:t xml:space="preserve">Religions of the world. </w:t>
      </w:r>
      <w:r>
        <w:rPr>
          <w:rFonts w:ascii="Arial Nova Light" w:hAnsi="Arial Nova Light"/>
          <w:sz w:val="20"/>
          <w:szCs w:val="20"/>
        </w:rPr>
        <w:t>(USA: Greenwood publishing group, 2010)</w:t>
      </w:r>
      <w:r>
        <w:rPr/>
        <w:t xml:space="preserve"> </w:t>
      </w:r>
      <w:r>
        <w:rPr>
          <w:rFonts w:ascii="Arial Nova Light" w:hAnsi="Arial Nova Light"/>
          <w:sz w:val="20"/>
          <w:szCs w:val="20"/>
        </w:rPr>
        <w:t>p.CXI</w:t>
      </w:r>
    </w:p>
  </w:footnote>
  <w:footnote w:id="9">
    <w:p>
      <w:pPr>
        <w:pStyle w:val="FootnoteText1"/>
        <w:rPr>
          <w:shd w:fill="auto" w:val="clear"/>
        </w:rPr>
      </w:pPr>
      <w:r>
        <w:rPr>
          <w:rStyle w:val="FootnoteCharacters"/>
        </w:rPr>
        <w:footnoteRef/>
      </w:r>
      <w:r>
        <w:rPr>
          <w:rFonts w:ascii="Arial Nova Light" w:hAnsi="Arial Nova Light"/>
          <w:sz w:val="20"/>
          <w:szCs w:val="20"/>
          <w:shd w:fill="auto" w:val="clear"/>
        </w:rPr>
        <w:t xml:space="preserve">Brink.  ‘Inconsistency of Belief among Roman Catholic Girls: Concerning Religion, Astrology, Reincarnation.’ pp. 82-85. </w:t>
      </w:r>
    </w:p>
  </w:footnote>
  <w:footnote w:id="10">
    <w:p>
      <w:pPr>
        <w:pStyle w:val="FootnoteText1"/>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JSTOR, R</w:t>
      </w:r>
      <w:r>
        <w:rPr>
          <w:rFonts w:ascii="Arial Nova Light" w:hAnsi="Arial Nova Light"/>
          <w:i/>
          <w:iCs/>
          <w:sz w:val="20"/>
          <w:szCs w:val="20"/>
        </w:rPr>
        <w:t xml:space="preserve">eview of Religious Research </w:t>
      </w:r>
      <w:r>
        <w:rPr>
          <w:rFonts w:ascii="Arial Nova Light" w:hAnsi="Arial Nova Light"/>
          <w:sz w:val="20"/>
          <w:szCs w:val="20"/>
        </w:rPr>
        <w:t>(2024) &lt;</w:t>
      </w:r>
      <w:r>
        <w:fldChar w:fldCharType="begin"/>
      </w:r>
      <w:r>
        <w:rPr>
          <w:rStyle w:val="InternetLink"/>
          <w:sz w:val="20"/>
          <w:szCs w:val="20"/>
          <w:rFonts w:ascii="Arial Nova Light" w:hAnsi="Arial Nova Light"/>
        </w:rPr>
        <w:instrText> HYPERLINK "https://www.jstor.org/journal/revirelirese" \l "journal-information"</w:instrText>
      </w:r>
      <w:r>
        <w:rPr>
          <w:rStyle w:val="InternetLink"/>
          <w:sz w:val="20"/>
          <w:szCs w:val="20"/>
          <w:rFonts w:ascii="Arial Nova Light" w:hAnsi="Arial Nova Light"/>
        </w:rPr>
        <w:fldChar w:fldCharType="separate"/>
      </w:r>
      <w:r>
        <w:rPr>
          <w:rStyle w:val="InternetLink"/>
          <w:rFonts w:ascii="Arial Nova Light" w:hAnsi="Arial Nova Light"/>
          <w:sz w:val="20"/>
          <w:szCs w:val="20"/>
        </w:rPr>
        <w:t>Review of Religious Research on JSTOR</w:t>
      </w:r>
      <w:r>
        <w:rPr>
          <w:rStyle w:val="InternetLink"/>
          <w:sz w:val="20"/>
          <w:szCs w:val="20"/>
          <w:rFonts w:ascii="Arial Nova Light" w:hAnsi="Arial Nova Light"/>
        </w:rPr>
        <w:fldChar w:fldCharType="end"/>
      </w:r>
      <w:r>
        <w:rPr>
          <w:rFonts w:ascii="Arial Nova Light" w:hAnsi="Arial Nova Light"/>
          <w:sz w:val="20"/>
          <w:szCs w:val="20"/>
        </w:rPr>
        <w:t xml:space="preserve"> &gt; [accessed 12</w:t>
      </w:r>
      <w:r>
        <w:rPr>
          <w:rFonts w:ascii="Arial Nova Light" w:hAnsi="Arial Nova Light"/>
          <w:sz w:val="20"/>
          <w:szCs w:val="20"/>
          <w:vertAlign w:val="superscript"/>
        </w:rPr>
        <w:t>th</w:t>
      </w:r>
      <w:r>
        <w:rPr>
          <w:rFonts w:ascii="Arial Nova Light" w:hAnsi="Arial Nova Light"/>
          <w:sz w:val="20"/>
          <w:szCs w:val="20"/>
        </w:rPr>
        <w:t xml:space="preserve"> February 2024]. </w:t>
      </w:r>
    </w:p>
  </w:footnote>
  <w:footnote w:id="11">
    <w:p>
      <w:pPr>
        <w:pStyle w:val="FootnoteText1"/>
        <w:rPr/>
      </w:pPr>
      <w:r>
        <w:rPr>
          <w:rStyle w:val="FootnoteCharacters"/>
        </w:rPr>
        <w:footnoteRef/>
      </w:r>
      <w:r>
        <w:rPr/>
        <w:t xml:space="preserve"> </w:t>
      </w:r>
      <w:r>
        <w:rPr>
          <w:rFonts w:ascii="Arial Nova Light" w:hAnsi="Arial Nova Light"/>
          <w:sz w:val="20"/>
          <w:szCs w:val="20"/>
        </w:rPr>
        <w:t xml:space="preserve">T, L, Brink, </w:t>
      </w:r>
      <w:r>
        <w:rPr>
          <w:rFonts w:ascii="Arial Nova Light" w:hAnsi="Arial Nova Light"/>
          <w:i/>
          <w:iCs/>
          <w:sz w:val="20"/>
          <w:szCs w:val="20"/>
        </w:rPr>
        <w:t xml:space="preserve">Crafton Hills College, Human Development, faculty member. </w:t>
      </w:r>
      <w:r>
        <w:rPr>
          <w:rFonts w:ascii="Arial Nova Light" w:hAnsi="Arial Nova Light"/>
          <w:sz w:val="20"/>
          <w:szCs w:val="20"/>
        </w:rPr>
        <w:t>2024 &lt; Craftonhills.academia.edu&gt; [assessed 10</w:t>
      </w:r>
      <w:r>
        <w:rPr>
          <w:rFonts w:ascii="Arial Nova Light" w:hAnsi="Arial Nova Light"/>
          <w:sz w:val="20"/>
          <w:szCs w:val="20"/>
          <w:vertAlign w:val="superscript"/>
        </w:rPr>
        <w:t>th</w:t>
      </w:r>
      <w:r>
        <w:rPr>
          <w:rFonts w:ascii="Arial Nova Light" w:hAnsi="Arial Nova Light"/>
          <w:sz w:val="20"/>
          <w:szCs w:val="20"/>
        </w:rPr>
        <w:t xml:space="preserve"> February 2024].</w:t>
      </w:r>
    </w:p>
  </w:footnote>
  <w:footnote w:id="12">
    <w:p>
      <w:pPr>
        <w:pStyle w:val="FootnoteText1"/>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Brink. ‘Inconsistency of Belief among Roman Catholic Girls: Concerning Religion, Astrology, Reincarnation.’Pp. 82-85.</w:t>
      </w:r>
    </w:p>
  </w:footnote>
  <w:footnote w:id="13">
    <w:p>
      <w:pPr>
        <w:pStyle w:val="FootnoteText1"/>
        <w:rPr>
          <w:shd w:fill="auto" w:val="clear"/>
        </w:rPr>
      </w:pPr>
      <w:r>
        <w:rPr>
          <w:rStyle w:val="FootnoteCharacters"/>
        </w:rPr>
        <w:footnoteRef/>
      </w:r>
      <w:r>
        <w:rPr>
          <w:rFonts w:ascii="Arial Nova Light" w:hAnsi="Arial Nova Light"/>
          <w:sz w:val="20"/>
          <w:szCs w:val="20"/>
          <w:shd w:fill="auto" w:val="clear"/>
        </w:rPr>
        <w:t xml:space="preserve">Brink ‘Inconsistency of Belief among Roman Catholic Girls: Concerning Religion, Astrology, Reincarnation.p.83. </w:t>
      </w:r>
    </w:p>
  </w:footnote>
  <w:footnote w:id="14">
    <w:p>
      <w:pPr>
        <w:pStyle w:val="FootnoteText1"/>
        <w:rPr>
          <w:shd w:fill="auto" w:val="clear"/>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 xml:space="preserve">Brink ‘Inconsistency of Belief among Roman Catholic Girls: Concerning Religion, Astrology, Reincarnation.’ </w:t>
      </w:r>
      <w:r>
        <w:rPr>
          <w:rFonts w:ascii="Arial Nova Light" w:hAnsi="Arial Nova Light"/>
          <w:shd w:fill="auto" w:val="clear"/>
        </w:rPr>
        <w:t xml:space="preserve"> </w:t>
      </w:r>
      <w:r>
        <w:rPr>
          <w:rFonts w:ascii="Arial Nova Light" w:hAnsi="Arial Nova Light"/>
          <w:sz w:val="20"/>
          <w:szCs w:val="20"/>
          <w:shd w:fill="auto" w:val="clear"/>
        </w:rPr>
        <w:t>p.82.</w:t>
      </w:r>
    </w:p>
  </w:footnote>
  <w:footnote w:id="15">
    <w:p>
      <w:pPr>
        <w:pStyle w:val="FootnoteText1"/>
        <w:jc w:val="both"/>
        <w:rPr>
          <w:shd w:fill="auto" w:val="clear"/>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 xml:space="preserve">Brink. ‘Inconsistency of Belief among Roman Catholic Girls: Concerning Religion, Astrology, Reincarnation.’ </w:t>
      </w:r>
      <w:r>
        <w:rPr>
          <w:rFonts w:ascii="Arial Nova Light" w:hAnsi="Arial Nova Light"/>
          <w:shd w:fill="auto" w:val="clear"/>
        </w:rPr>
        <w:t xml:space="preserve"> </w:t>
      </w:r>
      <w:r>
        <w:rPr>
          <w:rFonts w:ascii="Arial Nova Light" w:hAnsi="Arial Nova Light"/>
          <w:sz w:val="20"/>
          <w:szCs w:val="20"/>
          <w:shd w:fill="auto" w:val="clear"/>
        </w:rPr>
        <w:t>p.82.</w:t>
      </w:r>
    </w:p>
  </w:footnote>
  <w:footnote w:id="16">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 xml:space="preserve">Walter, &amp; Waterhouse, ‘A Very Private Belief: Reincarnation in Contemporary England’. Pp,187-197. </w:t>
      </w:r>
    </w:p>
  </w:footnote>
  <w:footnote w:id="17">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p.187.</w:t>
      </w:r>
    </w:p>
  </w:footnote>
  <w:footnote w:id="18">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p.187.</w:t>
      </w:r>
    </w:p>
  </w:footnote>
  <w:footnote w:id="19">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p.187.</w:t>
      </w:r>
    </w:p>
  </w:footnote>
  <w:footnote w:id="20">
    <w:p>
      <w:pPr>
        <w:pStyle w:val="FootnoteText1"/>
        <w:rPr/>
      </w:pPr>
      <w:r>
        <w:rPr>
          <w:rStyle w:val="FootnoteCharacters"/>
        </w:rPr>
        <w:footnoteRef/>
      </w:r>
      <w:r>
        <w:rPr/>
        <w:t xml:space="preserve"> </w:t>
      </w:r>
      <w:r>
        <w:rPr>
          <w:rFonts w:ascii="Arial Nova Light" w:hAnsi="Arial Nova Light"/>
          <w:sz w:val="20"/>
          <w:szCs w:val="20"/>
        </w:rPr>
        <w:t xml:space="preserve">Sigmund Gronmo, </w:t>
      </w:r>
      <w:r>
        <w:rPr>
          <w:rFonts w:ascii="Arial Nova Light" w:hAnsi="Arial Nova Light"/>
          <w:i/>
          <w:iCs/>
          <w:sz w:val="20"/>
          <w:szCs w:val="20"/>
        </w:rPr>
        <w:t xml:space="preserve">Social </w:t>
      </w:r>
      <w:r>
        <w:rPr>
          <w:rFonts w:ascii="Arial Nova Light" w:hAnsi="Arial Nova Light"/>
          <w:i/>
          <w:iCs/>
          <w:sz w:val="20"/>
          <w:szCs w:val="20"/>
        </w:rPr>
        <w:t>Research</w:t>
      </w:r>
      <w:r>
        <w:rPr>
          <w:rFonts w:ascii="Arial Nova Light" w:hAnsi="Arial Nova Light"/>
          <w:i/>
          <w:iCs/>
          <w:sz w:val="20"/>
          <w:szCs w:val="20"/>
        </w:rPr>
        <w:t xml:space="preserve"> Methods, Qualitative, Quantitative and Mixed Methods Approaches. </w:t>
      </w:r>
      <w:r>
        <w:rPr>
          <w:rFonts w:ascii="Arial Nova Light" w:hAnsi="Arial Nova Light"/>
          <w:sz w:val="20"/>
          <w:szCs w:val="20"/>
        </w:rPr>
        <w:t>(London: Sage Publications, 2020). p.527.</w:t>
      </w:r>
    </w:p>
  </w:footnote>
  <w:footnote w:id="21">
    <w:p>
      <w:pPr>
        <w:pStyle w:val="Normal"/>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pp. 187-197</w:t>
      </w:r>
      <w:r>
        <w:rPr>
          <w:rFonts w:ascii="Arial Nova Light" w:hAnsi="Arial Nova Light"/>
          <w:color w:val="000000"/>
          <w:sz w:val="20"/>
          <w:szCs w:val="20"/>
          <w:shd w:fill="auto" w:val="clear"/>
        </w:rPr>
        <w:t>.</w:t>
      </w:r>
    </w:p>
  </w:footnote>
  <w:footnote w:id="22">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p.188.</w:t>
      </w:r>
    </w:p>
  </w:footnote>
  <w:footnote w:id="23">
    <w:p>
      <w:pPr>
        <w:pStyle w:val="FootnoteText1"/>
        <w:jc w:val="both"/>
        <w:rPr>
          <w:shd w:fill="auto" w:val="clear"/>
        </w:rPr>
      </w:pPr>
      <w:r>
        <w:rPr>
          <w:rStyle w:val="FootnoteCharacters"/>
        </w:rPr>
        <w:footnoteRef/>
      </w:r>
      <w:r>
        <w:rPr>
          <w:rFonts w:ascii="Arial Nova Light" w:hAnsi="Arial Nova Light"/>
          <w:sz w:val="20"/>
          <w:szCs w:val="20"/>
          <w:shd w:fill="auto" w:val="clear"/>
        </w:rPr>
        <w:t xml:space="preserve">Brink ‘Inconsistency of Belief among Roman Catholic Girls: Concerning Religion, Astrology, Reincarnation.’ pp. 82-85. </w:t>
      </w:r>
      <w:r>
        <w:rPr>
          <w:rFonts w:ascii="Arial Nova Light" w:hAnsi="Arial Nova Light"/>
          <w:shd w:fill="auto" w:val="clear"/>
        </w:rPr>
        <w:t xml:space="preserve"> </w:t>
      </w:r>
    </w:p>
  </w:footnote>
  <w:footnote w:id="24">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p.84.</w:t>
      </w:r>
    </w:p>
  </w:footnote>
  <w:footnote w:id="25">
    <w:p>
      <w:pPr>
        <w:pStyle w:val="FootnoteText1"/>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Reincarnation.’pp. 82-85.</w:t>
      </w:r>
      <w:r>
        <w:rPr>
          <w:rFonts w:ascii="Arial Nova Light" w:hAnsi="Arial Nova Light"/>
          <w:shd w:fill="auto" w:val="clear"/>
        </w:rPr>
        <w:t xml:space="preserve"> </w:t>
      </w:r>
      <w:r>
        <w:rPr>
          <w:rFonts w:ascii="Arial Nova Light" w:hAnsi="Arial Nova Light"/>
          <w:sz w:val="20"/>
          <w:szCs w:val="20"/>
          <w:shd w:fill="FFFF00" w:val="clear"/>
        </w:rPr>
        <w:t xml:space="preserve"> </w:t>
      </w:r>
    </w:p>
  </w:footnote>
  <w:footnote w:id="26">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Walter &amp; Waterhouse, ‘A Very Private Belief: Reincarnation in Contemporary England’. Sociology of Religion, pp.187-197. </w:t>
      </w:r>
    </w:p>
  </w:footnote>
  <w:footnote w:id="27">
    <w:p>
      <w:pPr>
        <w:pStyle w:val="FootnoteText1"/>
        <w:rPr>
          <w:rFonts w:ascii="Arial Nova Light" w:hAnsi="Arial Nova Light"/>
          <w:sz w:val="20"/>
          <w:szCs w:val="20"/>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 xml:space="preserve">Pat Thomson and Barbara Kamler, </w:t>
      </w:r>
      <w:r>
        <w:rPr>
          <w:rFonts w:ascii="Arial Nova Light" w:hAnsi="Arial Nova Light"/>
          <w:i/>
          <w:iCs/>
          <w:sz w:val="20"/>
          <w:szCs w:val="20"/>
        </w:rPr>
        <w:t xml:space="preserve">Writing </w:t>
      </w:r>
      <w:r>
        <w:rPr>
          <w:rFonts w:ascii="Arial Nova Light" w:hAnsi="Arial Nova Light"/>
          <w:i/>
          <w:iCs/>
          <w:sz w:val="20"/>
          <w:szCs w:val="20"/>
        </w:rPr>
        <w:t>F</w:t>
      </w:r>
      <w:r>
        <w:rPr>
          <w:rFonts w:ascii="Arial Nova Light" w:hAnsi="Arial Nova Light"/>
          <w:i/>
          <w:iCs/>
          <w:sz w:val="20"/>
          <w:szCs w:val="20"/>
        </w:rPr>
        <w:t xml:space="preserve">or </w:t>
      </w:r>
      <w:r>
        <w:rPr>
          <w:rFonts w:ascii="Arial Nova Light" w:hAnsi="Arial Nova Light"/>
          <w:i/>
          <w:iCs/>
          <w:sz w:val="20"/>
          <w:szCs w:val="20"/>
        </w:rPr>
        <w:t>P</w:t>
      </w:r>
      <w:r>
        <w:rPr>
          <w:rFonts w:ascii="Arial Nova Light" w:hAnsi="Arial Nova Light"/>
          <w:i/>
          <w:iCs/>
          <w:sz w:val="20"/>
          <w:szCs w:val="20"/>
        </w:rPr>
        <w:t xml:space="preserve">eer </w:t>
      </w:r>
      <w:r>
        <w:rPr>
          <w:rFonts w:ascii="Arial Nova Light" w:hAnsi="Arial Nova Light"/>
          <w:i/>
          <w:iCs/>
          <w:sz w:val="20"/>
          <w:szCs w:val="20"/>
        </w:rPr>
        <w:t>R</w:t>
      </w:r>
      <w:r>
        <w:rPr>
          <w:rFonts w:ascii="Arial Nova Light" w:hAnsi="Arial Nova Light"/>
          <w:i/>
          <w:iCs/>
          <w:sz w:val="20"/>
          <w:szCs w:val="20"/>
        </w:rPr>
        <w:t xml:space="preserve">eviewed </w:t>
      </w:r>
      <w:r>
        <w:rPr>
          <w:rFonts w:ascii="Arial Nova Light" w:hAnsi="Arial Nova Light"/>
          <w:i/>
          <w:iCs/>
          <w:sz w:val="20"/>
          <w:szCs w:val="20"/>
        </w:rPr>
        <w:t>J</w:t>
      </w:r>
      <w:r>
        <w:rPr>
          <w:rFonts w:ascii="Arial Nova Light" w:hAnsi="Arial Nova Light"/>
          <w:i/>
          <w:iCs/>
          <w:sz w:val="20"/>
          <w:szCs w:val="20"/>
        </w:rPr>
        <w:t xml:space="preserve">ournals. </w:t>
      </w:r>
      <w:r>
        <w:rPr>
          <w:rFonts w:ascii="Arial Nova Light" w:hAnsi="Arial Nova Light"/>
          <w:sz w:val="20"/>
          <w:szCs w:val="20"/>
        </w:rPr>
        <w:t>(Oxon: Routledge, 2013), p.111.</w:t>
      </w:r>
    </w:p>
  </w:footnote>
  <w:footnote w:id="28">
    <w:p>
      <w:pPr>
        <w:pStyle w:val="FootnoteText1"/>
        <w:rPr>
          <w:shd w:fill="auto" w:val="clear"/>
        </w:rPr>
      </w:pPr>
      <w:r>
        <w:rPr>
          <w:rStyle w:val="FootnoteCharacters"/>
        </w:rPr>
        <w:footnoteRef/>
      </w:r>
      <w:r>
        <w:rPr>
          <w:rFonts w:ascii="Arial Nova Light" w:hAnsi="Arial Nova Light"/>
          <w:sz w:val="20"/>
          <w:szCs w:val="20"/>
          <w:shd w:fill="auto" w:val="clear"/>
        </w:rPr>
        <w:t xml:space="preserve">Brink. ‘Inconsistency of Belief among Roman Catholic Girls: Concerning Religion, Astrology, Reincarnation.’ pp. 82-85. </w:t>
      </w:r>
    </w:p>
  </w:footnote>
  <w:footnote w:id="29">
    <w:p>
      <w:pPr>
        <w:pStyle w:val="FootnoteText1"/>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 xml:space="preserve">Brink.  ‘Inconsistency of Belief among Roman Catholic Girls: Concerning Religion, Astrology, Reincarnation.’pp. 82-85. </w:t>
      </w:r>
      <w:r>
        <w:rPr>
          <w:rFonts w:ascii="Arial Nova Light" w:hAnsi="Arial Nova Light"/>
          <w:shd w:fill="auto" w:val="clear"/>
        </w:rPr>
        <w:t xml:space="preserve"> </w:t>
      </w:r>
      <w:r>
        <w:rPr>
          <w:rFonts w:ascii="Arial Nova Light" w:hAnsi="Arial Nova Light"/>
          <w:sz w:val="20"/>
          <w:szCs w:val="20"/>
          <w:shd w:fill="FFFF00" w:val="clear"/>
        </w:rPr>
        <w:t xml:space="preserve"> </w:t>
      </w:r>
    </w:p>
  </w:footnote>
  <w:footnote w:id="30">
    <w:p>
      <w:pPr>
        <w:pStyle w:val="FootnoteText1"/>
        <w:rPr/>
      </w:pPr>
      <w:r>
        <w:rPr>
          <w:rStyle w:val="FootnoteCharacters"/>
        </w:rPr>
        <w:footnoteRef/>
      </w:r>
      <w:r>
        <w:rPr/>
        <w:t xml:space="preserve"> </w:t>
      </w:r>
      <w:r>
        <w:rPr>
          <w:rFonts w:ascii="Arial Nova Light" w:hAnsi="Arial Nova Light"/>
          <w:sz w:val="20"/>
          <w:szCs w:val="20"/>
        </w:rPr>
        <w:t xml:space="preserve">Piergiorgio Corbetta. </w:t>
      </w:r>
      <w:r>
        <w:rPr>
          <w:rFonts w:ascii="Arial Nova Light" w:hAnsi="Arial Nova Light"/>
          <w:i/>
          <w:iCs/>
          <w:sz w:val="20"/>
          <w:szCs w:val="20"/>
        </w:rPr>
        <w:t xml:space="preserve">Social Research Theory, Methods, and Techniques. </w:t>
      </w:r>
      <w:r>
        <w:rPr>
          <w:rFonts w:ascii="Arial Nova Light" w:hAnsi="Arial Nova Light"/>
          <w:sz w:val="20"/>
          <w:szCs w:val="20"/>
        </w:rPr>
        <w:t>(London: Sage Publications LTD, 2003), p.55.</w:t>
      </w:r>
    </w:p>
  </w:footnote>
  <w:footnote w:id="31">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pp. 187-197.</w:t>
      </w:r>
    </w:p>
  </w:footnote>
  <w:footnote w:id="32">
    <w:p>
      <w:pPr>
        <w:pStyle w:val="Normal"/>
        <w:rPr>
          <w:shd w:fill="auto" w:val="clear"/>
        </w:rPr>
      </w:pPr>
      <w:r>
        <w:rPr>
          <w:rStyle w:val="FootnoteCharacters"/>
        </w:rPr>
        <w:footnoteRef/>
      </w:r>
      <w:r>
        <w:rPr>
          <w:rFonts w:ascii="Arial Nova Light" w:hAnsi="Arial Nova Light"/>
          <w:sz w:val="20"/>
          <w:szCs w:val="20"/>
          <w:shd w:fill="auto" w:val="clear"/>
        </w:rPr>
        <w:t xml:space="preserve"> </w:t>
      </w:r>
      <w:r>
        <w:rPr>
          <w:rFonts w:ascii="Arial Nova Light" w:hAnsi="Arial Nova Light"/>
          <w:color w:val="000000"/>
          <w:sz w:val="20"/>
          <w:szCs w:val="20"/>
          <w:shd w:fill="auto" w:val="clear"/>
        </w:rPr>
        <w:t>Walter &amp; Waterhouse. ‘A Very Private Belief: Reincarnation in Contemporary England’. p.188.</w:t>
      </w:r>
    </w:p>
  </w:footnote>
  <w:footnote w:id="33">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p.189.</w:t>
      </w:r>
    </w:p>
  </w:footnote>
  <w:footnote w:id="34">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p.189.</w:t>
      </w:r>
    </w:p>
  </w:footnote>
  <w:footnote w:id="35">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p.189.</w:t>
      </w:r>
    </w:p>
  </w:footnote>
  <w:footnote w:id="36">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37">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38">
    <w:p>
      <w:pPr>
        <w:pStyle w:val="FootnoteText1"/>
        <w:rPr/>
      </w:pPr>
      <w:r>
        <w:rPr>
          <w:rStyle w:val="FootnoteCharacters"/>
        </w:rPr>
        <w:footnoteRef/>
      </w:r>
      <w:r>
        <w:rPr>
          <w:rFonts w:ascii="Arial Nova Light" w:hAnsi="Arial Nova Light"/>
          <w:sz w:val="20"/>
          <w:szCs w:val="20"/>
        </w:rPr>
        <w:t xml:space="preserve">Tom Clark and </w:t>
      </w:r>
      <w:r>
        <w:rPr>
          <w:rFonts w:ascii="Arial Nova Light" w:hAnsi="Arial Nova Light"/>
          <w:sz w:val="20"/>
          <w:szCs w:val="20"/>
        </w:rPr>
        <w:t>O</w:t>
      </w:r>
      <w:r>
        <w:rPr>
          <w:rFonts w:ascii="Arial Nova Light" w:hAnsi="Arial Nova Light"/>
          <w:sz w:val="20"/>
          <w:szCs w:val="20"/>
        </w:rPr>
        <w:t xml:space="preserve">thers, </w:t>
      </w:r>
      <w:r>
        <w:rPr>
          <w:rFonts w:ascii="Arial Nova Light" w:hAnsi="Arial Nova Light"/>
          <w:i/>
          <w:iCs/>
          <w:sz w:val="20"/>
          <w:szCs w:val="20"/>
        </w:rPr>
        <w:t xml:space="preserve">Bryman’s Social Research Methods. </w:t>
      </w:r>
      <w:r>
        <w:rPr>
          <w:rFonts w:ascii="Arial Nova Light" w:hAnsi="Arial Nova Light"/>
          <w:sz w:val="20"/>
          <w:szCs w:val="20"/>
        </w:rPr>
        <w:t>(Oxford: Oxford University Press, 2021), p.128.</w:t>
      </w:r>
      <w:r>
        <w:rPr/>
        <w:t xml:space="preserve"> </w:t>
      </w:r>
    </w:p>
  </w:footnote>
  <w:footnote w:id="39">
    <w:p>
      <w:pPr>
        <w:pStyle w:val="FootnoteText1"/>
        <w:rPr/>
      </w:pPr>
      <w:r>
        <w:rPr>
          <w:rStyle w:val="FootnoteCharacters"/>
        </w:rPr>
        <w:footnoteRef/>
      </w:r>
      <w:r>
        <w:rPr/>
        <w:t xml:space="preserve"> </w:t>
      </w:r>
      <w:r>
        <w:rPr>
          <w:rFonts w:ascii="Arial Nova Light" w:hAnsi="Arial Nova Light"/>
          <w:sz w:val="20"/>
          <w:szCs w:val="20"/>
        </w:rPr>
        <w:t xml:space="preserve">Peter Stokes and Tony Wall, </w:t>
      </w:r>
      <w:r>
        <w:rPr>
          <w:rFonts w:ascii="Arial Nova Light" w:hAnsi="Arial Nova Light"/>
          <w:i/>
          <w:iCs/>
          <w:sz w:val="20"/>
          <w:szCs w:val="20"/>
        </w:rPr>
        <w:t xml:space="preserve">Research Methods. </w:t>
      </w:r>
      <w:r>
        <w:rPr>
          <w:rFonts w:ascii="Arial Nova Light" w:hAnsi="Arial Nova Light"/>
          <w:sz w:val="20"/>
          <w:szCs w:val="20"/>
        </w:rPr>
        <w:t>(London: Palgrave, 2014), p.232.</w:t>
      </w:r>
    </w:p>
  </w:footnote>
  <w:footnote w:id="40">
    <w:p>
      <w:pPr>
        <w:pStyle w:val="FootnoteText1"/>
        <w:rPr>
          <w:rFonts w:ascii="Arial Nova Light" w:hAnsi="Arial Nova Light"/>
          <w:sz w:val="20"/>
          <w:szCs w:val="20"/>
          <w:shd w:fill="auto" w:val="clear"/>
        </w:rPr>
      </w:pPr>
      <w:r>
        <w:rPr>
          <w:rStyle w:val="FootnoteCharacters"/>
        </w:rPr>
        <w:footnoteRef/>
      </w:r>
      <w:r>
        <w:rPr>
          <w:rFonts w:ascii="Arial Nova Light" w:hAnsi="Arial Nova Light"/>
          <w:sz w:val="20"/>
          <w:szCs w:val="20"/>
          <w:shd w:fill="auto" w:val="clear"/>
        </w:rPr>
        <w:t xml:space="preserve">Tom Clark and others, </w:t>
      </w:r>
      <w:r>
        <w:rPr>
          <w:rFonts w:ascii="Arial Nova Light" w:hAnsi="Arial Nova Light"/>
          <w:i/>
          <w:iCs/>
          <w:sz w:val="20"/>
          <w:szCs w:val="20"/>
          <w:shd w:fill="auto" w:val="clear"/>
        </w:rPr>
        <w:t xml:space="preserve">Bryman’s Social Research Methods. </w:t>
      </w:r>
      <w:r>
        <w:rPr>
          <w:rFonts w:ascii="Arial Nova Light" w:hAnsi="Arial Nova Light"/>
          <w:sz w:val="20"/>
          <w:szCs w:val="20"/>
          <w:shd w:fill="auto" w:val="clear"/>
        </w:rPr>
        <w:t xml:space="preserve">p.128. </w:t>
      </w:r>
    </w:p>
  </w:footnote>
  <w:footnote w:id="41">
    <w:p>
      <w:pPr>
        <w:pStyle w:val="FootnoteText1"/>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Brink. ‘Inconsistency of Belief among Roman Catholic Girls: Concerning Religion, Astrology, Reincarnation. p.83.</w:t>
      </w:r>
    </w:p>
  </w:footnote>
  <w:footnote w:id="42">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p.189.</w:t>
      </w:r>
    </w:p>
  </w:footnote>
  <w:footnote w:id="43">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44">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Sociology of Religion, pp. 187-197.</w:t>
      </w:r>
    </w:p>
  </w:footnote>
  <w:footnote w:id="45">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46">
    <w:p>
      <w:pPr>
        <w:pStyle w:val="FootnoteText1"/>
        <w:rPr>
          <w:shd w:fill="auto" w:val="clear"/>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Brink. ‘Inconsistency of Belief among Roman Catholic Girls: Concerning Religion, Astrology, Reincarnation.’ p.82.</w:t>
      </w:r>
    </w:p>
  </w:footnote>
  <w:footnote w:id="47">
    <w:p>
      <w:pPr>
        <w:pStyle w:val="FootnoteText1"/>
        <w:rPr/>
      </w:pPr>
      <w:r>
        <w:rPr>
          <w:rStyle w:val="FootnoteCharacters"/>
        </w:rPr>
        <w:footnoteRef/>
      </w:r>
      <w:r>
        <w:rPr>
          <w:rFonts w:ascii="Arial Nova Light" w:hAnsi="Arial Nova Light"/>
          <w:sz w:val="20"/>
          <w:szCs w:val="20"/>
        </w:rPr>
        <w:t xml:space="preserve"> </w:t>
      </w:r>
      <w:r>
        <w:rPr>
          <w:rFonts w:ascii="Arial Nova Light" w:hAnsi="Arial Nova Light"/>
          <w:sz w:val="20"/>
          <w:szCs w:val="20"/>
        </w:rPr>
        <w:t xml:space="preserve">Mildred L Patten. </w:t>
      </w:r>
      <w:r>
        <w:rPr>
          <w:rFonts w:ascii="Arial Nova Light" w:hAnsi="Arial Nova Light"/>
          <w:i/>
          <w:iCs/>
          <w:sz w:val="20"/>
          <w:szCs w:val="20"/>
        </w:rPr>
        <w:t xml:space="preserve">Questionnaire Research, A Practical Guide. </w:t>
      </w:r>
      <w:r>
        <w:rPr>
          <w:rFonts w:ascii="Arial Nova Light" w:hAnsi="Arial Nova Light"/>
          <w:sz w:val="20"/>
          <w:szCs w:val="20"/>
        </w:rPr>
        <w:t>(Oxon: Routledge, 2017), p. ebook.</w:t>
      </w:r>
      <w:r>
        <w:rPr>
          <w:rFonts w:ascii="Roboto;Helvetica Neue;sans-seri" w:hAnsi="Roboto;Helvetica Neue;sans-seri"/>
          <w:sz w:val="23"/>
        </w:rPr>
        <w:t xml:space="preserve"> </w:t>
      </w:r>
    </w:p>
  </w:footnote>
  <w:footnote w:id="48">
    <w:p>
      <w:pPr>
        <w:pStyle w:val="FootnoteText1"/>
        <w:rPr>
          <w:shd w:fill="auto" w:val="clear"/>
        </w:rPr>
      </w:pPr>
      <w:r>
        <w:rPr>
          <w:rStyle w:val="FootnoteCharacters"/>
        </w:rPr>
        <w:footnoteRef/>
      </w:r>
      <w:r>
        <w:rPr>
          <w:rFonts w:ascii="Arial Nova Light" w:hAnsi="Arial Nova Light"/>
          <w:sz w:val="20"/>
          <w:szCs w:val="20"/>
          <w:shd w:fill="auto" w:val="clear"/>
        </w:rPr>
        <w:t>Brink.  1978. ‘Inconsistency of Belief among Roman Catholic Girls: Concerning Religion, Astrology, Reincarnation. p.83.</w:t>
      </w:r>
    </w:p>
  </w:footnote>
  <w:footnote w:id="49">
    <w:p>
      <w:pPr>
        <w:pStyle w:val="FootnoteText1"/>
        <w:rPr/>
      </w:pPr>
      <w:r>
        <w:rPr>
          <w:rStyle w:val="FootnoteCharacters"/>
        </w:rPr>
        <w:footnoteRef/>
      </w:r>
      <w:r>
        <w:rPr>
          <w:rFonts w:ascii="Arial Nova Light" w:hAnsi="Arial Nova Light"/>
          <w:sz w:val="20"/>
          <w:szCs w:val="20"/>
          <w:shd w:fill="auto" w:val="clear"/>
        </w:rPr>
        <w:t xml:space="preserve"> </w:t>
      </w:r>
      <w:r>
        <w:rPr>
          <w:rFonts w:ascii="Arial Nova Light" w:hAnsi="Arial Nova Light"/>
          <w:sz w:val="20"/>
          <w:szCs w:val="20"/>
          <w:shd w:fill="auto" w:val="clear"/>
        </w:rPr>
        <w:t>Brink. ‘Inconsistency of Belief among Roman Catholic Girls: Concerning Religion, Astrology, Reincarnation.’</w:t>
      </w:r>
      <w:r>
        <w:rPr>
          <w:rFonts w:ascii="Arial Nova Light" w:hAnsi="Arial Nova Light"/>
          <w:shd w:fill="auto" w:val="clear"/>
        </w:rPr>
        <w:t xml:space="preserve"> </w:t>
      </w:r>
      <w:r>
        <w:rPr>
          <w:rFonts w:ascii="Arial Nova Light" w:hAnsi="Arial Nova Light"/>
          <w:sz w:val="20"/>
          <w:szCs w:val="20"/>
          <w:shd w:fill="auto" w:val="clear"/>
        </w:rPr>
        <w:t xml:space="preserve"> p.85.</w:t>
      </w:r>
    </w:p>
  </w:footnote>
  <w:footnote w:id="50">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Walter &amp; Waterhouse, ‘A Very Private Belief: Reincarnation in Contemporary England’. Sociology of Religion, p196-197. </w:t>
      </w:r>
    </w:p>
  </w:footnote>
  <w:footnote w:id="51">
    <w:p>
      <w:pPr>
        <w:pStyle w:val="Normal"/>
        <w:rPr>
          <w:shd w:fill="auto" w:val="clear"/>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Sociology of Religion, p196-197.</w:t>
      </w:r>
    </w:p>
  </w:footnote>
  <w:footnote w:id="52">
    <w:p>
      <w:pPr>
        <w:pStyle w:val="Normal"/>
        <w:rPr/>
      </w:pPr>
      <w:r>
        <w:rPr>
          <w:rStyle w:val="FootnoteCharacters"/>
        </w:rPr>
        <w:footnoteRef/>
      </w:r>
      <w:r>
        <w:rPr>
          <w:rFonts w:ascii="Arial Nova Light" w:hAnsi="Arial Nova Light"/>
          <w:color w:val="000000"/>
          <w:sz w:val="20"/>
          <w:szCs w:val="20"/>
          <w:shd w:fill="auto" w:val="clear"/>
        </w:rPr>
        <w:t>Walter &amp; Waterhouse, ‘A Very Private Belief: Reincarnation in Contemporary England’. Sociology of Religion, p187.</w:t>
      </w:r>
      <w:r>
        <w:rPr>
          <w:rFonts w:ascii="Arial Nova Light" w:hAnsi="Arial Nova Light"/>
          <w:color w:val="000000"/>
          <w:sz w:val="20"/>
          <w:szCs w:val="20"/>
          <w:shd w:fill="FFFF00" w:val="clear"/>
        </w:rPr>
        <w:t xml:space="preserve"> </w:t>
      </w:r>
    </w:p>
  </w:footnote>
  <w:footnote w:id="53">
    <w:p>
      <w:pPr>
        <w:pStyle w:val="FootnoteText1"/>
        <w:rPr/>
      </w:pPr>
      <w:r>
        <w:rPr>
          <w:rStyle w:val="FootnoteCharacters"/>
        </w:rPr>
        <w:footnoteRef/>
      </w:r>
      <w:r>
        <w:rPr/>
        <w:t xml:space="preserve"> </w:t>
      </w:r>
      <w:r>
        <w:rPr/>
        <w:t xml:space="preserve">Anna Davidsson Bremborg. ‘Interviewing’ in </w:t>
      </w:r>
      <w:r>
        <w:rPr>
          <w:i/>
          <w:iCs/>
        </w:rPr>
        <w:t xml:space="preserve">The Routledge Handbook Of Research Methods In The Study Of Religion, </w:t>
      </w:r>
      <w:r>
        <w:rPr/>
        <w:t>ed. by Michael Stausberg and Steven Engler (Oxon: Routledge, 2011), pp.310- 322 (p.319)</w:t>
      </w:r>
    </w:p>
  </w:footnote>
  <w:footnote w:id="54">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55">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56">
    <w:p>
      <w:pPr>
        <w:pStyle w:val="FootnoteText1"/>
        <w:rPr>
          <w:rFonts w:ascii="Arial Nova Light" w:hAnsi="Arial Nova Light"/>
          <w:sz w:val="20"/>
          <w:szCs w:val="20"/>
        </w:rPr>
      </w:pPr>
      <w:r>
        <w:rPr>
          <w:rStyle w:val="FootnoteCharacters"/>
        </w:rPr>
        <w:footnoteRef/>
      </w:r>
      <w:r>
        <w:rPr>
          <w:rFonts w:ascii="Arial Nova Light" w:hAnsi="Arial Nova Light"/>
          <w:sz w:val="20"/>
          <w:szCs w:val="20"/>
        </w:rPr>
        <w:t xml:space="preserve">Ranjit Kumar, </w:t>
      </w:r>
      <w:r>
        <w:rPr>
          <w:rFonts w:ascii="Arial Nova Light" w:hAnsi="Arial Nova Light"/>
          <w:i/>
          <w:iCs/>
          <w:sz w:val="20"/>
          <w:szCs w:val="20"/>
        </w:rPr>
        <w:t xml:space="preserve">Research Methodology: A </w:t>
      </w:r>
      <w:r>
        <w:rPr>
          <w:rFonts w:ascii="Arial Nova Light" w:hAnsi="Arial Nova Light"/>
          <w:i/>
          <w:iCs/>
          <w:sz w:val="20"/>
          <w:szCs w:val="20"/>
        </w:rPr>
        <w:t>S</w:t>
      </w:r>
      <w:r>
        <w:rPr>
          <w:rFonts w:ascii="Arial Nova Light" w:hAnsi="Arial Nova Light"/>
          <w:i/>
          <w:iCs/>
          <w:sz w:val="20"/>
          <w:szCs w:val="20"/>
        </w:rPr>
        <w:t xml:space="preserve">tep by </w:t>
      </w:r>
      <w:r>
        <w:rPr>
          <w:rFonts w:ascii="Arial Nova Light" w:hAnsi="Arial Nova Light"/>
          <w:i/>
          <w:iCs/>
          <w:sz w:val="20"/>
          <w:szCs w:val="20"/>
        </w:rPr>
        <w:t>S</w:t>
      </w:r>
      <w:r>
        <w:rPr>
          <w:rFonts w:ascii="Arial Nova Light" w:hAnsi="Arial Nova Light"/>
          <w:i/>
          <w:iCs/>
          <w:sz w:val="20"/>
          <w:szCs w:val="20"/>
        </w:rPr>
        <w:t xml:space="preserve">tep </w:t>
      </w:r>
      <w:r>
        <w:rPr>
          <w:rFonts w:ascii="Arial Nova Light" w:hAnsi="Arial Nova Light"/>
          <w:i/>
          <w:iCs/>
          <w:sz w:val="20"/>
          <w:szCs w:val="20"/>
        </w:rPr>
        <w:t>G</w:t>
      </w:r>
      <w:r>
        <w:rPr>
          <w:rFonts w:ascii="Arial Nova Light" w:hAnsi="Arial Nova Light"/>
          <w:i/>
          <w:iCs/>
          <w:sz w:val="20"/>
          <w:szCs w:val="20"/>
        </w:rPr>
        <w:t xml:space="preserve">uide </w:t>
      </w:r>
      <w:r>
        <w:rPr>
          <w:rFonts w:ascii="Arial Nova Light" w:hAnsi="Arial Nova Light"/>
          <w:i/>
          <w:iCs/>
          <w:sz w:val="20"/>
          <w:szCs w:val="20"/>
        </w:rPr>
        <w:t>Fo</w:t>
      </w:r>
      <w:r>
        <w:rPr>
          <w:rFonts w:ascii="Arial Nova Light" w:hAnsi="Arial Nova Light"/>
          <w:i/>
          <w:iCs/>
          <w:sz w:val="20"/>
          <w:szCs w:val="20"/>
        </w:rPr>
        <w:t xml:space="preserve">r </w:t>
      </w:r>
      <w:r>
        <w:rPr>
          <w:rFonts w:ascii="Arial Nova Light" w:hAnsi="Arial Nova Light"/>
          <w:i/>
          <w:iCs/>
          <w:sz w:val="20"/>
          <w:szCs w:val="20"/>
        </w:rPr>
        <w:t>B</w:t>
      </w:r>
      <w:r>
        <w:rPr>
          <w:rFonts w:ascii="Arial Nova Light" w:hAnsi="Arial Nova Light"/>
          <w:i/>
          <w:iCs/>
          <w:sz w:val="20"/>
          <w:szCs w:val="20"/>
        </w:rPr>
        <w:t xml:space="preserve">eginners. </w:t>
      </w:r>
      <w:r>
        <w:rPr>
          <w:rFonts w:ascii="Arial Nova Light" w:hAnsi="Arial Nova Light"/>
          <w:sz w:val="20"/>
          <w:szCs w:val="20"/>
        </w:rPr>
        <w:t xml:space="preserve">(London: Sage Publications Ltd, 2011), p.192, 211. </w:t>
      </w:r>
    </w:p>
  </w:footnote>
  <w:footnote w:id="57">
    <w:p>
      <w:pPr>
        <w:pStyle w:val="Normal"/>
        <w:rPr>
          <w:shd w:fill="auto" w:val="clear"/>
        </w:rPr>
      </w:pPr>
      <w:r>
        <w:rPr>
          <w:rStyle w:val="FootnoteCharacters"/>
        </w:rPr>
        <w:footnoteRef/>
      </w:r>
      <w:r>
        <w:rPr>
          <w:rFonts w:ascii="Arial Nova Light" w:hAnsi="Arial Nova Light"/>
          <w:color w:val="000000"/>
          <w:sz w:val="20"/>
          <w:szCs w:val="20"/>
          <w:shd w:fill="auto" w:val="clear"/>
        </w:rPr>
        <w:t xml:space="preserve">Walter &amp; Waterhouse, ‘A Very Private Belief: Reincarnation in Contemporary England’. p189. </w:t>
      </w:r>
    </w:p>
  </w:footnote>
  <w:footnote w:id="58">
    <w:p>
      <w:pPr>
        <w:pStyle w:val="FootnoteText1"/>
        <w:rPr>
          <w:shd w:fill="auto" w:val="clear"/>
        </w:rPr>
      </w:pPr>
      <w:r>
        <w:rPr>
          <w:rStyle w:val="FootnoteCharacters"/>
        </w:rPr>
        <w:footnoteRef/>
      </w:r>
      <w:r>
        <w:rPr>
          <w:rFonts w:ascii="Arial Nova Light" w:hAnsi="Arial Nova Light"/>
          <w:sz w:val="20"/>
          <w:szCs w:val="20"/>
          <w:shd w:fill="auto" w:val="clear"/>
        </w:rPr>
        <w:t>Brink. ‘Inconsistency of Belief among Roman Catholic Girls: Concerning Religion, Astrology, Reincarnation.’ p.83.</w:t>
      </w:r>
    </w:p>
  </w:footnote>
  <w:footnote w:id="59">
    <w:p>
      <w:pPr>
        <w:pStyle w:val="Normal"/>
        <w:rPr/>
      </w:pPr>
      <w:r>
        <w:rPr>
          <w:rStyle w:val="FootnoteCharacters"/>
        </w:rPr>
        <w:footnoteRef/>
      </w:r>
      <w:r>
        <w:rPr>
          <w:rFonts w:ascii="Arial Nova Light" w:hAnsi="Arial Nova Light"/>
          <w:sz w:val="20"/>
          <w:szCs w:val="20"/>
        </w:rPr>
        <w:t xml:space="preserve"> </w:t>
      </w:r>
      <w:r>
        <w:rPr>
          <w:rFonts w:ascii="Arial Nova Light" w:hAnsi="Arial Nova Light"/>
          <w:color w:val="000000"/>
          <w:sz w:val="20"/>
          <w:szCs w:val="20"/>
        </w:rPr>
        <w:t xml:space="preserve">Walter, &amp; Waterhouse, 1999. ‘A Very Private Belief: Reincarnation in Contemporary England’ pp. 187-197.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Footer"/>
      <w:tabs>
        <w:tab w:val="clear" w:pos="9020"/>
        <w:tab w:val="center" w:pos="4819" w:leader="none"/>
        <w:tab w:val="right" w:pos="9638" w:leader="none"/>
      </w:tabs>
      <w:rPr>
        <w:rFonts w:ascii="Times New Roman" w:hAnsi="Times New Roman" w:cs="Times New Roman"/>
        <w:color w:val="auto"/>
        <w:sz w:val="20"/>
        <w:szCs w:val="20"/>
      </w:rPr>
    </w:pPr>
    <w:r>
      <w:rPr>
        <w:rFonts w:cs="Times New Roman" w:ascii="Times New Roman" w:hAnsi="Times New Roman"/>
        <w:color w:val="auto"/>
        <w:sz w:val="20"/>
        <w:szCs w:val="20"/>
      </w:rPr>
    </w:r>
  </w:p>
</w:hdr>
</file>

<file path=word/settings.xml><?xml version="1.0" encoding="utf-8"?>
<w:settings xmlns:w="http://schemas.openxmlformats.org/wordprocessingml/2006/main">
  <w:zoom w:percent="80"/>
  <w:embedSystemFonts/>
  <w:defaultTabStop w:val="720"/>
  <w:autoHyphenation w:val="true"/>
  <w:footnotePr>
    <w:numFmt w:val="decimal"/>
    <w:footnote w:id="0"/>
    <w:footnote w:id="1"/>
  </w:foot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lsdException w:name="header" w:locked="1"/>
    <w:lsdException w:name="footer" w:locked="1"/>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semiHidden="1" w:unhideWhenUsed="1"/>
    <w:lsdException w:name="annotation subject" w:locked="1"/>
    <w:lsdException w:name="No List" w:locked="1"/>
    <w:lsdException w:name="Outline List 1" w:locked="1"/>
    <w:lsdException w:name="Outline List 2" w:locked="1"/>
    <w:lsdException w:name="Outline List 3" w:lock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lsdException w:name="Table Grid" w:locked="1"/>
    <w:lsdException w:name="Table Theme" w:locked="1"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4"/>
      <w:szCs w:val="24"/>
      <w:lang w:val="en-US" w:eastAsia="en-US" w:bidi="ar-SA"/>
    </w:rPr>
  </w:style>
  <w:style w:type="paragraph" w:styleId="Heading3">
    <w:name w:val="Heading 3"/>
    <w:next w:val="Body"/>
    <w:qFormat/>
    <w:pPr>
      <w:keepNext w:val="true"/>
      <w:widowControl/>
      <w:pBdr>
        <w:top w:val="single" w:sz="4" w:space="0" w:color="515151"/>
      </w:pBdr>
      <w:suppressAutoHyphens w:val="true"/>
      <w:bidi w:val="0"/>
      <w:spacing w:lineRule="auto" w:line="288" w:before="360" w:after="40"/>
      <w:jc w:val="left"/>
      <w:outlineLvl w:val="2"/>
    </w:pPr>
    <w:rPr>
      <w:rFonts w:ascii="Helvetica Neue" w:hAnsi="Helvetica Neue" w:eastAsia="Arial Unicode MS" w:cs="Arial Unicode MS"/>
      <w:color w:val="000000"/>
      <w:spacing w:val="5"/>
      <w:kern w:val="0"/>
      <w:sz w:val="28"/>
      <w:szCs w:val="28"/>
      <w:lang w:eastAsia="en-GB" w:val="en-GB" w:bidi="ar-SA"/>
    </w:rPr>
  </w:style>
  <w:style w:type="character" w:styleId="DefaultParagraphFont" w:default="1">
    <w:name w:val="Default Paragraph Font"/>
    <w:uiPriority w:val="1"/>
    <w:semiHidden/>
    <w:unhideWhenUsed/>
    <w:qFormat/>
    <w:rPr/>
  </w:style>
  <w:style w:type="character" w:styleId="InternetLink">
    <w:name w:val="Hyperlink"/>
    <w:rPr>
      <w:u w:val="single"/>
    </w:rPr>
  </w:style>
  <w:style w:type="character" w:styleId="FootnoteCharacters" w:customStyle="1">
    <w:name w:val="Footnote Characters"/>
    <w:qFormat/>
    <w:rPr/>
  </w:style>
  <w:style w:type="character" w:styleId="FootnoteAnchor" w:customStyle="1">
    <w:name w:val="Footnote Anchor"/>
    <w:rPr>
      <w:vertAlign w:val="superscript"/>
    </w:rPr>
  </w:style>
  <w:style w:type="character" w:styleId="Bullets" w:customStyle="1">
    <w:name w:val="Bullets"/>
    <w:qFormat/>
    <w:rPr>
      <w:rFonts w:ascii="OpenSymbol" w:hAnsi="OpenSymbol" w:eastAsia="OpenSymbol" w:cs="OpenSymbol"/>
    </w:rPr>
  </w:style>
  <w:style w:type="character" w:styleId="EndnoteAnchor" w:customStyle="1">
    <w:name w:val="Endnote Anchor"/>
    <w:rPr>
      <w:vertAlign w:val="superscript"/>
    </w:rPr>
  </w:style>
  <w:style w:type="character" w:styleId="EndnoteCharacters" w:customStyle="1">
    <w:name w:val="Endnote Characters"/>
    <w:qFormat/>
    <w:rPr/>
  </w:style>
  <w:style w:type="paragraph" w:styleId="Heading" w:customStyle="1">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rPr>
  </w:style>
  <w:style w:type="paragraph" w:styleId="Caption1">
    <w:name w:val="caption"/>
    <w:basedOn w:val="Normal"/>
    <w:qFormat/>
    <w:pPr>
      <w:suppressLineNumbers/>
      <w:spacing w:before="120" w:after="120"/>
    </w:pPr>
    <w:rPr>
      <w:rFonts w:cs="Lucida Sans"/>
      <w:i/>
      <w:iCs/>
    </w:rPr>
  </w:style>
  <w:style w:type="paragraph" w:styleId="HeaderFooter" w:customStyle="1">
    <w:name w:val="Header &amp; Footer"/>
    <w:qFormat/>
    <w:pPr>
      <w:widowControl/>
      <w:tabs>
        <w:tab w:val="clear" w:pos="720"/>
        <w:tab w:val="right" w:pos="9020" w:leader="none"/>
      </w:tabs>
      <w:suppressAutoHyphens w:val="true"/>
      <w:bidi w:val="0"/>
      <w:spacing w:before="0" w:after="0"/>
      <w:jc w:val="left"/>
    </w:pPr>
    <w:rPr>
      <w:rFonts w:ascii="Helvetica Neue" w:hAnsi="Helvetica Neue" w:eastAsia="Arial Unicode MS" w:cs="Arial Unicode MS"/>
      <w:color w:val="000000"/>
      <w:kern w:val="0"/>
      <w:sz w:val="24"/>
      <w:szCs w:val="24"/>
      <w:lang w:eastAsia="en-GB" w:val="en-GB" w:bidi="ar-SA"/>
    </w:rPr>
  </w:style>
  <w:style w:type="paragraph" w:styleId="Body" w:customStyle="1">
    <w:name w:val="Body"/>
    <w:qFormat/>
    <w:pPr>
      <w:widowControl/>
      <w:suppressAutoHyphens w:val="true"/>
      <w:bidi w:val="0"/>
      <w:spacing w:before="160" w:after="0"/>
      <w:jc w:val="left"/>
    </w:pPr>
    <w:rPr>
      <w:rFonts w:ascii="Helvetica Neue" w:hAnsi="Helvetica Neue" w:eastAsia="Arial Unicode MS" w:cs="Arial Unicode MS"/>
      <w:color w:val="000000"/>
      <w:kern w:val="0"/>
      <w:sz w:val="24"/>
      <w:szCs w:val="24"/>
      <w:lang w:eastAsia="en-GB" w:val="en-GB" w:bidi="ar-SA"/>
    </w:rPr>
  </w:style>
  <w:style w:type="paragraph" w:styleId="FootnoteText1" w:customStyle="1">
    <w:name w:val="Footnote Text1"/>
    <w:qFormat/>
    <w:pPr>
      <w:widowControl/>
      <w:suppressAutoHyphens w:val="true"/>
      <w:bidi w:val="0"/>
      <w:spacing w:before="0" w:after="0"/>
      <w:jc w:val="left"/>
    </w:pPr>
    <w:rPr>
      <w:rFonts w:ascii="Helvetica Neue" w:hAnsi="Helvetica Neue" w:eastAsia="Helvetica Neue" w:cs="Helvetica Neue"/>
      <w:color w:val="000000"/>
      <w:kern w:val="0"/>
      <w:sz w:val="22"/>
      <w:szCs w:val="22"/>
      <w:lang w:eastAsia="en-GB" w:val="en-GB" w:bidi="ar-SA"/>
    </w:rPr>
  </w:style>
  <w:style w:type="paragraph" w:styleId="HeaderandFooter" w:customStyle="1">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Footnote">
    <w:name w:val="Footnote Text"/>
    <w:basedOn w:val="Normal"/>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jstor.org/stable/3509943" TargetMode="External"/><Relationship Id="rId4" Type="http://schemas.openxmlformats.org/officeDocument/2006/relationships/hyperlink" Target="https://academic.oup.com/socrel/pages/About" TargetMode="External"/><Relationship Id="rId5" Type="http://schemas.openxmlformats.org/officeDocument/2006/relationships/hyperlink" Target="https://www.jstor.org/stable/3711748" TargetMode="External"/><Relationship Id="rId6" Type="http://schemas.openxmlformats.org/officeDocument/2006/relationships/hyperlink" Target="http://www.universityofreading.ac.uk/"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notes" Target="footnotes.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jstor.org/stable/3711748" TargetMode="External"/><Relationship Id="rId2" Type="http://schemas.openxmlformats.org/officeDocument/2006/relationships/hyperlink" Target="https://www.jstor.org/stable/3509943" TargetMode="External"/><Relationship Id="rId3" Type="http://schemas.openxmlformats.org/officeDocument/2006/relationships/hyperlink" Target="https://academic.oup.com/socrel/pages/About" TargetMode="External"/><Relationship Id="rId4" Type="http://schemas.openxmlformats.org/officeDocument/2006/relationships/hyperlink" Target="http://www.universityofreading.ac.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Application>LibreOffice/7.0.1.2$Windows_X86_64 LibreOffice_project/7cbcfc562f6eb6708b5ff7d7397325de9e764452</Application>
  <Pages>13</Pages>
  <Words>3917</Words>
  <Characters>22965</Characters>
  <CharactersWithSpaces>26873</CharactersWithSpaces>
  <Paragraphs>151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2023-01-02T14:37:00Z</dcterms:created>
  <dc:creator>Nick</dc:creator>
  <dc:description/>
  <dc:language>en-GB</dc:language>
  <cp:lastModifiedBy/>
  <dcterms:modified xsi:type="dcterms:W3CDTF">2024-02-28T07:19:56Z</dcterms:modified>
  <cp:revision>32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