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9676398"/>
        <w:docPartObj>
          <w:docPartGallery w:val="Cover Pages"/>
          <w:docPartUnique/>
        </w:docPartObj>
      </w:sdtPr>
      <w:sdtEndPr/>
      <w:sdtContent>
        <w:p w14:paraId="6A885BC4" w14:textId="44B13549" w:rsidR="009A0D52" w:rsidRDefault="009A0D52">
          <w:r>
            <w:rPr>
              <w:noProof/>
            </w:rPr>
            <mc:AlternateContent>
              <mc:Choice Requires="wpg">
                <w:drawing>
                  <wp:anchor distT="0" distB="0" distL="114300" distR="114300" simplePos="0" relativeHeight="251674624" behindDoc="0" locked="0" layoutInCell="1" allowOverlap="1" wp14:anchorId="0C355250" wp14:editId="74A384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4FC886" id="Group 157"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1D99533D" w14:textId="72755AAC" w:rsidR="009A0D52" w:rsidRDefault="00E23656"/>
      </w:sdtContent>
    </w:sdt>
    <w:p w14:paraId="78430317" w14:textId="77777777" w:rsidR="007C2D3F" w:rsidRDefault="007C2D3F"/>
    <w:p w14:paraId="31FFEB5E" w14:textId="0657B4ED" w:rsidR="006B7701" w:rsidRPr="006B7701" w:rsidRDefault="006237E2" w:rsidP="006B7701">
      <w:pPr>
        <w:rPr>
          <w:rFonts w:ascii="Arial" w:hAnsi="Arial" w:cs="Arial"/>
          <w:sz w:val="40"/>
          <w:szCs w:val="40"/>
        </w:rPr>
      </w:pPr>
      <w:r w:rsidRPr="00F742CF">
        <w:rPr>
          <w:sz w:val="28"/>
          <w:szCs w:val="28"/>
        </w:rPr>
        <w:t xml:space="preserve"> </w:t>
      </w:r>
      <w:r w:rsidR="00F83B42" w:rsidRPr="00F742CF">
        <w:rPr>
          <w:sz w:val="28"/>
          <w:szCs w:val="28"/>
        </w:rPr>
        <w:t xml:space="preserve">    </w:t>
      </w:r>
      <w:r w:rsidR="00A1159E">
        <w:rPr>
          <w:sz w:val="28"/>
          <w:szCs w:val="28"/>
        </w:rPr>
        <w:t xml:space="preserve">    </w:t>
      </w:r>
      <w:r w:rsidR="00F83B42" w:rsidRPr="00F742CF">
        <w:rPr>
          <w:sz w:val="28"/>
          <w:szCs w:val="28"/>
        </w:rPr>
        <w:t xml:space="preserve"> </w:t>
      </w:r>
      <w:bookmarkStart w:id="0" w:name="_Hlk213575785"/>
      <w:r w:rsidRPr="006B7701">
        <w:rPr>
          <w:rFonts w:ascii="Arial" w:hAnsi="Arial" w:cs="Arial"/>
          <w:sz w:val="40"/>
          <w:szCs w:val="40"/>
        </w:rPr>
        <w:t xml:space="preserve">Certificate of higher education Skills for the </w:t>
      </w:r>
      <w:r w:rsidR="006B7701">
        <w:rPr>
          <w:rFonts w:ascii="Arial" w:hAnsi="Arial" w:cs="Arial"/>
          <w:sz w:val="40"/>
          <w:szCs w:val="40"/>
        </w:rPr>
        <w:t xml:space="preserve">      </w:t>
      </w:r>
      <w:r w:rsidR="00D07F79">
        <w:rPr>
          <w:rFonts w:ascii="Arial" w:hAnsi="Arial" w:cs="Arial"/>
          <w:sz w:val="40"/>
          <w:szCs w:val="40"/>
        </w:rPr>
        <w:t xml:space="preserve">                      </w:t>
      </w:r>
      <w:r w:rsidR="006B7701">
        <w:rPr>
          <w:rFonts w:ascii="Arial" w:hAnsi="Arial" w:cs="Arial"/>
          <w:sz w:val="40"/>
          <w:szCs w:val="40"/>
        </w:rPr>
        <w:t xml:space="preserve">         </w:t>
      </w:r>
      <w:r w:rsidR="002C6128">
        <w:rPr>
          <w:rFonts w:ascii="Arial" w:hAnsi="Arial" w:cs="Arial"/>
          <w:sz w:val="40"/>
          <w:szCs w:val="40"/>
        </w:rPr>
        <w:t xml:space="preserve">     </w:t>
      </w:r>
    </w:p>
    <w:p w14:paraId="1C118A69" w14:textId="1FC644ED" w:rsidR="005F2BA8" w:rsidRPr="006B7701" w:rsidRDefault="002C6128">
      <w:pPr>
        <w:rPr>
          <w:rFonts w:ascii="Arial" w:hAnsi="Arial" w:cs="Arial"/>
          <w:sz w:val="40"/>
          <w:szCs w:val="40"/>
        </w:rPr>
      </w:pPr>
      <w:r>
        <w:rPr>
          <w:rFonts w:ascii="Arial" w:hAnsi="Arial" w:cs="Arial"/>
          <w:sz w:val="40"/>
          <w:szCs w:val="40"/>
        </w:rPr>
        <w:t xml:space="preserve">                     </w:t>
      </w:r>
      <w:r w:rsidR="006A681E">
        <w:rPr>
          <w:rFonts w:ascii="Arial" w:hAnsi="Arial" w:cs="Arial"/>
          <w:sz w:val="40"/>
          <w:szCs w:val="40"/>
        </w:rPr>
        <w:t xml:space="preserve">          </w:t>
      </w:r>
      <w:r>
        <w:rPr>
          <w:rFonts w:ascii="Arial" w:hAnsi="Arial" w:cs="Arial"/>
          <w:sz w:val="40"/>
          <w:szCs w:val="40"/>
        </w:rPr>
        <w:t xml:space="preserve"> Workplace</w:t>
      </w:r>
    </w:p>
    <w:p w14:paraId="5031544B" w14:textId="3B492EB5" w:rsidR="006237E2" w:rsidRPr="006B7701" w:rsidRDefault="006237E2">
      <w:pPr>
        <w:rPr>
          <w:rFonts w:ascii="Arial" w:hAnsi="Arial" w:cs="Arial"/>
          <w:sz w:val="40"/>
          <w:szCs w:val="40"/>
        </w:rPr>
      </w:pPr>
      <w:r w:rsidRPr="006B7701">
        <w:rPr>
          <w:rFonts w:ascii="Arial" w:hAnsi="Arial" w:cs="Arial"/>
          <w:sz w:val="40"/>
          <w:szCs w:val="40"/>
        </w:rPr>
        <w:t xml:space="preserve">                    (Health and Social Care)</w:t>
      </w:r>
    </w:p>
    <w:p w14:paraId="2FDCDBF0" w14:textId="34233547" w:rsidR="006237E2" w:rsidRPr="006B7701" w:rsidRDefault="006237E2">
      <w:pPr>
        <w:rPr>
          <w:rFonts w:ascii="Arial" w:hAnsi="Arial" w:cs="Arial"/>
          <w:sz w:val="40"/>
          <w:szCs w:val="40"/>
        </w:rPr>
      </w:pPr>
      <w:r w:rsidRPr="006B7701">
        <w:rPr>
          <w:rFonts w:ascii="Arial" w:hAnsi="Arial" w:cs="Arial"/>
          <w:sz w:val="40"/>
          <w:szCs w:val="40"/>
        </w:rPr>
        <w:t xml:space="preserve">            Digital Skills and Research Methods</w:t>
      </w:r>
    </w:p>
    <w:p w14:paraId="67295B9C" w14:textId="43682E79"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LCHS4007_BIRM</w:t>
      </w:r>
    </w:p>
    <w:p w14:paraId="58BF1389" w14:textId="228DEEF6"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Student Name: Lavinia Groceanu</w:t>
      </w:r>
    </w:p>
    <w:p w14:paraId="6C703F1C" w14:textId="05722746"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 xml:space="preserve"> Student ID:2508612</w:t>
      </w:r>
    </w:p>
    <w:p w14:paraId="7E59AE91" w14:textId="47C198D3"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 xml:space="preserve"> Lecturer Name: Aliyuda Ali</w:t>
      </w:r>
    </w:p>
    <w:bookmarkEnd w:id="0"/>
    <w:p w14:paraId="6718B17D" w14:textId="77777777" w:rsidR="006237E2" w:rsidRPr="006B7701" w:rsidRDefault="006237E2">
      <w:pPr>
        <w:rPr>
          <w:rFonts w:ascii="Arial" w:hAnsi="Arial" w:cs="Arial"/>
          <w:sz w:val="40"/>
          <w:szCs w:val="40"/>
        </w:rPr>
      </w:pPr>
    </w:p>
    <w:p w14:paraId="624D3C74" w14:textId="77777777" w:rsidR="006237E2" w:rsidRPr="006B7701" w:rsidRDefault="006237E2">
      <w:pPr>
        <w:rPr>
          <w:rFonts w:ascii="Arial" w:hAnsi="Arial" w:cs="Arial"/>
          <w:sz w:val="40"/>
          <w:szCs w:val="40"/>
        </w:rPr>
      </w:pPr>
    </w:p>
    <w:p w14:paraId="6D6C50FC" w14:textId="43D1528F" w:rsidR="006237E2" w:rsidRDefault="00792B36">
      <w:pPr>
        <w:rPr>
          <w:rFonts w:ascii="Arial" w:hAnsi="Arial" w:cs="Arial"/>
          <w:sz w:val="40"/>
          <w:szCs w:val="40"/>
        </w:rPr>
      </w:pPr>
      <w:r w:rsidRPr="006B7701">
        <w:rPr>
          <w:rFonts w:ascii="Arial" w:hAnsi="Arial" w:cs="Arial"/>
          <w:sz w:val="40"/>
          <w:szCs w:val="40"/>
        </w:rPr>
        <w:t xml:space="preserve">                 </w:t>
      </w:r>
      <w:r w:rsidR="006237E2" w:rsidRPr="006B7701">
        <w:rPr>
          <w:rFonts w:ascii="Arial" w:hAnsi="Arial" w:cs="Arial"/>
          <w:sz w:val="40"/>
          <w:szCs w:val="40"/>
        </w:rPr>
        <w:t>Assignment title: Component 2-</w:t>
      </w:r>
      <w:r w:rsidR="006B7701">
        <w:rPr>
          <w:rFonts w:ascii="Arial" w:hAnsi="Arial" w:cs="Arial"/>
          <w:sz w:val="40"/>
          <w:szCs w:val="40"/>
        </w:rPr>
        <w:t xml:space="preserve">       </w:t>
      </w:r>
      <w:r w:rsidR="006A681E">
        <w:rPr>
          <w:rFonts w:ascii="Arial" w:hAnsi="Arial" w:cs="Arial"/>
          <w:sz w:val="40"/>
          <w:szCs w:val="40"/>
        </w:rPr>
        <w:t xml:space="preserve">    </w:t>
      </w:r>
    </w:p>
    <w:p w14:paraId="7EA41ACD" w14:textId="0CCBBF29" w:rsidR="00400E72" w:rsidRDefault="00400E72">
      <w:pPr>
        <w:rPr>
          <w:rFonts w:ascii="Arial" w:hAnsi="Arial" w:cs="Arial"/>
          <w:sz w:val="40"/>
          <w:szCs w:val="40"/>
        </w:rPr>
      </w:pPr>
      <w:r>
        <w:rPr>
          <w:rFonts w:ascii="Arial" w:hAnsi="Arial" w:cs="Arial"/>
          <w:sz w:val="40"/>
          <w:szCs w:val="40"/>
        </w:rPr>
        <w:t xml:space="preserve">                          Research report</w:t>
      </w:r>
    </w:p>
    <w:p w14:paraId="4682FAAA" w14:textId="77777777" w:rsidR="00400E72" w:rsidRDefault="00400E72">
      <w:pPr>
        <w:rPr>
          <w:rFonts w:ascii="Arial" w:hAnsi="Arial" w:cs="Arial"/>
          <w:sz w:val="40"/>
          <w:szCs w:val="40"/>
        </w:rPr>
      </w:pPr>
    </w:p>
    <w:p w14:paraId="0376ABCD" w14:textId="77777777" w:rsidR="00400E72" w:rsidRDefault="00400E72">
      <w:pPr>
        <w:rPr>
          <w:rFonts w:ascii="Arial" w:hAnsi="Arial" w:cs="Arial"/>
          <w:sz w:val="40"/>
          <w:szCs w:val="40"/>
        </w:rPr>
      </w:pPr>
    </w:p>
    <w:p w14:paraId="576F24FD" w14:textId="77777777" w:rsidR="00400E72" w:rsidRDefault="00400E72">
      <w:pPr>
        <w:rPr>
          <w:rFonts w:ascii="Arial" w:hAnsi="Arial" w:cs="Arial"/>
          <w:sz w:val="40"/>
          <w:szCs w:val="40"/>
        </w:rPr>
      </w:pPr>
    </w:p>
    <w:p w14:paraId="16DF215B" w14:textId="77777777" w:rsidR="00400E72" w:rsidRPr="006B7701" w:rsidRDefault="00400E72">
      <w:pPr>
        <w:rPr>
          <w:rFonts w:ascii="Arial" w:hAnsi="Arial" w:cs="Arial"/>
          <w:sz w:val="40"/>
          <w:szCs w:val="40"/>
        </w:rPr>
      </w:pPr>
    </w:p>
    <w:p w14:paraId="20B54099" w14:textId="0A94BC60" w:rsidR="006F3DC5" w:rsidRDefault="006237E2">
      <w:pPr>
        <w:rPr>
          <w:rFonts w:ascii="Arial" w:hAnsi="Arial" w:cs="Arial"/>
          <w:sz w:val="32"/>
          <w:szCs w:val="32"/>
        </w:rPr>
      </w:pPr>
      <w:r>
        <w:rPr>
          <w:rFonts w:ascii="Arial" w:hAnsi="Arial" w:cs="Arial"/>
          <w:sz w:val="32"/>
          <w:szCs w:val="32"/>
        </w:rPr>
        <w:t xml:space="preserve">        </w:t>
      </w:r>
    </w:p>
    <w:p w14:paraId="0C2BF440" w14:textId="77777777" w:rsidR="006F3DC5" w:rsidRDefault="006F3DC5">
      <w:pPr>
        <w:rPr>
          <w:rFonts w:ascii="Arial" w:hAnsi="Arial" w:cs="Arial"/>
          <w:sz w:val="32"/>
          <w:szCs w:val="32"/>
        </w:rPr>
      </w:pPr>
    </w:p>
    <w:p w14:paraId="7828DB4F" w14:textId="318FE53A" w:rsidR="006F3DC5" w:rsidRPr="00400E72" w:rsidRDefault="006F3DC5">
      <w:pPr>
        <w:rPr>
          <w:rFonts w:ascii="Arial" w:hAnsi="Arial" w:cs="Arial"/>
          <w:sz w:val="32"/>
          <w:szCs w:val="32"/>
        </w:rPr>
      </w:pPr>
      <w:r w:rsidRPr="00400E72">
        <w:rPr>
          <w:rFonts w:ascii="Arial" w:hAnsi="Arial" w:cs="Arial"/>
          <w:sz w:val="32"/>
          <w:szCs w:val="32"/>
        </w:rPr>
        <w:lastRenderedPageBreak/>
        <w:t>Lack of Support for Children with Disabilities in Health and Social Care in England: causes, consequences and recommendations.</w:t>
      </w:r>
    </w:p>
    <w:p w14:paraId="2168DAE9" w14:textId="77777777" w:rsidR="006F3DC5" w:rsidRDefault="006F3DC5">
      <w:pPr>
        <w:rPr>
          <w:rFonts w:ascii="Arial" w:hAnsi="Arial" w:cs="Arial"/>
          <w:sz w:val="32"/>
          <w:szCs w:val="32"/>
        </w:rPr>
      </w:pPr>
    </w:p>
    <w:p w14:paraId="5A196446" w14:textId="31E4E05F" w:rsidR="006F3DC5" w:rsidRDefault="006F3DC5">
      <w:pPr>
        <w:rPr>
          <w:rFonts w:ascii="Arial" w:hAnsi="Arial" w:cs="Arial"/>
          <w:sz w:val="32"/>
          <w:szCs w:val="32"/>
        </w:rPr>
      </w:pPr>
      <w:r>
        <w:rPr>
          <w:rFonts w:ascii="Arial" w:hAnsi="Arial" w:cs="Arial"/>
          <w:sz w:val="32"/>
          <w:szCs w:val="32"/>
        </w:rPr>
        <w:t xml:space="preserve">                         EXECUTIVE SUMMARY</w:t>
      </w:r>
    </w:p>
    <w:p w14:paraId="3AF39E4A" w14:textId="77777777" w:rsidR="006F3DC5" w:rsidRPr="00A25243" w:rsidRDefault="006F3DC5">
      <w:pPr>
        <w:rPr>
          <w:rFonts w:ascii="Arial" w:hAnsi="Arial" w:cs="Arial"/>
          <w:sz w:val="22"/>
          <w:szCs w:val="22"/>
        </w:rPr>
      </w:pPr>
    </w:p>
    <w:p w14:paraId="0442ED18" w14:textId="379D8630" w:rsidR="006F3DC5" w:rsidRPr="00161CBD" w:rsidRDefault="0069069B" w:rsidP="00161CBD">
      <w:pPr>
        <w:spacing w:line="360" w:lineRule="auto"/>
        <w:rPr>
          <w:rFonts w:ascii="Arial" w:hAnsi="Arial" w:cs="Arial"/>
          <w:sz w:val="22"/>
          <w:szCs w:val="22"/>
        </w:rPr>
      </w:pPr>
      <w:r w:rsidRPr="0069069B">
        <w:rPr>
          <w:rFonts w:ascii="Arial" w:hAnsi="Arial" w:cs="Arial"/>
          <w:sz w:val="22"/>
          <w:szCs w:val="22"/>
        </w:rPr>
        <w:t>This report investigates the gaps and failings in support for children with disabilities within England’s health, education and social care systems, focusing on coordination failures, resource constraints, workforce issues, and the impacts on children and</w:t>
      </w:r>
      <w:r w:rsidRPr="006F3DC5">
        <w:rPr>
          <w:rFonts w:ascii="Arial" w:hAnsi="Arial" w:cs="Arial"/>
          <w:sz w:val="32"/>
          <w:szCs w:val="32"/>
        </w:rPr>
        <w:t xml:space="preserve"> </w:t>
      </w:r>
      <w:r w:rsidR="006F3DC5" w:rsidRPr="0069069B">
        <w:rPr>
          <w:rFonts w:ascii="Arial" w:hAnsi="Arial" w:cs="Arial"/>
          <w:sz w:val="22"/>
          <w:szCs w:val="22"/>
        </w:rPr>
        <w:t>families.</w:t>
      </w:r>
      <w:r w:rsidR="006F3DC5" w:rsidRPr="006F3DC5">
        <w:rPr>
          <w:rFonts w:ascii="Arial" w:hAnsi="Arial" w:cs="Arial"/>
          <w:sz w:val="32"/>
          <w:szCs w:val="32"/>
        </w:rPr>
        <w:t xml:space="preserve"> </w:t>
      </w:r>
      <w:r w:rsidR="006F3DC5" w:rsidRPr="0069069B">
        <w:rPr>
          <w:rFonts w:ascii="Arial" w:hAnsi="Arial" w:cs="Arial"/>
          <w:sz w:val="22"/>
          <w:szCs w:val="22"/>
        </w:rPr>
        <w:t>It draws on statutory guidance and legislation, national reviews and recent data on waiting times and Education, Health and</w:t>
      </w:r>
      <w:r w:rsidR="006F3DC5" w:rsidRPr="006F3DC5">
        <w:rPr>
          <w:rFonts w:ascii="Arial" w:hAnsi="Arial" w:cs="Arial"/>
          <w:sz w:val="32"/>
          <w:szCs w:val="32"/>
        </w:rPr>
        <w:t xml:space="preserve"> </w:t>
      </w:r>
      <w:r w:rsidRPr="0069069B">
        <w:rPr>
          <w:rFonts w:ascii="Arial" w:hAnsi="Arial" w:cs="Arial"/>
          <w:sz w:val="22"/>
          <w:szCs w:val="22"/>
        </w:rPr>
        <w:t>Care Plan (EHCP) delays. Key findings show</w:t>
      </w:r>
      <w:r w:rsidRPr="006F3DC5">
        <w:rPr>
          <w:rFonts w:ascii="Arial" w:hAnsi="Arial" w:cs="Arial"/>
          <w:sz w:val="32"/>
          <w:szCs w:val="32"/>
        </w:rPr>
        <w:t xml:space="preserve"> </w:t>
      </w:r>
      <w:r w:rsidR="006F3DC5" w:rsidRPr="001123D6">
        <w:rPr>
          <w:rFonts w:ascii="Arial" w:hAnsi="Arial" w:cs="Arial"/>
          <w:sz w:val="22"/>
          <w:szCs w:val="22"/>
        </w:rPr>
        <w:t>strain driven by</w:t>
      </w:r>
      <w:r w:rsidR="006F3DC5" w:rsidRPr="006F3DC5">
        <w:rPr>
          <w:rFonts w:ascii="Arial" w:hAnsi="Arial" w:cs="Arial"/>
          <w:sz w:val="32"/>
          <w:szCs w:val="32"/>
        </w:rPr>
        <w:t xml:space="preserve"> </w:t>
      </w:r>
      <w:r w:rsidR="006F3DC5" w:rsidRPr="00161CBD">
        <w:rPr>
          <w:rFonts w:ascii="Arial" w:hAnsi="Arial" w:cs="Arial"/>
          <w:sz w:val="22"/>
          <w:szCs w:val="22"/>
        </w:rPr>
        <w:t xml:space="preserve">rising demand, inconsistent local provision, long diagnostic and treatment wait, and funding shortfalls. The report closes with targeted recommendations to strengthen early identification, integrated commissioning, workforce capacity and family-centred support. </w:t>
      </w:r>
    </w:p>
    <w:p w14:paraId="547FE615" w14:textId="77777777" w:rsidR="006F3DC5" w:rsidRDefault="006F3DC5" w:rsidP="00161CBD">
      <w:pPr>
        <w:spacing w:line="360" w:lineRule="auto"/>
        <w:rPr>
          <w:rFonts w:ascii="Arial" w:hAnsi="Arial" w:cs="Arial"/>
          <w:sz w:val="32"/>
          <w:szCs w:val="32"/>
        </w:rPr>
      </w:pPr>
    </w:p>
    <w:p w14:paraId="32A55C5D" w14:textId="4C75AE17" w:rsidR="006F3DC5" w:rsidRDefault="006F3DC5" w:rsidP="00161CBD">
      <w:pPr>
        <w:spacing w:line="360" w:lineRule="auto"/>
        <w:rPr>
          <w:rFonts w:ascii="Arial" w:hAnsi="Arial" w:cs="Arial"/>
          <w:sz w:val="32"/>
          <w:szCs w:val="32"/>
        </w:rPr>
      </w:pPr>
      <w:r>
        <w:rPr>
          <w:rFonts w:ascii="Arial" w:hAnsi="Arial" w:cs="Arial"/>
          <w:sz w:val="32"/>
          <w:szCs w:val="32"/>
        </w:rPr>
        <w:t xml:space="preserve">                                   INTRODUCTION</w:t>
      </w:r>
    </w:p>
    <w:p w14:paraId="1529A09A" w14:textId="1CD27B30" w:rsidR="006F3DC5" w:rsidRPr="00161CBD" w:rsidRDefault="006F3DC5" w:rsidP="00161CBD">
      <w:pPr>
        <w:spacing w:line="360" w:lineRule="auto"/>
        <w:rPr>
          <w:rFonts w:ascii="Arial" w:hAnsi="Arial" w:cs="Arial"/>
          <w:sz w:val="22"/>
          <w:szCs w:val="22"/>
        </w:rPr>
      </w:pPr>
      <w:r w:rsidRPr="00161CBD">
        <w:rPr>
          <w:rFonts w:ascii="Arial" w:hAnsi="Arial" w:cs="Arial"/>
          <w:sz w:val="22"/>
          <w:szCs w:val="22"/>
        </w:rPr>
        <w:t>Children with disabilities require timely, coordinated support across health, education and social services to achieve positive developmental and educational outcomes. England’s statutory framework—most notably the Children and Families Act 2014 and the SEND Code of Practice—sets out responsibilities for local authorities, schools and health bodies to plan and deliver Education, Health and Care (EHC) provision for children and young people aged 0–25. Despite this legal architecture, evidence from government reviews and independent reporting indicates a persistent gap between policy intent and lived experience for many families. This report examines the nature of that gap, identifies drivers, describes impacts, and recommends practical reforms.</w:t>
      </w:r>
    </w:p>
    <w:p w14:paraId="31C33921" w14:textId="77777777" w:rsidR="006F3DC5" w:rsidRDefault="006F3DC5" w:rsidP="00161CBD">
      <w:pPr>
        <w:spacing w:line="360" w:lineRule="auto"/>
        <w:rPr>
          <w:rFonts w:ascii="Arial" w:hAnsi="Arial" w:cs="Arial"/>
          <w:sz w:val="32"/>
          <w:szCs w:val="32"/>
        </w:rPr>
      </w:pPr>
    </w:p>
    <w:p w14:paraId="4AC10920" w14:textId="12756C05" w:rsidR="006F3DC5" w:rsidRPr="006252EE" w:rsidRDefault="006252EE" w:rsidP="00161CBD">
      <w:pPr>
        <w:spacing w:line="360" w:lineRule="auto"/>
        <w:rPr>
          <w:rFonts w:ascii="Arial" w:hAnsi="Arial" w:cs="Arial"/>
          <w:b/>
          <w:bCs/>
          <w:sz w:val="32"/>
          <w:szCs w:val="32"/>
        </w:rPr>
      </w:pPr>
      <w:r w:rsidRPr="006252EE">
        <w:rPr>
          <w:rFonts w:ascii="Arial" w:hAnsi="Arial" w:cs="Arial"/>
          <w:b/>
          <w:bCs/>
          <w:sz w:val="32"/>
          <w:szCs w:val="32"/>
        </w:rPr>
        <w:t>Task 1 – Research Topic Identification</w:t>
      </w:r>
      <w:r w:rsidR="006F3DC5" w:rsidRPr="006252EE">
        <w:rPr>
          <w:rFonts w:ascii="Arial" w:hAnsi="Arial" w:cs="Arial"/>
          <w:b/>
          <w:bCs/>
          <w:sz w:val="32"/>
          <w:szCs w:val="32"/>
        </w:rPr>
        <w:t xml:space="preserve">   </w:t>
      </w:r>
    </w:p>
    <w:p w14:paraId="2FE78E67" w14:textId="35209C2E" w:rsidR="000A440C" w:rsidRDefault="006F3DC5" w:rsidP="00161CBD">
      <w:pPr>
        <w:spacing w:line="360" w:lineRule="auto"/>
        <w:rPr>
          <w:rFonts w:ascii="Arial" w:hAnsi="Arial" w:cs="Arial"/>
          <w:sz w:val="32"/>
          <w:szCs w:val="32"/>
        </w:rPr>
      </w:pPr>
      <w:r w:rsidRPr="00161CBD">
        <w:rPr>
          <w:rFonts w:ascii="Arial" w:hAnsi="Arial" w:cs="Arial"/>
          <w:sz w:val="22"/>
          <w:szCs w:val="22"/>
        </w:rPr>
        <w:t xml:space="preserve">The Children and Families Act 2014 reformed services for children with special educational needs and disabilities (SEND), introducing EHC plans intended to replace statements of SEN and to improve joint working between education, health and social care (Part 3). The </w:t>
      </w:r>
      <w:r w:rsidRPr="00161CBD">
        <w:rPr>
          <w:rFonts w:ascii="Arial" w:hAnsi="Arial" w:cs="Arial"/>
          <w:sz w:val="22"/>
          <w:szCs w:val="22"/>
        </w:rPr>
        <w:lastRenderedPageBreak/>
        <w:t>SEND Code of Practice (0–25) provides statutory guidance on identifying needs, assessing children, producing EHC plans and ensuring local area cooperation. The policy framework emphasises early identification, person-centred planning and multi-agency collaboration. However, implementation depends heavily on local capacity, commissioning arrangements and workforce expertise.</w:t>
      </w:r>
      <w:r w:rsidR="00B14EBD">
        <w:rPr>
          <w:rFonts w:ascii="Arial" w:hAnsi="Arial" w:cs="Arial"/>
          <w:sz w:val="32"/>
          <w:szCs w:val="32"/>
        </w:rPr>
        <w:t xml:space="preserve">       </w:t>
      </w:r>
      <w:r w:rsidR="000E1D6E">
        <w:rPr>
          <w:rFonts w:ascii="Arial" w:hAnsi="Arial" w:cs="Arial"/>
          <w:sz w:val="32"/>
          <w:szCs w:val="32"/>
        </w:rPr>
        <w:t xml:space="preserve">         </w:t>
      </w:r>
      <w:r w:rsidR="00B14EBD">
        <w:rPr>
          <w:rFonts w:ascii="Arial" w:hAnsi="Arial" w:cs="Arial"/>
          <w:sz w:val="32"/>
          <w:szCs w:val="32"/>
        </w:rPr>
        <w:t xml:space="preserve"> </w:t>
      </w:r>
      <w:r w:rsidR="000A440C">
        <w:rPr>
          <w:rFonts w:ascii="Arial" w:hAnsi="Arial" w:cs="Arial"/>
          <w:sz w:val="32"/>
          <w:szCs w:val="32"/>
        </w:rPr>
        <w:t xml:space="preserve">              </w:t>
      </w:r>
    </w:p>
    <w:p w14:paraId="6313069E" w14:textId="30CFA04E" w:rsidR="00B14EBD" w:rsidRPr="006252EE" w:rsidRDefault="006252EE" w:rsidP="00161CBD">
      <w:pPr>
        <w:spacing w:line="360" w:lineRule="auto"/>
        <w:rPr>
          <w:rFonts w:ascii="Arial" w:hAnsi="Arial" w:cs="Arial"/>
          <w:b/>
          <w:bCs/>
          <w:sz w:val="22"/>
          <w:szCs w:val="22"/>
        </w:rPr>
      </w:pPr>
      <w:r w:rsidRPr="006252EE">
        <w:rPr>
          <w:rFonts w:ascii="Arial" w:hAnsi="Arial" w:cs="Arial"/>
          <w:b/>
          <w:bCs/>
          <w:sz w:val="22"/>
          <w:szCs w:val="22"/>
        </w:rPr>
        <w:t>Current Problem/Issues</w:t>
      </w:r>
    </w:p>
    <w:p w14:paraId="3831F83D" w14:textId="2845AC93" w:rsidR="00B14EBD" w:rsidRPr="006252EE" w:rsidRDefault="00B14EBD" w:rsidP="00161CBD">
      <w:pPr>
        <w:spacing w:line="360" w:lineRule="auto"/>
        <w:rPr>
          <w:rFonts w:ascii="Arial" w:hAnsi="Arial" w:cs="Arial"/>
          <w:sz w:val="22"/>
          <w:szCs w:val="22"/>
        </w:rPr>
      </w:pPr>
      <w:r w:rsidRPr="006252EE">
        <w:rPr>
          <w:rFonts w:ascii="Arial" w:hAnsi="Arial" w:cs="Arial"/>
          <w:sz w:val="22"/>
          <w:szCs w:val="22"/>
        </w:rPr>
        <w:t>1.Rising demand and capacity pressures</w:t>
      </w:r>
    </w:p>
    <w:p w14:paraId="64D96D68" w14:textId="77777777" w:rsidR="00B14EBD" w:rsidRPr="00161CBD" w:rsidRDefault="00B14EBD" w:rsidP="00161CBD">
      <w:pPr>
        <w:spacing w:line="360" w:lineRule="auto"/>
        <w:rPr>
          <w:sz w:val="22"/>
          <w:szCs w:val="22"/>
        </w:rPr>
      </w:pPr>
      <w:r w:rsidRPr="00161CBD">
        <w:rPr>
          <w:rFonts w:ascii="Arial" w:hAnsi="Arial" w:cs="Arial"/>
          <w:sz w:val="22"/>
          <w:szCs w:val="22"/>
        </w:rPr>
        <w:t>Since the SEND reforms, demand for specialist assessment and high-needs provision has increased sharply. Local authorities and NHS services report surging referrals for neurodevelopmental assessments (autism and ADHD) and for mental health and learning disability services for children and young people. National statistics and health service data</w:t>
      </w:r>
      <w:r w:rsidRPr="00B14EBD">
        <w:rPr>
          <w:rFonts w:ascii="Arial" w:hAnsi="Arial" w:cs="Arial"/>
          <w:sz w:val="32"/>
          <w:szCs w:val="32"/>
        </w:rPr>
        <w:t xml:space="preserve"> </w:t>
      </w:r>
      <w:r w:rsidRPr="00161CBD">
        <w:rPr>
          <w:rFonts w:ascii="Arial" w:hAnsi="Arial" w:cs="Arial"/>
          <w:sz w:val="22"/>
          <w:szCs w:val="22"/>
        </w:rPr>
        <w:t>demonstrate long waits for diagnostic pathways and specialist contacts, with many children waiting months—or longer—for first assessment or treatment. These growing caseloads have</w:t>
      </w:r>
      <w:r w:rsidRPr="00B14EBD">
        <w:rPr>
          <w:rFonts w:ascii="Arial" w:hAnsi="Arial" w:cs="Arial"/>
          <w:sz w:val="32"/>
          <w:szCs w:val="32"/>
        </w:rPr>
        <w:t xml:space="preserve"> </w:t>
      </w:r>
      <w:r w:rsidRPr="00161CBD">
        <w:rPr>
          <w:rFonts w:ascii="Arial" w:hAnsi="Arial" w:cs="Arial"/>
          <w:sz w:val="22"/>
          <w:szCs w:val="22"/>
        </w:rPr>
        <w:t>outpaced workforce growth and local funding, producing bottlenecks.</w:t>
      </w:r>
      <w:r w:rsidRPr="00161CBD">
        <w:rPr>
          <w:sz w:val="22"/>
          <w:szCs w:val="22"/>
        </w:rPr>
        <w:t xml:space="preserve"> </w:t>
      </w:r>
    </w:p>
    <w:p w14:paraId="366A132E" w14:textId="77777777" w:rsidR="00B14EBD" w:rsidRDefault="00B14EBD" w:rsidP="00161CBD">
      <w:pPr>
        <w:spacing w:line="360" w:lineRule="auto"/>
      </w:pPr>
    </w:p>
    <w:p w14:paraId="44396767" w14:textId="044717D6" w:rsidR="00B14EBD" w:rsidRPr="00161CBD" w:rsidRDefault="00B14EBD" w:rsidP="00161CBD">
      <w:pPr>
        <w:spacing w:line="360" w:lineRule="auto"/>
        <w:rPr>
          <w:rFonts w:ascii="Arial" w:hAnsi="Arial" w:cs="Arial"/>
          <w:sz w:val="22"/>
          <w:szCs w:val="22"/>
        </w:rPr>
      </w:pPr>
      <w:r w:rsidRPr="00B14EBD">
        <w:rPr>
          <w:rFonts w:ascii="Arial" w:hAnsi="Arial" w:cs="Arial"/>
          <w:sz w:val="32"/>
          <w:szCs w:val="32"/>
        </w:rPr>
        <w:t xml:space="preserve">2. </w:t>
      </w:r>
      <w:r w:rsidRPr="002152AD">
        <w:rPr>
          <w:rFonts w:ascii="Arial" w:hAnsi="Arial" w:cs="Arial"/>
          <w:sz w:val="32"/>
          <w:szCs w:val="32"/>
        </w:rPr>
        <w:t>EHCP delays and inconsistent educational provision</w:t>
      </w:r>
    </w:p>
    <w:p w14:paraId="219CC237" w14:textId="13CC8E90"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Freedom of information evidence and investigative reporting have documented widespread delays in issuing EHCPs and in delivering specified support. In many local authorities, the number of EHCPs has risen substantially while timeliness and quality of plans have suffered. Delays in assessments and plan issuance translate directly into delayed access to specialist schooling, therapies and targeted interventions. Parents report repeated appeals and tribunals where plans are refused or inadequately funded.</w:t>
      </w:r>
    </w:p>
    <w:p w14:paraId="10581786" w14:textId="77777777" w:rsidR="00B14EBD" w:rsidRPr="00161CBD" w:rsidRDefault="00B14EBD" w:rsidP="00161CBD">
      <w:pPr>
        <w:spacing w:line="360" w:lineRule="auto"/>
        <w:rPr>
          <w:rFonts w:ascii="Arial" w:hAnsi="Arial" w:cs="Arial"/>
          <w:sz w:val="22"/>
          <w:szCs w:val="22"/>
        </w:rPr>
      </w:pPr>
    </w:p>
    <w:p w14:paraId="5A3B0DED" w14:textId="3011085F" w:rsidR="00B14EBD" w:rsidRDefault="00B14EBD" w:rsidP="00161CBD">
      <w:pPr>
        <w:spacing w:line="360" w:lineRule="auto"/>
        <w:rPr>
          <w:rFonts w:ascii="Arial" w:hAnsi="Arial" w:cs="Arial"/>
          <w:sz w:val="32"/>
          <w:szCs w:val="32"/>
        </w:rPr>
      </w:pPr>
      <w:r w:rsidRPr="00B14EBD">
        <w:rPr>
          <w:rFonts w:ascii="Arial" w:hAnsi="Arial" w:cs="Arial"/>
          <w:sz w:val="32"/>
          <w:szCs w:val="32"/>
        </w:rPr>
        <w:t>3. Fragmented commissioning and poor integration</w:t>
      </w:r>
    </w:p>
    <w:p w14:paraId="525B7704"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Although the legislation requires integrated approaches, commissioning frequently remains siloed—education commissioners, local authorities, Integrated Care Boards (ICBs) and social care teams operate under different budgets, priorities and timelines. The SEND review and parliamentary scrutiny have highlighted weak local area coordination, with inconsistent use of pooled budgets or joint commissioning strategies that would enable timely, multidisciplinary packages of care. This fragmentation undermines continuity of care and places undue burden on families to navigate services. </w:t>
      </w:r>
    </w:p>
    <w:p w14:paraId="7BDCA5BE" w14:textId="77777777" w:rsidR="00B14EBD" w:rsidRPr="00161CBD" w:rsidRDefault="00B14EBD" w:rsidP="00161CBD">
      <w:pPr>
        <w:spacing w:line="360" w:lineRule="auto"/>
        <w:rPr>
          <w:rFonts w:ascii="Arial" w:hAnsi="Arial" w:cs="Arial"/>
          <w:sz w:val="22"/>
          <w:szCs w:val="22"/>
        </w:rPr>
      </w:pPr>
    </w:p>
    <w:p w14:paraId="4259EA69" w14:textId="132E8BB4" w:rsidR="00B14EBD" w:rsidRDefault="00B14EBD" w:rsidP="00161CBD">
      <w:pPr>
        <w:spacing w:line="360" w:lineRule="auto"/>
        <w:rPr>
          <w:rFonts w:ascii="Arial" w:hAnsi="Arial" w:cs="Arial"/>
          <w:sz w:val="32"/>
          <w:szCs w:val="32"/>
        </w:rPr>
      </w:pPr>
      <w:r w:rsidRPr="00B14EBD">
        <w:rPr>
          <w:rFonts w:ascii="Arial" w:hAnsi="Arial" w:cs="Arial"/>
          <w:sz w:val="32"/>
          <w:szCs w:val="32"/>
        </w:rPr>
        <w:t>4. Workforce shortages and skill gaps</w:t>
      </w:r>
    </w:p>
    <w:p w14:paraId="600E9D21" w14:textId="77777777" w:rsidR="00B14EBD" w:rsidRDefault="00B14EBD" w:rsidP="00161CBD">
      <w:pPr>
        <w:spacing w:line="360" w:lineRule="auto"/>
        <w:rPr>
          <w:rFonts w:ascii="Arial" w:hAnsi="Arial" w:cs="Arial"/>
          <w:sz w:val="32"/>
          <w:szCs w:val="32"/>
        </w:rPr>
      </w:pPr>
    </w:p>
    <w:p w14:paraId="66765367" w14:textId="3A0A0B86"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Services that underpin diagnosis and ongoing support—paediatricians, child and adolescent mental health clinicians, speech and language therapists, occupational therapists and specialist teachers—face recruitment and retention problems. Training in SEND for mainstream teachers is variable, and many schools lack capacity or expertise to provide reasonable adjustments. The shortage of multidisciplinary staff increases reliance on long waiting lists, outsourced private assessments, or parent-funded interventions.</w:t>
      </w:r>
    </w:p>
    <w:p w14:paraId="09C9005D" w14:textId="77777777" w:rsidR="00B14EBD" w:rsidRDefault="00B14EBD" w:rsidP="00161CBD">
      <w:pPr>
        <w:spacing w:line="360" w:lineRule="auto"/>
        <w:rPr>
          <w:rFonts w:ascii="Arial" w:hAnsi="Arial" w:cs="Arial"/>
          <w:sz w:val="32"/>
          <w:szCs w:val="32"/>
        </w:rPr>
      </w:pPr>
    </w:p>
    <w:p w14:paraId="7B3FD2CB" w14:textId="77777777" w:rsidR="00B14EBD" w:rsidRPr="00B14EBD" w:rsidRDefault="00B14EBD" w:rsidP="00161CBD">
      <w:pPr>
        <w:spacing w:line="360" w:lineRule="auto"/>
        <w:rPr>
          <w:rFonts w:ascii="Arial" w:hAnsi="Arial" w:cs="Arial"/>
          <w:sz w:val="32"/>
          <w:szCs w:val="32"/>
        </w:rPr>
      </w:pPr>
      <w:r w:rsidRPr="00B14EBD">
        <w:rPr>
          <w:rFonts w:ascii="Arial" w:hAnsi="Arial" w:cs="Arial"/>
          <w:sz w:val="32"/>
          <w:szCs w:val="32"/>
        </w:rPr>
        <w:t>5. Financial constraints and increasing cost pressures</w:t>
      </w:r>
    </w:p>
    <w:p w14:paraId="5A869E7F" w14:textId="77777777" w:rsidR="00B14EBD" w:rsidRPr="00B14EBD" w:rsidRDefault="00B14EBD" w:rsidP="00161CBD">
      <w:pPr>
        <w:spacing w:line="360" w:lineRule="auto"/>
        <w:rPr>
          <w:rFonts w:ascii="Arial" w:hAnsi="Arial" w:cs="Arial"/>
          <w:sz w:val="32"/>
          <w:szCs w:val="32"/>
        </w:rPr>
      </w:pPr>
    </w:p>
    <w:p w14:paraId="7C6AEBA3" w14:textId="797B4593"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High-needs funding pressures are well-documented: the costs of specialist placements, increased EHCP numbers and the rise in complex needs have put local authority budgets under strain. Many councils report budget shortfalls in meeting statutory duties, and central funding increases have not consistently matched local demand growth, creating a cycle of</w:t>
      </w:r>
      <w:r w:rsidRPr="00B14EBD">
        <w:rPr>
          <w:rFonts w:ascii="Arial" w:hAnsi="Arial" w:cs="Arial"/>
          <w:sz w:val="32"/>
          <w:szCs w:val="32"/>
        </w:rPr>
        <w:t xml:space="preserve"> </w:t>
      </w:r>
      <w:r w:rsidRPr="00161CBD">
        <w:rPr>
          <w:rFonts w:ascii="Arial" w:hAnsi="Arial" w:cs="Arial"/>
          <w:sz w:val="22"/>
          <w:szCs w:val="22"/>
        </w:rPr>
        <w:t>rising costs and limited capacity. This financial squeeze affects the availability of in-school support, short breaks, and community-based services.</w:t>
      </w:r>
    </w:p>
    <w:p w14:paraId="087C65D1" w14:textId="77777777" w:rsidR="00B14EBD" w:rsidRDefault="00B14EBD" w:rsidP="00161CBD">
      <w:pPr>
        <w:spacing w:line="360" w:lineRule="auto"/>
        <w:rPr>
          <w:rFonts w:ascii="Arial" w:hAnsi="Arial" w:cs="Arial"/>
          <w:sz w:val="32"/>
          <w:szCs w:val="32"/>
        </w:rPr>
      </w:pPr>
    </w:p>
    <w:p w14:paraId="5CA18FC5" w14:textId="0765AACB" w:rsidR="00B14EBD" w:rsidRDefault="001467AD" w:rsidP="001123D6">
      <w:pPr>
        <w:spacing w:line="360" w:lineRule="auto"/>
        <w:rPr>
          <w:rFonts w:ascii="Arial" w:hAnsi="Arial" w:cs="Arial"/>
          <w:sz w:val="22"/>
          <w:szCs w:val="22"/>
        </w:rPr>
      </w:pPr>
      <w:r>
        <w:rPr>
          <w:rFonts w:ascii="Arial" w:hAnsi="Arial" w:cs="Arial"/>
          <w:sz w:val="32"/>
          <w:szCs w:val="32"/>
        </w:rPr>
        <w:t xml:space="preserve">                        </w:t>
      </w:r>
    </w:p>
    <w:p w14:paraId="2626BFDA" w14:textId="6B741732" w:rsidR="006252EE" w:rsidRPr="006252EE" w:rsidRDefault="006252EE" w:rsidP="00161CBD">
      <w:pPr>
        <w:spacing w:line="360" w:lineRule="auto"/>
        <w:rPr>
          <w:rFonts w:ascii="Arial" w:hAnsi="Arial" w:cs="Arial"/>
          <w:b/>
          <w:bCs/>
          <w:sz w:val="22"/>
          <w:szCs w:val="22"/>
        </w:rPr>
      </w:pPr>
      <w:r w:rsidRPr="006252EE">
        <w:rPr>
          <w:rFonts w:ascii="Arial" w:hAnsi="Arial" w:cs="Arial"/>
          <w:b/>
          <w:bCs/>
          <w:sz w:val="22"/>
          <w:szCs w:val="22"/>
        </w:rPr>
        <w:t>Who is affected?</w:t>
      </w:r>
    </w:p>
    <w:p w14:paraId="5244B549" w14:textId="67116C99" w:rsidR="00B14EBD" w:rsidRPr="00F742CF" w:rsidRDefault="00B14EBD" w:rsidP="00161CBD">
      <w:pPr>
        <w:spacing w:line="360" w:lineRule="auto"/>
        <w:rPr>
          <w:rFonts w:ascii="Arial" w:hAnsi="Arial" w:cs="Arial"/>
          <w:sz w:val="32"/>
          <w:szCs w:val="32"/>
        </w:rPr>
      </w:pPr>
      <w:r w:rsidRPr="00F742CF">
        <w:rPr>
          <w:rFonts w:ascii="Arial" w:hAnsi="Arial" w:cs="Arial"/>
          <w:sz w:val="32"/>
          <w:szCs w:val="32"/>
        </w:rPr>
        <w:t>Impact on children and families</w:t>
      </w:r>
    </w:p>
    <w:p w14:paraId="373C8365" w14:textId="77777777" w:rsidR="00B14EBD" w:rsidRDefault="00B14EBD" w:rsidP="00161CBD">
      <w:pPr>
        <w:spacing w:line="360" w:lineRule="auto"/>
        <w:rPr>
          <w:rFonts w:ascii="Arial" w:hAnsi="Arial" w:cs="Arial"/>
          <w:sz w:val="32"/>
          <w:szCs w:val="32"/>
        </w:rPr>
      </w:pPr>
    </w:p>
    <w:p w14:paraId="646F009F" w14:textId="282317DE"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The practical consequences of inadequate support are significant and multifaceted:</w:t>
      </w:r>
    </w:p>
    <w:p w14:paraId="1177BD44"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Developmental and educational setbacks due to delayed diagnosis and intervention. </w:t>
      </w:r>
    </w:p>
    <w:p w14:paraId="7758FFEF"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Increased family stress, caregiver burnout and economic strain when parents reduce work hours or pay for private services. </w:t>
      </w:r>
    </w:p>
    <w:p w14:paraId="6371D39E"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lastRenderedPageBreak/>
        <w:t xml:space="preserve">Risk of exclusion or part-time schooling where needs are not met in mainstream settings. </w:t>
      </w:r>
    </w:p>
    <w:p w14:paraId="70C96674"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Widening inequalities: children from lower-income families are less able to access private alternatives, deepening disparities. </w:t>
      </w:r>
    </w:p>
    <w:p w14:paraId="16DD37DF" w14:textId="77777777" w:rsidR="00B14EBD" w:rsidRPr="00161CBD" w:rsidRDefault="00B14EBD" w:rsidP="00161CBD">
      <w:pPr>
        <w:spacing w:line="360" w:lineRule="auto"/>
        <w:rPr>
          <w:rFonts w:ascii="Arial" w:hAnsi="Arial" w:cs="Arial"/>
          <w:sz w:val="22"/>
          <w:szCs w:val="22"/>
        </w:rPr>
      </w:pPr>
    </w:p>
    <w:p w14:paraId="7246EA24" w14:textId="6940B8D3" w:rsidR="006F3DC5" w:rsidRDefault="006F3DC5" w:rsidP="00161CBD">
      <w:pPr>
        <w:spacing w:line="360" w:lineRule="auto"/>
        <w:rPr>
          <w:rFonts w:ascii="Arial" w:hAnsi="Arial" w:cs="Arial"/>
          <w:sz w:val="32"/>
          <w:szCs w:val="32"/>
        </w:rPr>
      </w:pPr>
    </w:p>
    <w:p w14:paraId="3039F369" w14:textId="0D59DAB7" w:rsidR="00B14EBD" w:rsidRPr="00F742CF" w:rsidRDefault="001467AD" w:rsidP="00161CBD">
      <w:pPr>
        <w:spacing w:line="360" w:lineRule="auto"/>
        <w:rPr>
          <w:rFonts w:ascii="Arial" w:hAnsi="Arial" w:cs="Arial"/>
          <w:sz w:val="32"/>
          <w:szCs w:val="32"/>
        </w:rPr>
      </w:pPr>
      <w:r>
        <w:rPr>
          <w:rFonts w:ascii="Arial" w:hAnsi="Arial" w:cs="Arial"/>
          <w:sz w:val="32"/>
          <w:szCs w:val="32"/>
        </w:rPr>
        <w:t xml:space="preserve">                               </w:t>
      </w:r>
      <w:r w:rsidR="00B14EBD" w:rsidRPr="00F742CF">
        <w:rPr>
          <w:rFonts w:ascii="Arial" w:hAnsi="Arial" w:cs="Arial"/>
          <w:sz w:val="32"/>
          <w:szCs w:val="32"/>
        </w:rPr>
        <w:t>Root causes analysis</w:t>
      </w:r>
    </w:p>
    <w:p w14:paraId="177315D9" w14:textId="77777777" w:rsidR="00B14EBD" w:rsidRPr="00161CBD" w:rsidRDefault="00B14EBD" w:rsidP="00161CBD">
      <w:pPr>
        <w:spacing w:line="360" w:lineRule="auto"/>
        <w:rPr>
          <w:rFonts w:ascii="Arial" w:hAnsi="Arial" w:cs="Arial"/>
          <w:sz w:val="28"/>
          <w:szCs w:val="28"/>
        </w:rPr>
      </w:pPr>
      <w:r w:rsidRPr="00F742CF">
        <w:rPr>
          <w:rFonts w:ascii="Arial" w:hAnsi="Arial" w:cs="Arial"/>
          <w:sz w:val="32"/>
          <w:szCs w:val="32"/>
        </w:rPr>
        <w:t>Analysis points to several recurring root causes</w:t>
      </w:r>
      <w:r w:rsidRPr="00161CBD">
        <w:rPr>
          <w:rFonts w:ascii="Arial" w:hAnsi="Arial" w:cs="Arial"/>
          <w:sz w:val="28"/>
          <w:szCs w:val="28"/>
        </w:rPr>
        <w:t>:</w:t>
      </w:r>
    </w:p>
    <w:p w14:paraId="3519DA95" w14:textId="77777777" w:rsidR="00B14EBD" w:rsidRPr="00B14EBD" w:rsidRDefault="00B14EBD" w:rsidP="00161CBD">
      <w:pPr>
        <w:spacing w:line="360" w:lineRule="auto"/>
        <w:rPr>
          <w:rFonts w:ascii="Arial" w:hAnsi="Arial" w:cs="Arial"/>
          <w:sz w:val="32"/>
          <w:szCs w:val="32"/>
        </w:rPr>
      </w:pPr>
    </w:p>
    <w:p w14:paraId="15DBE939" w14:textId="2335405F" w:rsidR="00B14EBD" w:rsidRPr="00161CBD" w:rsidRDefault="00115554" w:rsidP="00161CBD">
      <w:pPr>
        <w:spacing w:line="360" w:lineRule="auto"/>
        <w:rPr>
          <w:rFonts w:ascii="Arial" w:hAnsi="Arial" w:cs="Arial"/>
          <w:sz w:val="22"/>
          <w:szCs w:val="22"/>
        </w:rPr>
      </w:pPr>
      <w:r>
        <w:rPr>
          <w:rFonts w:ascii="Arial" w:hAnsi="Arial" w:cs="Arial"/>
          <w:sz w:val="22"/>
          <w:szCs w:val="22"/>
        </w:rPr>
        <w:t>1</w:t>
      </w:r>
      <w:r w:rsidR="00B14EBD" w:rsidRPr="00161CBD">
        <w:rPr>
          <w:rFonts w:ascii="Arial" w:hAnsi="Arial" w:cs="Arial"/>
          <w:sz w:val="22"/>
          <w:szCs w:val="22"/>
        </w:rPr>
        <w:t xml:space="preserve">. Mismatch between demand and supply: rapid increases in referrals for neurodevelopmental and mental health assessments have outstripped workforce and funding growth. </w:t>
      </w:r>
    </w:p>
    <w:p w14:paraId="12E136BF" w14:textId="77777777" w:rsidR="002E78F4" w:rsidRDefault="00B14EBD" w:rsidP="00161CBD">
      <w:pPr>
        <w:spacing w:line="360" w:lineRule="auto"/>
        <w:rPr>
          <w:rFonts w:ascii="Arial" w:hAnsi="Arial" w:cs="Arial"/>
          <w:sz w:val="22"/>
          <w:szCs w:val="22"/>
        </w:rPr>
      </w:pPr>
      <w:r w:rsidRPr="00161CBD">
        <w:rPr>
          <w:rFonts w:ascii="Arial" w:hAnsi="Arial" w:cs="Arial"/>
          <w:sz w:val="22"/>
          <w:szCs w:val="22"/>
        </w:rPr>
        <w:t xml:space="preserve">2. Fragmented governance and commissioning: separate funding streams and differing accountability structures make integrated, timely responses difficult. </w:t>
      </w:r>
    </w:p>
    <w:p w14:paraId="2B01EEEE" w14:textId="5CED3398"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3. Inconsistent training and school readiness: variable SEND training in mainstream schools reduces early differentiation and classroom-based support. </w:t>
      </w:r>
    </w:p>
    <w:p w14:paraId="4F4DE22A" w14:textId="77777777" w:rsidR="00C813EC" w:rsidRDefault="00B14EBD" w:rsidP="00161CBD">
      <w:pPr>
        <w:spacing w:line="360" w:lineRule="auto"/>
        <w:rPr>
          <w:rFonts w:ascii="Arial" w:hAnsi="Arial" w:cs="Arial"/>
          <w:sz w:val="22"/>
          <w:szCs w:val="22"/>
        </w:rPr>
      </w:pPr>
      <w:r w:rsidRPr="00161CBD">
        <w:rPr>
          <w:rFonts w:ascii="Arial" w:hAnsi="Arial" w:cs="Arial"/>
          <w:sz w:val="22"/>
          <w:szCs w:val="22"/>
        </w:rPr>
        <w:t>4. Structural funding shortfalls: local authorities face high-needs budgets that are unable to absorb the rapid rise in demand, affecting statutory compliance and service delivery.</w:t>
      </w:r>
    </w:p>
    <w:p w14:paraId="710C0910" w14:textId="77777777" w:rsidR="003601D6" w:rsidRDefault="003601D6" w:rsidP="00161CBD">
      <w:pPr>
        <w:spacing w:line="360" w:lineRule="auto"/>
        <w:rPr>
          <w:rFonts w:ascii="Arial" w:hAnsi="Arial" w:cs="Arial"/>
          <w:sz w:val="22"/>
          <w:szCs w:val="22"/>
        </w:rPr>
      </w:pPr>
    </w:p>
    <w:p w14:paraId="136EBAF6" w14:textId="6DB6CA3E" w:rsidR="003601D6" w:rsidRDefault="00792B36" w:rsidP="00161CBD">
      <w:pPr>
        <w:spacing w:line="360" w:lineRule="auto"/>
        <w:rPr>
          <w:rFonts w:ascii="Arial" w:hAnsi="Arial" w:cs="Arial"/>
          <w:sz w:val="32"/>
          <w:szCs w:val="32"/>
        </w:rPr>
      </w:pPr>
      <w:r w:rsidRPr="00792B36">
        <w:rPr>
          <w:rFonts w:ascii="Arial" w:hAnsi="Arial" w:cs="Arial"/>
          <w:sz w:val="32"/>
          <w:szCs w:val="32"/>
        </w:rPr>
        <w:t xml:space="preserve">                          RESEARCH METHOLOGIES</w:t>
      </w:r>
      <w:r>
        <w:rPr>
          <w:rFonts w:ascii="Arial" w:hAnsi="Arial" w:cs="Arial"/>
          <w:sz w:val="32"/>
          <w:szCs w:val="32"/>
        </w:rPr>
        <w:t xml:space="preserve"> </w:t>
      </w:r>
    </w:p>
    <w:p w14:paraId="3C5FCD44"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Research methodology refers to the overall strategy and process used to gather and analyse information relevant to the study’s objectives. In social and health care research, two main methodologies are commonly used: qualitative and quantitative.</w:t>
      </w:r>
    </w:p>
    <w:p w14:paraId="42527A40" w14:textId="77777777" w:rsidR="00FA2660" w:rsidRPr="00FA2660" w:rsidRDefault="00FA2660" w:rsidP="00FA2660">
      <w:pPr>
        <w:spacing w:line="360" w:lineRule="auto"/>
        <w:rPr>
          <w:rFonts w:ascii="Arial" w:hAnsi="Arial" w:cs="Arial"/>
          <w:sz w:val="22"/>
          <w:szCs w:val="22"/>
        </w:rPr>
      </w:pPr>
    </w:p>
    <w:p w14:paraId="7128CD34"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Qualitative research focuses on understanding people’s experiences and perspectives through interviews, focus groups, and document analysis. It provides detailed insights into human experiences and systemic processes. Quantitative research, on the other hand, collects and analyses numerical data to identify patterns and correlations.</w:t>
      </w:r>
    </w:p>
    <w:p w14:paraId="45552991" w14:textId="77777777" w:rsidR="00FA2660" w:rsidRPr="00FA2660" w:rsidRDefault="00FA2660" w:rsidP="00FA2660">
      <w:pPr>
        <w:spacing w:line="360" w:lineRule="auto"/>
        <w:rPr>
          <w:rFonts w:ascii="Arial" w:hAnsi="Arial" w:cs="Arial"/>
          <w:sz w:val="22"/>
          <w:szCs w:val="22"/>
        </w:rPr>
      </w:pPr>
    </w:p>
    <w:p w14:paraId="6F288C3F" w14:textId="274118EB"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lastRenderedPageBreak/>
        <w:t xml:space="preserve">For this report, a qualitative methodology is used. This means the research relies on previously published reports, official statistics, and academic studies rather than collecting new </w:t>
      </w:r>
      <w:r w:rsidR="001123D6">
        <w:rPr>
          <w:rFonts w:ascii="Arial" w:hAnsi="Arial" w:cs="Arial"/>
          <w:sz w:val="22"/>
          <w:szCs w:val="22"/>
        </w:rPr>
        <w:t>information</w:t>
      </w:r>
      <w:r w:rsidRPr="00FA2660">
        <w:rPr>
          <w:rFonts w:ascii="Arial" w:hAnsi="Arial" w:cs="Arial"/>
          <w:sz w:val="22"/>
          <w:szCs w:val="22"/>
        </w:rPr>
        <w:t>. This method is suitable because the topic involves vulnerable children, making direct primary research ethically complex. It also allows the researcher to access a broader range of information from reputable sources, ensuring that conclusions are based on verified evidence.</w:t>
      </w:r>
    </w:p>
    <w:p w14:paraId="01992E4C" w14:textId="77777777" w:rsidR="00FA2660" w:rsidRPr="00FA2660" w:rsidRDefault="00FA2660" w:rsidP="00FA2660">
      <w:pPr>
        <w:spacing w:line="360" w:lineRule="auto"/>
        <w:rPr>
          <w:rFonts w:ascii="Arial" w:hAnsi="Arial" w:cs="Arial"/>
          <w:sz w:val="22"/>
          <w:szCs w:val="22"/>
        </w:rPr>
      </w:pPr>
    </w:p>
    <w:p w14:paraId="6C91D22E"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Using secondary qualitative analysis supports an in-depth understanding of the systemic issues within SEND and health care systems in England. It helps identify recurring themes, evaluate policy responses, and understand the experiences of families navigating these services (Bryman, 2016; Creswell &amp; Creswell, 2018; Department for Education, 2022).</w:t>
      </w:r>
    </w:p>
    <w:p w14:paraId="31390DDF" w14:textId="77777777" w:rsidR="00FA2660" w:rsidRPr="00FA2660" w:rsidRDefault="00FA2660" w:rsidP="00FA2660">
      <w:pPr>
        <w:spacing w:line="360" w:lineRule="auto"/>
        <w:rPr>
          <w:rFonts w:ascii="Arial" w:hAnsi="Arial" w:cs="Arial"/>
          <w:sz w:val="32"/>
          <w:szCs w:val="32"/>
        </w:rPr>
      </w:pPr>
    </w:p>
    <w:p w14:paraId="0F150B0C" w14:textId="77777777" w:rsidR="00792B36" w:rsidRDefault="00792B36" w:rsidP="00161CBD">
      <w:pPr>
        <w:spacing w:line="360" w:lineRule="auto"/>
        <w:rPr>
          <w:rFonts w:ascii="Arial" w:hAnsi="Arial" w:cs="Arial"/>
          <w:sz w:val="32"/>
          <w:szCs w:val="32"/>
        </w:rPr>
      </w:pPr>
    </w:p>
    <w:p w14:paraId="361C5082" w14:textId="77777777" w:rsidR="00997B46" w:rsidRPr="00792B36" w:rsidRDefault="00997B46" w:rsidP="00161CBD">
      <w:pPr>
        <w:spacing w:line="360" w:lineRule="auto"/>
        <w:rPr>
          <w:rFonts w:ascii="Arial" w:hAnsi="Arial" w:cs="Arial"/>
          <w:sz w:val="32"/>
          <w:szCs w:val="32"/>
        </w:rPr>
      </w:pPr>
    </w:p>
    <w:p w14:paraId="2006FC2D" w14:textId="28727AB7" w:rsidR="003601D6" w:rsidRPr="003601D6" w:rsidRDefault="003601D6" w:rsidP="00161CBD">
      <w:pPr>
        <w:spacing w:line="360" w:lineRule="auto"/>
        <w:rPr>
          <w:rFonts w:ascii="Arial" w:hAnsi="Arial" w:cs="Arial"/>
          <w:sz w:val="32"/>
          <w:szCs w:val="32"/>
        </w:rPr>
      </w:pPr>
      <w:r>
        <w:rPr>
          <w:rFonts w:ascii="Arial" w:hAnsi="Arial" w:cs="Arial"/>
          <w:sz w:val="22"/>
          <w:szCs w:val="22"/>
        </w:rPr>
        <w:t xml:space="preserve">                                                  </w:t>
      </w:r>
      <w:r w:rsidRPr="003601D6">
        <w:rPr>
          <w:rFonts w:ascii="Arial" w:hAnsi="Arial" w:cs="Arial"/>
          <w:sz w:val="32"/>
          <w:szCs w:val="32"/>
        </w:rPr>
        <w:t>DATA COLLECTION</w:t>
      </w:r>
    </w:p>
    <w:p w14:paraId="64B74C1C" w14:textId="77777777" w:rsidR="00D07063" w:rsidRDefault="001467AD" w:rsidP="001467AD">
      <w:pPr>
        <w:spacing w:line="360" w:lineRule="auto"/>
        <w:rPr>
          <w:rFonts w:ascii="Arial" w:hAnsi="Arial" w:cs="Arial"/>
          <w:sz w:val="22"/>
          <w:szCs w:val="22"/>
        </w:rPr>
      </w:pPr>
      <w:r w:rsidRPr="001467AD">
        <w:rPr>
          <w:rFonts w:ascii="Arial" w:hAnsi="Arial" w:cs="Arial"/>
          <w:sz w:val="22"/>
          <w:szCs w:val="22"/>
        </w:rPr>
        <w:t>Data collection is a fundamental component of any research process, as it provides the evidence needed to answer research questions and support conclusions.</w:t>
      </w:r>
    </w:p>
    <w:p w14:paraId="72575127" w14:textId="77777777" w:rsidR="002D5D3A" w:rsidRDefault="001467AD" w:rsidP="001467AD">
      <w:pPr>
        <w:spacing w:line="360" w:lineRule="auto"/>
        <w:rPr>
          <w:rFonts w:ascii="Arial" w:hAnsi="Arial" w:cs="Arial"/>
          <w:sz w:val="22"/>
          <w:szCs w:val="22"/>
        </w:rPr>
      </w:pPr>
      <w:r w:rsidRPr="001467AD">
        <w:rPr>
          <w:rFonts w:ascii="Arial" w:hAnsi="Arial" w:cs="Arial"/>
          <w:sz w:val="22"/>
          <w:szCs w:val="22"/>
        </w:rPr>
        <w:t xml:space="preserve"> Primary data refers to information gathered directly by the researcher through methods such as interviews, questionnaires, focus groups or direct observations. This approach allows researchers to obtain first-hand, specific insights that directly address their objectives. In contrast, secondary data involves the use of information that already exists, such as government reports, academic journals, policy documents and statistical data produced by other organisations. </w:t>
      </w:r>
    </w:p>
    <w:p w14:paraId="40689D9D" w14:textId="45E80D69" w:rsidR="001467AD" w:rsidRPr="001467AD" w:rsidRDefault="001467AD" w:rsidP="001467AD">
      <w:pPr>
        <w:spacing w:line="360" w:lineRule="auto"/>
        <w:rPr>
          <w:rFonts w:ascii="Arial" w:hAnsi="Arial" w:cs="Arial"/>
          <w:sz w:val="22"/>
          <w:szCs w:val="22"/>
        </w:rPr>
      </w:pPr>
      <w:r w:rsidRPr="001467AD">
        <w:rPr>
          <w:rFonts w:ascii="Arial" w:hAnsi="Arial" w:cs="Arial"/>
          <w:sz w:val="22"/>
          <w:szCs w:val="22"/>
        </w:rPr>
        <w:t>Secondary sources are particularly valuable for contextualising findings and identifying trends over time (Bryman, 2016).</w:t>
      </w:r>
    </w:p>
    <w:p w14:paraId="08735B58" w14:textId="77777777" w:rsidR="001467AD" w:rsidRPr="001467AD" w:rsidRDefault="001467AD" w:rsidP="001467AD">
      <w:pPr>
        <w:spacing w:line="360" w:lineRule="auto"/>
        <w:rPr>
          <w:rFonts w:ascii="Arial" w:hAnsi="Arial" w:cs="Arial"/>
          <w:sz w:val="22"/>
          <w:szCs w:val="22"/>
        </w:rPr>
      </w:pPr>
    </w:p>
    <w:p w14:paraId="4C83E123" w14:textId="77777777" w:rsidR="001467AD" w:rsidRPr="001467AD" w:rsidRDefault="001467AD" w:rsidP="001467AD">
      <w:pPr>
        <w:spacing w:line="360" w:lineRule="auto"/>
        <w:rPr>
          <w:rFonts w:ascii="Arial" w:hAnsi="Arial" w:cs="Arial"/>
          <w:sz w:val="22"/>
          <w:szCs w:val="22"/>
        </w:rPr>
      </w:pPr>
      <w:r w:rsidRPr="001467AD">
        <w:rPr>
          <w:rFonts w:ascii="Arial" w:hAnsi="Arial" w:cs="Arial"/>
          <w:sz w:val="22"/>
          <w:szCs w:val="22"/>
        </w:rPr>
        <w:t xml:space="preserve">For this investigation into the lack of support for children with disabilities within the health and social care system, secondary data is used as the main form of evidence collection. This is justified for several reasons. First, the topic involves sensitive and protected information about children and families, which makes direct primary research ethically complex and </w:t>
      </w:r>
      <w:r w:rsidRPr="001467AD">
        <w:rPr>
          <w:rFonts w:ascii="Arial" w:hAnsi="Arial" w:cs="Arial"/>
          <w:sz w:val="22"/>
          <w:szCs w:val="22"/>
        </w:rPr>
        <w:lastRenderedPageBreak/>
        <w:t>subject to strict consent procedures (Creswell &amp; Creswell, 2018). Second, there is an abundance of reliable and recent secondary sources available from reputable institutions such as the Department for Education, NHS Digital, Ofsted and the House of Commons. These provide accurate, large-scale data and official reports that reflect national patterns and policy issues. Using secondary data ensures the research remains ethical, cost-effective and grounded in verified evidence, enabling robust analysis of systemic shortcomings in SEND and health service provision.</w:t>
      </w:r>
    </w:p>
    <w:p w14:paraId="1C43A924" w14:textId="2293714D" w:rsidR="001467AD" w:rsidRPr="001467AD" w:rsidRDefault="001467AD" w:rsidP="001467AD">
      <w:pPr>
        <w:spacing w:line="360" w:lineRule="auto"/>
        <w:rPr>
          <w:rFonts w:ascii="Arial" w:hAnsi="Arial" w:cs="Arial"/>
          <w:sz w:val="22"/>
          <w:szCs w:val="22"/>
        </w:rPr>
      </w:pPr>
    </w:p>
    <w:p w14:paraId="4A5512CE" w14:textId="6ABC8558" w:rsidR="00B14EBD" w:rsidRPr="00161CBD" w:rsidRDefault="00B14EBD" w:rsidP="00161CBD">
      <w:pPr>
        <w:spacing w:line="360" w:lineRule="auto"/>
        <w:rPr>
          <w:rFonts w:ascii="Arial" w:hAnsi="Arial" w:cs="Arial"/>
          <w:sz w:val="22"/>
          <w:szCs w:val="22"/>
        </w:rPr>
      </w:pPr>
    </w:p>
    <w:p w14:paraId="3CBF3AE2" w14:textId="77777777" w:rsidR="00B14EBD" w:rsidRPr="00161CBD" w:rsidRDefault="00B14EBD" w:rsidP="00161CBD">
      <w:pPr>
        <w:spacing w:line="360" w:lineRule="auto"/>
        <w:rPr>
          <w:rFonts w:ascii="Arial" w:hAnsi="Arial" w:cs="Arial"/>
          <w:sz w:val="22"/>
          <w:szCs w:val="22"/>
        </w:rPr>
      </w:pPr>
    </w:p>
    <w:p w14:paraId="4111CFAC" w14:textId="1C845F86" w:rsidR="00B14EBD" w:rsidRDefault="00B14EBD" w:rsidP="00161CBD">
      <w:pPr>
        <w:spacing w:line="360" w:lineRule="auto"/>
        <w:rPr>
          <w:rFonts w:ascii="Arial" w:hAnsi="Arial" w:cs="Arial"/>
          <w:sz w:val="32"/>
          <w:szCs w:val="32"/>
        </w:rPr>
      </w:pPr>
      <w:r>
        <w:rPr>
          <w:rFonts w:ascii="Arial" w:hAnsi="Arial" w:cs="Arial"/>
          <w:sz w:val="32"/>
          <w:szCs w:val="32"/>
        </w:rPr>
        <w:t xml:space="preserve">                           RECOM</w:t>
      </w:r>
      <w:r w:rsidR="00161CBD">
        <w:rPr>
          <w:rFonts w:ascii="Arial" w:hAnsi="Arial" w:cs="Arial"/>
          <w:sz w:val="32"/>
          <w:szCs w:val="32"/>
        </w:rPr>
        <w:t>E</w:t>
      </w:r>
      <w:r>
        <w:rPr>
          <w:rFonts w:ascii="Arial" w:hAnsi="Arial" w:cs="Arial"/>
          <w:sz w:val="32"/>
          <w:szCs w:val="32"/>
        </w:rPr>
        <w:t>NDATION</w:t>
      </w:r>
    </w:p>
    <w:p w14:paraId="48BDD99C" w14:textId="77777777" w:rsidR="00B14EBD" w:rsidRDefault="00B14EBD" w:rsidP="00161CBD">
      <w:pPr>
        <w:spacing w:line="360" w:lineRule="auto"/>
        <w:rPr>
          <w:rFonts w:ascii="Arial" w:hAnsi="Arial" w:cs="Arial"/>
          <w:sz w:val="32"/>
          <w:szCs w:val="32"/>
        </w:rPr>
      </w:pPr>
    </w:p>
    <w:p w14:paraId="29158627"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To address these problems, the following evidence-based recommendations are proposed:</w:t>
      </w:r>
    </w:p>
    <w:p w14:paraId="39C83D17" w14:textId="77777777" w:rsidR="00B14EBD" w:rsidRPr="00161CBD" w:rsidRDefault="00B14EBD" w:rsidP="00161CBD">
      <w:pPr>
        <w:spacing w:line="360" w:lineRule="auto"/>
        <w:rPr>
          <w:rFonts w:ascii="Arial" w:hAnsi="Arial" w:cs="Arial"/>
          <w:sz w:val="22"/>
          <w:szCs w:val="22"/>
        </w:rPr>
      </w:pPr>
    </w:p>
    <w:p w14:paraId="61A46957" w14:textId="2AB6E1BA" w:rsidR="00B14EBD" w:rsidRPr="00161CBD" w:rsidRDefault="00B14EBD" w:rsidP="00161CBD">
      <w:pPr>
        <w:pStyle w:val="ListParagraph"/>
        <w:numPr>
          <w:ilvl w:val="0"/>
          <w:numId w:val="2"/>
        </w:numPr>
        <w:spacing w:line="360" w:lineRule="auto"/>
        <w:rPr>
          <w:rFonts w:ascii="Arial" w:hAnsi="Arial" w:cs="Arial"/>
          <w:sz w:val="22"/>
          <w:szCs w:val="22"/>
        </w:rPr>
      </w:pPr>
      <w:r w:rsidRPr="00161CBD">
        <w:rPr>
          <w:rFonts w:ascii="Arial" w:hAnsi="Arial" w:cs="Arial"/>
          <w:sz w:val="22"/>
          <w:szCs w:val="22"/>
        </w:rPr>
        <w:t>Increase and re-target funding for high-needs and early intervention. Short-term injections should be paired with longer-term budget planning to reflect rising referral trajectories, ensuring local authorities and ICBs can commission timely provision.</w:t>
      </w:r>
    </w:p>
    <w:p w14:paraId="20FB77DD" w14:textId="77777777" w:rsidR="00F83B42" w:rsidRPr="00161CBD" w:rsidRDefault="00F83B42" w:rsidP="00161CBD">
      <w:pPr>
        <w:pStyle w:val="ListParagraph"/>
        <w:spacing w:line="360" w:lineRule="auto"/>
        <w:rPr>
          <w:rFonts w:ascii="Arial" w:hAnsi="Arial" w:cs="Arial"/>
          <w:sz w:val="22"/>
          <w:szCs w:val="22"/>
        </w:rPr>
      </w:pPr>
    </w:p>
    <w:p w14:paraId="29347A76" w14:textId="16BAC78C" w:rsidR="00722EEC" w:rsidRPr="00FD45ED" w:rsidRDefault="00722EEC" w:rsidP="00FD45ED">
      <w:pPr>
        <w:pStyle w:val="NoSpacing"/>
        <w:spacing w:line="360" w:lineRule="auto"/>
        <w:rPr>
          <w:sz w:val="22"/>
          <w:szCs w:val="22"/>
        </w:rPr>
      </w:pPr>
      <w:r>
        <w:t xml:space="preserve">     </w:t>
      </w:r>
      <w:r w:rsidR="00370EFB">
        <w:t xml:space="preserve"> 2</w:t>
      </w:r>
      <w:r w:rsidR="00F83B42" w:rsidRPr="00370EFB">
        <w:t xml:space="preserve"> </w:t>
      </w:r>
      <w:r>
        <w:t xml:space="preserve"> </w:t>
      </w:r>
      <w:r w:rsidR="00FD45ED">
        <w:t xml:space="preserve">    </w:t>
      </w:r>
      <w:r>
        <w:t xml:space="preserve"> </w:t>
      </w:r>
      <w:r w:rsidR="00F83B42" w:rsidRPr="00FD45ED">
        <w:rPr>
          <w:sz w:val="22"/>
          <w:szCs w:val="22"/>
        </w:rPr>
        <w:t>Strengthen integrated commissioning and pooled budgets.</w:t>
      </w:r>
    </w:p>
    <w:p w14:paraId="4AC47904" w14:textId="280DCBFA" w:rsidR="00F9281F" w:rsidRPr="00FD45ED" w:rsidRDefault="00722EEC" w:rsidP="00FD45ED">
      <w:pPr>
        <w:pStyle w:val="NoSpacing"/>
        <w:spacing w:line="360" w:lineRule="auto"/>
        <w:rPr>
          <w:sz w:val="22"/>
          <w:szCs w:val="22"/>
        </w:rPr>
      </w:pPr>
      <w:r w:rsidRPr="00FD45ED">
        <w:rPr>
          <w:sz w:val="22"/>
          <w:szCs w:val="22"/>
        </w:rPr>
        <w:t xml:space="preserve">     </w:t>
      </w:r>
      <w:r w:rsidR="00F83B42" w:rsidRPr="00FD45ED">
        <w:rPr>
          <w:sz w:val="22"/>
          <w:szCs w:val="22"/>
        </w:rPr>
        <w:t xml:space="preserve"> </w:t>
      </w:r>
      <w:r w:rsidR="00F9281F" w:rsidRPr="00FD45ED">
        <w:rPr>
          <w:sz w:val="22"/>
          <w:szCs w:val="22"/>
        </w:rPr>
        <w:t xml:space="preserve">    </w:t>
      </w:r>
      <w:r w:rsidR="00103966" w:rsidRPr="00FD45ED">
        <w:rPr>
          <w:sz w:val="22"/>
          <w:szCs w:val="22"/>
        </w:rPr>
        <w:t xml:space="preserve"> </w:t>
      </w:r>
      <w:r w:rsidR="00FD45ED" w:rsidRPr="00FD45ED">
        <w:rPr>
          <w:sz w:val="22"/>
          <w:szCs w:val="22"/>
        </w:rPr>
        <w:t xml:space="preserve">    </w:t>
      </w:r>
      <w:r w:rsidR="00103966" w:rsidRPr="00FD45ED">
        <w:rPr>
          <w:sz w:val="22"/>
          <w:szCs w:val="22"/>
        </w:rPr>
        <w:t xml:space="preserve"> </w:t>
      </w:r>
      <w:r w:rsidR="00F83B42" w:rsidRPr="00FD45ED">
        <w:rPr>
          <w:sz w:val="22"/>
          <w:szCs w:val="22"/>
        </w:rPr>
        <w:t>Local areas should be required and supported to develop joint</w:t>
      </w:r>
    </w:p>
    <w:p w14:paraId="2C09EFB4" w14:textId="7BB6068B" w:rsidR="00722EEC" w:rsidRPr="00FD45ED" w:rsidRDefault="00F9281F" w:rsidP="00FD45ED">
      <w:pPr>
        <w:pStyle w:val="NoSpacing"/>
        <w:spacing w:line="360" w:lineRule="auto"/>
        <w:rPr>
          <w:sz w:val="22"/>
          <w:szCs w:val="22"/>
        </w:rPr>
      </w:pPr>
      <w:r w:rsidRPr="00FD45ED">
        <w:rPr>
          <w:sz w:val="22"/>
          <w:szCs w:val="22"/>
        </w:rPr>
        <w:t xml:space="preserve">          </w:t>
      </w:r>
      <w:r w:rsidR="00F83B42" w:rsidRPr="00FD45ED">
        <w:rPr>
          <w:sz w:val="22"/>
          <w:szCs w:val="22"/>
        </w:rPr>
        <w:t xml:space="preserve"> </w:t>
      </w:r>
      <w:r w:rsidR="00FD45ED" w:rsidRPr="00FD45ED">
        <w:rPr>
          <w:sz w:val="22"/>
          <w:szCs w:val="22"/>
        </w:rPr>
        <w:t xml:space="preserve">    </w:t>
      </w:r>
      <w:r w:rsidR="00F83B42" w:rsidRPr="00FD45ED">
        <w:rPr>
          <w:sz w:val="22"/>
          <w:szCs w:val="22"/>
        </w:rPr>
        <w:t xml:space="preserve">commissioning </w:t>
      </w:r>
      <w:r w:rsidRPr="00FD45ED">
        <w:rPr>
          <w:sz w:val="22"/>
          <w:szCs w:val="22"/>
        </w:rPr>
        <w:t xml:space="preserve">       </w:t>
      </w:r>
      <w:r w:rsidR="00F83B42" w:rsidRPr="00FD45ED">
        <w:rPr>
          <w:sz w:val="22"/>
          <w:szCs w:val="22"/>
        </w:rPr>
        <w:t xml:space="preserve">frameworks </w:t>
      </w:r>
    </w:p>
    <w:p w14:paraId="1C8C3232" w14:textId="65C300F9" w:rsidR="00722EEC" w:rsidRPr="00FD45ED" w:rsidRDefault="00F9281F" w:rsidP="00FD45ED">
      <w:pPr>
        <w:pStyle w:val="NoSpacing"/>
        <w:spacing w:line="360" w:lineRule="auto"/>
        <w:rPr>
          <w:sz w:val="22"/>
          <w:szCs w:val="22"/>
        </w:rPr>
      </w:pPr>
      <w:r w:rsidRPr="00FD45ED">
        <w:rPr>
          <w:sz w:val="22"/>
          <w:szCs w:val="22"/>
        </w:rPr>
        <w:t xml:space="preserve">           </w:t>
      </w:r>
      <w:r w:rsidR="00FD45ED" w:rsidRPr="00FD45ED">
        <w:rPr>
          <w:sz w:val="22"/>
          <w:szCs w:val="22"/>
        </w:rPr>
        <w:t xml:space="preserve">     </w:t>
      </w:r>
      <w:r w:rsidR="00F83B42" w:rsidRPr="00FD45ED">
        <w:rPr>
          <w:sz w:val="22"/>
          <w:szCs w:val="22"/>
        </w:rPr>
        <w:t xml:space="preserve">(education, health, social care) with clear pooled funding mechanisms for </w:t>
      </w:r>
    </w:p>
    <w:p w14:paraId="19C05B77" w14:textId="3ED13198" w:rsidR="00F83B42" w:rsidRPr="00FD45ED" w:rsidRDefault="00F9281F" w:rsidP="00FD45ED">
      <w:pPr>
        <w:pStyle w:val="NoSpacing"/>
        <w:spacing w:line="360" w:lineRule="auto"/>
        <w:rPr>
          <w:sz w:val="22"/>
          <w:szCs w:val="22"/>
        </w:rPr>
      </w:pPr>
      <w:r w:rsidRPr="00FD45ED">
        <w:rPr>
          <w:sz w:val="22"/>
          <w:szCs w:val="22"/>
        </w:rPr>
        <w:t xml:space="preserve">          </w:t>
      </w:r>
      <w:r w:rsidR="00FD45ED" w:rsidRPr="00FD45ED">
        <w:rPr>
          <w:sz w:val="22"/>
          <w:szCs w:val="22"/>
        </w:rPr>
        <w:t xml:space="preserve">    </w:t>
      </w:r>
      <w:r w:rsidRPr="00FD45ED">
        <w:rPr>
          <w:sz w:val="22"/>
          <w:szCs w:val="22"/>
        </w:rPr>
        <w:t xml:space="preserve"> </w:t>
      </w:r>
      <w:r w:rsidR="00F83B42" w:rsidRPr="00FD45ED">
        <w:rPr>
          <w:sz w:val="22"/>
          <w:szCs w:val="22"/>
        </w:rPr>
        <w:t xml:space="preserve">multidisciplinary pathways, reducing siloed provision and gaps. </w:t>
      </w:r>
    </w:p>
    <w:p w14:paraId="2EB77C20" w14:textId="77777777" w:rsidR="00671D9F" w:rsidRPr="00FD45ED" w:rsidRDefault="00671D9F" w:rsidP="003862A5">
      <w:pPr>
        <w:spacing w:line="360" w:lineRule="auto"/>
        <w:rPr>
          <w:rFonts w:ascii="Arial" w:hAnsi="Arial" w:cs="Arial"/>
          <w:sz w:val="22"/>
          <w:szCs w:val="22"/>
        </w:rPr>
      </w:pPr>
    </w:p>
    <w:p w14:paraId="54E9CA7D" w14:textId="77777777" w:rsidR="003862A5" w:rsidRDefault="003862A5" w:rsidP="00FD45ED">
      <w:pPr>
        <w:pStyle w:val="NoSpacing"/>
        <w:spacing w:line="360" w:lineRule="auto"/>
      </w:pPr>
      <w:r>
        <w:t xml:space="preserve">        </w:t>
      </w:r>
      <w:r w:rsidR="0013367B" w:rsidRPr="003862A5">
        <w:t xml:space="preserve"> </w:t>
      </w:r>
      <w:r w:rsidRPr="003862A5">
        <w:t xml:space="preserve">3 </w:t>
      </w:r>
      <w:r>
        <w:t xml:space="preserve">  </w:t>
      </w:r>
      <w:r w:rsidR="00F83B42" w:rsidRPr="003862A5">
        <w:t xml:space="preserve">Expand workforce capacity with a targeted training and recruitment strategy. </w:t>
      </w:r>
      <w:r w:rsidR="00671D9F" w:rsidRPr="003862A5">
        <w:t xml:space="preserve"> </w:t>
      </w:r>
    </w:p>
    <w:p w14:paraId="190D3E0B" w14:textId="1DA608BC" w:rsidR="00671D9F" w:rsidRPr="003862A5" w:rsidRDefault="00671D9F" w:rsidP="00FD45ED">
      <w:pPr>
        <w:pStyle w:val="NoSpacing"/>
        <w:spacing w:line="360" w:lineRule="auto"/>
      </w:pPr>
      <w:r w:rsidRPr="003862A5">
        <w:t xml:space="preserve">       </w:t>
      </w:r>
      <w:r w:rsidR="003862A5">
        <w:t xml:space="preserve">        </w:t>
      </w:r>
      <w:r w:rsidR="00F83B42" w:rsidRPr="003862A5">
        <w:t>National and local plans should prioritise training for specialist therapists,</w:t>
      </w:r>
      <w:r w:rsidR="003862A5">
        <w:t xml:space="preserve">    </w:t>
      </w:r>
    </w:p>
    <w:p w14:paraId="0A59AB77" w14:textId="257FB45B" w:rsidR="003862A5" w:rsidRDefault="003862A5" w:rsidP="00FD45ED">
      <w:pPr>
        <w:pStyle w:val="NoSpacing"/>
        <w:spacing w:line="360" w:lineRule="auto"/>
        <w:rPr>
          <w:rFonts w:ascii="Arial" w:hAnsi="Arial" w:cs="Arial"/>
          <w:sz w:val="22"/>
          <w:szCs w:val="22"/>
        </w:rPr>
      </w:pPr>
      <w:r>
        <w:rPr>
          <w:rFonts w:ascii="Arial" w:hAnsi="Arial" w:cs="Arial"/>
          <w:sz w:val="22"/>
          <w:szCs w:val="22"/>
        </w:rPr>
        <w:t xml:space="preserve">            </w:t>
      </w:r>
      <w:r w:rsidR="00F83B42" w:rsidRPr="003862A5">
        <w:rPr>
          <w:rFonts w:ascii="Arial" w:hAnsi="Arial" w:cs="Arial"/>
          <w:sz w:val="22"/>
          <w:szCs w:val="22"/>
        </w:rPr>
        <w:t xml:space="preserve">paediatric mental health staff, and SEND-specialist teachers, including incentives for </w:t>
      </w:r>
      <w:r>
        <w:rPr>
          <w:rFonts w:ascii="Arial" w:hAnsi="Arial" w:cs="Arial"/>
          <w:sz w:val="22"/>
          <w:szCs w:val="22"/>
        </w:rPr>
        <w:t xml:space="preserve">  </w:t>
      </w:r>
    </w:p>
    <w:p w14:paraId="006E131E" w14:textId="23499F0C" w:rsidR="00F83B42" w:rsidRPr="003862A5" w:rsidRDefault="003862A5" w:rsidP="00FD45ED">
      <w:pPr>
        <w:pStyle w:val="NoSpacing"/>
        <w:spacing w:line="360" w:lineRule="auto"/>
        <w:rPr>
          <w:rFonts w:ascii="Arial" w:hAnsi="Arial" w:cs="Arial"/>
          <w:sz w:val="22"/>
          <w:szCs w:val="22"/>
        </w:rPr>
      </w:pPr>
      <w:r>
        <w:rPr>
          <w:rFonts w:ascii="Arial" w:hAnsi="Arial" w:cs="Arial"/>
          <w:sz w:val="22"/>
          <w:szCs w:val="22"/>
        </w:rPr>
        <w:t xml:space="preserve">            </w:t>
      </w:r>
      <w:r w:rsidR="00F83B42" w:rsidRPr="003862A5">
        <w:rPr>
          <w:rFonts w:ascii="Arial" w:hAnsi="Arial" w:cs="Arial"/>
          <w:sz w:val="22"/>
          <w:szCs w:val="22"/>
        </w:rPr>
        <w:t xml:space="preserve">retention in underserved areas. </w:t>
      </w:r>
    </w:p>
    <w:p w14:paraId="19E028BD" w14:textId="77777777" w:rsidR="00F83B42" w:rsidRPr="00161CBD" w:rsidRDefault="00F83B42" w:rsidP="00FD45ED">
      <w:pPr>
        <w:pStyle w:val="ListParagraph"/>
        <w:spacing w:line="360" w:lineRule="auto"/>
        <w:rPr>
          <w:rFonts w:ascii="Arial" w:hAnsi="Arial" w:cs="Arial"/>
          <w:sz w:val="22"/>
          <w:szCs w:val="22"/>
        </w:rPr>
      </w:pPr>
    </w:p>
    <w:p w14:paraId="36873056" w14:textId="42D4AECE" w:rsidR="00F83B42" w:rsidRPr="00161CBD" w:rsidRDefault="003862A5" w:rsidP="00161CBD">
      <w:pPr>
        <w:pStyle w:val="ListParagraph"/>
        <w:spacing w:line="360" w:lineRule="auto"/>
        <w:rPr>
          <w:rFonts w:ascii="Arial" w:hAnsi="Arial" w:cs="Arial"/>
          <w:sz w:val="22"/>
          <w:szCs w:val="22"/>
        </w:rPr>
      </w:pPr>
      <w:r>
        <w:rPr>
          <w:rFonts w:ascii="Arial" w:hAnsi="Arial" w:cs="Arial"/>
          <w:sz w:val="22"/>
          <w:szCs w:val="22"/>
        </w:rPr>
        <w:t>4</w:t>
      </w:r>
      <w:r w:rsidR="00F83B42" w:rsidRPr="00161CBD">
        <w:rPr>
          <w:rFonts w:ascii="Arial" w:hAnsi="Arial" w:cs="Arial"/>
          <w:sz w:val="22"/>
          <w:szCs w:val="22"/>
        </w:rPr>
        <w:t xml:space="preserve"> Improve timeliness of assessments and EHCP processing through process redesign. Encourage</w:t>
      </w:r>
      <w:r w:rsidR="00F83B42" w:rsidRPr="00F83B42">
        <w:rPr>
          <w:rFonts w:ascii="Arial" w:hAnsi="Arial" w:cs="Arial"/>
          <w:sz w:val="32"/>
          <w:szCs w:val="32"/>
        </w:rPr>
        <w:t xml:space="preserve"> </w:t>
      </w:r>
      <w:r w:rsidR="00F83B42" w:rsidRPr="00161CBD">
        <w:rPr>
          <w:rFonts w:ascii="Arial" w:hAnsi="Arial" w:cs="Arial"/>
          <w:sz w:val="22"/>
          <w:szCs w:val="22"/>
        </w:rPr>
        <w:t xml:space="preserve">rapid-response assessment hubs, triage systems and digital </w:t>
      </w:r>
      <w:r w:rsidR="00F83B42" w:rsidRPr="00161CBD">
        <w:rPr>
          <w:rFonts w:ascii="Arial" w:hAnsi="Arial" w:cs="Arial"/>
          <w:sz w:val="22"/>
          <w:szCs w:val="22"/>
        </w:rPr>
        <w:lastRenderedPageBreak/>
        <w:t xml:space="preserve">case management to reduce administrative delays and free clinician time for direct care. </w:t>
      </w:r>
    </w:p>
    <w:p w14:paraId="7B563026" w14:textId="77777777" w:rsidR="00F83B42" w:rsidRPr="00161CBD" w:rsidRDefault="00F83B42" w:rsidP="00161CBD">
      <w:pPr>
        <w:pStyle w:val="ListParagraph"/>
        <w:spacing w:line="360" w:lineRule="auto"/>
        <w:rPr>
          <w:rFonts w:ascii="Arial" w:hAnsi="Arial" w:cs="Arial"/>
          <w:sz w:val="22"/>
          <w:szCs w:val="22"/>
        </w:rPr>
      </w:pPr>
    </w:p>
    <w:p w14:paraId="34822B00" w14:textId="77777777" w:rsidR="00F83B42" w:rsidRPr="00F83B42" w:rsidRDefault="00F83B42" w:rsidP="00161CBD">
      <w:pPr>
        <w:pStyle w:val="ListParagraph"/>
        <w:spacing w:line="360" w:lineRule="auto"/>
        <w:rPr>
          <w:rFonts w:ascii="Arial" w:hAnsi="Arial" w:cs="Arial"/>
          <w:sz w:val="32"/>
          <w:szCs w:val="32"/>
        </w:rPr>
      </w:pPr>
    </w:p>
    <w:p w14:paraId="00C1ED3D" w14:textId="00B868F5"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5. Enhance early identification and school-based support. Invest in graduated approaches in mainstream settings, with mandatory minimum SEND training and access to outreach specialists so schools can provide reasonable adjustments without immediate EHCP reliance.</w:t>
      </w:r>
    </w:p>
    <w:p w14:paraId="0DE91C88" w14:textId="77777777"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6. Support families as partners and reduce adversarial routes. Improve parent-facing information, reduce bureaucracy around appeals, and fund family support services (short breaks, respite, peer networks) to reduce caregiver strain. </w:t>
      </w:r>
    </w:p>
    <w:p w14:paraId="42F85051" w14:textId="77777777" w:rsidR="00F83B42" w:rsidRPr="00161CBD" w:rsidRDefault="00F83B42" w:rsidP="00161CBD">
      <w:pPr>
        <w:pStyle w:val="ListParagraph"/>
        <w:spacing w:line="360" w:lineRule="auto"/>
        <w:rPr>
          <w:rFonts w:ascii="Arial" w:hAnsi="Arial" w:cs="Arial"/>
          <w:sz w:val="22"/>
          <w:szCs w:val="22"/>
        </w:rPr>
      </w:pPr>
    </w:p>
    <w:p w14:paraId="4B2E1522" w14:textId="77777777" w:rsidR="00F83B42" w:rsidRPr="00161CBD" w:rsidRDefault="00F83B42" w:rsidP="00161CBD">
      <w:pPr>
        <w:pStyle w:val="ListParagraph"/>
        <w:spacing w:line="360" w:lineRule="auto"/>
        <w:rPr>
          <w:rFonts w:ascii="Arial" w:hAnsi="Arial" w:cs="Arial"/>
          <w:sz w:val="22"/>
          <w:szCs w:val="22"/>
        </w:rPr>
      </w:pPr>
    </w:p>
    <w:p w14:paraId="2272E937" w14:textId="41ED8DCC"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7. Transparent national monitoring and accountability. Strengthen data collection on waiting times, EHCP timeliness and outcomes and publish regular local-area performance so policymakers can target support where it is most needed.</w:t>
      </w:r>
    </w:p>
    <w:p w14:paraId="41C98338" w14:textId="6ABBD4F5"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 </w:t>
      </w:r>
    </w:p>
    <w:p w14:paraId="7DF0641A" w14:textId="77777777" w:rsidR="00F83B42" w:rsidRDefault="00F83B42" w:rsidP="00161CBD">
      <w:pPr>
        <w:pStyle w:val="ListParagraph"/>
        <w:spacing w:line="360" w:lineRule="auto"/>
        <w:rPr>
          <w:rFonts w:ascii="Arial" w:hAnsi="Arial" w:cs="Arial"/>
          <w:sz w:val="32"/>
          <w:szCs w:val="32"/>
        </w:rPr>
      </w:pPr>
    </w:p>
    <w:p w14:paraId="67F0BD09" w14:textId="1526C1F2" w:rsidR="00F83B42" w:rsidRDefault="00F83B42" w:rsidP="00161CBD">
      <w:pPr>
        <w:pStyle w:val="ListParagraph"/>
        <w:spacing w:line="360" w:lineRule="auto"/>
        <w:rPr>
          <w:rFonts w:ascii="Arial" w:hAnsi="Arial" w:cs="Arial"/>
          <w:sz w:val="32"/>
          <w:szCs w:val="32"/>
        </w:rPr>
      </w:pPr>
      <w:r>
        <w:rPr>
          <w:rFonts w:ascii="Arial" w:hAnsi="Arial" w:cs="Arial"/>
          <w:sz w:val="32"/>
          <w:szCs w:val="32"/>
        </w:rPr>
        <w:t xml:space="preserve">                              CONCLUSION</w:t>
      </w:r>
    </w:p>
    <w:p w14:paraId="61EDA116" w14:textId="69EAA245" w:rsidR="00FD15F3" w:rsidRPr="001123D6" w:rsidRDefault="00F83B42" w:rsidP="001123D6">
      <w:pPr>
        <w:pStyle w:val="ListParagraph"/>
        <w:spacing w:line="360" w:lineRule="auto"/>
        <w:rPr>
          <w:rFonts w:ascii="Arial" w:hAnsi="Arial" w:cs="Arial"/>
          <w:sz w:val="22"/>
          <w:szCs w:val="22"/>
        </w:rPr>
      </w:pPr>
      <w:r w:rsidRPr="00161CBD">
        <w:rPr>
          <w:rFonts w:ascii="Arial" w:hAnsi="Arial" w:cs="Arial"/>
          <w:sz w:val="22"/>
          <w:szCs w:val="22"/>
        </w:rPr>
        <w:t>England’s legislative framework for children with SEND establishes clear rights and expectations, but rising demand, resource pressures, workforce shortages and fragmented commissioning have produced significant gaps in support. The human cost—delayed interventions, damaged educational trajectories and family strain—is substantial. Addressing these challenges requires a sustained, cross-sectoral effort: properly funded early intervention, integrated commissioning, workforce investment and accountability mechanisms are essential to ensure that the rights set out in law translate into dependable, timely support for children and families. The recommendations above offer a practical roadmap to reduce waiting times, improve service quality and rebuild trust between families and services.</w:t>
      </w:r>
    </w:p>
    <w:p w14:paraId="2192D727" w14:textId="77777777" w:rsidR="00AB1492" w:rsidRPr="00FD15F3" w:rsidRDefault="00AB1492" w:rsidP="00161CBD">
      <w:pPr>
        <w:pStyle w:val="ListParagraph"/>
        <w:spacing w:line="360" w:lineRule="auto"/>
        <w:rPr>
          <w:rFonts w:ascii="Arial" w:hAnsi="Arial" w:cs="Arial"/>
          <w:sz w:val="22"/>
          <w:szCs w:val="22"/>
        </w:rPr>
      </w:pPr>
    </w:p>
    <w:p w14:paraId="4D4B23E5" w14:textId="6BDE30A0"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   </w:t>
      </w:r>
    </w:p>
    <w:p w14:paraId="7C6BAE28" w14:textId="01444037"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   </w:t>
      </w:r>
    </w:p>
    <w:p w14:paraId="2F72E5E3" w14:textId="5B6E3A23" w:rsidR="00F83B42" w:rsidRDefault="00F83B42" w:rsidP="00161CBD">
      <w:pPr>
        <w:pStyle w:val="ListParagraph"/>
        <w:spacing w:line="360" w:lineRule="auto"/>
        <w:rPr>
          <w:rFonts w:ascii="Arial" w:hAnsi="Arial" w:cs="Arial"/>
          <w:sz w:val="32"/>
          <w:szCs w:val="32"/>
        </w:rPr>
      </w:pPr>
      <w:r w:rsidRPr="00F742CF">
        <w:rPr>
          <w:rFonts w:ascii="Arial" w:hAnsi="Arial" w:cs="Arial"/>
          <w:sz w:val="32"/>
          <w:szCs w:val="32"/>
        </w:rPr>
        <w:t xml:space="preserve">                             REFERENCES</w:t>
      </w:r>
    </w:p>
    <w:p w14:paraId="599F37F5" w14:textId="18C5CBD3" w:rsidR="008753CE" w:rsidRPr="008753CE" w:rsidRDefault="00F40F09" w:rsidP="008753CE">
      <w:pPr>
        <w:spacing w:line="360" w:lineRule="auto"/>
        <w:rPr>
          <w:rFonts w:ascii="Arial" w:hAnsi="Arial" w:cs="Arial"/>
          <w:sz w:val="22"/>
          <w:szCs w:val="22"/>
        </w:rPr>
      </w:pPr>
      <w:r>
        <w:rPr>
          <w:rFonts w:ascii="Arial" w:hAnsi="Arial" w:cs="Arial"/>
          <w:sz w:val="22"/>
          <w:szCs w:val="22"/>
        </w:rPr>
        <w:t xml:space="preserve"> </w:t>
      </w:r>
      <w:r w:rsidR="008753CE" w:rsidRPr="008753CE">
        <w:rPr>
          <w:rFonts w:ascii="Arial" w:hAnsi="Arial" w:cs="Arial"/>
          <w:sz w:val="22"/>
          <w:szCs w:val="22"/>
        </w:rPr>
        <w:t xml:space="preserve">Bryman, A. (2016) Social Research Methods. 5th </w:t>
      </w:r>
      <w:proofErr w:type="spellStart"/>
      <w:r w:rsidR="008753CE" w:rsidRPr="008753CE">
        <w:rPr>
          <w:rFonts w:ascii="Arial" w:hAnsi="Arial" w:cs="Arial"/>
          <w:sz w:val="22"/>
          <w:szCs w:val="22"/>
        </w:rPr>
        <w:t>edn</w:t>
      </w:r>
      <w:proofErr w:type="spellEnd"/>
      <w:r w:rsidR="008753CE" w:rsidRPr="008753CE">
        <w:rPr>
          <w:rFonts w:ascii="Arial" w:hAnsi="Arial" w:cs="Arial"/>
          <w:sz w:val="22"/>
          <w:szCs w:val="22"/>
        </w:rPr>
        <w:t>. Oxford: Oxford University Press.</w:t>
      </w:r>
    </w:p>
    <w:p w14:paraId="4C3289F8"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lastRenderedPageBreak/>
        <w:t xml:space="preserve">Creswell, J.W. and Creswell, J.D. (2018) Research Design: Qualitative, Quantitative, and Mixed Methods Approaches. 5th </w:t>
      </w:r>
      <w:proofErr w:type="spellStart"/>
      <w:r w:rsidRPr="008753CE">
        <w:rPr>
          <w:rFonts w:ascii="Arial" w:hAnsi="Arial" w:cs="Arial"/>
          <w:sz w:val="22"/>
          <w:szCs w:val="22"/>
        </w:rPr>
        <w:t>edn</w:t>
      </w:r>
      <w:proofErr w:type="spellEnd"/>
      <w:r w:rsidRPr="008753CE">
        <w:rPr>
          <w:rFonts w:ascii="Arial" w:hAnsi="Arial" w:cs="Arial"/>
          <w:sz w:val="22"/>
          <w:szCs w:val="22"/>
        </w:rPr>
        <w:t>. Thousand Oaks, CA: SAGE Publications.</w:t>
      </w:r>
    </w:p>
    <w:p w14:paraId="49E3D260"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Department for Education (2015) Special Educational Needs and Disability Code of Practice: 0 to 25 Years. London: HM Government. Available at: https://www.gov.uk/government/publications/send-code-of-practice-0-to-25 (Accessed: 3 November 2025).</w:t>
      </w:r>
    </w:p>
    <w:p w14:paraId="440A7A33"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Department for Education (2022) SEND Review: Right Support, Right Place, Right Time. London: Department for Education.</w:t>
      </w:r>
    </w:p>
    <w:p w14:paraId="60FEE1BF"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House of Commons Public Accounts Committee (2025) Support for Children and Young People with Special Educational Needs and Disabilities. London: UK Parliament.</w:t>
      </w:r>
    </w:p>
    <w:p w14:paraId="2D2759D1"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Legislation.gov.uk (2014) Children and Families Act 2014. Available at: https://www.legislation.gov.uk/ukpga/2014/6/contents (Accessed: 3 November 2025).</w:t>
      </w:r>
    </w:p>
    <w:p w14:paraId="59AD8350"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NHS Digital (2024) Autism Statistics: April 2023 to March 2024. London: NHS Digital.</w:t>
      </w:r>
    </w:p>
    <w:p w14:paraId="70936C7A"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NHS England (2025) Waiting Times for Children and Young People’s Mental Health Services, 2023–24. London: NHS England.</w:t>
      </w:r>
    </w:p>
    <w:p w14:paraId="75FA731C" w14:textId="62B56B0C" w:rsidR="00E23787" w:rsidRPr="00F83B42" w:rsidRDefault="008753CE" w:rsidP="008753CE">
      <w:pPr>
        <w:spacing w:line="360" w:lineRule="auto"/>
        <w:rPr>
          <w:rFonts w:ascii="Arial" w:hAnsi="Arial" w:cs="Arial"/>
          <w:sz w:val="32"/>
          <w:szCs w:val="32"/>
        </w:rPr>
      </w:pPr>
      <w:r w:rsidRPr="008753CE">
        <w:rPr>
          <w:rFonts w:ascii="Arial" w:hAnsi="Arial" w:cs="Arial"/>
          <w:sz w:val="22"/>
          <w:szCs w:val="22"/>
        </w:rPr>
        <w:t>The Guardian (2024) ‘Hundreds of children with special needs wait a year for support in England’, The Guardian, 18 February. Available at: https://www.theguardian.com/education/2024/feb/18/hundreds-of-children-with-special-needs-wait-a-year-for-support-in-england (Accessed: 3 November 2025).</w:t>
      </w:r>
    </w:p>
    <w:p w14:paraId="10FE571F" w14:textId="4B5D6B2B" w:rsidR="00F83B42" w:rsidRPr="00F83B42" w:rsidRDefault="00F83B42" w:rsidP="00161CBD">
      <w:pPr>
        <w:pStyle w:val="ListParagraph"/>
        <w:spacing w:line="360" w:lineRule="auto"/>
        <w:rPr>
          <w:rFonts w:ascii="Arial" w:hAnsi="Arial" w:cs="Arial"/>
          <w:sz w:val="32"/>
          <w:szCs w:val="32"/>
        </w:rPr>
      </w:pPr>
    </w:p>
    <w:sectPr w:rsidR="00F83B42" w:rsidRPr="00F83B42" w:rsidSect="001123D6">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5A4CB" w14:textId="77777777" w:rsidR="00173700" w:rsidRDefault="00173700" w:rsidP="00997B46">
      <w:pPr>
        <w:spacing w:after="0" w:line="240" w:lineRule="auto"/>
      </w:pPr>
      <w:r>
        <w:separator/>
      </w:r>
    </w:p>
  </w:endnote>
  <w:endnote w:type="continuationSeparator" w:id="0">
    <w:p w14:paraId="4CF2C1DE" w14:textId="77777777" w:rsidR="00173700" w:rsidRDefault="00173700" w:rsidP="0099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3573482"/>
      <w:docPartObj>
        <w:docPartGallery w:val="Page Numbers (Bottom of Page)"/>
        <w:docPartUnique/>
      </w:docPartObj>
    </w:sdtPr>
    <w:sdtEndPr>
      <w:rPr>
        <w:noProof/>
      </w:rPr>
    </w:sdtEndPr>
    <w:sdtContent>
      <w:p w14:paraId="59282B23" w14:textId="5403DB9A" w:rsidR="001123D6" w:rsidRDefault="001123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DB9CCE" w14:textId="77777777" w:rsidR="001123D6" w:rsidRDefault="00112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83BE2" w14:textId="77777777" w:rsidR="00173700" w:rsidRDefault="00173700" w:rsidP="00997B46">
      <w:pPr>
        <w:spacing w:after="0" w:line="240" w:lineRule="auto"/>
      </w:pPr>
      <w:r>
        <w:separator/>
      </w:r>
    </w:p>
  </w:footnote>
  <w:footnote w:type="continuationSeparator" w:id="0">
    <w:p w14:paraId="6821526E" w14:textId="77777777" w:rsidR="00173700" w:rsidRDefault="00173700" w:rsidP="00997B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F408F"/>
    <w:multiLevelType w:val="hybridMultilevel"/>
    <w:tmpl w:val="AEB83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17CA6"/>
    <w:multiLevelType w:val="hybridMultilevel"/>
    <w:tmpl w:val="3112FE7A"/>
    <w:lvl w:ilvl="0" w:tplc="AD10F0D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E62B09"/>
    <w:multiLevelType w:val="hybridMultilevel"/>
    <w:tmpl w:val="18A83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3410479">
    <w:abstractNumId w:val="2"/>
  </w:num>
  <w:num w:numId="2" w16cid:durableId="1216627798">
    <w:abstractNumId w:val="0"/>
  </w:num>
  <w:num w:numId="3" w16cid:durableId="1668750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7E2"/>
    <w:rsid w:val="000A440C"/>
    <w:rsid w:val="000E0439"/>
    <w:rsid w:val="000E1D6E"/>
    <w:rsid w:val="00103966"/>
    <w:rsid w:val="00104248"/>
    <w:rsid w:val="001123D6"/>
    <w:rsid w:val="00115554"/>
    <w:rsid w:val="00124E8B"/>
    <w:rsid w:val="0013367B"/>
    <w:rsid w:val="00140FF9"/>
    <w:rsid w:val="001467AD"/>
    <w:rsid w:val="00161CBD"/>
    <w:rsid w:val="00173700"/>
    <w:rsid w:val="002152AD"/>
    <w:rsid w:val="002511F1"/>
    <w:rsid w:val="002B2658"/>
    <w:rsid w:val="002C6128"/>
    <w:rsid w:val="002D5D3A"/>
    <w:rsid w:val="002E78F4"/>
    <w:rsid w:val="00346CF2"/>
    <w:rsid w:val="0035196A"/>
    <w:rsid w:val="003601D6"/>
    <w:rsid w:val="00370EFB"/>
    <w:rsid w:val="0037115A"/>
    <w:rsid w:val="003862A5"/>
    <w:rsid w:val="003902E5"/>
    <w:rsid w:val="00393C50"/>
    <w:rsid w:val="003952A2"/>
    <w:rsid w:val="003A1397"/>
    <w:rsid w:val="003E0641"/>
    <w:rsid w:val="00400E72"/>
    <w:rsid w:val="0041722C"/>
    <w:rsid w:val="004B1A92"/>
    <w:rsid w:val="004B4D47"/>
    <w:rsid w:val="00503CB9"/>
    <w:rsid w:val="005A64D7"/>
    <w:rsid w:val="005F2BA8"/>
    <w:rsid w:val="0062252F"/>
    <w:rsid w:val="006237E2"/>
    <w:rsid w:val="006252EE"/>
    <w:rsid w:val="0064683C"/>
    <w:rsid w:val="006528E2"/>
    <w:rsid w:val="00671D9F"/>
    <w:rsid w:val="00687C59"/>
    <w:rsid w:val="0069069B"/>
    <w:rsid w:val="006A681E"/>
    <w:rsid w:val="006B7701"/>
    <w:rsid w:val="006F3068"/>
    <w:rsid w:val="006F3DC5"/>
    <w:rsid w:val="00716170"/>
    <w:rsid w:val="00722EEC"/>
    <w:rsid w:val="007422DC"/>
    <w:rsid w:val="00782C68"/>
    <w:rsid w:val="00792B36"/>
    <w:rsid w:val="007C2D3F"/>
    <w:rsid w:val="008753CE"/>
    <w:rsid w:val="0087557D"/>
    <w:rsid w:val="008C1A5F"/>
    <w:rsid w:val="008D1223"/>
    <w:rsid w:val="008E5FC2"/>
    <w:rsid w:val="009851AD"/>
    <w:rsid w:val="00997B46"/>
    <w:rsid w:val="009A0D52"/>
    <w:rsid w:val="00A1159E"/>
    <w:rsid w:val="00A25243"/>
    <w:rsid w:val="00AB1492"/>
    <w:rsid w:val="00B14EBD"/>
    <w:rsid w:val="00B414B9"/>
    <w:rsid w:val="00B96A69"/>
    <w:rsid w:val="00BA0326"/>
    <w:rsid w:val="00BA7CBD"/>
    <w:rsid w:val="00C0421B"/>
    <w:rsid w:val="00C21A58"/>
    <w:rsid w:val="00C813EC"/>
    <w:rsid w:val="00C96680"/>
    <w:rsid w:val="00CD532A"/>
    <w:rsid w:val="00D07063"/>
    <w:rsid w:val="00D07F79"/>
    <w:rsid w:val="00DB3D84"/>
    <w:rsid w:val="00DB7217"/>
    <w:rsid w:val="00DF1306"/>
    <w:rsid w:val="00E10D96"/>
    <w:rsid w:val="00E23656"/>
    <w:rsid w:val="00E23787"/>
    <w:rsid w:val="00E44A33"/>
    <w:rsid w:val="00E5051E"/>
    <w:rsid w:val="00E56283"/>
    <w:rsid w:val="00F40F09"/>
    <w:rsid w:val="00F468D2"/>
    <w:rsid w:val="00F700D8"/>
    <w:rsid w:val="00F742CF"/>
    <w:rsid w:val="00F83B42"/>
    <w:rsid w:val="00F9281F"/>
    <w:rsid w:val="00FA2660"/>
    <w:rsid w:val="00FD15F3"/>
    <w:rsid w:val="00FD45ED"/>
    <w:rsid w:val="00FD4A17"/>
    <w:rsid w:val="00FF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C784C"/>
  <w15:chartTrackingRefBased/>
  <w15:docId w15:val="{8CECE2D1-A712-4501-8034-6C22AB05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7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7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7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7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7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7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7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7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7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7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7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7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7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7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7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7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7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7E2"/>
    <w:rPr>
      <w:rFonts w:eastAsiaTheme="majorEastAsia" w:cstheme="majorBidi"/>
      <w:color w:val="272727" w:themeColor="text1" w:themeTint="D8"/>
    </w:rPr>
  </w:style>
  <w:style w:type="paragraph" w:styleId="Title">
    <w:name w:val="Title"/>
    <w:basedOn w:val="Normal"/>
    <w:next w:val="Normal"/>
    <w:link w:val="TitleChar"/>
    <w:uiPriority w:val="10"/>
    <w:qFormat/>
    <w:rsid w:val="006237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7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7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7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7E2"/>
    <w:pPr>
      <w:spacing w:before="160"/>
      <w:jc w:val="center"/>
    </w:pPr>
    <w:rPr>
      <w:i/>
      <w:iCs/>
      <w:color w:val="404040" w:themeColor="text1" w:themeTint="BF"/>
    </w:rPr>
  </w:style>
  <w:style w:type="character" w:customStyle="1" w:styleId="QuoteChar">
    <w:name w:val="Quote Char"/>
    <w:basedOn w:val="DefaultParagraphFont"/>
    <w:link w:val="Quote"/>
    <w:uiPriority w:val="29"/>
    <w:rsid w:val="006237E2"/>
    <w:rPr>
      <w:i/>
      <w:iCs/>
      <w:color w:val="404040" w:themeColor="text1" w:themeTint="BF"/>
    </w:rPr>
  </w:style>
  <w:style w:type="paragraph" w:styleId="ListParagraph">
    <w:name w:val="List Paragraph"/>
    <w:basedOn w:val="Normal"/>
    <w:uiPriority w:val="34"/>
    <w:qFormat/>
    <w:rsid w:val="006237E2"/>
    <w:pPr>
      <w:ind w:left="720"/>
      <w:contextualSpacing/>
    </w:pPr>
  </w:style>
  <w:style w:type="character" w:styleId="IntenseEmphasis">
    <w:name w:val="Intense Emphasis"/>
    <w:basedOn w:val="DefaultParagraphFont"/>
    <w:uiPriority w:val="21"/>
    <w:qFormat/>
    <w:rsid w:val="006237E2"/>
    <w:rPr>
      <w:i/>
      <w:iCs/>
      <w:color w:val="0F4761" w:themeColor="accent1" w:themeShade="BF"/>
    </w:rPr>
  </w:style>
  <w:style w:type="paragraph" w:styleId="IntenseQuote">
    <w:name w:val="Intense Quote"/>
    <w:basedOn w:val="Normal"/>
    <w:next w:val="Normal"/>
    <w:link w:val="IntenseQuoteChar"/>
    <w:uiPriority w:val="30"/>
    <w:qFormat/>
    <w:rsid w:val="006237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7E2"/>
    <w:rPr>
      <w:i/>
      <w:iCs/>
      <w:color w:val="0F4761" w:themeColor="accent1" w:themeShade="BF"/>
    </w:rPr>
  </w:style>
  <w:style w:type="character" w:styleId="IntenseReference">
    <w:name w:val="Intense Reference"/>
    <w:basedOn w:val="DefaultParagraphFont"/>
    <w:uiPriority w:val="32"/>
    <w:qFormat/>
    <w:rsid w:val="006237E2"/>
    <w:rPr>
      <w:b/>
      <w:bCs/>
      <w:smallCaps/>
      <w:color w:val="0F4761" w:themeColor="accent1" w:themeShade="BF"/>
      <w:spacing w:val="5"/>
    </w:rPr>
  </w:style>
  <w:style w:type="paragraph" w:styleId="NoSpacing">
    <w:name w:val="No Spacing"/>
    <w:link w:val="NoSpacingChar"/>
    <w:uiPriority w:val="1"/>
    <w:qFormat/>
    <w:rsid w:val="003862A5"/>
    <w:pPr>
      <w:spacing w:after="0" w:line="240" w:lineRule="auto"/>
    </w:pPr>
  </w:style>
  <w:style w:type="character" w:customStyle="1" w:styleId="NoSpacingChar">
    <w:name w:val="No Spacing Char"/>
    <w:basedOn w:val="DefaultParagraphFont"/>
    <w:link w:val="NoSpacing"/>
    <w:uiPriority w:val="1"/>
    <w:rsid w:val="00C21A58"/>
  </w:style>
  <w:style w:type="character" w:styleId="LineNumber">
    <w:name w:val="line number"/>
    <w:basedOn w:val="DefaultParagraphFont"/>
    <w:uiPriority w:val="99"/>
    <w:semiHidden/>
    <w:unhideWhenUsed/>
    <w:rsid w:val="002511F1"/>
  </w:style>
  <w:style w:type="paragraph" w:styleId="Header">
    <w:name w:val="header"/>
    <w:basedOn w:val="Normal"/>
    <w:link w:val="HeaderChar"/>
    <w:uiPriority w:val="99"/>
    <w:unhideWhenUsed/>
    <w:rsid w:val="00997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B46"/>
  </w:style>
  <w:style w:type="paragraph" w:styleId="Footer">
    <w:name w:val="footer"/>
    <w:basedOn w:val="Normal"/>
    <w:link w:val="FooterChar"/>
    <w:uiPriority w:val="99"/>
    <w:unhideWhenUsed/>
    <w:rsid w:val="00997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2218</Words>
  <Characters>12648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Assignment title: Component 2-Research Report</vt:lpstr>
    </vt:vector>
  </TitlesOfParts>
  <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Component 2-Research Report</dc:title>
  <dc:subject/>
  <dc:creator>Lavinia Groceanu</dc:creator>
  <cp:keywords/>
  <dc:description/>
  <cp:lastModifiedBy>Lavinia Groceanu</cp:lastModifiedBy>
  <cp:revision>2</cp:revision>
  <dcterms:created xsi:type="dcterms:W3CDTF">2025-11-17T22:22:00Z</dcterms:created>
  <dcterms:modified xsi:type="dcterms:W3CDTF">2025-11-17T22:22:00Z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7fa63ff8-0bc2-4b6d-8a38-20099c5a9722</vt:lpwstr>
  </property>
</Properties>
</file>