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7FD3582C"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273F29">
              <w:rPr>
                <w:rFonts w:ascii="Times New Roman" w:hAnsi="Times New Roman" w:cs="Times New Roman"/>
                <w:b/>
                <w:color w:val="auto"/>
                <w:sz w:val="48"/>
              </w:rPr>
              <w:t>Nikita Weaver</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B51CC1E"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273F29">
              <w:rPr>
                <w:rFonts w:ascii="Times New Roman" w:hAnsi="Times New Roman" w:cs="Times New Roman"/>
                <w:b/>
                <w:color w:val="auto"/>
                <w:sz w:val="48"/>
              </w:rPr>
              <w:t xml:space="preserve"> </w:t>
            </w:r>
            <w:r w:rsidR="002560A3">
              <w:rPr>
                <w:rFonts w:ascii="Times New Roman" w:hAnsi="Times New Roman" w:cs="Times New Roman"/>
                <w:b/>
                <w:color w:val="auto"/>
                <w:sz w:val="48"/>
              </w:rPr>
              <w:t>2518427@student.uwtsd.ac.uk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34FEADF9" w14:textId="77777777" w:rsidR="005855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2560A3">
              <w:rPr>
                <w:rFonts w:ascii="Times New Roman" w:hAnsi="Times New Roman" w:cs="Times New Roman"/>
                <w:b/>
                <w:color w:val="auto"/>
                <w:sz w:val="48"/>
              </w:rPr>
              <w:t xml:space="preserve"> </w:t>
            </w:r>
          </w:p>
          <w:p w14:paraId="0DE696B2" w14:textId="7171C77B" w:rsidR="00F927A1" w:rsidRPr="005D3F07" w:rsidRDefault="005855A1"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2518427</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1D68DA91" w14:textId="24DF18EB" w:rsidR="00D3203C" w:rsidRDefault="00E83F91" w:rsidP="004E2B4E">
      <w:pPr>
        <w:jc w:val="center"/>
        <w:rPr>
          <w:b/>
          <w:sz w:val="24"/>
          <w:szCs w:val="24"/>
        </w:rPr>
      </w:pPr>
      <w:r>
        <w:rPr>
          <w:b/>
          <w:sz w:val="24"/>
          <w:szCs w:val="24"/>
        </w:rPr>
        <w:br w:type="page"/>
      </w:r>
    </w:p>
    <w:p w14:paraId="0EF984DF" w14:textId="02707E04" w:rsidR="000D0BB6" w:rsidRPr="00EE5BC3" w:rsidRDefault="00337FEF" w:rsidP="00EE5BC3">
      <w:pPr>
        <w:jc w:val="center"/>
        <w:rPr>
          <w:b/>
          <w:sz w:val="28"/>
          <w:szCs w:val="28"/>
        </w:rPr>
      </w:pPr>
      <w:r w:rsidRPr="00EE5BC3">
        <w:rPr>
          <w:b/>
          <w:sz w:val="28"/>
          <w:szCs w:val="28"/>
        </w:rPr>
        <w:lastRenderedPageBreak/>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66A2B6ED" w14:textId="3ABB703A" w:rsidR="00095334" w:rsidRPr="00CE000B" w:rsidRDefault="00095334" w:rsidP="00095334">
            <w:pPr>
              <w:spacing w:line="360" w:lineRule="auto"/>
              <w:jc w:val="both"/>
              <w:rPr>
                <w:color w:val="auto"/>
                <w:sz w:val="24"/>
                <w:szCs w:val="24"/>
              </w:rPr>
            </w:pPr>
            <w:r w:rsidRPr="00095334">
              <w:rPr>
                <w:sz w:val="24"/>
                <w:szCs w:val="24"/>
              </w:rPr>
              <w:t xml:space="preserve">As my </w:t>
            </w:r>
            <w:r w:rsidRPr="00CE000B">
              <w:rPr>
                <w:color w:val="auto"/>
                <w:sz w:val="24"/>
                <w:szCs w:val="24"/>
              </w:rPr>
              <w:t>main area of practice is children’s social work, this essay focuses on adult safeguarding. Although social care legislation in Wales is devolved, adult safeguarding practice is underpinned by UK-wide and Welsh legislation, national guidance, local safeguarding arrangements and organisational procedures. The Human Rights Act 1998 incorporates the European Convention on Human Rights [ECHR] into United Kingdom [UK] law (Dixon and Williams, 2026). Articles 2, 3, 5 and 8 are relevant to safeguarding because they protect the right to life, freedom from degrading treatment, liberty and security, and private and family life. The Equality Act 2010 protects adults from discrimination based on protected characteristics, including age, disability, race, religion or belief, sex, sexual orientation, gender reassignment, marriage or civil partnership, and pregnancy or maternity. The Mental Capacity Act 2005, sections 2, 3 and 4, requires practitioners to assume capacity, support decision-making, recognise unwise decisions, act in best interests and use the least restrictive option. This reflects empowerment as a key safeguarding principle</w:t>
            </w:r>
            <w:r w:rsidR="00E8181B">
              <w:rPr>
                <w:color w:val="auto"/>
                <w:sz w:val="24"/>
                <w:szCs w:val="24"/>
              </w:rPr>
              <w:t xml:space="preserve"> (Social Care Institute for Excellence [SCIE], 2022).</w:t>
            </w:r>
          </w:p>
          <w:p w14:paraId="1A3051F1" w14:textId="77777777" w:rsidR="00095334" w:rsidRPr="00CE000B" w:rsidRDefault="00095334" w:rsidP="00095334">
            <w:pPr>
              <w:spacing w:line="360" w:lineRule="auto"/>
              <w:jc w:val="both"/>
              <w:rPr>
                <w:color w:val="auto"/>
                <w:sz w:val="24"/>
                <w:szCs w:val="24"/>
              </w:rPr>
            </w:pPr>
          </w:p>
          <w:p w14:paraId="0B508EBF" w14:textId="35CD1ED2" w:rsidR="00095334" w:rsidRPr="00CE000B" w:rsidRDefault="00095334" w:rsidP="00095334">
            <w:pPr>
              <w:spacing w:line="360" w:lineRule="auto"/>
              <w:jc w:val="both"/>
              <w:rPr>
                <w:color w:val="auto"/>
                <w:sz w:val="24"/>
                <w:szCs w:val="24"/>
              </w:rPr>
            </w:pPr>
            <w:r w:rsidRPr="00CE000B">
              <w:rPr>
                <w:color w:val="auto"/>
                <w:sz w:val="24"/>
                <w:szCs w:val="24"/>
              </w:rPr>
              <w:t xml:space="preserve">Policies support the implementation of legislation in practice. The Public Sector Equality Duty 2011 promotes equality and aims to eliminate discrimination. The United Nations Principles for Older Persons [UNPOP] 1991 emphasise independence, participation, care, self-fulfilment and dignity (United Nations Human Rights Office of the High Commissioner, 1991). These principles underpin the Social Services and Wellbeing (Wales) Act [SSW(W)A] 2014 by </w:t>
            </w:r>
            <w:r w:rsidRPr="00CE000B">
              <w:rPr>
                <w:color w:val="auto"/>
                <w:sz w:val="24"/>
                <w:szCs w:val="24"/>
              </w:rPr>
              <w:lastRenderedPageBreak/>
              <w:t xml:space="preserve">promoting wellbeing, voice and control </w:t>
            </w:r>
            <w:r w:rsidR="00CE000B">
              <w:rPr>
                <w:color w:val="auto"/>
                <w:sz w:val="24"/>
                <w:szCs w:val="24"/>
              </w:rPr>
              <w:t>(Douglas and Barlow, 2023),</w:t>
            </w:r>
            <w:r w:rsidRPr="00CE000B">
              <w:rPr>
                <w:color w:val="auto"/>
                <w:sz w:val="24"/>
                <w:szCs w:val="24"/>
              </w:rPr>
              <w:t xml:space="preserve"> while balancing practitioners’ duties to report concerns and complete enquiries</w:t>
            </w:r>
            <w:r w:rsidR="00CE000B">
              <w:rPr>
                <w:color w:val="auto"/>
                <w:sz w:val="24"/>
                <w:szCs w:val="24"/>
              </w:rPr>
              <w:t xml:space="preserve"> (Montgomery et al., 2016).</w:t>
            </w:r>
            <w:r w:rsidRPr="00CE000B">
              <w:rPr>
                <w:color w:val="auto"/>
                <w:sz w:val="24"/>
                <w:szCs w:val="24"/>
              </w:rPr>
              <w:t xml:space="preserve"> </w:t>
            </w:r>
          </w:p>
          <w:p w14:paraId="653BE7D6" w14:textId="77777777" w:rsidR="00095334" w:rsidRPr="00CE000B" w:rsidRDefault="00095334" w:rsidP="00095334">
            <w:pPr>
              <w:spacing w:line="360" w:lineRule="auto"/>
              <w:jc w:val="both"/>
              <w:rPr>
                <w:color w:val="auto"/>
                <w:sz w:val="24"/>
                <w:szCs w:val="24"/>
              </w:rPr>
            </w:pPr>
          </w:p>
          <w:p w14:paraId="2C80F766" w14:textId="4FFA2E74" w:rsidR="00095334" w:rsidRPr="00CE000B" w:rsidRDefault="00095334" w:rsidP="00095334">
            <w:pPr>
              <w:spacing w:line="360" w:lineRule="auto"/>
              <w:jc w:val="both"/>
              <w:rPr>
                <w:color w:val="auto"/>
                <w:sz w:val="24"/>
                <w:szCs w:val="24"/>
              </w:rPr>
            </w:pPr>
            <w:r w:rsidRPr="00CE000B">
              <w:rPr>
                <w:color w:val="auto"/>
                <w:sz w:val="24"/>
                <w:szCs w:val="24"/>
              </w:rPr>
              <w:t xml:space="preserve">Welsh safeguarding legislation includes SSW(W)A 2014, Part 7, section 126(1), which defines an adult at risk as someone experiencing, or at risk of, abuse or neglect, who has care and support needs and is unable to protect themselves because of those needs. The Wales Safeguarding Procedures [WSP] </w:t>
            </w:r>
            <w:r w:rsidR="001A69EF">
              <w:rPr>
                <w:color w:val="auto"/>
                <w:sz w:val="24"/>
                <w:szCs w:val="24"/>
              </w:rPr>
              <w:t xml:space="preserve">(SCW, </w:t>
            </w:r>
            <w:r w:rsidRPr="00CE000B">
              <w:rPr>
                <w:color w:val="auto"/>
                <w:sz w:val="24"/>
                <w:szCs w:val="24"/>
              </w:rPr>
              <w:t>2019</w:t>
            </w:r>
            <w:r w:rsidR="001A69EF">
              <w:rPr>
                <w:color w:val="auto"/>
                <w:sz w:val="24"/>
                <w:szCs w:val="24"/>
              </w:rPr>
              <w:t>)</w:t>
            </w:r>
            <w:r w:rsidRPr="00CE000B">
              <w:rPr>
                <w:color w:val="auto"/>
                <w:sz w:val="24"/>
                <w:szCs w:val="24"/>
              </w:rPr>
              <w:t xml:space="preserve"> are the current national procedures used in Wales. They set out adult safeguarding enquiries, signs and categories of harm, including physical, sexual, psychological, emotional and financial abuse, and neglect by a carer (WSP,</w:t>
            </w:r>
            <w:r w:rsidR="009B6113">
              <w:rPr>
                <w:color w:val="auto"/>
                <w:sz w:val="24"/>
                <w:szCs w:val="24"/>
              </w:rPr>
              <w:t xml:space="preserve"> SCW,</w:t>
            </w:r>
            <w:r w:rsidRPr="00CE000B">
              <w:rPr>
                <w:color w:val="auto"/>
                <w:sz w:val="24"/>
                <w:szCs w:val="24"/>
              </w:rPr>
              <w:t xml:space="preserve"> 2019). Safeguarding enquiries can include reporting concerns, multi-agency strategy discussions and the Local Authority [LA] responding to the adult’s needs (WSP, </w:t>
            </w:r>
            <w:r w:rsidR="009B6113">
              <w:rPr>
                <w:color w:val="auto"/>
                <w:sz w:val="24"/>
                <w:szCs w:val="24"/>
              </w:rPr>
              <w:t xml:space="preserve">SCW, </w:t>
            </w:r>
            <w:r w:rsidRPr="00CE000B">
              <w:rPr>
                <w:color w:val="auto"/>
                <w:sz w:val="24"/>
                <w:szCs w:val="24"/>
              </w:rPr>
              <w:t>2019).</w:t>
            </w:r>
          </w:p>
          <w:p w14:paraId="4662EF4E" w14:textId="77777777" w:rsidR="00095334" w:rsidRPr="00CE000B" w:rsidRDefault="00095334" w:rsidP="00095334">
            <w:pPr>
              <w:spacing w:line="360" w:lineRule="auto"/>
              <w:jc w:val="both"/>
              <w:rPr>
                <w:color w:val="auto"/>
                <w:sz w:val="24"/>
                <w:szCs w:val="24"/>
              </w:rPr>
            </w:pPr>
          </w:p>
          <w:p w14:paraId="6A9FDEDE" w14:textId="77777777" w:rsidR="00095334" w:rsidRPr="00CE000B" w:rsidRDefault="00095334" w:rsidP="00095334">
            <w:pPr>
              <w:spacing w:line="360" w:lineRule="auto"/>
              <w:jc w:val="both"/>
              <w:rPr>
                <w:color w:val="auto"/>
                <w:sz w:val="24"/>
                <w:szCs w:val="24"/>
              </w:rPr>
            </w:pPr>
            <w:r w:rsidRPr="00CE000B">
              <w:rPr>
                <w:color w:val="auto"/>
                <w:sz w:val="24"/>
                <w:szCs w:val="24"/>
              </w:rPr>
              <w:t xml:space="preserve">Current statutory guidance under s.131 SSW(W)A 2014, </w:t>
            </w:r>
            <w:r w:rsidRPr="00CE000B">
              <w:rPr>
                <w:i/>
                <w:color w:val="auto"/>
                <w:sz w:val="24"/>
                <w:szCs w:val="24"/>
              </w:rPr>
              <w:t>Working Together to Safeguard People Volume 6</w:t>
            </w:r>
            <w:r w:rsidRPr="00CE000B">
              <w:rPr>
                <w:i/>
                <w:iCs/>
                <w:color w:val="auto"/>
                <w:sz w:val="24"/>
                <w:szCs w:val="24"/>
              </w:rPr>
              <w:t>:</w:t>
            </w:r>
            <w:r w:rsidRPr="00CE000B">
              <w:rPr>
                <w:i/>
                <w:color w:val="auto"/>
                <w:sz w:val="24"/>
                <w:szCs w:val="24"/>
              </w:rPr>
              <w:t xml:space="preserve"> Handling Individual Cases to Protect Adults at Risk</w:t>
            </w:r>
            <w:r w:rsidRPr="00CE000B">
              <w:rPr>
                <w:color w:val="auto"/>
                <w:sz w:val="24"/>
                <w:szCs w:val="24"/>
              </w:rPr>
              <w:t>, explains how the Act should be applied in practice. It outlines multi-agency processes for sharing concerns, identifying support needs and protecting adults at risk (Welsh Government, 2015). The Social Care Wales [SCW</w:t>
            </w:r>
            <w:r w:rsidRPr="00CE000B">
              <w:rPr>
                <w:color w:val="auto"/>
                <w:sz w:val="24"/>
                <w:szCs w:val="24"/>
                <w:shd w:val="clear" w:color="auto" w:fill="FFFF00"/>
              </w:rPr>
              <w:t>]</w:t>
            </w:r>
            <w:r w:rsidRPr="00CE000B">
              <w:rPr>
                <w:color w:val="auto"/>
                <w:sz w:val="24"/>
                <w:szCs w:val="24"/>
              </w:rPr>
              <w:t xml:space="preserve"> Codes of Professional Practice also guide organisational and professional practice by requiring social workers to remain person-centred, accountable and outcome-focused.</w:t>
            </w:r>
          </w:p>
          <w:p w14:paraId="33E4240F" w14:textId="77777777" w:rsidR="00095334" w:rsidRPr="00CE000B" w:rsidRDefault="00095334" w:rsidP="00095334">
            <w:pPr>
              <w:spacing w:line="360" w:lineRule="auto"/>
              <w:jc w:val="both"/>
              <w:rPr>
                <w:color w:val="auto"/>
                <w:sz w:val="24"/>
                <w:szCs w:val="24"/>
              </w:rPr>
            </w:pPr>
          </w:p>
          <w:p w14:paraId="1235CA2F" w14:textId="77777777" w:rsidR="00095334" w:rsidRDefault="00095334" w:rsidP="00095334">
            <w:pPr>
              <w:spacing w:line="360" w:lineRule="auto"/>
              <w:jc w:val="both"/>
              <w:rPr>
                <w:sz w:val="24"/>
                <w:szCs w:val="24"/>
              </w:rPr>
            </w:pPr>
            <w:r w:rsidRPr="00CE000B">
              <w:rPr>
                <w:color w:val="auto"/>
                <w:sz w:val="24"/>
                <w:szCs w:val="24"/>
              </w:rPr>
              <w:t>At a local level, West Glamorgan Safeguarding Board [WGSB] oversees safeguarding processes and collaborative working in my area. Safeguarding Boards bridge Welsh legislation and LA policies and procedures (WGSB, 2026). Organisationally, my LA’s adult safeguarding policy and procedures explain how concerns must be reported internally. Supervision must be sought from my line manager on the same day a concern is identified so it can be shared with the appropriate team promptly. The date, time, what was seen and heard, who was present, and where the incident occurred must be recorded accurately (LA X, 2022). To conclude, adult safeguarding depends on legislation, national, local and organisational procedures working together to ensure timely and person-centred responses to adults at risk</w:t>
            </w:r>
            <w:r w:rsidRPr="00095334">
              <w:rPr>
                <w:sz w:val="24"/>
                <w:szCs w:val="24"/>
              </w:rPr>
              <w:t>.</w:t>
            </w:r>
          </w:p>
          <w:p w14:paraId="273BA2F1" w14:textId="77777777" w:rsidR="00EB339C" w:rsidRPr="00095334" w:rsidRDefault="00EB339C" w:rsidP="00095334">
            <w:pPr>
              <w:spacing w:line="360" w:lineRule="auto"/>
              <w:jc w:val="both"/>
              <w:rPr>
                <w:sz w:val="24"/>
                <w:szCs w:val="24"/>
              </w:rPr>
            </w:pPr>
          </w:p>
          <w:p w14:paraId="6D8CB8AF"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23A7F20B" w14:textId="77777777" w:rsidR="00095334" w:rsidRDefault="00095334" w:rsidP="00FF7EBB">
            <w:pPr>
              <w:jc w:val="both"/>
              <w:rPr>
                <w:sz w:val="24"/>
                <w:szCs w:val="24"/>
              </w:rPr>
            </w:pPr>
          </w:p>
          <w:p w14:paraId="1CE3F5AE" w14:textId="7C5F334E" w:rsidR="00095334" w:rsidRDefault="00095334" w:rsidP="00FF7EBB">
            <w:pPr>
              <w:jc w:val="both"/>
              <w:rPr>
                <w:sz w:val="24"/>
                <w:szCs w:val="24"/>
              </w:rPr>
            </w:pPr>
            <w:r>
              <w:rPr>
                <w:sz w:val="24"/>
                <w:szCs w:val="24"/>
              </w:rPr>
              <w:t xml:space="preserve">Actual word count: 548 words </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785C0A1E" w14:textId="4F2469FA" w:rsidR="00D05235" w:rsidRPr="002A3D5C" w:rsidRDefault="00D05235" w:rsidP="00D05235">
            <w:pPr>
              <w:spacing w:line="360" w:lineRule="auto"/>
              <w:jc w:val="both"/>
              <w:rPr>
                <w:color w:val="auto"/>
                <w:sz w:val="24"/>
                <w:szCs w:val="24"/>
              </w:rPr>
            </w:pPr>
            <w:r w:rsidRPr="00D05235">
              <w:rPr>
                <w:sz w:val="24"/>
                <w:szCs w:val="24"/>
              </w:rPr>
              <w:t xml:space="preserve">There are many </w:t>
            </w:r>
            <w:r w:rsidRPr="00E8181B">
              <w:rPr>
                <w:color w:val="auto"/>
                <w:sz w:val="24"/>
                <w:szCs w:val="24"/>
              </w:rPr>
              <w:t xml:space="preserve">similarities between adult and children’s safeguarding in Wales. Both adult and children’ safeguarding in Wales are led by SSW(W)A 2014 (Douglas and Barlow, 2023). Adults and children have the same rights under the ECHR. It is assumed an individual over the age of eighteen has capacity to make their own decisions unless they have been assessed as lacking capacity as per the Mental Capacity Act 2005. What this means in practice, is adults can choose to make unsafe choices that puts them at risk of harm, and legislation does not force </w:t>
            </w:r>
            <w:r w:rsidRPr="002A3D5C">
              <w:rPr>
                <w:color w:val="auto"/>
                <w:sz w:val="24"/>
                <w:szCs w:val="24"/>
              </w:rPr>
              <w:t xml:space="preserve">professionals and organisations to provide care and support. Although, issue of consent and the WSP </w:t>
            </w:r>
            <w:r w:rsidR="009B6113">
              <w:rPr>
                <w:color w:val="auto"/>
                <w:sz w:val="24"/>
                <w:szCs w:val="24"/>
              </w:rPr>
              <w:t xml:space="preserve">(SCW, </w:t>
            </w:r>
            <w:r w:rsidRPr="002A3D5C">
              <w:rPr>
                <w:color w:val="auto"/>
                <w:sz w:val="24"/>
                <w:szCs w:val="24"/>
              </w:rPr>
              <w:t>2019</w:t>
            </w:r>
            <w:r w:rsidR="009B6113">
              <w:rPr>
                <w:color w:val="auto"/>
                <w:sz w:val="24"/>
                <w:szCs w:val="24"/>
              </w:rPr>
              <w:t>)</w:t>
            </w:r>
            <w:r w:rsidRPr="002A3D5C">
              <w:rPr>
                <w:color w:val="auto"/>
                <w:sz w:val="24"/>
                <w:szCs w:val="24"/>
              </w:rPr>
              <w:t xml:space="preserve"> must be referred to (Douglas and Barlow, 2023). </w:t>
            </w:r>
          </w:p>
          <w:p w14:paraId="74DFDBA5" w14:textId="77777777" w:rsidR="00D05235" w:rsidRPr="002A3D5C" w:rsidRDefault="00D05235" w:rsidP="00D05235">
            <w:pPr>
              <w:spacing w:line="360" w:lineRule="auto"/>
              <w:jc w:val="both"/>
              <w:rPr>
                <w:color w:val="auto"/>
                <w:sz w:val="24"/>
                <w:szCs w:val="24"/>
              </w:rPr>
            </w:pPr>
          </w:p>
          <w:p w14:paraId="7DFD1050" w14:textId="77777777" w:rsidR="00D05235" w:rsidRPr="002A3D5C" w:rsidRDefault="00D05235" w:rsidP="00D05235">
            <w:pPr>
              <w:spacing w:line="360" w:lineRule="auto"/>
              <w:jc w:val="both"/>
              <w:rPr>
                <w:color w:val="auto"/>
                <w:sz w:val="24"/>
                <w:szCs w:val="24"/>
              </w:rPr>
            </w:pPr>
            <w:r w:rsidRPr="002A3D5C">
              <w:rPr>
                <w:color w:val="auto"/>
                <w:sz w:val="24"/>
                <w:szCs w:val="24"/>
              </w:rPr>
              <w:t xml:space="preserve">In comparison, children and young people under the age of eighteen are considered as more vulnerable, as they are dependent on the adults around them to make safe choices and advocate on their behalf (Douglas and Barlow, 2023). Whereas it is assumed majority of adults with capacity can advocate for themselves. Although, SSW(W)A 2014 encourages advocates are offered to al service users regardless of their age. Social Services assess the support needs of both adults and children. However, adults consent is needed and they have the right to decline an assessment. Social Services can assess a child’s need for care and support if the consent of the child and parent’s is not obtained, if threshold for safeguarding enquiries under s.47 of the Children’s Act 1989 has been reached. </w:t>
            </w:r>
          </w:p>
          <w:p w14:paraId="2F207769" w14:textId="77777777" w:rsidR="00D05235" w:rsidRPr="002A3D5C" w:rsidRDefault="00D05235" w:rsidP="00D05235">
            <w:pPr>
              <w:spacing w:line="360" w:lineRule="auto"/>
              <w:jc w:val="both"/>
              <w:rPr>
                <w:color w:val="auto"/>
                <w:sz w:val="24"/>
                <w:szCs w:val="24"/>
              </w:rPr>
            </w:pPr>
          </w:p>
          <w:p w14:paraId="7067D129" w14:textId="550C914E" w:rsidR="00D05235" w:rsidRPr="002A3D5C" w:rsidRDefault="00D05235" w:rsidP="00D05235">
            <w:pPr>
              <w:spacing w:line="360" w:lineRule="auto"/>
              <w:jc w:val="both"/>
              <w:rPr>
                <w:color w:val="auto"/>
                <w:sz w:val="24"/>
                <w:szCs w:val="24"/>
              </w:rPr>
            </w:pPr>
            <w:r w:rsidRPr="002A3D5C">
              <w:rPr>
                <w:color w:val="auto"/>
                <w:sz w:val="24"/>
                <w:szCs w:val="24"/>
              </w:rPr>
              <w:t>Adults safeguarding, in summary, focuses o</w:t>
            </w:r>
            <w:r w:rsidR="004B4509" w:rsidRPr="002A3D5C">
              <w:rPr>
                <w:color w:val="auto"/>
                <w:sz w:val="24"/>
                <w:szCs w:val="24"/>
              </w:rPr>
              <w:t>n supporting adults who want to access a support service</w:t>
            </w:r>
            <w:r w:rsidR="00460B79" w:rsidRPr="002A3D5C">
              <w:rPr>
                <w:color w:val="auto"/>
                <w:sz w:val="24"/>
                <w:szCs w:val="24"/>
              </w:rPr>
              <w:t xml:space="preserve"> whereas </w:t>
            </w:r>
            <w:r w:rsidRPr="002A3D5C">
              <w:rPr>
                <w:color w:val="auto"/>
                <w:sz w:val="24"/>
                <w:szCs w:val="24"/>
              </w:rPr>
              <w:t xml:space="preserve">children’s safeguarding focuses on whether the child is protected from harm and the impact of harm on their welfare. Under the Children Act 1989, professionals must prioritise the child’s welfare. </w:t>
            </w:r>
            <w:r w:rsidR="001466F6" w:rsidRPr="002A3D5C">
              <w:rPr>
                <w:color w:val="auto"/>
                <w:sz w:val="24"/>
                <w:szCs w:val="24"/>
              </w:rPr>
              <w:t xml:space="preserve">Although, the Gillick competence helps </w:t>
            </w:r>
            <w:r w:rsidR="00E5066D" w:rsidRPr="002A3D5C">
              <w:rPr>
                <w:color w:val="auto"/>
                <w:sz w:val="24"/>
                <w:szCs w:val="24"/>
              </w:rPr>
              <w:t xml:space="preserve">determine to what extent </w:t>
            </w:r>
            <w:r w:rsidR="00E5066D" w:rsidRPr="002A3D5C">
              <w:rPr>
                <w:color w:val="auto"/>
                <w:sz w:val="24"/>
                <w:szCs w:val="24"/>
              </w:rPr>
              <w:lastRenderedPageBreak/>
              <w:t xml:space="preserve">a child or young person understands and is able to make independent decisions. </w:t>
            </w:r>
            <w:r w:rsidRPr="002A3D5C">
              <w:rPr>
                <w:color w:val="auto"/>
                <w:sz w:val="24"/>
                <w:szCs w:val="24"/>
              </w:rPr>
              <w:t xml:space="preserve">Similarly to how an adult is deemed to have capacity or not, and whether they can make their own decisions, the Gillick competency and Fraser guidelines support professionals who work in children’s safeguarding to </w:t>
            </w:r>
            <w:r w:rsidR="008E0F95" w:rsidRPr="002A3D5C">
              <w:rPr>
                <w:color w:val="auto"/>
                <w:sz w:val="24"/>
                <w:szCs w:val="24"/>
              </w:rPr>
              <w:t xml:space="preserve">balance </w:t>
            </w:r>
            <w:r w:rsidRPr="002A3D5C">
              <w:rPr>
                <w:color w:val="auto"/>
                <w:sz w:val="24"/>
                <w:szCs w:val="24"/>
              </w:rPr>
              <w:t xml:space="preserve">children and young people’s wishes, with the professional and legal obligation to protect children from harm (Parekh, 2006). </w:t>
            </w: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2577CE79" w14:textId="77777777" w:rsidR="00D05235" w:rsidRDefault="00D05235" w:rsidP="00FC0334">
            <w:pPr>
              <w:jc w:val="both"/>
              <w:rPr>
                <w:i/>
                <w:sz w:val="24"/>
                <w:szCs w:val="24"/>
              </w:rPr>
            </w:pPr>
          </w:p>
          <w:p w14:paraId="1A71635A" w14:textId="2BCF3CAA" w:rsidR="00D05235" w:rsidRPr="00D05235" w:rsidRDefault="00D05235" w:rsidP="00FC0334">
            <w:pPr>
              <w:jc w:val="both"/>
              <w:rPr>
                <w:iCs/>
                <w:sz w:val="24"/>
                <w:szCs w:val="24"/>
              </w:rPr>
            </w:pPr>
            <w:r>
              <w:rPr>
                <w:iCs/>
                <w:sz w:val="24"/>
                <w:szCs w:val="24"/>
              </w:rPr>
              <w:t>Actual word count: 3</w:t>
            </w:r>
            <w:r w:rsidR="009D38CA">
              <w:rPr>
                <w:iCs/>
                <w:sz w:val="24"/>
                <w:szCs w:val="24"/>
              </w:rPr>
              <w:t>67</w:t>
            </w:r>
            <w:r>
              <w:rPr>
                <w:iCs/>
                <w:sz w:val="24"/>
                <w:szCs w:val="24"/>
              </w:rPr>
              <w:t xml:space="preserve"> words </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BCB591" w14:textId="77777777" w:rsidR="00AC4556" w:rsidRDefault="00AC4556">
      <w:r>
        <w:separator/>
      </w:r>
    </w:p>
  </w:endnote>
  <w:endnote w:type="continuationSeparator" w:id="0">
    <w:p w14:paraId="358AFC1F" w14:textId="77777777" w:rsidR="00AC4556" w:rsidRDefault="00AC45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0E52DF" w14:textId="77777777" w:rsidR="00AC4556" w:rsidRDefault="00AC4556">
      <w:r>
        <w:separator/>
      </w:r>
    </w:p>
  </w:footnote>
  <w:footnote w:type="continuationSeparator" w:id="0">
    <w:p w14:paraId="799CFEB0" w14:textId="77777777" w:rsidR="00AC4556" w:rsidRDefault="00AC455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057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334"/>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707A"/>
    <w:rsid w:val="00130119"/>
    <w:rsid w:val="00132812"/>
    <w:rsid w:val="001347F8"/>
    <w:rsid w:val="001359EE"/>
    <w:rsid w:val="00137BB5"/>
    <w:rsid w:val="00137E05"/>
    <w:rsid w:val="001447F6"/>
    <w:rsid w:val="001466F6"/>
    <w:rsid w:val="00147DE3"/>
    <w:rsid w:val="00150794"/>
    <w:rsid w:val="00151DA6"/>
    <w:rsid w:val="001608C4"/>
    <w:rsid w:val="00164832"/>
    <w:rsid w:val="00171418"/>
    <w:rsid w:val="001772BF"/>
    <w:rsid w:val="001772DE"/>
    <w:rsid w:val="0019496C"/>
    <w:rsid w:val="001961CF"/>
    <w:rsid w:val="001A59BB"/>
    <w:rsid w:val="001A607E"/>
    <w:rsid w:val="001A69EF"/>
    <w:rsid w:val="001A6A51"/>
    <w:rsid w:val="001A79C4"/>
    <w:rsid w:val="001B331A"/>
    <w:rsid w:val="001C0237"/>
    <w:rsid w:val="001C0E74"/>
    <w:rsid w:val="001C4DB8"/>
    <w:rsid w:val="001C50B8"/>
    <w:rsid w:val="001C74C9"/>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60A3"/>
    <w:rsid w:val="00260663"/>
    <w:rsid w:val="002657E9"/>
    <w:rsid w:val="0026665E"/>
    <w:rsid w:val="0027147E"/>
    <w:rsid w:val="00273F29"/>
    <w:rsid w:val="002761F4"/>
    <w:rsid w:val="002775E1"/>
    <w:rsid w:val="00277979"/>
    <w:rsid w:val="00291ADD"/>
    <w:rsid w:val="002920DF"/>
    <w:rsid w:val="00292F3D"/>
    <w:rsid w:val="00295CA1"/>
    <w:rsid w:val="002A0E51"/>
    <w:rsid w:val="002A1A44"/>
    <w:rsid w:val="002A291A"/>
    <w:rsid w:val="002A2C54"/>
    <w:rsid w:val="002A3D5C"/>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D689F"/>
    <w:rsid w:val="003E0DD8"/>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0B7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4509"/>
    <w:rsid w:val="004B5553"/>
    <w:rsid w:val="004B600B"/>
    <w:rsid w:val="004B6822"/>
    <w:rsid w:val="004B69F6"/>
    <w:rsid w:val="004C2D3A"/>
    <w:rsid w:val="004D03C4"/>
    <w:rsid w:val="004D0BF1"/>
    <w:rsid w:val="004D0F4E"/>
    <w:rsid w:val="004D3278"/>
    <w:rsid w:val="004D35A4"/>
    <w:rsid w:val="004D445F"/>
    <w:rsid w:val="004E087B"/>
    <w:rsid w:val="004E2B4E"/>
    <w:rsid w:val="004E44A4"/>
    <w:rsid w:val="004E7B8B"/>
    <w:rsid w:val="004E7BDD"/>
    <w:rsid w:val="004F1966"/>
    <w:rsid w:val="004F1E21"/>
    <w:rsid w:val="004F2542"/>
    <w:rsid w:val="004F4E33"/>
    <w:rsid w:val="004F740D"/>
    <w:rsid w:val="004F7B8F"/>
    <w:rsid w:val="00500748"/>
    <w:rsid w:val="005011D6"/>
    <w:rsid w:val="0050202E"/>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2D81"/>
    <w:rsid w:val="00557D77"/>
    <w:rsid w:val="00562EAA"/>
    <w:rsid w:val="00563B58"/>
    <w:rsid w:val="005640C4"/>
    <w:rsid w:val="0056684C"/>
    <w:rsid w:val="00574A0C"/>
    <w:rsid w:val="0057780F"/>
    <w:rsid w:val="00581E0A"/>
    <w:rsid w:val="005855A1"/>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4F46"/>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08AE"/>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560"/>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0F95"/>
    <w:rsid w:val="008E3195"/>
    <w:rsid w:val="008E5A35"/>
    <w:rsid w:val="008F127E"/>
    <w:rsid w:val="008F32D9"/>
    <w:rsid w:val="00902A65"/>
    <w:rsid w:val="00903932"/>
    <w:rsid w:val="009079BD"/>
    <w:rsid w:val="00912BD9"/>
    <w:rsid w:val="00916FB2"/>
    <w:rsid w:val="00920E5B"/>
    <w:rsid w:val="009248BF"/>
    <w:rsid w:val="00926436"/>
    <w:rsid w:val="00926C53"/>
    <w:rsid w:val="0093018C"/>
    <w:rsid w:val="0094361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6113"/>
    <w:rsid w:val="009B7136"/>
    <w:rsid w:val="009C337F"/>
    <w:rsid w:val="009C53E7"/>
    <w:rsid w:val="009C6092"/>
    <w:rsid w:val="009C7342"/>
    <w:rsid w:val="009D38CA"/>
    <w:rsid w:val="009D4365"/>
    <w:rsid w:val="009D477B"/>
    <w:rsid w:val="009D4E3B"/>
    <w:rsid w:val="009D59C2"/>
    <w:rsid w:val="009D7BC9"/>
    <w:rsid w:val="009E122F"/>
    <w:rsid w:val="009E1982"/>
    <w:rsid w:val="009E4D2C"/>
    <w:rsid w:val="009F0978"/>
    <w:rsid w:val="009F3AEC"/>
    <w:rsid w:val="009F6801"/>
    <w:rsid w:val="00A00081"/>
    <w:rsid w:val="00A019BB"/>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556"/>
    <w:rsid w:val="00AC4A04"/>
    <w:rsid w:val="00AC5679"/>
    <w:rsid w:val="00AD336F"/>
    <w:rsid w:val="00AE134C"/>
    <w:rsid w:val="00AE1868"/>
    <w:rsid w:val="00AE2564"/>
    <w:rsid w:val="00AE301F"/>
    <w:rsid w:val="00AE3302"/>
    <w:rsid w:val="00AE457A"/>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225C"/>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000B"/>
    <w:rsid w:val="00CE4BC4"/>
    <w:rsid w:val="00CE7DA2"/>
    <w:rsid w:val="00CF2F8A"/>
    <w:rsid w:val="00CF3DB3"/>
    <w:rsid w:val="00D0274B"/>
    <w:rsid w:val="00D0503D"/>
    <w:rsid w:val="00D05235"/>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2D13"/>
    <w:rsid w:val="00DA5682"/>
    <w:rsid w:val="00DA5860"/>
    <w:rsid w:val="00DA5C0C"/>
    <w:rsid w:val="00DB2767"/>
    <w:rsid w:val="00DC1B10"/>
    <w:rsid w:val="00DC2924"/>
    <w:rsid w:val="00DC4729"/>
    <w:rsid w:val="00DC6FA2"/>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66D"/>
    <w:rsid w:val="00E50821"/>
    <w:rsid w:val="00E51F91"/>
    <w:rsid w:val="00E5498A"/>
    <w:rsid w:val="00E559CE"/>
    <w:rsid w:val="00E60F42"/>
    <w:rsid w:val="00E6746C"/>
    <w:rsid w:val="00E7086E"/>
    <w:rsid w:val="00E71248"/>
    <w:rsid w:val="00E73C41"/>
    <w:rsid w:val="00E75911"/>
    <w:rsid w:val="00E7598F"/>
    <w:rsid w:val="00E76F60"/>
    <w:rsid w:val="00E812B5"/>
    <w:rsid w:val="00E8181B"/>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339C"/>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46</TotalTime>
  <Pages>5</Pages>
  <Words>1136</Words>
  <Characters>6433</Characters>
  <Application>Microsoft Office Word</Application>
  <DocSecurity>0</DocSecurity>
  <Lines>136</Lines>
  <Paragraphs>35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Nikita Weaver</cp:lastModifiedBy>
  <cp:revision>26</cp:revision>
  <cp:lastPrinted>2020-02-11T19:20:00Z</cp:lastPrinted>
  <dcterms:created xsi:type="dcterms:W3CDTF">2026-08-15T10:17:00Z</dcterms:created>
  <dcterms:modified xsi:type="dcterms:W3CDTF">2026-10-03T18:07:00Z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