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8A4DD7" w14:textId="77777777" w:rsidR="00DD1698" w:rsidRDefault="00DD1698" w:rsidP="00DD1698">
      <w:r>
        <w:rPr>
          <w:noProof/>
        </w:rPr>
        <w:drawing>
          <wp:inline distT="0" distB="0" distL="0" distR="0" wp14:anchorId="5959908F" wp14:editId="5C0BAC51">
            <wp:extent cx="2197100" cy="1098550"/>
            <wp:effectExtent l="0" t="0" r="0" b="6350"/>
            <wp:docPr id="527614896" name="Kép 527614896" descr="A képen szöveg, Betűtípus, embléma, szimbólum látható&#10;&#10;Automatikusan generált leírá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614896" name="Kép 527614896" descr="A képen szöveg, Betűtípus, embléma, szimbólum látható&#10;&#10;Automatikusan generált leírás"/>
                    <pic:cNvPicPr/>
                  </pic:nvPicPr>
                  <pic:blipFill>
                    <a:blip r:embed="rId4" cstate="print">
                      <a:extLst>
                        <a:ext uri="{28A0092B-C50C-407E-A947-70E740481C1C}">
                          <a14:useLocalDpi xmlns:a14="http://schemas.microsoft.com/office/drawing/2010/main" val="0"/>
                        </a:ext>
                      </a:extLst>
                    </a:blip>
                    <a:stretch>
                      <a:fillRect/>
                    </a:stretch>
                  </pic:blipFill>
                  <pic:spPr>
                    <a:xfrm>
                      <a:off x="0" y="0"/>
                      <a:ext cx="2197100" cy="1098550"/>
                    </a:xfrm>
                    <a:prstGeom prst="rect">
                      <a:avLst/>
                    </a:prstGeom>
                  </pic:spPr>
                </pic:pic>
              </a:graphicData>
            </a:graphic>
          </wp:inline>
        </w:drawing>
      </w:r>
    </w:p>
    <w:p w14:paraId="55D92B50" w14:textId="77777777" w:rsidR="00DD1698" w:rsidRDefault="00DD1698" w:rsidP="00DD1698">
      <w:pPr>
        <w:rPr>
          <w:szCs w:val="32"/>
        </w:rPr>
      </w:pPr>
    </w:p>
    <w:p w14:paraId="075F7FCC" w14:textId="77777777" w:rsidR="00DD1698" w:rsidRDefault="00DD1698" w:rsidP="00DD1698">
      <w:pPr>
        <w:rPr>
          <w:szCs w:val="32"/>
        </w:rPr>
      </w:pPr>
    </w:p>
    <w:p w14:paraId="75B65F84" w14:textId="77777777" w:rsidR="00DD1698" w:rsidRPr="00CC1A0F" w:rsidRDefault="00DD1698" w:rsidP="00DD1698">
      <w:pPr>
        <w:rPr>
          <w:szCs w:val="32"/>
          <w:lang w:val="en-GB"/>
        </w:rPr>
      </w:pPr>
    </w:p>
    <w:p w14:paraId="707B43CF" w14:textId="77777777" w:rsidR="00DD1698" w:rsidRPr="00CC1A0F" w:rsidRDefault="00DD1698" w:rsidP="00DD1698">
      <w:pPr>
        <w:rPr>
          <w:szCs w:val="32"/>
          <w:lang w:val="en-GB"/>
        </w:rPr>
      </w:pPr>
      <w:r w:rsidRPr="00CC1A0F">
        <w:rPr>
          <w:szCs w:val="32"/>
          <w:lang w:val="en-GB"/>
        </w:rPr>
        <w:t xml:space="preserve">Name: Brigitta Horváth  </w:t>
      </w:r>
    </w:p>
    <w:p w14:paraId="43E55BF4" w14:textId="77777777" w:rsidR="00DD1698" w:rsidRPr="00CC1A0F" w:rsidRDefault="00DD1698" w:rsidP="00DD1698">
      <w:pPr>
        <w:rPr>
          <w:szCs w:val="32"/>
          <w:lang w:val="en-GB"/>
        </w:rPr>
      </w:pPr>
      <w:r w:rsidRPr="00CC1A0F">
        <w:rPr>
          <w:szCs w:val="32"/>
          <w:lang w:val="en-GB"/>
        </w:rPr>
        <w:t>Student ID: 2213952</w:t>
      </w:r>
    </w:p>
    <w:p w14:paraId="51056DF1" w14:textId="77777777" w:rsidR="00DD1698" w:rsidRPr="00CC1A0F" w:rsidRDefault="00DD1698" w:rsidP="00DD1698">
      <w:pPr>
        <w:rPr>
          <w:szCs w:val="32"/>
          <w:lang w:val="en-GB"/>
        </w:rPr>
      </w:pPr>
      <w:r w:rsidRPr="00CC1A0F">
        <w:rPr>
          <w:szCs w:val="32"/>
          <w:lang w:val="en-GB"/>
        </w:rPr>
        <w:t xml:space="preserve">Module code: LCBB5004 </w:t>
      </w:r>
    </w:p>
    <w:p w14:paraId="58578945" w14:textId="77777777" w:rsidR="00DD1698" w:rsidRPr="00CC1A0F" w:rsidRDefault="00DD1698" w:rsidP="00DD1698">
      <w:pPr>
        <w:rPr>
          <w:szCs w:val="32"/>
          <w:lang w:val="en-GB"/>
        </w:rPr>
      </w:pPr>
      <w:r w:rsidRPr="00CC1A0F">
        <w:rPr>
          <w:szCs w:val="32"/>
          <w:lang w:val="en-GB"/>
        </w:rPr>
        <w:t xml:space="preserve">Lecturer: </w:t>
      </w:r>
      <w:proofErr w:type="spellStart"/>
      <w:r w:rsidRPr="00CC1A0F">
        <w:rPr>
          <w:szCs w:val="32"/>
          <w:lang w:val="en-GB"/>
        </w:rPr>
        <w:t>Dr.</w:t>
      </w:r>
      <w:proofErr w:type="spellEnd"/>
      <w:r w:rsidRPr="00CC1A0F">
        <w:rPr>
          <w:szCs w:val="32"/>
          <w:lang w:val="en-GB"/>
        </w:rPr>
        <w:t xml:space="preserve"> </w:t>
      </w:r>
      <w:proofErr w:type="spellStart"/>
      <w:r w:rsidRPr="00CC1A0F">
        <w:rPr>
          <w:szCs w:val="32"/>
          <w:lang w:val="en-GB"/>
        </w:rPr>
        <w:t>Mushfiqir</w:t>
      </w:r>
      <w:proofErr w:type="spellEnd"/>
      <w:r w:rsidRPr="00CC1A0F">
        <w:rPr>
          <w:szCs w:val="32"/>
          <w:lang w:val="en-GB"/>
        </w:rPr>
        <w:t xml:space="preserve"> Rahman</w:t>
      </w:r>
    </w:p>
    <w:p w14:paraId="313A0A4A" w14:textId="77777777" w:rsidR="00DD1698" w:rsidRPr="00CC1A0F" w:rsidRDefault="00DD1698" w:rsidP="00DD1698">
      <w:pPr>
        <w:rPr>
          <w:szCs w:val="32"/>
          <w:lang w:val="en-GB"/>
        </w:rPr>
      </w:pPr>
    </w:p>
    <w:p w14:paraId="1AA973C7" w14:textId="77777777" w:rsidR="00DD1698" w:rsidRPr="00CC1A0F" w:rsidRDefault="00DD1698" w:rsidP="00DD1698">
      <w:pPr>
        <w:rPr>
          <w:szCs w:val="32"/>
          <w:lang w:val="en-GB"/>
        </w:rPr>
      </w:pPr>
    </w:p>
    <w:p w14:paraId="71CB6A4A" w14:textId="77777777" w:rsidR="00DD1698" w:rsidRPr="00CC1A0F" w:rsidRDefault="00DD1698" w:rsidP="00DD1698">
      <w:pPr>
        <w:rPr>
          <w:szCs w:val="32"/>
          <w:lang w:val="en-GB"/>
        </w:rPr>
      </w:pPr>
    </w:p>
    <w:p w14:paraId="23B98049" w14:textId="77777777" w:rsidR="00DD1698" w:rsidRPr="00CC1A0F" w:rsidRDefault="00DD1698" w:rsidP="00DD1698">
      <w:pPr>
        <w:rPr>
          <w:szCs w:val="32"/>
          <w:lang w:val="en-GB"/>
        </w:rPr>
      </w:pPr>
    </w:p>
    <w:p w14:paraId="1E7B3D79" w14:textId="77777777" w:rsidR="00DD1698" w:rsidRPr="00CC1A0F" w:rsidRDefault="00DD1698" w:rsidP="00DD1698">
      <w:pPr>
        <w:rPr>
          <w:szCs w:val="32"/>
          <w:lang w:val="en-GB"/>
        </w:rPr>
      </w:pPr>
    </w:p>
    <w:p w14:paraId="78F21356" w14:textId="77777777" w:rsidR="00DD1698" w:rsidRPr="00CC1A0F" w:rsidRDefault="00DD1698" w:rsidP="00DD1698">
      <w:pPr>
        <w:rPr>
          <w:szCs w:val="32"/>
          <w:lang w:val="en-GB"/>
        </w:rPr>
      </w:pPr>
    </w:p>
    <w:p w14:paraId="79DCB5E9" w14:textId="77777777" w:rsidR="00DD1698" w:rsidRPr="00CC1A0F" w:rsidRDefault="00DD1698" w:rsidP="00DD1698">
      <w:pPr>
        <w:rPr>
          <w:szCs w:val="32"/>
          <w:lang w:val="en-GB"/>
        </w:rPr>
      </w:pPr>
    </w:p>
    <w:p w14:paraId="233BAC99" w14:textId="77777777" w:rsidR="00DD1698" w:rsidRPr="00CC1A0F" w:rsidRDefault="00DD1698" w:rsidP="00DD1698">
      <w:pPr>
        <w:jc w:val="center"/>
        <w:rPr>
          <w:sz w:val="40"/>
          <w:szCs w:val="40"/>
          <w:lang w:val="en-GB"/>
        </w:rPr>
      </w:pPr>
      <w:r w:rsidRPr="00CC1A0F">
        <w:rPr>
          <w:sz w:val="40"/>
          <w:szCs w:val="40"/>
          <w:lang w:val="en-GB"/>
        </w:rPr>
        <w:t>Assignment 2</w:t>
      </w:r>
    </w:p>
    <w:p w14:paraId="43593449" w14:textId="77777777" w:rsidR="00DD1698" w:rsidRPr="00CC1A0F" w:rsidRDefault="00DD1698" w:rsidP="00DD1698">
      <w:pPr>
        <w:rPr>
          <w:sz w:val="40"/>
          <w:szCs w:val="40"/>
          <w:lang w:val="en-GB"/>
        </w:rPr>
      </w:pPr>
      <w:r w:rsidRPr="00CC1A0F">
        <w:rPr>
          <w:sz w:val="40"/>
          <w:szCs w:val="40"/>
          <w:lang w:val="en-GB"/>
        </w:rPr>
        <w:br w:type="page"/>
      </w:r>
    </w:p>
    <w:p w14:paraId="5037B208" w14:textId="77777777" w:rsidR="00DD1698" w:rsidRPr="00CC1A0F" w:rsidRDefault="00DD1698" w:rsidP="00DD1698">
      <w:pPr>
        <w:pStyle w:val="Cmsor1"/>
        <w:rPr>
          <w:lang w:val="en-GB"/>
        </w:rPr>
      </w:pPr>
      <w:r w:rsidRPr="00CC1A0F">
        <w:rPr>
          <w:lang w:val="en-GB"/>
        </w:rPr>
        <w:lastRenderedPageBreak/>
        <w:t>Introduction</w:t>
      </w:r>
    </w:p>
    <w:p w14:paraId="03B5AAC3" w14:textId="77777777" w:rsidR="00DD1698" w:rsidRPr="00CC1A0F" w:rsidRDefault="00DD1698" w:rsidP="00DD1698">
      <w:pPr>
        <w:rPr>
          <w:lang w:val="en-GB"/>
        </w:rPr>
      </w:pPr>
    </w:p>
    <w:p w14:paraId="6B64A3C0" w14:textId="77777777" w:rsidR="00DD1698" w:rsidRPr="00CC1A0F" w:rsidRDefault="00DD1698" w:rsidP="00DD1698">
      <w:pPr>
        <w:rPr>
          <w:lang w:val="en-GB"/>
        </w:rPr>
      </w:pPr>
      <w:r w:rsidRPr="00CC1A0F">
        <w:rPr>
          <w:lang w:val="en-GB"/>
        </w:rPr>
        <w:t xml:space="preserve">  This essay examines the effectiveness of teleworking and hybrid working and the evaluation of employee performance. The focus is on the teleworking trends and challenges that have accelerated </w:t>
      </w:r>
      <w:proofErr w:type="gramStart"/>
      <w:r w:rsidRPr="00CC1A0F">
        <w:rPr>
          <w:lang w:val="en-GB"/>
        </w:rPr>
        <w:t>as a result of</w:t>
      </w:r>
      <w:proofErr w:type="gramEnd"/>
      <w:r w:rsidRPr="00CC1A0F">
        <w:rPr>
          <w:lang w:val="en-GB"/>
        </w:rPr>
        <w:t xml:space="preserve"> COVID-19. The paper highlights the role of </w:t>
      </w:r>
      <w:proofErr w:type="spellStart"/>
      <w:r w:rsidRPr="00CC1A0F">
        <w:rPr>
          <w:lang w:val="en-GB"/>
        </w:rPr>
        <w:t>Prodoscore</w:t>
      </w:r>
      <w:proofErr w:type="spellEnd"/>
      <w:r w:rsidRPr="00CC1A0F">
        <w:rPr>
          <w:lang w:val="en-GB"/>
        </w:rPr>
        <w:t xml:space="preserve"> data analytics in telework, where it discusses worker productivity through empirical data. It also presents three other important tools related to performance appraisal: feedback systems in performance management software, frequent informal checks, and four different work performance appraisal techniques for remote working. The aim of this essay is to explore how these tools help to effectively manage remote working and evaluate employee performance in a changing work environment.</w:t>
      </w:r>
    </w:p>
    <w:p w14:paraId="0EEADD56" w14:textId="77777777" w:rsidR="00DD1698" w:rsidRPr="00CC1A0F" w:rsidRDefault="00DD1698" w:rsidP="00DD1698">
      <w:pPr>
        <w:rPr>
          <w:lang w:val="en-GB"/>
        </w:rPr>
      </w:pPr>
    </w:p>
    <w:p w14:paraId="6339E4F6" w14:textId="77777777" w:rsidR="00DD1698" w:rsidRPr="00CC1A0F" w:rsidRDefault="00DD1698" w:rsidP="00DD1698">
      <w:pPr>
        <w:pStyle w:val="Cmsor1"/>
        <w:rPr>
          <w:lang w:val="en-GB"/>
        </w:rPr>
      </w:pPr>
      <w:r w:rsidRPr="00CC1A0F">
        <w:rPr>
          <w:lang w:val="en-GB"/>
        </w:rPr>
        <w:t>The role of technology in appraising the performance of remote workers</w:t>
      </w:r>
    </w:p>
    <w:p w14:paraId="3F119E77" w14:textId="77777777" w:rsidR="00DD1698" w:rsidRPr="00CC1A0F" w:rsidRDefault="00DD1698" w:rsidP="00DD1698">
      <w:pPr>
        <w:rPr>
          <w:lang w:val="en-GB"/>
        </w:rPr>
      </w:pPr>
    </w:p>
    <w:p w14:paraId="21F900B1" w14:textId="77777777" w:rsidR="00DD1698" w:rsidRPr="00CC1A0F" w:rsidRDefault="00DD1698" w:rsidP="00DD1698">
      <w:pPr>
        <w:rPr>
          <w:lang w:val="en-GB"/>
        </w:rPr>
      </w:pPr>
      <w:r w:rsidRPr="00CC1A0F">
        <w:rPr>
          <w:lang w:val="en-GB"/>
        </w:rPr>
        <w:t xml:space="preserve">  The pre-pandemic wave of remote working, driven by factors such as technological readiness and the evolution of work dynamics, </w:t>
      </w:r>
      <w:r>
        <w:rPr>
          <w:lang w:val="en-GB"/>
        </w:rPr>
        <w:t>experienced</w:t>
      </w:r>
      <w:r w:rsidRPr="00CC1A0F">
        <w:rPr>
          <w:lang w:val="en-GB"/>
        </w:rPr>
        <w:t xml:space="preserve"> a major transformation during the COVID-19 pandemic. The</w:t>
      </w:r>
      <w:r>
        <w:rPr>
          <w:lang w:val="en-GB"/>
        </w:rPr>
        <w:t>se changes brought about new terminology</w:t>
      </w:r>
      <w:r w:rsidRPr="00CC1A0F">
        <w:rPr>
          <w:lang w:val="en-GB"/>
        </w:rPr>
        <w:t xml:space="preserve"> includ</w:t>
      </w:r>
      <w:r>
        <w:rPr>
          <w:lang w:val="en-GB"/>
        </w:rPr>
        <w:t xml:space="preserve">ing </w:t>
      </w:r>
      <w:r w:rsidRPr="00CC1A0F">
        <w:rPr>
          <w:lang w:val="en-GB"/>
        </w:rPr>
        <w:t>telework, remote work and e-work</w:t>
      </w:r>
      <w:r>
        <w:rPr>
          <w:lang w:val="en-GB"/>
        </w:rPr>
        <w:t xml:space="preserve"> to </w:t>
      </w:r>
      <w:r w:rsidRPr="00CC1A0F">
        <w:rPr>
          <w:lang w:val="en-GB"/>
        </w:rPr>
        <w:t xml:space="preserve">reflect the varied pattern of this </w:t>
      </w:r>
      <w:r>
        <w:rPr>
          <w:lang w:val="en-GB"/>
        </w:rPr>
        <w:t>new era</w:t>
      </w:r>
      <w:r w:rsidRPr="00CC1A0F">
        <w:rPr>
          <w:lang w:val="en-GB"/>
        </w:rPr>
        <w:t xml:space="preserve">. Positive assumptions about improvements in worker well-being and performance through telework coexist with concerns about potential drawbacks, such as ergonomic problems and reduced social support (Raj et al., 2023). </w:t>
      </w:r>
    </w:p>
    <w:p w14:paraId="689C4863" w14:textId="77777777" w:rsidR="00DD1698" w:rsidRPr="00CC1A0F" w:rsidRDefault="00DD1698" w:rsidP="00DD1698">
      <w:pPr>
        <w:rPr>
          <w:lang w:val="en-GB"/>
        </w:rPr>
      </w:pPr>
      <w:r w:rsidRPr="00CC1A0F">
        <w:rPr>
          <w:lang w:val="en-GB"/>
        </w:rPr>
        <w:t xml:space="preserve"> The landscape of remote working changed significantly during the COVID-19 epidemic</w:t>
      </w:r>
      <w:r>
        <w:rPr>
          <w:lang w:val="en-GB"/>
        </w:rPr>
        <w:t xml:space="preserve"> and the time that followed</w:t>
      </w:r>
      <w:r w:rsidRPr="00CC1A0F">
        <w:rPr>
          <w:lang w:val="en-GB"/>
        </w:rPr>
        <w:t xml:space="preserve">: between September 2022 and January 2023, 16% of working adults worked exclusively from home and 28% used a hybrid model. Those with higher incomes, degrees and professional occupations were more inclined towards full-time teleworking or hybrid work. After </w:t>
      </w:r>
      <w:r>
        <w:rPr>
          <w:lang w:val="en-GB"/>
        </w:rPr>
        <w:t>restrictions lifted</w:t>
      </w:r>
      <w:r w:rsidRPr="00CC1A0F">
        <w:rPr>
          <w:lang w:val="en-GB"/>
        </w:rPr>
        <w:t xml:space="preserve">, teleworking remained resilient, fluctuating between 25% and 40%, indicating its flexibility. The economic and social impacts of </w:t>
      </w:r>
      <w:r>
        <w:rPr>
          <w:lang w:val="en-GB"/>
        </w:rPr>
        <w:t>distance working</w:t>
      </w:r>
      <w:r w:rsidRPr="00CC1A0F">
        <w:rPr>
          <w:lang w:val="en-GB"/>
        </w:rPr>
        <w:t xml:space="preserve"> </w:t>
      </w:r>
      <w:proofErr w:type="gramStart"/>
      <w:r w:rsidRPr="00CC1A0F">
        <w:rPr>
          <w:lang w:val="en-GB"/>
        </w:rPr>
        <w:t>persist</w:t>
      </w:r>
      <w:proofErr w:type="gramEnd"/>
      <w:r>
        <w:rPr>
          <w:lang w:val="en-GB"/>
        </w:rPr>
        <w:t xml:space="preserve"> and</w:t>
      </w:r>
      <w:r w:rsidRPr="00CC1A0F">
        <w:rPr>
          <w:lang w:val="en-GB"/>
        </w:rPr>
        <w:t xml:space="preserve"> the different views and experiences of workers highlight the nuanced nature of t</w:t>
      </w:r>
      <w:r>
        <w:rPr>
          <w:lang w:val="en-GB"/>
        </w:rPr>
        <w:t>his</w:t>
      </w:r>
      <w:r w:rsidRPr="00CC1A0F">
        <w:rPr>
          <w:lang w:val="en-GB"/>
        </w:rPr>
        <w:t>. (Office for National Statistics, (2023)</w:t>
      </w:r>
    </w:p>
    <w:p w14:paraId="4E91DFBF" w14:textId="77777777" w:rsidR="00DD1698" w:rsidRPr="00CC1A0F" w:rsidRDefault="00DD1698" w:rsidP="00DD1698">
      <w:pPr>
        <w:rPr>
          <w:lang w:val="en-GB"/>
        </w:rPr>
      </w:pPr>
      <w:r w:rsidRPr="00CC1A0F">
        <w:rPr>
          <w:lang w:val="en-GB"/>
        </w:rPr>
        <w:t xml:space="preserve"> Teleworking significantly affects workers' perceptions of themselves and their workplace. Studies show increased job satisfaction, job involvement and motivation among teleworkers. Positive effects are attributed to reduced work-life conflict, greater </w:t>
      </w:r>
      <w:proofErr w:type="gramStart"/>
      <w:r w:rsidRPr="00CC1A0F">
        <w:rPr>
          <w:lang w:val="en-GB"/>
        </w:rPr>
        <w:t>autonomy</w:t>
      </w:r>
      <w:proofErr w:type="gramEnd"/>
      <w:r w:rsidRPr="00CC1A0F">
        <w:rPr>
          <w:lang w:val="en-GB"/>
        </w:rPr>
        <w:t xml:space="preserve"> and support from colleagues. However, challenges also arise in the form of higher work demands, role ambiguity and reduced organisational identification. The intensity of teleworking </w:t>
      </w:r>
      <w:r>
        <w:rPr>
          <w:lang w:val="en-GB"/>
        </w:rPr>
        <w:t xml:space="preserve">can result in a better work life balance for part time workers, </w:t>
      </w:r>
      <w:r w:rsidRPr="00CC1A0F">
        <w:rPr>
          <w:lang w:val="en-GB"/>
        </w:rPr>
        <w:t>while high-intensity teleworkers may face increased workloads (De Vincenzi et al., 2022).</w:t>
      </w:r>
    </w:p>
    <w:p w14:paraId="4D417DCC" w14:textId="77777777" w:rsidR="00DD1698" w:rsidRPr="00CC1A0F" w:rsidRDefault="00DD1698" w:rsidP="00DD1698">
      <w:pPr>
        <w:rPr>
          <w:lang w:val="en-GB"/>
        </w:rPr>
      </w:pPr>
      <w:r w:rsidRPr="00CC1A0F">
        <w:rPr>
          <w:lang w:val="en-GB"/>
        </w:rPr>
        <w:t xml:space="preserve"> The impact of teleworking on workers' health </w:t>
      </w:r>
      <w:r>
        <w:rPr>
          <w:lang w:val="en-GB"/>
        </w:rPr>
        <w:t>can be significant</w:t>
      </w:r>
      <w:r w:rsidRPr="00CC1A0F">
        <w:rPr>
          <w:lang w:val="en-GB"/>
        </w:rPr>
        <w:t>, as it helps to prevent stress, negative emotions and depression</w:t>
      </w:r>
      <w:r>
        <w:rPr>
          <w:lang w:val="en-GB"/>
        </w:rPr>
        <w:t xml:space="preserve"> as well as fostering</w:t>
      </w:r>
      <w:r w:rsidRPr="00CC1A0F">
        <w:rPr>
          <w:lang w:val="en-GB"/>
        </w:rPr>
        <w:t xml:space="preserve"> positive well-</w:t>
      </w:r>
      <w:r w:rsidRPr="00CC1A0F">
        <w:rPr>
          <w:lang w:val="en-GB"/>
        </w:rPr>
        <w:lastRenderedPageBreak/>
        <w:t>being</w:t>
      </w:r>
      <w:r>
        <w:rPr>
          <w:lang w:val="en-GB"/>
        </w:rPr>
        <w:t xml:space="preserve">, </w:t>
      </w:r>
      <w:r w:rsidRPr="00CC1A0F">
        <w:rPr>
          <w:lang w:val="en-GB"/>
        </w:rPr>
        <w:t xml:space="preserve">especially when workers </w:t>
      </w:r>
      <w:r>
        <w:rPr>
          <w:lang w:val="en-GB"/>
        </w:rPr>
        <w:t>are given</w:t>
      </w:r>
      <w:r w:rsidRPr="00CC1A0F">
        <w:rPr>
          <w:lang w:val="en-GB"/>
        </w:rPr>
        <w:t xml:space="preserve"> flexibility. </w:t>
      </w:r>
      <w:r>
        <w:rPr>
          <w:lang w:val="en-GB"/>
        </w:rPr>
        <w:t xml:space="preserve">Having said this, reductions </w:t>
      </w:r>
      <w:r w:rsidRPr="00CC1A0F">
        <w:rPr>
          <w:lang w:val="en-GB"/>
        </w:rPr>
        <w:t xml:space="preserve">in </w:t>
      </w:r>
      <w:r>
        <w:rPr>
          <w:lang w:val="en-GB"/>
        </w:rPr>
        <w:t xml:space="preserve">physical symptoms such as </w:t>
      </w:r>
      <w:r w:rsidRPr="00CC1A0F">
        <w:rPr>
          <w:lang w:val="en-GB"/>
        </w:rPr>
        <w:t xml:space="preserve">pain and fatigue </w:t>
      </w:r>
      <w:r>
        <w:rPr>
          <w:lang w:val="en-GB"/>
        </w:rPr>
        <w:t xml:space="preserve">can sometimes be </w:t>
      </w:r>
      <w:r w:rsidRPr="00CC1A0F">
        <w:rPr>
          <w:lang w:val="en-GB"/>
        </w:rPr>
        <w:t xml:space="preserve">offset by increases in fatigue </w:t>
      </w:r>
      <w:r>
        <w:rPr>
          <w:lang w:val="en-GB"/>
        </w:rPr>
        <w:t>where</w:t>
      </w:r>
      <w:r w:rsidRPr="00CC1A0F">
        <w:rPr>
          <w:lang w:val="en-GB"/>
        </w:rPr>
        <w:t xml:space="preserve"> teleworking hours are extended</w:t>
      </w:r>
      <w:r>
        <w:rPr>
          <w:lang w:val="en-GB"/>
        </w:rPr>
        <w:t xml:space="preserve"> or expected by employers</w:t>
      </w:r>
      <w:r w:rsidRPr="00CC1A0F">
        <w:rPr>
          <w:lang w:val="en-GB"/>
        </w:rPr>
        <w:t xml:space="preserve"> (Ferrara et al., 2022).</w:t>
      </w:r>
    </w:p>
    <w:p w14:paraId="6483EC06" w14:textId="77777777" w:rsidR="00DD1698" w:rsidRPr="00CC1A0F" w:rsidRDefault="00DD1698" w:rsidP="00DD1698">
      <w:pPr>
        <w:rPr>
          <w:lang w:val="en-GB"/>
        </w:rPr>
      </w:pPr>
      <w:r w:rsidRPr="00CC1A0F">
        <w:rPr>
          <w:lang w:val="en-GB"/>
        </w:rPr>
        <w:t xml:space="preserve"> The success of teleworking depends on </w:t>
      </w:r>
      <w:r>
        <w:rPr>
          <w:lang w:val="en-GB"/>
        </w:rPr>
        <w:t xml:space="preserve">how a business sets its </w:t>
      </w:r>
      <w:r w:rsidRPr="00CC1A0F">
        <w:rPr>
          <w:lang w:val="en-GB"/>
        </w:rPr>
        <w:t xml:space="preserve">strategies and culture. Human, </w:t>
      </w:r>
      <w:proofErr w:type="gramStart"/>
      <w:r w:rsidRPr="00CC1A0F">
        <w:rPr>
          <w:lang w:val="en-GB"/>
        </w:rPr>
        <w:t>technological</w:t>
      </w:r>
      <w:proofErr w:type="gramEnd"/>
      <w:r w:rsidRPr="00CC1A0F">
        <w:rPr>
          <w:lang w:val="en-GB"/>
        </w:rPr>
        <w:t xml:space="preserve"> and organisational resources are key </w:t>
      </w:r>
      <w:r>
        <w:rPr>
          <w:lang w:val="en-GB"/>
        </w:rPr>
        <w:t>but will be affected by</w:t>
      </w:r>
      <w:r w:rsidRPr="00CC1A0F">
        <w:rPr>
          <w:lang w:val="en-GB"/>
        </w:rPr>
        <w:t xml:space="preserve"> type, sector and culture of the organisation. Research shows that successful teleworking requires a balance between these resources, with a particular emphasis on values that are aligned with the organisation's goals. Organisational </w:t>
      </w:r>
      <w:r>
        <w:rPr>
          <w:lang w:val="en-GB"/>
        </w:rPr>
        <w:t>leadership</w:t>
      </w:r>
      <w:r w:rsidRPr="00CC1A0F">
        <w:rPr>
          <w:lang w:val="en-GB"/>
        </w:rPr>
        <w:t>, training opportunities and support for employee autonomy contribute to the sustainable implementation of telework (Raj et al., 2023).</w:t>
      </w:r>
    </w:p>
    <w:p w14:paraId="3402981E" w14:textId="77777777" w:rsidR="00DD1698" w:rsidRPr="00CC1A0F" w:rsidRDefault="00DD1698" w:rsidP="00DD1698">
      <w:pPr>
        <w:rPr>
          <w:lang w:val="en-GB"/>
        </w:rPr>
      </w:pPr>
      <w:r w:rsidRPr="00CC1A0F">
        <w:rPr>
          <w:lang w:val="en-GB"/>
        </w:rPr>
        <w:t xml:space="preserve"> As organisations continue to navigate the post-pandemic landscape, understanding the nuanced impacts of </w:t>
      </w:r>
      <w:r>
        <w:rPr>
          <w:lang w:val="en-GB"/>
        </w:rPr>
        <w:t>remote working</w:t>
      </w:r>
      <w:r w:rsidRPr="00CC1A0F">
        <w:rPr>
          <w:lang w:val="en-GB"/>
        </w:rPr>
        <w:t xml:space="preserve"> is essential. The findings underscore the need for tailored approaches that </w:t>
      </w:r>
      <w:proofErr w:type="gramStart"/>
      <w:r w:rsidRPr="00CC1A0F">
        <w:rPr>
          <w:lang w:val="en-GB"/>
        </w:rPr>
        <w:t>take into account</w:t>
      </w:r>
      <w:proofErr w:type="gramEnd"/>
      <w:r w:rsidRPr="00CC1A0F">
        <w:rPr>
          <w:lang w:val="en-GB"/>
        </w:rPr>
        <w:t xml:space="preserve"> individual differences and organizational contexts. </w:t>
      </w:r>
      <w:r>
        <w:rPr>
          <w:lang w:val="en-GB"/>
        </w:rPr>
        <w:t>Where companies can inspire colleagues to work towards strategic goals, irrespective of working location, trusting employees without in-office supervision, the success of this method of working on employee well-being and productivity can be significant. Indeed, t</w:t>
      </w:r>
      <w:r w:rsidRPr="00CC1A0F">
        <w:rPr>
          <w:lang w:val="en-GB"/>
        </w:rPr>
        <w:t xml:space="preserve">his diagram (Raj et al., 2023) shows that the benefits of remote working doubled between 2011 and 2020. </w:t>
      </w:r>
    </w:p>
    <w:p w14:paraId="62928CFD" w14:textId="77777777" w:rsidR="00DD1698" w:rsidRPr="00CC1A0F" w:rsidRDefault="00DD1698" w:rsidP="00DD1698">
      <w:pPr>
        <w:rPr>
          <w:lang w:val="en-GB"/>
        </w:rPr>
      </w:pPr>
    </w:p>
    <w:p w14:paraId="2B37BACD" w14:textId="77777777" w:rsidR="00DD1698" w:rsidRPr="00CC1A0F" w:rsidRDefault="00DD1698" w:rsidP="00DD1698">
      <w:pPr>
        <w:rPr>
          <w:lang w:val="en-GB"/>
        </w:rPr>
      </w:pPr>
    </w:p>
    <w:p w14:paraId="14060BBD" w14:textId="77777777" w:rsidR="00DD1698" w:rsidRPr="00CC1A0F" w:rsidRDefault="00DD1698" w:rsidP="00DD1698">
      <w:pPr>
        <w:rPr>
          <w:lang w:val="en-GB"/>
        </w:rPr>
      </w:pPr>
      <w:r w:rsidRPr="00CC1A0F">
        <w:rPr>
          <w:noProof/>
          <w:lang w:val="en-GB"/>
        </w:rPr>
        <w:drawing>
          <wp:inline distT="0" distB="0" distL="0" distR="0" wp14:anchorId="46DE8E9F" wp14:editId="63123284">
            <wp:extent cx="3139710" cy="1990641"/>
            <wp:effectExtent l="0" t="0" r="3810" b="0"/>
            <wp:docPr id="602705331" name="Kép 1" descr="A képen szöveg, sor, Diagram, Betűtípus látható&#10;&#10;Automatikusan generált leírá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2705331" name="Kép 1" descr="A képen szöveg, sor, Diagram, Betűtípus látható&#10;&#10;Automatikusan generált leírás"/>
                    <pic:cNvPicPr/>
                  </pic:nvPicPr>
                  <pic:blipFill>
                    <a:blip r:embed="rId5">
                      <a:extLst>
                        <a:ext uri="{28A0092B-C50C-407E-A947-70E740481C1C}">
                          <a14:useLocalDpi xmlns:a14="http://schemas.microsoft.com/office/drawing/2010/main" val="0"/>
                        </a:ext>
                      </a:extLst>
                    </a:blip>
                    <a:stretch>
                      <a:fillRect/>
                    </a:stretch>
                  </pic:blipFill>
                  <pic:spPr>
                    <a:xfrm>
                      <a:off x="0" y="0"/>
                      <a:ext cx="3139710" cy="1990641"/>
                    </a:xfrm>
                    <a:prstGeom prst="rect">
                      <a:avLst/>
                    </a:prstGeom>
                  </pic:spPr>
                </pic:pic>
              </a:graphicData>
            </a:graphic>
          </wp:inline>
        </w:drawing>
      </w:r>
    </w:p>
    <w:p w14:paraId="46FD0D27" w14:textId="77777777" w:rsidR="00DD1698" w:rsidRPr="00CC1A0F" w:rsidRDefault="00DD1698" w:rsidP="00DD1698">
      <w:pPr>
        <w:rPr>
          <w:lang w:val="en-GB"/>
        </w:rPr>
      </w:pPr>
      <w:r w:rsidRPr="00CC1A0F">
        <w:rPr>
          <w:lang w:val="en-GB"/>
        </w:rPr>
        <w:br w:type="page"/>
      </w:r>
    </w:p>
    <w:p w14:paraId="74EE738C" w14:textId="77777777" w:rsidR="00DD1698" w:rsidRPr="00CC1A0F" w:rsidRDefault="00DD1698" w:rsidP="00DD1698">
      <w:pPr>
        <w:pStyle w:val="Cmsor1"/>
        <w:rPr>
          <w:lang w:val="en-GB"/>
        </w:rPr>
      </w:pPr>
      <w:r w:rsidRPr="00CC1A0F">
        <w:rPr>
          <w:lang w:val="en-GB"/>
        </w:rPr>
        <w:lastRenderedPageBreak/>
        <w:t>Four different performance measurement techniques for remote workers</w:t>
      </w:r>
    </w:p>
    <w:p w14:paraId="7AD3AEA7" w14:textId="77777777" w:rsidR="00DD1698" w:rsidRPr="00CC1A0F" w:rsidRDefault="00DD1698" w:rsidP="00DD1698">
      <w:pPr>
        <w:rPr>
          <w:rFonts w:ascii="Segoe UI" w:hAnsi="Segoe UI" w:cs="Segoe UI"/>
          <w:color w:val="374151"/>
          <w:lang w:val="en-GB"/>
        </w:rPr>
      </w:pPr>
    </w:p>
    <w:p w14:paraId="25E032FB" w14:textId="77777777" w:rsidR="00DD1698" w:rsidRPr="00CC1A0F" w:rsidRDefault="00DD1698" w:rsidP="00DD1698">
      <w:pPr>
        <w:pStyle w:val="Cmsor3"/>
        <w:rPr>
          <w:lang w:val="en-GB"/>
        </w:rPr>
      </w:pPr>
      <w:r w:rsidRPr="00CC1A0F">
        <w:rPr>
          <w:lang w:val="en-GB"/>
        </w:rPr>
        <w:t>KPI</w:t>
      </w:r>
    </w:p>
    <w:p w14:paraId="251099D5" w14:textId="77777777" w:rsidR="00DD1698" w:rsidRPr="00CC1A0F" w:rsidRDefault="00DD1698" w:rsidP="00DD1698">
      <w:pPr>
        <w:rPr>
          <w:lang w:val="en-GB"/>
        </w:rPr>
      </w:pPr>
    </w:p>
    <w:p w14:paraId="08EA4145" w14:textId="77777777" w:rsidR="00DD1698" w:rsidRPr="00CC1A0F" w:rsidRDefault="00DD1698" w:rsidP="00DD1698">
      <w:pPr>
        <w:rPr>
          <w:rFonts w:ascii="Segoe UI" w:hAnsi="Segoe UI" w:cs="Segoe UI"/>
          <w:lang w:val="en-GB"/>
        </w:rPr>
      </w:pPr>
      <w:r w:rsidRPr="00CC1A0F">
        <w:rPr>
          <w:rFonts w:ascii="Segoe UI" w:hAnsi="Segoe UI" w:cs="Segoe UI"/>
          <w:lang w:val="en-GB"/>
        </w:rPr>
        <w:t xml:space="preserve"> Key Performance Indicators are the core metrics chosen by companies to measure the progress of their teleworkers. These indicators, when well defined and aligned with SMART objectives (specific, measurable, achievable, relevant, timely), offer a systematic way to assess individual contributions without explicit micro-management. Three important KPIs for measuring remote productivity are: self-discipline, effective communication and learning skills. These KPIs address key aspects of telework, emphasising the ability to work independently, communicate effectively and adapt quickly to new tasks. </w:t>
      </w:r>
      <w:r>
        <w:rPr>
          <w:rFonts w:ascii="Segoe UI" w:hAnsi="Segoe UI" w:cs="Segoe UI"/>
          <w:lang w:val="en-GB"/>
        </w:rPr>
        <w:t>There are p</w:t>
      </w:r>
      <w:r w:rsidRPr="00CC1A0F">
        <w:rPr>
          <w:rFonts w:ascii="Segoe UI" w:hAnsi="Segoe UI" w:cs="Segoe UI"/>
          <w:lang w:val="en-GB"/>
        </w:rPr>
        <w:t>ractical ways to assess KPIs, such as analysing email responses</w:t>
      </w:r>
      <w:r>
        <w:rPr>
          <w:rFonts w:ascii="Segoe UI" w:hAnsi="Segoe UI" w:cs="Segoe UI"/>
          <w:lang w:val="en-GB"/>
        </w:rPr>
        <w:t xml:space="preserve">, </w:t>
      </w:r>
      <w:r w:rsidRPr="00CC1A0F">
        <w:rPr>
          <w:rFonts w:ascii="Segoe UI" w:hAnsi="Segoe UI" w:cs="Segoe UI"/>
          <w:lang w:val="en-GB"/>
        </w:rPr>
        <w:t>evaluating task completion</w:t>
      </w:r>
      <w:r>
        <w:rPr>
          <w:rFonts w:ascii="Segoe UI" w:hAnsi="Segoe UI" w:cs="Segoe UI"/>
          <w:lang w:val="en-GB"/>
        </w:rPr>
        <w:t xml:space="preserve"> </w:t>
      </w:r>
      <w:r w:rsidRPr="00CC1A0F">
        <w:rPr>
          <w:rFonts w:ascii="Segoe UI" w:hAnsi="Segoe UI" w:cs="Segoe UI"/>
          <w:lang w:val="en-GB"/>
        </w:rPr>
        <w:t>and</w:t>
      </w:r>
      <w:r>
        <w:rPr>
          <w:rFonts w:ascii="Segoe UI" w:hAnsi="Segoe UI" w:cs="Segoe UI"/>
          <w:lang w:val="en-GB"/>
        </w:rPr>
        <w:t xml:space="preserve"> similar</w:t>
      </w:r>
      <w:r w:rsidRPr="00CC1A0F">
        <w:rPr>
          <w:rFonts w:ascii="Segoe UI" w:hAnsi="Segoe UI" w:cs="Segoe UI"/>
          <w:lang w:val="en-GB"/>
        </w:rPr>
        <w:t xml:space="preserve"> performance indicators, are designed to provide a comprehensive approach to measur</w:t>
      </w:r>
      <w:r>
        <w:rPr>
          <w:rFonts w:ascii="Segoe UI" w:hAnsi="Segoe UI" w:cs="Segoe UI"/>
          <w:lang w:val="en-GB"/>
        </w:rPr>
        <w:t>e</w:t>
      </w:r>
      <w:r w:rsidRPr="00CC1A0F">
        <w:rPr>
          <w:rFonts w:ascii="Segoe UI" w:hAnsi="Segoe UI" w:cs="Segoe UI"/>
          <w:lang w:val="en-GB"/>
        </w:rPr>
        <w:t xml:space="preserve"> telework productivity. The focus is on the </w:t>
      </w:r>
      <w:r>
        <w:rPr>
          <w:rFonts w:ascii="Segoe UI" w:hAnsi="Segoe UI" w:cs="Segoe UI"/>
          <w:lang w:val="en-GB"/>
        </w:rPr>
        <w:t xml:space="preserve">output rather than input; assessing </w:t>
      </w:r>
      <w:r w:rsidRPr="00CC1A0F">
        <w:rPr>
          <w:rFonts w:ascii="Segoe UI" w:hAnsi="Segoe UI" w:cs="Segoe UI"/>
          <w:lang w:val="en-GB"/>
        </w:rPr>
        <w:t xml:space="preserve">quality and quantity of tasks performed, rather than merely tracking the time spent (Kenjo, n.d.). </w:t>
      </w:r>
    </w:p>
    <w:p w14:paraId="1DD6B315" w14:textId="77777777" w:rsidR="00DD1698" w:rsidRPr="00CC1A0F" w:rsidRDefault="00DD1698" w:rsidP="00DD1698">
      <w:pPr>
        <w:rPr>
          <w:rFonts w:ascii="Segoe UI" w:hAnsi="Segoe UI" w:cs="Segoe UI"/>
          <w:lang w:val="en-GB"/>
        </w:rPr>
      </w:pPr>
    </w:p>
    <w:p w14:paraId="50A0FD40" w14:textId="77777777" w:rsidR="00DD1698" w:rsidRPr="00CC1A0F" w:rsidRDefault="00DD1698" w:rsidP="00DD1698">
      <w:pPr>
        <w:rPr>
          <w:lang w:val="en-GB"/>
        </w:rPr>
      </w:pPr>
    </w:p>
    <w:p w14:paraId="4B206B2C" w14:textId="77777777" w:rsidR="00DD1698" w:rsidRPr="00CC1A0F" w:rsidRDefault="00DD1698" w:rsidP="00DD1698">
      <w:pPr>
        <w:pStyle w:val="Cmsor3"/>
        <w:rPr>
          <w:lang w:val="en-GB"/>
        </w:rPr>
      </w:pPr>
      <w:r w:rsidRPr="00CC1A0F">
        <w:rPr>
          <w:lang w:val="en-GB"/>
        </w:rPr>
        <w:t>OKR</w:t>
      </w:r>
    </w:p>
    <w:p w14:paraId="35BC588B" w14:textId="77777777" w:rsidR="00DD1698" w:rsidRPr="00CC1A0F" w:rsidRDefault="00DD1698" w:rsidP="00DD1698">
      <w:pPr>
        <w:rPr>
          <w:lang w:val="en-GB"/>
        </w:rPr>
      </w:pPr>
    </w:p>
    <w:p w14:paraId="159D9302" w14:textId="77777777" w:rsidR="00DD1698" w:rsidRPr="00CC1A0F" w:rsidRDefault="00DD1698" w:rsidP="00DD1698">
      <w:pPr>
        <w:rPr>
          <w:rFonts w:ascii="Segoe UI" w:hAnsi="Segoe UI" w:cs="Segoe UI"/>
          <w:color w:val="374151"/>
          <w:lang w:val="en-GB"/>
        </w:rPr>
      </w:pPr>
      <w:r w:rsidRPr="00CC1A0F">
        <w:rPr>
          <w:lang w:val="en-GB"/>
        </w:rPr>
        <w:t xml:space="preserve"> According to Lara Kelly’s article (2021) the Objectives and Key Results (OKR) method plays a key role in telework by providing a structured framework for setting objectives and measuring performance. In a world where teleworking is becoming </w:t>
      </w:r>
      <w:r>
        <w:rPr>
          <w:lang w:val="en-GB"/>
        </w:rPr>
        <w:t>commonplace</w:t>
      </w:r>
      <w:r w:rsidRPr="00CC1A0F">
        <w:rPr>
          <w:lang w:val="en-GB"/>
        </w:rPr>
        <w:t xml:space="preserve">, OKRs offer a quantifiable approach to tracking progress and maintaining motivation. OKRs break down overarching goals into specific, measurable key outcomes, providing a roadmap for individuals and teams. This methodology, inspired by traditional objectives-based leadership, ensures that progress is defined but also measurable on a scale, </w:t>
      </w:r>
      <w:r>
        <w:rPr>
          <w:lang w:val="en-GB"/>
        </w:rPr>
        <w:t>e.g.</w:t>
      </w:r>
      <w:r w:rsidRPr="00CC1A0F">
        <w:rPr>
          <w:lang w:val="en-GB"/>
        </w:rPr>
        <w:t xml:space="preserve"> the 0.0-1.0 scale used by Google</w:t>
      </w:r>
      <w:r>
        <w:rPr>
          <w:lang w:val="en-GB"/>
        </w:rPr>
        <w:t xml:space="preserve"> – and can be used to highlight progress and celebrate achievements</w:t>
      </w:r>
      <w:r w:rsidRPr="00CC1A0F">
        <w:rPr>
          <w:lang w:val="en-GB"/>
        </w:rPr>
        <w:t xml:space="preserve">. This is especially important in remote environments where individuals may feel disconnected from broader corporate goals. For remote teams, the benefits of OKRs include improved morale, increased motivation through recognition of progress, and a clear link between individual effort and corporate results. OKRs provide structure to remote working, fostering collaboration and alignment to common goals. In conclusion, the OKR method, with its emphasis on clarity, measurability, and alignment, significantly contributes to the effectiveness and motivation of remote workers in achieving their goals. </w:t>
      </w:r>
      <w:r>
        <w:rPr>
          <w:rFonts w:ascii="Segoe UI" w:hAnsi="Segoe UI" w:cs="Segoe UI"/>
          <w:lang w:val="en-GB"/>
        </w:rPr>
        <w:t xml:space="preserve">See </w:t>
      </w:r>
      <w:proofErr w:type="spellStart"/>
      <w:r w:rsidRPr="00CC1A0F">
        <w:rPr>
          <w:rFonts w:ascii="Segoe UI" w:hAnsi="Segoe UI" w:cs="Segoe UI"/>
          <w:lang w:val="en-GB"/>
        </w:rPr>
        <w:t>Cyberlink’s</w:t>
      </w:r>
      <w:proofErr w:type="spellEnd"/>
      <w:r w:rsidRPr="00CC1A0F">
        <w:rPr>
          <w:rFonts w:ascii="Segoe UI" w:hAnsi="Segoe UI" w:cs="Segoe UI"/>
          <w:lang w:val="en-GB"/>
        </w:rPr>
        <w:t xml:space="preserve"> example </w:t>
      </w:r>
      <w:r>
        <w:rPr>
          <w:rFonts w:ascii="Segoe UI" w:hAnsi="Segoe UI" w:cs="Segoe UI"/>
          <w:lang w:val="en-GB"/>
        </w:rPr>
        <w:t>of how it works</w:t>
      </w:r>
      <w:r w:rsidRPr="00CC1A0F">
        <w:rPr>
          <w:rFonts w:ascii="Segoe UI" w:hAnsi="Segoe UI" w:cs="Segoe UI"/>
          <w:lang w:val="en-GB"/>
        </w:rPr>
        <w:t xml:space="preserve"> </w:t>
      </w:r>
      <w:r>
        <w:rPr>
          <w:rFonts w:ascii="Segoe UI" w:hAnsi="Segoe UI" w:cs="Segoe UI"/>
          <w:lang w:val="en-GB"/>
        </w:rPr>
        <w:t xml:space="preserve">in practice </w:t>
      </w:r>
      <w:r w:rsidRPr="00CC1A0F">
        <w:rPr>
          <w:rFonts w:ascii="Segoe UI" w:hAnsi="Segoe UI" w:cs="Segoe UI"/>
          <w:lang w:val="en-GB"/>
        </w:rPr>
        <w:t>(Kenjo, n.d.):</w:t>
      </w:r>
    </w:p>
    <w:p w14:paraId="591D6447" w14:textId="77777777" w:rsidR="00DD1698" w:rsidRPr="00CC1A0F" w:rsidRDefault="00DD1698" w:rsidP="00DD1698">
      <w:pPr>
        <w:rPr>
          <w:rFonts w:ascii="Segoe UI" w:hAnsi="Segoe UI" w:cs="Segoe UI"/>
          <w:color w:val="374151"/>
          <w:lang w:val="en-GB"/>
        </w:rPr>
      </w:pPr>
      <w:r w:rsidRPr="00CC1A0F">
        <w:rPr>
          <w:rFonts w:ascii="Segoe UI" w:hAnsi="Segoe UI" w:cs="Segoe UI"/>
          <w:noProof/>
          <w:color w:val="374151"/>
          <w:lang w:val="en-GB"/>
        </w:rPr>
        <w:lastRenderedPageBreak/>
        <w:drawing>
          <wp:inline distT="0" distB="0" distL="0" distR="0" wp14:anchorId="4C28DA1A" wp14:editId="564403B7">
            <wp:extent cx="5760720" cy="2169795"/>
            <wp:effectExtent l="0" t="0" r="0" b="1905"/>
            <wp:docPr id="1340641322" name="Kép 1" descr="A képen szöveg, képernyőkép, szám, Betűtípus látható&#10;&#10;Automatikusan generált leírá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0641322" name="Kép 1" descr="A képen szöveg, képernyőkép, szám, Betűtípus látható&#10;&#10;Automatikusan generált leírás"/>
                    <pic:cNvPicPr/>
                  </pic:nvPicPr>
                  <pic:blipFill>
                    <a:blip r:embed="rId6">
                      <a:extLst>
                        <a:ext uri="{28A0092B-C50C-407E-A947-70E740481C1C}">
                          <a14:useLocalDpi xmlns:a14="http://schemas.microsoft.com/office/drawing/2010/main" val="0"/>
                        </a:ext>
                      </a:extLst>
                    </a:blip>
                    <a:stretch>
                      <a:fillRect/>
                    </a:stretch>
                  </pic:blipFill>
                  <pic:spPr>
                    <a:xfrm>
                      <a:off x="0" y="0"/>
                      <a:ext cx="5760720" cy="2169795"/>
                    </a:xfrm>
                    <a:prstGeom prst="rect">
                      <a:avLst/>
                    </a:prstGeom>
                  </pic:spPr>
                </pic:pic>
              </a:graphicData>
            </a:graphic>
          </wp:inline>
        </w:drawing>
      </w:r>
    </w:p>
    <w:p w14:paraId="579CEC9B" w14:textId="77777777" w:rsidR="00DD1698" w:rsidRPr="00CC1A0F" w:rsidRDefault="00DD1698" w:rsidP="00DD1698">
      <w:pPr>
        <w:rPr>
          <w:lang w:val="en-GB"/>
        </w:rPr>
      </w:pPr>
    </w:p>
    <w:p w14:paraId="3A2DD6F7" w14:textId="77777777" w:rsidR="00DD1698" w:rsidRPr="00CC1A0F" w:rsidRDefault="00DD1698" w:rsidP="00DD1698">
      <w:pPr>
        <w:rPr>
          <w:lang w:val="en-GB"/>
        </w:rPr>
      </w:pPr>
    </w:p>
    <w:p w14:paraId="0B9CA7B6" w14:textId="77777777" w:rsidR="00DD1698" w:rsidRPr="00CC1A0F" w:rsidRDefault="00DD1698" w:rsidP="00DD1698">
      <w:pPr>
        <w:pStyle w:val="Cmsor3"/>
        <w:rPr>
          <w:lang w:val="en-GB"/>
        </w:rPr>
      </w:pPr>
      <w:proofErr w:type="gramStart"/>
      <w:r w:rsidRPr="00CC1A0F">
        <w:rPr>
          <w:lang w:val="en-GB"/>
        </w:rPr>
        <w:t>360 degree</w:t>
      </w:r>
      <w:proofErr w:type="gramEnd"/>
      <w:r w:rsidRPr="00CC1A0F">
        <w:rPr>
          <w:lang w:val="en-GB"/>
        </w:rPr>
        <w:t xml:space="preserve"> feedback</w:t>
      </w:r>
    </w:p>
    <w:p w14:paraId="13DAACC3" w14:textId="77777777" w:rsidR="00DD1698" w:rsidRPr="00CC1A0F" w:rsidRDefault="00DD1698" w:rsidP="00DD1698">
      <w:pPr>
        <w:rPr>
          <w:lang w:val="en-GB"/>
        </w:rPr>
      </w:pPr>
    </w:p>
    <w:p w14:paraId="47227ECB" w14:textId="77777777" w:rsidR="00DD1698" w:rsidRPr="00CC1A0F" w:rsidRDefault="00DD1698" w:rsidP="00DD1698">
      <w:pPr>
        <w:rPr>
          <w:lang w:val="en-GB"/>
        </w:rPr>
      </w:pPr>
      <w:r w:rsidRPr="00CC1A0F">
        <w:rPr>
          <w:lang w:val="en-GB"/>
        </w:rPr>
        <w:t xml:space="preserve"> Based on Bridge’s article (2021) the 360-degree feedback method is of tremendous value for remote teams, as it addresses the unique challenges of communicating in virtual workspaces. Unlike traditional annual appraisals, it provides a wealth of insights </w:t>
      </w:r>
      <w:r>
        <w:rPr>
          <w:lang w:val="en-GB"/>
        </w:rPr>
        <w:t>for</w:t>
      </w:r>
      <w:r w:rsidRPr="00CC1A0F">
        <w:rPr>
          <w:lang w:val="en-GB"/>
        </w:rPr>
        <w:t xml:space="preserve"> both individuals and managers. In telecommuting, where formal communication can be a barrier to collaboration</w:t>
      </w:r>
      <w:r>
        <w:rPr>
          <w:lang w:val="en-GB"/>
        </w:rPr>
        <w:t xml:space="preserve"> and communication</w:t>
      </w:r>
      <w:r w:rsidRPr="00CC1A0F">
        <w:rPr>
          <w:lang w:val="en-GB"/>
        </w:rPr>
        <w:t xml:space="preserve">, 360-degree feedback offers a constructive and anonymous platform for employees to share </w:t>
      </w:r>
      <w:r>
        <w:rPr>
          <w:lang w:val="en-GB"/>
        </w:rPr>
        <w:t>personal</w:t>
      </w:r>
      <w:r w:rsidRPr="00CC1A0F">
        <w:rPr>
          <w:lang w:val="en-GB"/>
        </w:rPr>
        <w:t xml:space="preserve"> feedback. One of its key benefits is its ability to improve group communication and break down the formalities imposed by distance. It facilitates open communication and serves as a springboard for meaningful </w:t>
      </w:r>
      <w:r>
        <w:rPr>
          <w:lang w:val="en-GB"/>
        </w:rPr>
        <w:t>improvements</w:t>
      </w:r>
      <w:r w:rsidRPr="00CC1A0F">
        <w:rPr>
          <w:lang w:val="en-GB"/>
        </w:rPr>
        <w:t xml:space="preserve">. It also contributes significantly to team effectiveness by identifying individual strengths and weaknesses, fostering </w:t>
      </w:r>
      <w:proofErr w:type="gramStart"/>
      <w:r w:rsidRPr="00CC1A0F">
        <w:rPr>
          <w:lang w:val="en-GB"/>
        </w:rPr>
        <w:t>collaboration</w:t>
      </w:r>
      <w:proofErr w:type="gramEnd"/>
      <w:r w:rsidRPr="00CC1A0F">
        <w:rPr>
          <w:lang w:val="en-GB"/>
        </w:rPr>
        <w:t xml:space="preserve"> and eliminating blind spots. This form of feedback </w:t>
      </w:r>
      <w:r>
        <w:rPr>
          <w:lang w:val="en-GB"/>
        </w:rPr>
        <w:t xml:space="preserve">can </w:t>
      </w:r>
      <w:r w:rsidRPr="00CC1A0F">
        <w:rPr>
          <w:lang w:val="en-GB"/>
        </w:rPr>
        <w:t>lead to a more cohesive and productive team, aligning individual contributions with collective goals. In addition, 360-degree feedback is also useful for team development, as it reveals areas for improvement at both individual and team level</w:t>
      </w:r>
      <w:r>
        <w:rPr>
          <w:lang w:val="en-GB"/>
        </w:rPr>
        <w:t xml:space="preserve">, to support current targets </w:t>
      </w:r>
      <w:proofErr w:type="gramStart"/>
      <w:r>
        <w:rPr>
          <w:lang w:val="en-GB"/>
        </w:rPr>
        <w:t xml:space="preserve">and </w:t>
      </w:r>
      <w:r w:rsidRPr="00CC1A0F">
        <w:rPr>
          <w:lang w:val="en-GB"/>
        </w:rPr>
        <w:t>also</w:t>
      </w:r>
      <w:proofErr w:type="gramEnd"/>
      <w:r w:rsidRPr="00CC1A0F">
        <w:rPr>
          <w:lang w:val="en-GB"/>
        </w:rPr>
        <w:t xml:space="preserve"> prepar</w:t>
      </w:r>
      <w:r>
        <w:rPr>
          <w:lang w:val="en-GB"/>
        </w:rPr>
        <w:t>e</w:t>
      </w:r>
      <w:r w:rsidRPr="00CC1A0F">
        <w:rPr>
          <w:lang w:val="en-GB"/>
        </w:rPr>
        <w:t xml:space="preserve"> for future challenges. Furthermore, by integrating this method into the daily life of remote teams, it fosters commitment and motivation. It transforms the occasional staff appraisal into an ongoing process, allowing staff to celebrate successes and fostering a sense of belonging within the team.</w:t>
      </w:r>
    </w:p>
    <w:p w14:paraId="1167164E" w14:textId="77777777" w:rsidR="00DD1698" w:rsidRPr="00CC1A0F" w:rsidRDefault="00DD1698" w:rsidP="00DD1698">
      <w:pPr>
        <w:rPr>
          <w:lang w:val="en-GB"/>
        </w:rPr>
      </w:pPr>
    </w:p>
    <w:p w14:paraId="3ACF58AC" w14:textId="77777777" w:rsidR="00DD1698" w:rsidRPr="00CC1A0F" w:rsidRDefault="00DD1698" w:rsidP="00DD1698">
      <w:pPr>
        <w:pStyle w:val="Cmsor3"/>
        <w:rPr>
          <w:lang w:val="en-GB"/>
        </w:rPr>
      </w:pPr>
      <w:r w:rsidRPr="00CC1A0F">
        <w:rPr>
          <w:lang w:val="en-GB"/>
        </w:rPr>
        <w:t>ROWE</w:t>
      </w:r>
    </w:p>
    <w:p w14:paraId="3F898A03" w14:textId="77777777" w:rsidR="00DD1698" w:rsidRPr="00CC1A0F" w:rsidRDefault="00DD1698" w:rsidP="00DD1698">
      <w:pPr>
        <w:rPr>
          <w:lang w:val="en-GB"/>
        </w:rPr>
      </w:pPr>
    </w:p>
    <w:p w14:paraId="1A807287" w14:textId="77777777" w:rsidR="00DD1698" w:rsidRPr="00CC1A0F" w:rsidRDefault="00DD1698" w:rsidP="00DD1698">
      <w:pPr>
        <w:rPr>
          <w:lang w:val="en-GB"/>
        </w:rPr>
      </w:pPr>
      <w:r w:rsidRPr="00CC1A0F">
        <w:rPr>
          <w:lang w:val="en-GB"/>
        </w:rPr>
        <w:t xml:space="preserve"> The Results-Only Work Environment method is a transformational approach to teleworking that focuses on results rather than traditional work structures. ROWE emphasises the importance of measuring work not by hours worked, but by tangible results. This approach gives workers flexibility and autonomy in deciding when and where to work. The emphasis on individual and team effectiveness is in line with the </w:t>
      </w:r>
      <w:r w:rsidRPr="00CC1A0F">
        <w:rPr>
          <w:lang w:val="en-GB"/>
        </w:rPr>
        <w:lastRenderedPageBreak/>
        <w:t xml:space="preserve">idea that teleworking should focus on results. </w:t>
      </w:r>
      <w:r>
        <w:rPr>
          <w:lang w:val="en-GB"/>
        </w:rPr>
        <w:t>Aristotle’s philosophy</w:t>
      </w:r>
      <w:r w:rsidRPr="00CC1A0F">
        <w:rPr>
          <w:lang w:val="en-GB"/>
        </w:rPr>
        <w:t xml:space="preserve">, "The sum of the whole is greater than the sum of the parts", captures the essence of ROWE, emphasising collaboration and cohesive teamwork. The method aims to break down silos and increase team productivity by recognising individual contributions. This is in line with the ROWE philosophy of fostering a collaborative environment. In summary, ROWE emphasizes results-oriented approaches to telework, providing flexibility while fostering team synergy. The quoted text reflects the method's focus on collaborative effectiveness and individual </w:t>
      </w:r>
      <w:proofErr w:type="gramStart"/>
      <w:r w:rsidRPr="00CC1A0F">
        <w:rPr>
          <w:lang w:val="en-GB"/>
        </w:rPr>
        <w:t>contribution, and</w:t>
      </w:r>
      <w:proofErr w:type="gramEnd"/>
      <w:r w:rsidRPr="00CC1A0F">
        <w:rPr>
          <w:lang w:val="en-GB"/>
        </w:rPr>
        <w:t xml:space="preserve"> is in line with the broader shift towards results-oriented work structures (Kowalski, </w:t>
      </w:r>
      <w:proofErr w:type="spellStart"/>
      <w:r w:rsidRPr="00CC1A0F">
        <w:rPr>
          <w:lang w:val="en-GB"/>
        </w:rPr>
        <w:t>Slebarska</w:t>
      </w:r>
      <w:proofErr w:type="spellEnd"/>
      <w:r w:rsidRPr="00CC1A0F">
        <w:rPr>
          <w:lang w:val="en-GB"/>
        </w:rPr>
        <w:t>, 2022).</w:t>
      </w:r>
    </w:p>
    <w:p w14:paraId="4CB66BED" w14:textId="77777777" w:rsidR="00DD1698" w:rsidRPr="00CC1A0F" w:rsidRDefault="00DD1698" w:rsidP="00DD1698">
      <w:pPr>
        <w:rPr>
          <w:lang w:val="en-GB"/>
        </w:rPr>
      </w:pPr>
    </w:p>
    <w:p w14:paraId="0D57367F" w14:textId="77777777" w:rsidR="00DD1698" w:rsidRPr="00CC1A0F" w:rsidRDefault="00DD1698" w:rsidP="00DD1698">
      <w:pPr>
        <w:rPr>
          <w:lang w:val="en-GB"/>
        </w:rPr>
      </w:pPr>
    </w:p>
    <w:p w14:paraId="65D25FFB" w14:textId="77777777" w:rsidR="00DD1698" w:rsidRPr="00CC1A0F" w:rsidRDefault="00DD1698" w:rsidP="00DD1698">
      <w:pPr>
        <w:rPr>
          <w:lang w:val="en-GB"/>
        </w:rPr>
      </w:pPr>
    </w:p>
    <w:p w14:paraId="52B902B7" w14:textId="77777777" w:rsidR="00DD1698" w:rsidRPr="00CC1A0F" w:rsidRDefault="00DD1698" w:rsidP="00DD1698">
      <w:pPr>
        <w:pStyle w:val="Cmsor1"/>
        <w:rPr>
          <w:lang w:val="en-GB"/>
        </w:rPr>
      </w:pPr>
      <w:r w:rsidRPr="00CC1A0F">
        <w:rPr>
          <w:lang w:val="en-GB"/>
        </w:rPr>
        <w:t>Four different performance appraisal tools for remote workers</w:t>
      </w:r>
    </w:p>
    <w:p w14:paraId="1EA9FADA" w14:textId="77777777" w:rsidR="00DD1698" w:rsidRPr="00CC1A0F" w:rsidRDefault="00DD1698" w:rsidP="00DD1698">
      <w:pPr>
        <w:rPr>
          <w:lang w:val="en-GB"/>
        </w:rPr>
      </w:pPr>
    </w:p>
    <w:p w14:paraId="7A0944E6" w14:textId="77777777" w:rsidR="00DD1698" w:rsidRPr="00CC1A0F" w:rsidRDefault="00DD1698" w:rsidP="00DD1698">
      <w:pPr>
        <w:pStyle w:val="Cmsor3"/>
        <w:rPr>
          <w:lang w:val="en-GB"/>
        </w:rPr>
      </w:pPr>
      <w:proofErr w:type="spellStart"/>
      <w:r w:rsidRPr="00CC1A0F">
        <w:rPr>
          <w:lang w:val="en-GB"/>
        </w:rPr>
        <w:t>Prodoscore</w:t>
      </w:r>
      <w:proofErr w:type="spellEnd"/>
      <w:r w:rsidRPr="00CC1A0F">
        <w:rPr>
          <w:lang w:val="en-GB"/>
        </w:rPr>
        <w:t xml:space="preserve"> Data Analysis</w:t>
      </w:r>
    </w:p>
    <w:p w14:paraId="50A5253D" w14:textId="77777777" w:rsidR="00DD1698" w:rsidRPr="00CC1A0F" w:rsidRDefault="00DD1698" w:rsidP="00DD1698">
      <w:pPr>
        <w:pStyle w:val="Cmsor3"/>
        <w:rPr>
          <w:lang w:val="en-GB"/>
        </w:rPr>
      </w:pPr>
    </w:p>
    <w:p w14:paraId="6A926E66" w14:textId="77777777" w:rsidR="00DD1698" w:rsidRPr="00CC1A0F" w:rsidRDefault="00DD1698" w:rsidP="00DD1698">
      <w:pPr>
        <w:rPr>
          <w:lang w:val="en-GB"/>
        </w:rPr>
      </w:pPr>
      <w:r w:rsidRPr="00CC1A0F">
        <w:rPr>
          <w:lang w:val="en-GB"/>
        </w:rPr>
        <w:t xml:space="preserve"> Based on Bryan Robinson’s article (2022) </w:t>
      </w:r>
      <w:proofErr w:type="spellStart"/>
      <w:r w:rsidRPr="00CC1A0F">
        <w:rPr>
          <w:lang w:val="en-GB"/>
        </w:rPr>
        <w:t>Prodoscore</w:t>
      </w:r>
      <w:proofErr w:type="spellEnd"/>
      <w:r w:rsidRPr="00CC1A0F">
        <w:rPr>
          <w:lang w:val="en-GB"/>
        </w:rPr>
        <w:t xml:space="preserve">, plays an important role in analysing data on telework productivity. David Powell, President of </w:t>
      </w:r>
      <w:proofErr w:type="spellStart"/>
      <w:r w:rsidRPr="00CC1A0F">
        <w:rPr>
          <w:lang w:val="en-GB"/>
        </w:rPr>
        <w:t>Prodoscore</w:t>
      </w:r>
      <w:proofErr w:type="spellEnd"/>
      <w:r w:rsidRPr="00CC1A0F">
        <w:rPr>
          <w:lang w:val="en-GB"/>
        </w:rPr>
        <w:t>, reveals insights gained from evaluating more than 105 million data points from 30,000 US users in the era of the pandemic work-from-home era. The platform's data shows a remarkable 5% increase in productivity, challenging the perception that telecommuting is a barrier to worker efficiency.</w:t>
      </w:r>
    </w:p>
    <w:p w14:paraId="0EA225B6" w14:textId="77777777" w:rsidR="00DD1698" w:rsidRPr="00CC1A0F" w:rsidRDefault="00DD1698" w:rsidP="00DD1698">
      <w:pPr>
        <w:rPr>
          <w:lang w:val="en-GB"/>
        </w:rPr>
      </w:pPr>
      <w:r w:rsidRPr="00CC1A0F">
        <w:rPr>
          <w:lang w:val="en-GB"/>
        </w:rPr>
        <w:t xml:space="preserve"> </w:t>
      </w:r>
      <w:proofErr w:type="spellStart"/>
      <w:r w:rsidRPr="00CC1A0F">
        <w:rPr>
          <w:lang w:val="en-GB"/>
        </w:rPr>
        <w:t>Prodoscore</w:t>
      </w:r>
      <w:proofErr w:type="spellEnd"/>
      <w:r w:rsidRPr="00CC1A0F">
        <w:rPr>
          <w:lang w:val="en-GB"/>
        </w:rPr>
        <w:t xml:space="preserve"> takes a data-driven approach, highlighting that workers who have shown high productivity in traditional offices have maintained and even improved their performance in teleworking. This allayed concerns about a potential drop in productivity in telework. Powell's claim that employee productivity remains stable despite Covid-19 variations underscores </w:t>
      </w:r>
      <w:proofErr w:type="spellStart"/>
      <w:r w:rsidRPr="00CC1A0F">
        <w:rPr>
          <w:lang w:val="en-GB"/>
        </w:rPr>
        <w:t>Prodoscore's</w:t>
      </w:r>
      <w:proofErr w:type="spellEnd"/>
      <w:r w:rsidRPr="00CC1A0F">
        <w:rPr>
          <w:lang w:val="en-GB"/>
        </w:rPr>
        <w:t xml:space="preserve"> commitment to objective, empirical data analysis.</w:t>
      </w:r>
    </w:p>
    <w:p w14:paraId="7D8D64BF" w14:textId="77777777" w:rsidR="00DD1698" w:rsidRPr="00CC1A0F" w:rsidRDefault="00DD1698" w:rsidP="00DD1698">
      <w:pPr>
        <w:rPr>
          <w:lang w:val="en-GB"/>
        </w:rPr>
      </w:pPr>
      <w:r w:rsidRPr="00CC1A0F">
        <w:rPr>
          <w:lang w:val="en-GB"/>
        </w:rPr>
        <w:t xml:space="preserve"> The platform is emerging as a valuable resource for organizations navigating the complexities of telecommuting. By providing concrete metrics and data-driven insights, </w:t>
      </w:r>
      <w:proofErr w:type="spellStart"/>
      <w:r w:rsidRPr="00CC1A0F">
        <w:rPr>
          <w:lang w:val="en-GB"/>
        </w:rPr>
        <w:t>Prodoscore</w:t>
      </w:r>
      <w:proofErr w:type="spellEnd"/>
      <w:r w:rsidRPr="00CC1A0F">
        <w:rPr>
          <w:lang w:val="en-GB"/>
        </w:rPr>
        <w:t xml:space="preserve"> empowers companies to assess and improve the productivity of their teleworkers. This is in line with the changing work environment where telecommuting and hybrid models are increasingly integral</w:t>
      </w:r>
      <w:r>
        <w:rPr>
          <w:lang w:val="en-GB"/>
        </w:rPr>
        <w:t xml:space="preserve"> and critical for employee retention and recruitment</w:t>
      </w:r>
      <w:r w:rsidRPr="00CC1A0F">
        <w:rPr>
          <w:lang w:val="en-GB"/>
        </w:rPr>
        <w:t xml:space="preserve">. </w:t>
      </w:r>
      <w:proofErr w:type="spellStart"/>
      <w:r w:rsidRPr="00CC1A0F">
        <w:rPr>
          <w:lang w:val="en-GB"/>
        </w:rPr>
        <w:t>Prodoscore's</w:t>
      </w:r>
      <w:proofErr w:type="spellEnd"/>
      <w:r w:rsidRPr="00CC1A0F">
        <w:rPr>
          <w:lang w:val="en-GB"/>
        </w:rPr>
        <w:t xml:space="preserve"> data analysis contributes significantly to understanding and optimising the dynamics of modern working environments.</w:t>
      </w:r>
    </w:p>
    <w:p w14:paraId="345EE4FB" w14:textId="77777777" w:rsidR="00DD1698" w:rsidRPr="00CC1A0F" w:rsidRDefault="00DD1698" w:rsidP="00DD1698">
      <w:pPr>
        <w:rPr>
          <w:lang w:val="en-GB"/>
        </w:rPr>
      </w:pPr>
    </w:p>
    <w:p w14:paraId="378332BF" w14:textId="77777777" w:rsidR="00DD1698" w:rsidRPr="00CC1A0F" w:rsidRDefault="00DD1698" w:rsidP="00DD1698">
      <w:pPr>
        <w:pStyle w:val="Cmsor3"/>
        <w:rPr>
          <w:lang w:val="en-GB"/>
        </w:rPr>
      </w:pPr>
      <w:r w:rsidRPr="00CC1A0F">
        <w:rPr>
          <w:lang w:val="en-GB"/>
        </w:rPr>
        <w:lastRenderedPageBreak/>
        <w:t>Feedback System in Performance Management Software</w:t>
      </w:r>
    </w:p>
    <w:p w14:paraId="3F3EA0C1" w14:textId="77777777" w:rsidR="00DD1698" w:rsidRPr="00CC1A0F" w:rsidRDefault="00DD1698" w:rsidP="00DD1698">
      <w:pPr>
        <w:pStyle w:val="Cmsor3"/>
        <w:rPr>
          <w:lang w:val="en-GB"/>
        </w:rPr>
      </w:pPr>
    </w:p>
    <w:p w14:paraId="60A9DE02" w14:textId="77777777" w:rsidR="00DD1698" w:rsidRPr="00CC1A0F" w:rsidRDefault="00DD1698" w:rsidP="00DD1698">
      <w:pPr>
        <w:rPr>
          <w:lang w:val="en-GB"/>
        </w:rPr>
      </w:pPr>
      <w:r w:rsidRPr="00CC1A0F">
        <w:rPr>
          <w:lang w:val="en-GB"/>
        </w:rPr>
        <w:t xml:space="preserve"> According to </w:t>
      </w:r>
      <w:proofErr w:type="spellStart"/>
      <w:r w:rsidRPr="00CC1A0F">
        <w:rPr>
          <w:lang w:val="en-GB"/>
        </w:rPr>
        <w:t>PlatformYard’s</w:t>
      </w:r>
      <w:proofErr w:type="spellEnd"/>
      <w:r w:rsidRPr="00CC1A0F">
        <w:rPr>
          <w:lang w:val="en-GB"/>
        </w:rPr>
        <w:t xml:space="preserve"> article (n.d.) the feedback system of performance management software plays a key role in facilitating effective communication and accountability, especially in the context of teleworking. As the source points out, this feature addresses the challenge of employees feeling left out of the office dialogue, a common problem in decentralised or remote work environments. </w:t>
      </w:r>
    </w:p>
    <w:p w14:paraId="6FB6E105" w14:textId="77777777" w:rsidR="00DD1698" w:rsidRPr="00CC1A0F" w:rsidRDefault="00DD1698" w:rsidP="00DD1698">
      <w:pPr>
        <w:rPr>
          <w:lang w:val="en-GB"/>
        </w:rPr>
      </w:pPr>
      <w:r w:rsidRPr="00CC1A0F">
        <w:rPr>
          <w:lang w:val="en-GB"/>
        </w:rPr>
        <w:t xml:space="preserve"> This system facilitates frequent and informal communication between team members, compensating for the lack of traditional office interactions. Platforms such as </w:t>
      </w:r>
      <w:proofErr w:type="spellStart"/>
      <w:r w:rsidRPr="00CC1A0F">
        <w:rPr>
          <w:lang w:val="en-GB"/>
        </w:rPr>
        <w:t>PerformYard</w:t>
      </w:r>
      <w:proofErr w:type="spellEnd"/>
      <w:r w:rsidRPr="00CC1A0F">
        <w:rPr>
          <w:lang w:val="en-GB"/>
        </w:rPr>
        <w:t xml:space="preserve"> provide a dedicated space for private or public feedback, increasing transparency and team cohesion. Research shows that telecommuters benefit from more frequent dialogue to stay connected and in tune with their teams.</w:t>
      </w:r>
    </w:p>
    <w:p w14:paraId="55E3650A" w14:textId="77777777" w:rsidR="00DD1698" w:rsidRPr="00CC1A0F" w:rsidRDefault="00DD1698" w:rsidP="00DD1698">
      <w:pPr>
        <w:rPr>
          <w:lang w:val="en-GB"/>
        </w:rPr>
      </w:pPr>
      <w:r w:rsidRPr="00CC1A0F">
        <w:rPr>
          <w:lang w:val="en-GB"/>
        </w:rPr>
        <w:t xml:space="preserve"> In addition, incorporating a feedback function into performance management software creates a link between daily conversations and formal review processes. This ensures that feedback that is key to the performance of remote teams is seamlessly integrated into periodic reviews. In summary, the feedback system acts as a bridge that bridges communication gaps and contributes to a more inclusive and effective teleworking environment.</w:t>
      </w:r>
    </w:p>
    <w:p w14:paraId="0FA823F3" w14:textId="77777777" w:rsidR="00DD1698" w:rsidRPr="00CC1A0F" w:rsidRDefault="00DD1698" w:rsidP="00DD1698">
      <w:pPr>
        <w:rPr>
          <w:lang w:val="en-GB"/>
        </w:rPr>
      </w:pPr>
    </w:p>
    <w:p w14:paraId="4077E9A9" w14:textId="77777777" w:rsidR="00DD1698" w:rsidRPr="00CC1A0F" w:rsidRDefault="00DD1698" w:rsidP="00DD1698">
      <w:pPr>
        <w:pStyle w:val="Cmsor3"/>
        <w:rPr>
          <w:lang w:val="en-GB"/>
        </w:rPr>
      </w:pPr>
      <w:r w:rsidRPr="00CC1A0F">
        <w:rPr>
          <w:lang w:val="en-GB"/>
        </w:rPr>
        <w:t>Frequent, Informal Check-ins</w:t>
      </w:r>
    </w:p>
    <w:p w14:paraId="534BBDB4" w14:textId="77777777" w:rsidR="00DD1698" w:rsidRPr="00CC1A0F" w:rsidRDefault="00DD1698" w:rsidP="00DD1698">
      <w:pPr>
        <w:rPr>
          <w:lang w:val="en-GB"/>
        </w:rPr>
      </w:pPr>
    </w:p>
    <w:p w14:paraId="1BB97CE8" w14:textId="77777777" w:rsidR="00DD1698" w:rsidRPr="00CC1A0F" w:rsidRDefault="00DD1698" w:rsidP="00DD1698">
      <w:pPr>
        <w:rPr>
          <w:lang w:val="en-GB"/>
        </w:rPr>
      </w:pPr>
      <w:r w:rsidRPr="00CC1A0F">
        <w:rPr>
          <w:lang w:val="en-GB"/>
        </w:rPr>
        <w:t xml:space="preserve"> In teleworking, frequent informal </w:t>
      </w:r>
      <w:r>
        <w:rPr>
          <w:lang w:val="en-GB"/>
        </w:rPr>
        <w:t xml:space="preserve">virtual </w:t>
      </w:r>
      <w:r w:rsidRPr="00CC1A0F">
        <w:rPr>
          <w:lang w:val="en-GB"/>
        </w:rPr>
        <w:t xml:space="preserve">supervision is a key element of effective performance management. Unlike traditional office environments, remote teams lack the spontaneous interaction that naturally occurs in a shared physical space. These check-ins, conducted through various communication platforms such as Teams, Slack or internal systems, serve as a substitute for casual conversations that build camaraderie and rapport. The importance of these check-ins goes beyond maintaining contact; they facilitate ongoing feedback, ensuring that telecommuters get the guidance and support they need. In addition, the informality of these interactions fosters a sense of openness, making it easier for employees to discuss challenges or ask for clarification. By incorporating frequent, informal check-ins into the performance management process, organisations can bridge the communication gap, increase team </w:t>
      </w:r>
      <w:proofErr w:type="gramStart"/>
      <w:r w:rsidRPr="00CC1A0F">
        <w:rPr>
          <w:lang w:val="en-GB"/>
        </w:rPr>
        <w:t>cohesion</w:t>
      </w:r>
      <w:proofErr w:type="gramEnd"/>
      <w:r w:rsidRPr="00CC1A0F">
        <w:rPr>
          <w:lang w:val="en-GB"/>
        </w:rPr>
        <w:t xml:space="preserve"> and provide a platform to address the professional and personal aspects of telework (Bob. </w:t>
      </w:r>
      <w:proofErr w:type="spellStart"/>
      <w:r w:rsidRPr="00CC1A0F">
        <w:rPr>
          <w:lang w:val="en-GB"/>
        </w:rPr>
        <w:t>n.d</w:t>
      </w:r>
      <w:proofErr w:type="spellEnd"/>
      <w:r w:rsidRPr="00CC1A0F">
        <w:rPr>
          <w:lang w:val="en-GB"/>
        </w:rPr>
        <w:t xml:space="preserve">).  </w:t>
      </w:r>
    </w:p>
    <w:p w14:paraId="35F993F1" w14:textId="77777777" w:rsidR="00DD1698" w:rsidRPr="00CC1A0F" w:rsidRDefault="00DD1698" w:rsidP="00DD1698">
      <w:pPr>
        <w:rPr>
          <w:lang w:val="en-GB"/>
        </w:rPr>
      </w:pPr>
    </w:p>
    <w:p w14:paraId="42AD5F37" w14:textId="77777777" w:rsidR="00DD1698" w:rsidRPr="00CC1A0F" w:rsidRDefault="00DD1698" w:rsidP="00DD1698">
      <w:pPr>
        <w:pStyle w:val="Cmsor3"/>
        <w:rPr>
          <w:lang w:val="en-GB"/>
        </w:rPr>
      </w:pPr>
      <w:r w:rsidRPr="00CC1A0F">
        <w:rPr>
          <w:lang w:val="en-GB"/>
        </w:rPr>
        <w:t>Performance Management Tools</w:t>
      </w:r>
    </w:p>
    <w:p w14:paraId="102A9295" w14:textId="77777777" w:rsidR="00DD1698" w:rsidRPr="00CC1A0F" w:rsidRDefault="00DD1698" w:rsidP="00DD1698">
      <w:pPr>
        <w:pStyle w:val="Cmsor3"/>
        <w:rPr>
          <w:lang w:val="en-GB"/>
        </w:rPr>
      </w:pPr>
    </w:p>
    <w:p w14:paraId="4C460A30" w14:textId="77777777" w:rsidR="00DD1698" w:rsidRPr="00CC1A0F" w:rsidRDefault="00DD1698" w:rsidP="00DD1698">
      <w:pPr>
        <w:rPr>
          <w:lang w:val="en-GB"/>
        </w:rPr>
      </w:pPr>
      <w:r w:rsidRPr="00CC1A0F">
        <w:rPr>
          <w:lang w:val="en-GB"/>
        </w:rPr>
        <w:t xml:space="preserve"> Performance management tools play a crucial role in managing the complexity of teleworking environments. In the modern environment of decentralised offices and remote workers, these tools are a cornerstone for HR professionals. They facilitate the setting of clear goals, deadlines and priorities and address the unique challenges </w:t>
      </w:r>
      <w:r w:rsidRPr="00CC1A0F">
        <w:rPr>
          <w:lang w:val="en-GB"/>
        </w:rPr>
        <w:lastRenderedPageBreak/>
        <w:t xml:space="preserve">posed by different regional offices, different management styles and different workplace dynamics. These tools contribute to organisational cohesion by providing a central platform for setting goals, monitoring </w:t>
      </w:r>
      <w:proofErr w:type="gramStart"/>
      <w:r w:rsidRPr="00CC1A0F">
        <w:rPr>
          <w:lang w:val="en-GB"/>
        </w:rPr>
        <w:t>progress</w:t>
      </w:r>
      <w:proofErr w:type="gramEnd"/>
      <w:r w:rsidRPr="00CC1A0F">
        <w:rPr>
          <w:lang w:val="en-GB"/>
        </w:rPr>
        <w:t xml:space="preserve"> and conducting performance reviews. A particular feature is their ability to unify the appraisal process across dispersed teams, ensuring consistency of appraisals despite different management approaches. As companies increasingly adopt hybrid and teleworking models, effective performance management tools become essential in aligning individual and departmental goals with overall corporate objectives, thereby improving organisational </w:t>
      </w:r>
      <w:proofErr w:type="gramStart"/>
      <w:r w:rsidRPr="00CC1A0F">
        <w:rPr>
          <w:lang w:val="en-GB"/>
        </w:rPr>
        <w:t>strategy</w:t>
      </w:r>
      <w:proofErr w:type="gramEnd"/>
      <w:r w:rsidRPr="00CC1A0F">
        <w:rPr>
          <w:lang w:val="en-GB"/>
        </w:rPr>
        <w:t xml:space="preserve"> and fostering a culture of continuous improvement (Bob, </w:t>
      </w:r>
      <w:proofErr w:type="spellStart"/>
      <w:r w:rsidRPr="00CC1A0F">
        <w:rPr>
          <w:lang w:val="en-GB"/>
        </w:rPr>
        <w:t>n.d</w:t>
      </w:r>
      <w:proofErr w:type="spellEnd"/>
      <w:r w:rsidRPr="00CC1A0F">
        <w:rPr>
          <w:lang w:val="en-GB"/>
        </w:rPr>
        <w:t xml:space="preserve">). </w:t>
      </w:r>
    </w:p>
    <w:p w14:paraId="3601A5C9" w14:textId="77777777" w:rsidR="00DD1698" w:rsidRPr="00CC1A0F" w:rsidRDefault="00DD1698" w:rsidP="00DD1698">
      <w:pPr>
        <w:rPr>
          <w:lang w:val="en-GB"/>
        </w:rPr>
      </w:pPr>
    </w:p>
    <w:p w14:paraId="7841DB65" w14:textId="77777777" w:rsidR="00DD1698" w:rsidRPr="00CC1A0F" w:rsidRDefault="00DD1698" w:rsidP="00DD1698">
      <w:pPr>
        <w:pStyle w:val="Cmsor1"/>
        <w:rPr>
          <w:lang w:val="en-GB"/>
        </w:rPr>
      </w:pPr>
      <w:r w:rsidRPr="00CC1A0F">
        <w:rPr>
          <w:lang w:val="en-GB"/>
        </w:rPr>
        <w:t>Conclusion</w:t>
      </w:r>
    </w:p>
    <w:p w14:paraId="118AA78F" w14:textId="77777777" w:rsidR="00DD1698" w:rsidRPr="00CC1A0F" w:rsidRDefault="00DD1698" w:rsidP="00DD1698">
      <w:pPr>
        <w:pStyle w:val="Cmsor1"/>
        <w:rPr>
          <w:lang w:val="en-GB"/>
        </w:rPr>
      </w:pPr>
    </w:p>
    <w:p w14:paraId="0F4AC1CA" w14:textId="77777777" w:rsidR="00DD1698" w:rsidRPr="00CC1A0F" w:rsidRDefault="00DD1698" w:rsidP="00DD1698">
      <w:pPr>
        <w:rPr>
          <w:lang w:val="en-GB"/>
        </w:rPr>
      </w:pPr>
      <w:r w:rsidRPr="00CC1A0F">
        <w:rPr>
          <w:lang w:val="en-GB"/>
        </w:rPr>
        <w:t xml:space="preserve"> </w:t>
      </w:r>
      <w:r>
        <w:rPr>
          <w:lang w:val="en-GB"/>
        </w:rPr>
        <w:t>In conclusion</w:t>
      </w:r>
      <w:r w:rsidRPr="00CC1A0F">
        <w:rPr>
          <w:lang w:val="en-GB"/>
        </w:rPr>
        <w:t xml:space="preserve">, the essay </w:t>
      </w:r>
      <w:r>
        <w:rPr>
          <w:lang w:val="en-GB"/>
        </w:rPr>
        <w:t xml:space="preserve">has </w:t>
      </w:r>
      <w:r w:rsidRPr="00CC1A0F">
        <w:rPr>
          <w:lang w:val="en-GB"/>
        </w:rPr>
        <w:t>examine</w:t>
      </w:r>
      <w:r>
        <w:rPr>
          <w:lang w:val="en-GB"/>
        </w:rPr>
        <w:t>d</w:t>
      </w:r>
      <w:r w:rsidRPr="00CC1A0F">
        <w:rPr>
          <w:lang w:val="en-GB"/>
        </w:rPr>
        <w:t xml:space="preserve"> the transformative role of technology in telework in the COVID-19 era. From </w:t>
      </w:r>
      <w:proofErr w:type="spellStart"/>
      <w:r w:rsidRPr="00CC1A0F">
        <w:rPr>
          <w:lang w:val="en-GB"/>
        </w:rPr>
        <w:t>Prodoscore's</w:t>
      </w:r>
      <w:proofErr w:type="spellEnd"/>
      <w:r w:rsidRPr="00CC1A0F">
        <w:rPr>
          <w:lang w:val="en-GB"/>
        </w:rPr>
        <w:t xml:space="preserve"> data insights that challenge productivity norms, to basic tools such as feedback systems and performance measurement techniques, the discourse highlights their key role in the effective performance evaluation of teleworkers. As organisations adapt to the post-pandemic landscape, these tools will become key to</w:t>
      </w:r>
      <w:r>
        <w:rPr>
          <w:lang w:val="en-GB"/>
        </w:rPr>
        <w:t xml:space="preserve"> the success of using a virtual workforce:</w:t>
      </w:r>
      <w:r w:rsidRPr="00CC1A0F">
        <w:rPr>
          <w:lang w:val="en-GB"/>
        </w:rPr>
        <w:t xml:space="preserve"> tailoring approaches, accommodating individual </w:t>
      </w:r>
      <w:proofErr w:type="gramStart"/>
      <w:r w:rsidRPr="00CC1A0F">
        <w:rPr>
          <w:lang w:val="en-GB"/>
        </w:rPr>
        <w:t>differences</w:t>
      </w:r>
      <w:proofErr w:type="gramEnd"/>
      <w:r w:rsidRPr="00CC1A0F">
        <w:rPr>
          <w:lang w:val="en-GB"/>
        </w:rPr>
        <w:t xml:space="preserve"> and fostering a work environment that prioritises employee wellbeing and sustainable productivity.</w:t>
      </w:r>
      <w:r w:rsidRPr="00CC1A0F">
        <w:rPr>
          <w:lang w:val="en-GB"/>
        </w:rPr>
        <w:br w:type="page"/>
      </w:r>
    </w:p>
    <w:p w14:paraId="41F915A2" w14:textId="77777777" w:rsidR="00DD1698" w:rsidRPr="00CC1A0F" w:rsidRDefault="00DD1698" w:rsidP="00DD1698">
      <w:pPr>
        <w:pStyle w:val="Cmsor1"/>
        <w:rPr>
          <w:lang w:val="en-GB"/>
        </w:rPr>
      </w:pPr>
      <w:r w:rsidRPr="00CC1A0F">
        <w:rPr>
          <w:lang w:val="en-GB"/>
        </w:rPr>
        <w:lastRenderedPageBreak/>
        <w:t>References</w:t>
      </w:r>
    </w:p>
    <w:p w14:paraId="0BBFCAFC" w14:textId="77777777" w:rsidR="00DD1698" w:rsidRDefault="00DD1698" w:rsidP="00DD1698"/>
    <w:p w14:paraId="57DAE4EF" w14:textId="77777777" w:rsidR="00DD1698" w:rsidRDefault="00DD1698" w:rsidP="00DD1698">
      <w:r>
        <w:t xml:space="preserve">Bob </w:t>
      </w:r>
      <w:r w:rsidRPr="001B09C8">
        <w:t>(</w:t>
      </w:r>
      <w:proofErr w:type="spellStart"/>
      <w:r w:rsidRPr="001B09C8">
        <w:t>n.d</w:t>
      </w:r>
      <w:proofErr w:type="spellEnd"/>
      <w:r w:rsidRPr="001B09C8">
        <w:t>.)</w:t>
      </w:r>
      <w:r w:rsidRPr="005F5317">
        <w:t xml:space="preserve"> </w:t>
      </w:r>
      <w:r w:rsidRPr="005F5317">
        <w:rPr>
          <w:i/>
          <w:iCs/>
        </w:rPr>
        <w:t xml:space="preserve">The </w:t>
      </w:r>
      <w:proofErr w:type="spellStart"/>
      <w:r w:rsidRPr="005F5317">
        <w:rPr>
          <w:i/>
          <w:iCs/>
        </w:rPr>
        <w:t>new</w:t>
      </w:r>
      <w:proofErr w:type="spellEnd"/>
      <w:r w:rsidRPr="005F5317">
        <w:rPr>
          <w:i/>
          <w:iCs/>
        </w:rPr>
        <w:t xml:space="preserve"> </w:t>
      </w:r>
      <w:proofErr w:type="spellStart"/>
      <w:r w:rsidRPr="005F5317">
        <w:rPr>
          <w:i/>
          <w:iCs/>
        </w:rPr>
        <w:t>world</w:t>
      </w:r>
      <w:proofErr w:type="spellEnd"/>
      <w:r w:rsidRPr="005F5317">
        <w:rPr>
          <w:i/>
          <w:iCs/>
        </w:rPr>
        <w:t xml:space="preserve"> of REMOTE PERFORMANCE REVIEWS</w:t>
      </w:r>
      <w:r w:rsidRPr="001B09C8">
        <w:t xml:space="preserve">. </w:t>
      </w:r>
      <w:proofErr w:type="spellStart"/>
      <w:r w:rsidRPr="001B09C8">
        <w:t>Available</w:t>
      </w:r>
      <w:proofErr w:type="spellEnd"/>
      <w:r w:rsidRPr="001B09C8">
        <w:t xml:space="preserve"> </w:t>
      </w:r>
      <w:proofErr w:type="spellStart"/>
      <w:r w:rsidRPr="001B09C8">
        <w:t>at</w:t>
      </w:r>
      <w:proofErr w:type="spellEnd"/>
      <w:r>
        <w:t>:</w:t>
      </w:r>
      <w:r w:rsidRPr="00592C37">
        <w:t xml:space="preserve"> </w:t>
      </w:r>
      <w:hyperlink r:id="rId7" w:history="1">
        <w:r w:rsidRPr="00B078D9">
          <w:rPr>
            <w:rStyle w:val="Hiperhivatkozs"/>
          </w:rPr>
          <w:t>https://www.hibob.com/guides/remote-performance-review/</w:t>
        </w:r>
      </w:hyperlink>
      <w:r>
        <w:t xml:space="preserve"> </w:t>
      </w:r>
      <w:r w:rsidRPr="001B09C8">
        <w:t xml:space="preserve">(Accessed: </w:t>
      </w:r>
      <w:proofErr w:type="spellStart"/>
      <w:r w:rsidRPr="001B09C8">
        <w:t>n.d</w:t>
      </w:r>
      <w:proofErr w:type="spellEnd"/>
      <w:r w:rsidRPr="001B09C8">
        <w:t>.)</w:t>
      </w:r>
    </w:p>
    <w:p w14:paraId="038D984B" w14:textId="77777777" w:rsidR="00DD1698" w:rsidRDefault="00DD1698" w:rsidP="00DD1698"/>
    <w:p w14:paraId="6A182533" w14:textId="77777777" w:rsidR="00DD1698" w:rsidRDefault="00DD1698" w:rsidP="00DD1698">
      <w:proofErr w:type="spellStart"/>
      <w:r>
        <w:t>Bridge</w:t>
      </w:r>
      <w:proofErr w:type="spellEnd"/>
      <w:r w:rsidRPr="001B09C8">
        <w:t xml:space="preserve"> (</w:t>
      </w:r>
      <w:r>
        <w:t>2021</w:t>
      </w:r>
      <w:r w:rsidRPr="001B09C8">
        <w:t>)</w:t>
      </w:r>
      <w:r>
        <w:rPr>
          <w:i/>
          <w:iCs/>
        </w:rPr>
        <w:t xml:space="preserve"> </w:t>
      </w:r>
      <w:r w:rsidRPr="00CF2BAD">
        <w:rPr>
          <w:i/>
          <w:iCs/>
        </w:rPr>
        <w:t xml:space="preserve">The 5 </w:t>
      </w:r>
      <w:proofErr w:type="spellStart"/>
      <w:r w:rsidRPr="00CF2BAD">
        <w:rPr>
          <w:i/>
          <w:iCs/>
        </w:rPr>
        <w:t>Benefits</w:t>
      </w:r>
      <w:proofErr w:type="spellEnd"/>
      <w:r w:rsidRPr="00CF2BAD">
        <w:rPr>
          <w:i/>
          <w:iCs/>
        </w:rPr>
        <w:t xml:space="preserve"> of 360 </w:t>
      </w:r>
      <w:proofErr w:type="spellStart"/>
      <w:r w:rsidRPr="00CF2BAD">
        <w:rPr>
          <w:i/>
          <w:iCs/>
        </w:rPr>
        <w:t>Degree</w:t>
      </w:r>
      <w:proofErr w:type="spellEnd"/>
      <w:r w:rsidRPr="00CF2BAD">
        <w:rPr>
          <w:i/>
          <w:iCs/>
        </w:rPr>
        <w:t xml:space="preserve"> </w:t>
      </w:r>
      <w:proofErr w:type="spellStart"/>
      <w:r w:rsidRPr="00CF2BAD">
        <w:rPr>
          <w:i/>
          <w:iCs/>
        </w:rPr>
        <w:t>Feedback</w:t>
      </w:r>
      <w:proofErr w:type="spellEnd"/>
      <w:r w:rsidRPr="00CF2BAD">
        <w:rPr>
          <w:i/>
          <w:iCs/>
        </w:rPr>
        <w:t xml:space="preserve"> </w:t>
      </w:r>
      <w:proofErr w:type="spellStart"/>
      <w:r w:rsidRPr="00CF2BAD">
        <w:rPr>
          <w:i/>
          <w:iCs/>
        </w:rPr>
        <w:t>for</w:t>
      </w:r>
      <w:proofErr w:type="spellEnd"/>
      <w:r w:rsidRPr="00CF2BAD">
        <w:rPr>
          <w:i/>
          <w:iCs/>
        </w:rPr>
        <w:t xml:space="preserve"> </w:t>
      </w:r>
      <w:proofErr w:type="spellStart"/>
      <w:r w:rsidRPr="00CF2BAD">
        <w:rPr>
          <w:i/>
          <w:iCs/>
        </w:rPr>
        <w:t>Remote</w:t>
      </w:r>
      <w:proofErr w:type="spellEnd"/>
      <w:r w:rsidRPr="00CF2BAD">
        <w:rPr>
          <w:i/>
          <w:iCs/>
        </w:rPr>
        <w:t xml:space="preserve"> Teams</w:t>
      </w:r>
      <w:r w:rsidRPr="001B09C8">
        <w:t xml:space="preserve">. </w:t>
      </w:r>
      <w:proofErr w:type="spellStart"/>
      <w:r w:rsidRPr="001B09C8">
        <w:t>Available</w:t>
      </w:r>
      <w:proofErr w:type="spellEnd"/>
      <w:r w:rsidRPr="001B09C8">
        <w:t xml:space="preserve"> </w:t>
      </w:r>
      <w:proofErr w:type="spellStart"/>
      <w:r w:rsidRPr="001B09C8">
        <w:t>at</w:t>
      </w:r>
      <w:proofErr w:type="spellEnd"/>
      <w:r w:rsidRPr="001B09C8">
        <w:t xml:space="preserve">: </w:t>
      </w:r>
      <w:hyperlink r:id="rId8" w:history="1">
        <w:r w:rsidRPr="00B078D9">
          <w:rPr>
            <w:rStyle w:val="Hiperhivatkozs"/>
          </w:rPr>
          <w:t>https://www.getbridge.com/blog/performance-management/5-benefits-360-degree-feedback-remote-teams/</w:t>
        </w:r>
      </w:hyperlink>
      <w:r>
        <w:t xml:space="preserve"> </w:t>
      </w:r>
      <w:r w:rsidRPr="001B09C8">
        <w:t xml:space="preserve">(Accessed: </w:t>
      </w:r>
      <w:r>
        <w:t xml:space="preserve">12 </w:t>
      </w:r>
      <w:proofErr w:type="spellStart"/>
      <w:r>
        <w:t>Feb</w:t>
      </w:r>
      <w:proofErr w:type="spellEnd"/>
      <w:r>
        <w:t xml:space="preserve"> 2021</w:t>
      </w:r>
      <w:r w:rsidRPr="001B09C8">
        <w:t>)</w:t>
      </w:r>
    </w:p>
    <w:p w14:paraId="3B57F8F5" w14:textId="77777777" w:rsidR="00DD1698" w:rsidRPr="00CF2BAD" w:rsidRDefault="00DD1698" w:rsidP="00DD1698">
      <w:pPr>
        <w:rPr>
          <w:i/>
          <w:iCs/>
        </w:rPr>
      </w:pPr>
    </w:p>
    <w:p w14:paraId="38F6AA44" w14:textId="77777777" w:rsidR="00DD1698" w:rsidRDefault="00DD1698" w:rsidP="00DD1698">
      <w:r>
        <w:t xml:space="preserve">De </w:t>
      </w:r>
      <w:proofErr w:type="spellStart"/>
      <w:r>
        <w:t>Vincenzi</w:t>
      </w:r>
      <w:proofErr w:type="spellEnd"/>
      <w:r>
        <w:t xml:space="preserve">, C. </w:t>
      </w:r>
      <w:proofErr w:type="spellStart"/>
      <w:r>
        <w:t>et</w:t>
      </w:r>
      <w:proofErr w:type="spellEnd"/>
      <w:r>
        <w:t xml:space="preserve"> </w:t>
      </w:r>
      <w:proofErr w:type="spellStart"/>
      <w:r>
        <w:t>al</w:t>
      </w:r>
      <w:proofErr w:type="spellEnd"/>
      <w:r>
        <w:t>. (2022) ’</w:t>
      </w:r>
      <w:proofErr w:type="spellStart"/>
      <w:r w:rsidRPr="00CE0A54">
        <w:t>Consequences</w:t>
      </w:r>
      <w:proofErr w:type="spellEnd"/>
      <w:r w:rsidRPr="00CE0A54">
        <w:t xml:space="preserve"> of COVID-19 </w:t>
      </w:r>
      <w:proofErr w:type="spellStart"/>
      <w:r w:rsidRPr="00CE0A54">
        <w:t>on</w:t>
      </w:r>
      <w:proofErr w:type="spellEnd"/>
      <w:r w:rsidRPr="00CE0A54">
        <w:t xml:space="preserve"> </w:t>
      </w:r>
      <w:proofErr w:type="spellStart"/>
      <w:r w:rsidRPr="00CE0A54">
        <w:t>Employees</w:t>
      </w:r>
      <w:proofErr w:type="spellEnd"/>
      <w:r w:rsidRPr="00CE0A54">
        <w:t xml:space="preserve"> in </w:t>
      </w:r>
      <w:proofErr w:type="spellStart"/>
      <w:r w:rsidRPr="00CE0A54">
        <w:t>Remote</w:t>
      </w:r>
      <w:proofErr w:type="spellEnd"/>
      <w:r w:rsidRPr="00CE0A54">
        <w:t xml:space="preserve"> </w:t>
      </w:r>
      <w:proofErr w:type="spellStart"/>
      <w:r w:rsidRPr="00CE0A54">
        <w:t>Working</w:t>
      </w:r>
      <w:proofErr w:type="spellEnd"/>
      <w:r w:rsidRPr="00CE0A54">
        <w:t xml:space="preserve">: </w:t>
      </w:r>
      <w:proofErr w:type="spellStart"/>
      <w:r w:rsidRPr="00CE0A54">
        <w:t>Challenges</w:t>
      </w:r>
      <w:proofErr w:type="spellEnd"/>
      <w:r w:rsidRPr="00CE0A54">
        <w:t xml:space="preserve">, </w:t>
      </w:r>
      <w:proofErr w:type="spellStart"/>
      <w:r w:rsidRPr="00CE0A54">
        <w:t>Risks</w:t>
      </w:r>
      <w:proofErr w:type="spellEnd"/>
      <w:r w:rsidRPr="00CE0A54">
        <w:t xml:space="preserve"> and </w:t>
      </w:r>
      <w:proofErr w:type="spellStart"/>
      <w:r w:rsidRPr="00CE0A54">
        <w:t>Opportunities</w:t>
      </w:r>
      <w:proofErr w:type="spellEnd"/>
      <w:r w:rsidRPr="00CE0A54">
        <w:t xml:space="preserve"> An </w:t>
      </w:r>
      <w:proofErr w:type="spellStart"/>
      <w:r w:rsidRPr="00CE0A54">
        <w:t>Evidence-Based</w:t>
      </w:r>
      <w:proofErr w:type="spellEnd"/>
      <w:r w:rsidRPr="00CE0A54">
        <w:t xml:space="preserve"> </w:t>
      </w:r>
      <w:proofErr w:type="spellStart"/>
      <w:r w:rsidRPr="00CE0A54">
        <w:t>Literature</w:t>
      </w:r>
      <w:proofErr w:type="spellEnd"/>
      <w:r w:rsidRPr="00CE0A54">
        <w:t xml:space="preserve"> </w:t>
      </w:r>
      <w:proofErr w:type="spellStart"/>
      <w:r w:rsidRPr="00CE0A54">
        <w:t>Review</w:t>
      </w:r>
      <w:proofErr w:type="spellEnd"/>
      <w:r>
        <w:t xml:space="preserve">', </w:t>
      </w:r>
      <w:r w:rsidRPr="00E02CA9">
        <w:rPr>
          <w:i/>
          <w:iCs/>
        </w:rPr>
        <w:t xml:space="preserve">Int J </w:t>
      </w:r>
      <w:proofErr w:type="spellStart"/>
      <w:r w:rsidRPr="00E02CA9">
        <w:rPr>
          <w:i/>
          <w:iCs/>
        </w:rPr>
        <w:t>Environ</w:t>
      </w:r>
      <w:proofErr w:type="spellEnd"/>
      <w:r w:rsidRPr="00E02CA9">
        <w:rPr>
          <w:i/>
          <w:iCs/>
        </w:rPr>
        <w:t xml:space="preserve"> </w:t>
      </w:r>
      <w:proofErr w:type="spellStart"/>
      <w:r w:rsidRPr="00E02CA9">
        <w:rPr>
          <w:i/>
          <w:iCs/>
        </w:rPr>
        <w:t>Res</w:t>
      </w:r>
      <w:proofErr w:type="spellEnd"/>
      <w:r w:rsidRPr="00E02CA9">
        <w:rPr>
          <w:i/>
          <w:iCs/>
        </w:rPr>
        <w:t xml:space="preserve"> Public Health</w:t>
      </w:r>
      <w:r>
        <w:t xml:space="preserve">, 19(18), 11672. </w:t>
      </w:r>
      <w:proofErr w:type="spellStart"/>
      <w:r>
        <w:t>Available</w:t>
      </w:r>
      <w:proofErr w:type="spellEnd"/>
      <w:r>
        <w:t xml:space="preserve"> </w:t>
      </w:r>
      <w:proofErr w:type="spellStart"/>
      <w:r>
        <w:t>at</w:t>
      </w:r>
      <w:proofErr w:type="spellEnd"/>
      <w:r>
        <w:t xml:space="preserve">: </w:t>
      </w:r>
      <w:hyperlink r:id="rId9" w:history="1">
        <w:r w:rsidRPr="00B078D9">
          <w:rPr>
            <w:rStyle w:val="Hiperhivatkozs"/>
          </w:rPr>
          <w:t>https://pubmed.ncbi.nlm.nih.gov/36141948/</w:t>
        </w:r>
      </w:hyperlink>
      <w:r>
        <w:t xml:space="preserve"> </w:t>
      </w:r>
    </w:p>
    <w:p w14:paraId="69EED5AE" w14:textId="77777777" w:rsidR="00DD1698" w:rsidRDefault="00DD1698" w:rsidP="00DD1698"/>
    <w:p w14:paraId="0A887265" w14:textId="77777777" w:rsidR="00DD1698" w:rsidRDefault="00DD1698" w:rsidP="00DD1698">
      <w:r>
        <w:t xml:space="preserve">Ferrara, B. </w:t>
      </w:r>
      <w:proofErr w:type="spellStart"/>
      <w:r>
        <w:t>et</w:t>
      </w:r>
      <w:proofErr w:type="spellEnd"/>
      <w:r>
        <w:t xml:space="preserve"> </w:t>
      </w:r>
      <w:proofErr w:type="spellStart"/>
      <w:r>
        <w:t>al</w:t>
      </w:r>
      <w:proofErr w:type="spellEnd"/>
      <w:r>
        <w:t>. (2022) '</w:t>
      </w:r>
      <w:proofErr w:type="spellStart"/>
      <w:r>
        <w:t>Investigating</w:t>
      </w:r>
      <w:proofErr w:type="spellEnd"/>
      <w:r>
        <w:t xml:space="preserve"> </w:t>
      </w:r>
      <w:proofErr w:type="spellStart"/>
      <w:r>
        <w:t>the</w:t>
      </w:r>
      <w:proofErr w:type="spellEnd"/>
      <w:r>
        <w:t xml:space="preserve"> </w:t>
      </w:r>
      <w:proofErr w:type="spellStart"/>
      <w:r>
        <w:t>Role</w:t>
      </w:r>
      <w:proofErr w:type="spellEnd"/>
      <w:r>
        <w:t xml:space="preserve"> of </w:t>
      </w:r>
      <w:proofErr w:type="spellStart"/>
      <w:r>
        <w:t>Remote</w:t>
      </w:r>
      <w:proofErr w:type="spellEnd"/>
      <w:r>
        <w:t xml:space="preserve"> </w:t>
      </w:r>
      <w:proofErr w:type="spellStart"/>
      <w:r>
        <w:t>Working</w:t>
      </w:r>
      <w:proofErr w:type="spellEnd"/>
      <w:r>
        <w:t xml:space="preserve"> </w:t>
      </w:r>
      <w:proofErr w:type="spellStart"/>
      <w:r>
        <w:t>on</w:t>
      </w:r>
      <w:proofErr w:type="spellEnd"/>
      <w:r>
        <w:t xml:space="preserve"> </w:t>
      </w:r>
      <w:proofErr w:type="spellStart"/>
      <w:r>
        <w:t>Employees</w:t>
      </w:r>
      <w:proofErr w:type="spellEnd"/>
      <w:r>
        <w:t xml:space="preserve">' Performance and </w:t>
      </w:r>
      <w:proofErr w:type="spellStart"/>
      <w:r>
        <w:t>Well-Being</w:t>
      </w:r>
      <w:proofErr w:type="spellEnd"/>
      <w:r>
        <w:t xml:space="preserve">: An </w:t>
      </w:r>
      <w:proofErr w:type="spellStart"/>
      <w:r>
        <w:t>Evidence-Based</w:t>
      </w:r>
      <w:proofErr w:type="spellEnd"/>
      <w:r>
        <w:t xml:space="preserve"> </w:t>
      </w:r>
      <w:proofErr w:type="spellStart"/>
      <w:r>
        <w:t>Systematic</w:t>
      </w:r>
      <w:proofErr w:type="spellEnd"/>
      <w:r>
        <w:t xml:space="preserve"> </w:t>
      </w:r>
      <w:proofErr w:type="spellStart"/>
      <w:r>
        <w:t>Review</w:t>
      </w:r>
      <w:proofErr w:type="spellEnd"/>
      <w:r>
        <w:t xml:space="preserve">', </w:t>
      </w:r>
      <w:r w:rsidRPr="00E02CA9">
        <w:rPr>
          <w:i/>
          <w:iCs/>
        </w:rPr>
        <w:t xml:space="preserve">Int J </w:t>
      </w:r>
      <w:proofErr w:type="spellStart"/>
      <w:r w:rsidRPr="00E02CA9">
        <w:rPr>
          <w:i/>
          <w:iCs/>
        </w:rPr>
        <w:t>Environ</w:t>
      </w:r>
      <w:proofErr w:type="spellEnd"/>
      <w:r w:rsidRPr="00E02CA9">
        <w:rPr>
          <w:i/>
          <w:iCs/>
        </w:rPr>
        <w:t xml:space="preserve"> </w:t>
      </w:r>
      <w:proofErr w:type="spellStart"/>
      <w:r w:rsidRPr="00E02CA9">
        <w:rPr>
          <w:i/>
          <w:iCs/>
        </w:rPr>
        <w:t>Res</w:t>
      </w:r>
      <w:proofErr w:type="spellEnd"/>
      <w:r w:rsidRPr="00E02CA9">
        <w:rPr>
          <w:i/>
          <w:iCs/>
        </w:rPr>
        <w:t xml:space="preserve"> Public Health</w:t>
      </w:r>
      <w:r>
        <w:t xml:space="preserve">, 19(19), 12373. </w:t>
      </w:r>
      <w:proofErr w:type="spellStart"/>
      <w:r>
        <w:t>Available</w:t>
      </w:r>
      <w:proofErr w:type="spellEnd"/>
      <w:r>
        <w:t xml:space="preserve"> </w:t>
      </w:r>
      <w:proofErr w:type="spellStart"/>
      <w:r>
        <w:t>at</w:t>
      </w:r>
      <w:proofErr w:type="spellEnd"/>
      <w:r>
        <w:t xml:space="preserve">: </w:t>
      </w:r>
      <w:hyperlink r:id="rId10" w:history="1">
        <w:r w:rsidRPr="00B078D9">
          <w:rPr>
            <w:rStyle w:val="Hiperhivatkozs"/>
          </w:rPr>
          <w:t>https://pubmed.ncbi.nlm.nih.gov/36231675/</w:t>
        </w:r>
      </w:hyperlink>
      <w:r>
        <w:t xml:space="preserve"> </w:t>
      </w:r>
    </w:p>
    <w:p w14:paraId="2F993BAC" w14:textId="77777777" w:rsidR="00DD1698" w:rsidRDefault="00DD1698" w:rsidP="00DD1698"/>
    <w:p w14:paraId="24930B0E" w14:textId="77777777" w:rsidR="00DD1698" w:rsidRDefault="00DD1698" w:rsidP="00DD1698">
      <w:r>
        <w:t xml:space="preserve">Kelly, L. (2021) </w:t>
      </w:r>
      <w:proofErr w:type="spellStart"/>
      <w:r w:rsidRPr="007066FE">
        <w:rPr>
          <w:i/>
          <w:iCs/>
        </w:rPr>
        <w:t>Objectives</w:t>
      </w:r>
      <w:proofErr w:type="spellEnd"/>
      <w:r w:rsidRPr="007066FE">
        <w:rPr>
          <w:i/>
          <w:iCs/>
        </w:rPr>
        <w:t xml:space="preserve"> and Key </w:t>
      </w:r>
      <w:proofErr w:type="spellStart"/>
      <w:r w:rsidRPr="007066FE">
        <w:rPr>
          <w:i/>
          <w:iCs/>
        </w:rPr>
        <w:t>Results</w:t>
      </w:r>
      <w:proofErr w:type="spellEnd"/>
      <w:r w:rsidRPr="007066FE">
        <w:rPr>
          <w:i/>
          <w:iCs/>
        </w:rPr>
        <w:t xml:space="preserve">: The Key </w:t>
      </w:r>
      <w:proofErr w:type="spellStart"/>
      <w:r w:rsidRPr="007066FE">
        <w:rPr>
          <w:i/>
          <w:iCs/>
        </w:rPr>
        <w:t>to</w:t>
      </w:r>
      <w:proofErr w:type="spellEnd"/>
      <w:r w:rsidRPr="007066FE">
        <w:rPr>
          <w:i/>
          <w:iCs/>
        </w:rPr>
        <w:t xml:space="preserve"> </w:t>
      </w:r>
      <w:proofErr w:type="spellStart"/>
      <w:r w:rsidRPr="007066FE">
        <w:rPr>
          <w:i/>
          <w:iCs/>
        </w:rPr>
        <w:t>Remote</w:t>
      </w:r>
      <w:proofErr w:type="spellEnd"/>
      <w:r w:rsidRPr="007066FE">
        <w:rPr>
          <w:i/>
          <w:iCs/>
        </w:rPr>
        <w:t xml:space="preserve"> </w:t>
      </w:r>
      <w:proofErr w:type="spellStart"/>
      <w:r w:rsidRPr="007066FE">
        <w:rPr>
          <w:i/>
          <w:iCs/>
        </w:rPr>
        <w:t>Teams</w:t>
      </w:r>
      <w:proofErr w:type="spellEnd"/>
      <w:r w:rsidRPr="007066FE">
        <w:rPr>
          <w:i/>
          <w:iCs/>
        </w:rPr>
        <w:t xml:space="preserve">’ </w:t>
      </w:r>
      <w:proofErr w:type="spellStart"/>
      <w:r w:rsidRPr="007066FE">
        <w:rPr>
          <w:i/>
          <w:iCs/>
        </w:rPr>
        <w:t>Success</w:t>
      </w:r>
      <w:proofErr w:type="spellEnd"/>
      <w:r>
        <w:t xml:space="preserve">. </w:t>
      </w:r>
      <w:proofErr w:type="spellStart"/>
      <w:r>
        <w:t>Available</w:t>
      </w:r>
      <w:proofErr w:type="spellEnd"/>
      <w:r>
        <w:t xml:space="preserve"> </w:t>
      </w:r>
      <w:proofErr w:type="spellStart"/>
      <w:r>
        <w:t>at</w:t>
      </w:r>
      <w:proofErr w:type="spellEnd"/>
      <w:r>
        <w:t xml:space="preserve">: </w:t>
      </w:r>
      <w:hyperlink r:id="rId11" w:history="1">
        <w:r w:rsidRPr="00B078D9">
          <w:rPr>
            <w:rStyle w:val="Hiperhivatkozs"/>
          </w:rPr>
          <w:t>https://www.peoplegoal.com/blog/objectives-and-key-results</w:t>
        </w:r>
      </w:hyperlink>
      <w:r>
        <w:t xml:space="preserve"> (Accessed: 23 </w:t>
      </w:r>
      <w:proofErr w:type="spellStart"/>
      <w:r>
        <w:t>Feb</w:t>
      </w:r>
      <w:proofErr w:type="spellEnd"/>
      <w:r>
        <w:t xml:space="preserve"> 2021).</w:t>
      </w:r>
    </w:p>
    <w:p w14:paraId="381BDC32" w14:textId="77777777" w:rsidR="00DD1698" w:rsidRDefault="00DD1698" w:rsidP="00DD1698"/>
    <w:p w14:paraId="1FDB4847" w14:textId="77777777" w:rsidR="00DD1698" w:rsidRDefault="00DD1698" w:rsidP="00DD1698">
      <w:proofErr w:type="spellStart"/>
      <w:r w:rsidRPr="001B09C8">
        <w:t>Kenjo</w:t>
      </w:r>
      <w:proofErr w:type="spellEnd"/>
      <w:r w:rsidRPr="001B09C8">
        <w:t xml:space="preserve"> (</w:t>
      </w:r>
      <w:proofErr w:type="spellStart"/>
      <w:r w:rsidRPr="001B09C8">
        <w:t>n.d</w:t>
      </w:r>
      <w:proofErr w:type="spellEnd"/>
      <w:r w:rsidRPr="001B09C8">
        <w:t xml:space="preserve">.) </w:t>
      </w:r>
      <w:proofErr w:type="spellStart"/>
      <w:r w:rsidRPr="001B09C8">
        <w:rPr>
          <w:i/>
          <w:iCs/>
        </w:rPr>
        <w:t>How</w:t>
      </w:r>
      <w:proofErr w:type="spellEnd"/>
      <w:r w:rsidRPr="001B09C8">
        <w:rPr>
          <w:i/>
          <w:iCs/>
        </w:rPr>
        <w:t xml:space="preserve"> </w:t>
      </w:r>
      <w:proofErr w:type="spellStart"/>
      <w:r w:rsidRPr="001B09C8">
        <w:rPr>
          <w:i/>
          <w:iCs/>
        </w:rPr>
        <w:t>to</w:t>
      </w:r>
      <w:proofErr w:type="spellEnd"/>
      <w:r w:rsidRPr="001B09C8">
        <w:rPr>
          <w:i/>
          <w:iCs/>
        </w:rPr>
        <w:t xml:space="preserve"> </w:t>
      </w:r>
      <w:proofErr w:type="spellStart"/>
      <w:r w:rsidRPr="001B09C8">
        <w:rPr>
          <w:i/>
          <w:iCs/>
        </w:rPr>
        <w:t>use</w:t>
      </w:r>
      <w:proofErr w:type="spellEnd"/>
      <w:r w:rsidRPr="001B09C8">
        <w:rPr>
          <w:i/>
          <w:iCs/>
        </w:rPr>
        <w:t xml:space="preserve"> </w:t>
      </w:r>
      <w:proofErr w:type="spellStart"/>
      <w:r w:rsidRPr="001B09C8">
        <w:rPr>
          <w:i/>
          <w:iCs/>
        </w:rPr>
        <w:t>KPIs</w:t>
      </w:r>
      <w:proofErr w:type="spellEnd"/>
      <w:r w:rsidRPr="001B09C8">
        <w:rPr>
          <w:i/>
          <w:iCs/>
        </w:rPr>
        <w:t xml:space="preserve"> </w:t>
      </w:r>
      <w:proofErr w:type="spellStart"/>
      <w:r w:rsidRPr="001B09C8">
        <w:rPr>
          <w:i/>
          <w:iCs/>
        </w:rPr>
        <w:t>for</w:t>
      </w:r>
      <w:proofErr w:type="spellEnd"/>
      <w:r w:rsidRPr="001B09C8">
        <w:rPr>
          <w:i/>
          <w:iCs/>
        </w:rPr>
        <w:t xml:space="preserve"> </w:t>
      </w:r>
      <w:proofErr w:type="spellStart"/>
      <w:r w:rsidRPr="001B09C8">
        <w:rPr>
          <w:i/>
          <w:iCs/>
        </w:rPr>
        <w:t>measuring</w:t>
      </w:r>
      <w:proofErr w:type="spellEnd"/>
      <w:r w:rsidRPr="001B09C8">
        <w:rPr>
          <w:i/>
          <w:iCs/>
        </w:rPr>
        <w:t xml:space="preserve"> </w:t>
      </w:r>
      <w:proofErr w:type="spellStart"/>
      <w:r w:rsidRPr="001B09C8">
        <w:rPr>
          <w:i/>
          <w:iCs/>
        </w:rPr>
        <w:t>remote</w:t>
      </w:r>
      <w:proofErr w:type="spellEnd"/>
      <w:r w:rsidRPr="001B09C8">
        <w:rPr>
          <w:i/>
          <w:iCs/>
        </w:rPr>
        <w:t xml:space="preserve"> </w:t>
      </w:r>
      <w:proofErr w:type="spellStart"/>
      <w:r w:rsidRPr="001B09C8">
        <w:rPr>
          <w:i/>
          <w:iCs/>
        </w:rPr>
        <w:t>productivity</w:t>
      </w:r>
      <w:proofErr w:type="spellEnd"/>
      <w:r w:rsidRPr="001B09C8">
        <w:t xml:space="preserve">. </w:t>
      </w:r>
      <w:proofErr w:type="spellStart"/>
      <w:r w:rsidRPr="001B09C8">
        <w:t>Available</w:t>
      </w:r>
      <w:proofErr w:type="spellEnd"/>
      <w:r w:rsidRPr="001B09C8">
        <w:t xml:space="preserve"> </w:t>
      </w:r>
      <w:proofErr w:type="spellStart"/>
      <w:r w:rsidRPr="001B09C8">
        <w:t>at</w:t>
      </w:r>
      <w:proofErr w:type="spellEnd"/>
      <w:r w:rsidRPr="001B09C8">
        <w:t xml:space="preserve">: </w:t>
      </w:r>
      <w:hyperlink r:id="rId12" w:history="1">
        <w:r w:rsidRPr="00B078D9">
          <w:rPr>
            <w:rStyle w:val="Hiperhivatkozs"/>
          </w:rPr>
          <w:t>https://blog.kenjo.io/how-to-use-kpis-for-measuring-remote-productivity</w:t>
        </w:r>
      </w:hyperlink>
      <w:r>
        <w:t xml:space="preserve"> </w:t>
      </w:r>
      <w:r w:rsidRPr="001B09C8">
        <w:t xml:space="preserve">(Accessed: </w:t>
      </w:r>
      <w:proofErr w:type="spellStart"/>
      <w:r w:rsidRPr="001B09C8">
        <w:t>n.d</w:t>
      </w:r>
      <w:proofErr w:type="spellEnd"/>
      <w:r w:rsidRPr="001B09C8">
        <w:t>.)</w:t>
      </w:r>
    </w:p>
    <w:p w14:paraId="3A7084AA" w14:textId="77777777" w:rsidR="00DD1698" w:rsidRDefault="00DD1698" w:rsidP="00DD1698"/>
    <w:p w14:paraId="099E426E" w14:textId="77777777" w:rsidR="00DD1698" w:rsidRDefault="00DD1698" w:rsidP="00DD1698">
      <w:proofErr w:type="spellStart"/>
      <w:r w:rsidRPr="00E03A47">
        <w:t>Kowalski</w:t>
      </w:r>
      <w:proofErr w:type="spellEnd"/>
      <w:r w:rsidRPr="00E03A47">
        <w:t xml:space="preserve">, G., </w:t>
      </w:r>
      <w:proofErr w:type="spellStart"/>
      <w:r w:rsidRPr="00E03A47">
        <w:t>Slebarska</w:t>
      </w:r>
      <w:proofErr w:type="spellEnd"/>
      <w:r w:rsidRPr="00E03A47">
        <w:t>, K. (2022) ’</w:t>
      </w:r>
      <w:proofErr w:type="spellStart"/>
      <w:r w:rsidRPr="00E03A47">
        <w:t>Remote</w:t>
      </w:r>
      <w:proofErr w:type="spellEnd"/>
      <w:r w:rsidRPr="00E03A47">
        <w:t xml:space="preserve"> </w:t>
      </w:r>
      <w:proofErr w:type="spellStart"/>
      <w:r w:rsidRPr="00E03A47">
        <w:t>Working</w:t>
      </w:r>
      <w:proofErr w:type="spellEnd"/>
      <w:r w:rsidRPr="00E03A47">
        <w:t xml:space="preserve"> and </w:t>
      </w:r>
      <w:proofErr w:type="spellStart"/>
      <w:r w:rsidRPr="00E03A47">
        <w:t>Work</w:t>
      </w:r>
      <w:proofErr w:type="spellEnd"/>
      <w:r w:rsidRPr="00E03A47">
        <w:t xml:space="preserve"> </w:t>
      </w:r>
      <w:proofErr w:type="spellStart"/>
      <w:r w:rsidRPr="00E03A47">
        <w:t>Effectiveness</w:t>
      </w:r>
      <w:proofErr w:type="spellEnd"/>
      <w:r w:rsidRPr="00E03A47">
        <w:t xml:space="preserve">: A </w:t>
      </w:r>
      <w:proofErr w:type="spellStart"/>
      <w:r w:rsidRPr="00E03A47">
        <w:t>Leader</w:t>
      </w:r>
      <w:proofErr w:type="spellEnd"/>
      <w:r w:rsidRPr="00E03A47">
        <w:t xml:space="preserve"> </w:t>
      </w:r>
      <w:proofErr w:type="spellStart"/>
      <w:r w:rsidRPr="00E03A47">
        <w:t>Perspective</w:t>
      </w:r>
      <w:proofErr w:type="spellEnd"/>
      <w:r w:rsidRPr="00E03A47">
        <w:t xml:space="preserve">.', </w:t>
      </w:r>
      <w:r w:rsidRPr="00E03A47">
        <w:rPr>
          <w:i/>
          <w:iCs/>
        </w:rPr>
        <w:t xml:space="preserve">Int J </w:t>
      </w:r>
      <w:proofErr w:type="spellStart"/>
      <w:r w:rsidRPr="00E03A47">
        <w:rPr>
          <w:i/>
          <w:iCs/>
        </w:rPr>
        <w:t>Environ</w:t>
      </w:r>
      <w:proofErr w:type="spellEnd"/>
      <w:r w:rsidRPr="00E03A47">
        <w:rPr>
          <w:i/>
          <w:iCs/>
        </w:rPr>
        <w:t xml:space="preserve"> </w:t>
      </w:r>
      <w:proofErr w:type="spellStart"/>
      <w:r w:rsidRPr="00E03A47">
        <w:rPr>
          <w:i/>
          <w:iCs/>
        </w:rPr>
        <w:t>Res</w:t>
      </w:r>
      <w:proofErr w:type="spellEnd"/>
      <w:r w:rsidRPr="00E03A47">
        <w:rPr>
          <w:i/>
          <w:iCs/>
        </w:rPr>
        <w:t xml:space="preserve"> Public Health</w:t>
      </w:r>
      <w:r w:rsidRPr="00E03A47">
        <w:t xml:space="preserve">, 19(22), 15326. </w:t>
      </w:r>
      <w:proofErr w:type="spellStart"/>
      <w:r w:rsidRPr="00E03A47">
        <w:t>Available</w:t>
      </w:r>
      <w:proofErr w:type="spellEnd"/>
      <w:r w:rsidRPr="00E03A47">
        <w:t xml:space="preserve"> </w:t>
      </w:r>
      <w:proofErr w:type="spellStart"/>
      <w:r w:rsidRPr="00E03A47">
        <w:t>at</w:t>
      </w:r>
      <w:proofErr w:type="spellEnd"/>
      <w:r w:rsidRPr="00E03A47">
        <w:t xml:space="preserve">: </w:t>
      </w:r>
      <w:hyperlink r:id="rId13" w:history="1">
        <w:r w:rsidRPr="00B078D9">
          <w:rPr>
            <w:rStyle w:val="Hiperhivatkozs"/>
          </w:rPr>
          <w:t>https://www.ncbi.nlm.nih.gov/pmc/articles/PMC9690707/</w:t>
        </w:r>
      </w:hyperlink>
    </w:p>
    <w:p w14:paraId="1767332E" w14:textId="77777777" w:rsidR="00DD1698" w:rsidRDefault="00DD1698" w:rsidP="00DD1698"/>
    <w:p w14:paraId="6D232E8B" w14:textId="77777777" w:rsidR="00DD1698" w:rsidRDefault="00DD1698" w:rsidP="00DD1698">
      <w:r w:rsidRPr="00031106">
        <w:t xml:space="preserve">Office </w:t>
      </w:r>
      <w:proofErr w:type="spellStart"/>
      <w:r w:rsidRPr="00031106">
        <w:t>for</w:t>
      </w:r>
      <w:proofErr w:type="spellEnd"/>
      <w:r w:rsidRPr="00031106">
        <w:t xml:space="preserve"> National </w:t>
      </w:r>
      <w:proofErr w:type="spellStart"/>
      <w:r w:rsidRPr="00031106">
        <w:t>Statistics</w:t>
      </w:r>
      <w:proofErr w:type="spellEnd"/>
      <w:r w:rsidRPr="00031106">
        <w:t xml:space="preserve"> (ONS) (2023) </w:t>
      </w:r>
      <w:proofErr w:type="spellStart"/>
      <w:r w:rsidRPr="006615DB">
        <w:rPr>
          <w:i/>
          <w:iCs/>
        </w:rPr>
        <w:t>Characteristics</w:t>
      </w:r>
      <w:proofErr w:type="spellEnd"/>
      <w:r w:rsidRPr="006615DB">
        <w:rPr>
          <w:i/>
          <w:iCs/>
        </w:rPr>
        <w:t xml:space="preserve"> of </w:t>
      </w:r>
      <w:proofErr w:type="spellStart"/>
      <w:r w:rsidRPr="006615DB">
        <w:rPr>
          <w:i/>
          <w:iCs/>
        </w:rPr>
        <w:t>homeworkers</w:t>
      </w:r>
      <w:proofErr w:type="spellEnd"/>
      <w:r w:rsidRPr="006615DB">
        <w:rPr>
          <w:i/>
          <w:iCs/>
        </w:rPr>
        <w:t xml:space="preserve">, Great </w:t>
      </w:r>
      <w:proofErr w:type="spellStart"/>
      <w:r w:rsidRPr="006615DB">
        <w:rPr>
          <w:i/>
          <w:iCs/>
        </w:rPr>
        <w:t>Britain</w:t>
      </w:r>
      <w:proofErr w:type="spellEnd"/>
      <w:r w:rsidRPr="006615DB">
        <w:rPr>
          <w:i/>
          <w:iCs/>
        </w:rPr>
        <w:t xml:space="preserve">: </w:t>
      </w:r>
      <w:proofErr w:type="spellStart"/>
      <w:r w:rsidRPr="006615DB">
        <w:rPr>
          <w:i/>
          <w:iCs/>
        </w:rPr>
        <w:t>September</w:t>
      </w:r>
      <w:proofErr w:type="spellEnd"/>
      <w:r w:rsidRPr="006615DB">
        <w:rPr>
          <w:i/>
          <w:iCs/>
        </w:rPr>
        <w:t xml:space="preserve"> 2022 </w:t>
      </w:r>
      <w:proofErr w:type="spellStart"/>
      <w:r w:rsidRPr="006615DB">
        <w:rPr>
          <w:i/>
          <w:iCs/>
        </w:rPr>
        <w:t>to</w:t>
      </w:r>
      <w:proofErr w:type="spellEnd"/>
      <w:r w:rsidRPr="006615DB">
        <w:rPr>
          <w:i/>
          <w:iCs/>
        </w:rPr>
        <w:t xml:space="preserve"> </w:t>
      </w:r>
      <w:proofErr w:type="spellStart"/>
      <w:r w:rsidRPr="006615DB">
        <w:rPr>
          <w:i/>
          <w:iCs/>
        </w:rPr>
        <w:t>January</w:t>
      </w:r>
      <w:proofErr w:type="spellEnd"/>
      <w:r w:rsidRPr="006615DB">
        <w:rPr>
          <w:i/>
          <w:iCs/>
        </w:rPr>
        <w:t xml:space="preserve"> 2023</w:t>
      </w:r>
      <w:r w:rsidRPr="00031106">
        <w:t xml:space="preserve">. </w:t>
      </w:r>
      <w:proofErr w:type="spellStart"/>
      <w:r w:rsidRPr="00031106">
        <w:t>Available</w:t>
      </w:r>
      <w:proofErr w:type="spellEnd"/>
      <w:r w:rsidRPr="00031106">
        <w:t xml:space="preserve"> </w:t>
      </w:r>
      <w:proofErr w:type="spellStart"/>
      <w:r w:rsidRPr="00031106">
        <w:t>at</w:t>
      </w:r>
      <w:proofErr w:type="spellEnd"/>
      <w:r w:rsidRPr="00031106">
        <w:t xml:space="preserve">: </w:t>
      </w:r>
      <w:hyperlink r:id="rId14" w:anchor=":~:text=Overall%2C%2044%25%20of%20workers%20reported,reporting%20working%20from%20home%20only" w:history="1">
        <w:r w:rsidRPr="00B078D9">
          <w:rPr>
            <w:rStyle w:val="Hiperhivatkozs"/>
          </w:rPr>
          <w:t>https://www.ons.gov.uk/employmentandlabourmarket/peopleinwork/employmentandemployeetypes/articles/characteristicsofhomeworkersgreatbritain/september2022tojanuary2023?fbclid=IwAR0p_H3D5NF5Og9707Nus3m4ioN_f4ZkI08nP5WBWSEEhTL-xX2F75DlyDU#:~:text=Overall%2C%2044%25%20of%20workers%20reported,reporting%20working%20from%20home%20only</w:t>
        </w:r>
      </w:hyperlink>
      <w:r>
        <w:t xml:space="preserve"> </w:t>
      </w:r>
      <w:r w:rsidRPr="00031106">
        <w:t xml:space="preserve">(Accessed: 13 </w:t>
      </w:r>
      <w:proofErr w:type="spellStart"/>
      <w:r w:rsidRPr="00031106">
        <w:t>Feb</w:t>
      </w:r>
      <w:proofErr w:type="spellEnd"/>
      <w:r w:rsidRPr="00031106">
        <w:t xml:space="preserve"> 2023).</w:t>
      </w:r>
    </w:p>
    <w:p w14:paraId="79BD8B98" w14:textId="77777777" w:rsidR="00DD1698" w:rsidRDefault="00DD1698" w:rsidP="00DD1698">
      <w:proofErr w:type="spellStart"/>
      <w:r>
        <w:lastRenderedPageBreak/>
        <w:t>PerformYard</w:t>
      </w:r>
      <w:proofErr w:type="spellEnd"/>
      <w:r w:rsidRPr="001B09C8">
        <w:t xml:space="preserve"> (</w:t>
      </w:r>
      <w:proofErr w:type="spellStart"/>
      <w:r w:rsidRPr="001B09C8">
        <w:t>n.d</w:t>
      </w:r>
      <w:proofErr w:type="spellEnd"/>
      <w:r w:rsidRPr="001B09C8">
        <w:t xml:space="preserve">.) </w:t>
      </w:r>
      <w:r w:rsidRPr="007730A4">
        <w:rPr>
          <w:i/>
          <w:iCs/>
        </w:rPr>
        <w:t xml:space="preserve">Performance </w:t>
      </w:r>
      <w:proofErr w:type="spellStart"/>
      <w:r w:rsidRPr="007730A4">
        <w:rPr>
          <w:i/>
          <w:iCs/>
        </w:rPr>
        <w:t>Appraisal</w:t>
      </w:r>
      <w:proofErr w:type="spellEnd"/>
      <w:r w:rsidRPr="007730A4">
        <w:rPr>
          <w:i/>
          <w:iCs/>
        </w:rPr>
        <w:t xml:space="preserve"> </w:t>
      </w:r>
      <w:proofErr w:type="spellStart"/>
      <w:r w:rsidRPr="007730A4">
        <w:rPr>
          <w:i/>
          <w:iCs/>
        </w:rPr>
        <w:t>for</w:t>
      </w:r>
      <w:proofErr w:type="spellEnd"/>
      <w:r w:rsidRPr="007730A4">
        <w:rPr>
          <w:i/>
          <w:iCs/>
        </w:rPr>
        <w:t xml:space="preserve"> </w:t>
      </w:r>
      <w:proofErr w:type="spellStart"/>
      <w:r w:rsidRPr="007730A4">
        <w:rPr>
          <w:i/>
          <w:iCs/>
        </w:rPr>
        <w:t>Remote</w:t>
      </w:r>
      <w:proofErr w:type="spellEnd"/>
      <w:r w:rsidRPr="007730A4">
        <w:rPr>
          <w:i/>
          <w:iCs/>
        </w:rPr>
        <w:t xml:space="preserve"> </w:t>
      </w:r>
      <w:proofErr w:type="spellStart"/>
      <w:r w:rsidRPr="007730A4">
        <w:rPr>
          <w:i/>
          <w:iCs/>
        </w:rPr>
        <w:t>Employees</w:t>
      </w:r>
      <w:proofErr w:type="spellEnd"/>
      <w:r w:rsidRPr="007730A4">
        <w:rPr>
          <w:i/>
          <w:iCs/>
        </w:rPr>
        <w:t xml:space="preserve">: Top </w:t>
      </w:r>
      <w:proofErr w:type="spellStart"/>
      <w:r w:rsidRPr="007730A4">
        <w:rPr>
          <w:i/>
          <w:iCs/>
        </w:rPr>
        <w:t>Challenges</w:t>
      </w:r>
      <w:proofErr w:type="spellEnd"/>
      <w:r w:rsidRPr="007730A4">
        <w:rPr>
          <w:i/>
          <w:iCs/>
        </w:rPr>
        <w:t xml:space="preserve"> </w:t>
      </w:r>
      <w:proofErr w:type="spellStart"/>
      <w:r w:rsidRPr="007730A4">
        <w:rPr>
          <w:i/>
          <w:iCs/>
        </w:rPr>
        <w:t>to</w:t>
      </w:r>
      <w:proofErr w:type="spellEnd"/>
      <w:r w:rsidRPr="007730A4">
        <w:rPr>
          <w:i/>
          <w:iCs/>
        </w:rPr>
        <w:t xml:space="preserve"> </w:t>
      </w:r>
      <w:proofErr w:type="spellStart"/>
      <w:r w:rsidRPr="007730A4">
        <w:rPr>
          <w:i/>
          <w:iCs/>
        </w:rPr>
        <w:t>Address</w:t>
      </w:r>
      <w:proofErr w:type="spellEnd"/>
      <w:r w:rsidRPr="001B09C8">
        <w:t xml:space="preserve">. </w:t>
      </w:r>
      <w:proofErr w:type="spellStart"/>
      <w:r w:rsidRPr="001B09C8">
        <w:t>Available</w:t>
      </w:r>
      <w:proofErr w:type="spellEnd"/>
      <w:r w:rsidRPr="001B09C8">
        <w:t xml:space="preserve"> </w:t>
      </w:r>
      <w:proofErr w:type="spellStart"/>
      <w:r w:rsidRPr="001B09C8">
        <w:t>at</w:t>
      </w:r>
      <w:proofErr w:type="spellEnd"/>
      <w:r>
        <w:t>:</w:t>
      </w:r>
      <w:r w:rsidRPr="00592C37">
        <w:t xml:space="preserve"> </w:t>
      </w:r>
      <w:hyperlink r:id="rId15" w:history="1">
        <w:r w:rsidRPr="00B078D9">
          <w:rPr>
            <w:rStyle w:val="Hiperhivatkozs"/>
          </w:rPr>
          <w:t>https://www.performyard.com/articles/performance-appraisal-for-remote-employees</w:t>
        </w:r>
      </w:hyperlink>
      <w:r>
        <w:t xml:space="preserve"> </w:t>
      </w:r>
      <w:r w:rsidRPr="001B09C8">
        <w:t xml:space="preserve">(Accessed: </w:t>
      </w:r>
      <w:proofErr w:type="spellStart"/>
      <w:r w:rsidRPr="001B09C8">
        <w:t>n.d</w:t>
      </w:r>
      <w:proofErr w:type="spellEnd"/>
      <w:r w:rsidRPr="001B09C8">
        <w:t>.)</w:t>
      </w:r>
    </w:p>
    <w:p w14:paraId="77A14538" w14:textId="77777777" w:rsidR="00DD1698" w:rsidRDefault="00DD1698" w:rsidP="00DD1698"/>
    <w:p w14:paraId="00E9710E" w14:textId="77777777" w:rsidR="00DD1698" w:rsidRDefault="00DD1698" w:rsidP="00DD1698">
      <w:r>
        <w:t xml:space="preserve">Raj, R. </w:t>
      </w:r>
      <w:proofErr w:type="spellStart"/>
      <w:r>
        <w:t>et</w:t>
      </w:r>
      <w:proofErr w:type="spellEnd"/>
      <w:r>
        <w:t xml:space="preserve"> </w:t>
      </w:r>
      <w:proofErr w:type="spellStart"/>
      <w:r>
        <w:t>al</w:t>
      </w:r>
      <w:proofErr w:type="spellEnd"/>
      <w:r>
        <w:t>. (2023), ’</w:t>
      </w:r>
      <w:r w:rsidRPr="00A40525">
        <w:t xml:space="preserve">The </w:t>
      </w:r>
      <w:proofErr w:type="spellStart"/>
      <w:r w:rsidRPr="00A40525">
        <w:t>study</w:t>
      </w:r>
      <w:proofErr w:type="spellEnd"/>
      <w:r w:rsidRPr="00A40525">
        <w:t xml:space="preserve"> of </w:t>
      </w:r>
      <w:proofErr w:type="spellStart"/>
      <w:r w:rsidRPr="00A40525">
        <w:t>remote</w:t>
      </w:r>
      <w:proofErr w:type="spellEnd"/>
      <w:r w:rsidRPr="00A40525">
        <w:t xml:space="preserve"> </w:t>
      </w:r>
      <w:proofErr w:type="spellStart"/>
      <w:r w:rsidRPr="00A40525">
        <w:t>working</w:t>
      </w:r>
      <w:proofErr w:type="spellEnd"/>
      <w:r w:rsidRPr="00A40525">
        <w:t xml:space="preserve"> </w:t>
      </w:r>
      <w:proofErr w:type="spellStart"/>
      <w:r w:rsidRPr="00A40525">
        <w:t>outcome</w:t>
      </w:r>
      <w:proofErr w:type="spellEnd"/>
      <w:r w:rsidRPr="00A40525">
        <w:t xml:space="preserve"> and </w:t>
      </w:r>
      <w:proofErr w:type="spellStart"/>
      <w:r w:rsidRPr="00A40525">
        <w:t>its</w:t>
      </w:r>
      <w:proofErr w:type="spellEnd"/>
      <w:r w:rsidRPr="00A40525">
        <w:t xml:space="preserve"> </w:t>
      </w:r>
      <w:proofErr w:type="spellStart"/>
      <w:r w:rsidRPr="00A40525">
        <w:t>influence</w:t>
      </w:r>
      <w:proofErr w:type="spellEnd"/>
      <w:r w:rsidRPr="00A40525">
        <w:t xml:space="preserve"> </w:t>
      </w:r>
      <w:proofErr w:type="spellStart"/>
      <w:r w:rsidRPr="00A40525">
        <w:t>on</w:t>
      </w:r>
      <w:proofErr w:type="spellEnd"/>
      <w:r w:rsidRPr="00A40525">
        <w:t xml:space="preserve"> </w:t>
      </w:r>
      <w:proofErr w:type="spellStart"/>
      <w:r w:rsidRPr="00A40525">
        <w:t>firm</w:t>
      </w:r>
      <w:proofErr w:type="spellEnd"/>
      <w:r w:rsidRPr="00A40525">
        <w:t xml:space="preserve"> performance’</w:t>
      </w:r>
      <w:r>
        <w:t xml:space="preserve">, </w:t>
      </w:r>
      <w:proofErr w:type="spellStart"/>
      <w:r w:rsidRPr="005959AE">
        <w:rPr>
          <w:i/>
          <w:iCs/>
        </w:rPr>
        <w:t>Social</w:t>
      </w:r>
      <w:proofErr w:type="spellEnd"/>
      <w:r w:rsidRPr="005959AE">
        <w:rPr>
          <w:i/>
          <w:iCs/>
        </w:rPr>
        <w:t xml:space="preserve"> </w:t>
      </w:r>
      <w:proofErr w:type="spellStart"/>
      <w:r w:rsidRPr="005959AE">
        <w:rPr>
          <w:i/>
          <w:iCs/>
        </w:rPr>
        <w:t>Sciences</w:t>
      </w:r>
      <w:proofErr w:type="spellEnd"/>
      <w:r w:rsidRPr="005959AE">
        <w:rPr>
          <w:i/>
          <w:iCs/>
        </w:rPr>
        <w:t xml:space="preserve"> &amp; </w:t>
      </w:r>
      <w:proofErr w:type="spellStart"/>
      <w:r w:rsidRPr="005959AE">
        <w:rPr>
          <w:i/>
          <w:iCs/>
        </w:rPr>
        <w:t>Humanities</w:t>
      </w:r>
      <w:proofErr w:type="spellEnd"/>
      <w:r w:rsidRPr="005959AE">
        <w:rPr>
          <w:i/>
          <w:iCs/>
        </w:rPr>
        <w:t xml:space="preserve"> Open</w:t>
      </w:r>
      <w:r>
        <w:t xml:space="preserve">, 8(1), 100528. </w:t>
      </w:r>
      <w:proofErr w:type="spellStart"/>
      <w:r>
        <w:t>Available</w:t>
      </w:r>
      <w:proofErr w:type="spellEnd"/>
      <w:r>
        <w:t xml:space="preserve"> </w:t>
      </w:r>
      <w:proofErr w:type="spellStart"/>
      <w:r>
        <w:t>at</w:t>
      </w:r>
      <w:proofErr w:type="spellEnd"/>
      <w:r>
        <w:t xml:space="preserve">: </w:t>
      </w:r>
      <w:hyperlink r:id="rId16" w:anchor="sec4" w:history="1">
        <w:r w:rsidRPr="00B078D9">
          <w:rPr>
            <w:rStyle w:val="Hiperhivatkozs"/>
          </w:rPr>
          <w:t>https://www.sciencedirect.com/science/article/pii/S259029112300133X#sec4</w:t>
        </w:r>
      </w:hyperlink>
      <w:r>
        <w:t xml:space="preserve"> </w:t>
      </w:r>
    </w:p>
    <w:p w14:paraId="16A2D55E" w14:textId="77777777" w:rsidR="00DD1698" w:rsidRDefault="00DD1698" w:rsidP="00DD1698"/>
    <w:p w14:paraId="7FE04239" w14:textId="77777777" w:rsidR="00DD1698" w:rsidRDefault="00DD1698" w:rsidP="00DD1698">
      <w:r w:rsidRPr="00E22F5C">
        <w:t xml:space="preserve">Robinson B. (2022) </w:t>
      </w:r>
      <w:r w:rsidRPr="00E22F5C">
        <w:rPr>
          <w:i/>
          <w:iCs/>
        </w:rPr>
        <w:t xml:space="preserve">3 New </w:t>
      </w:r>
      <w:proofErr w:type="spellStart"/>
      <w:r w:rsidRPr="00E22F5C">
        <w:rPr>
          <w:i/>
          <w:iCs/>
        </w:rPr>
        <w:t>Studies</w:t>
      </w:r>
      <w:proofErr w:type="spellEnd"/>
      <w:r w:rsidRPr="00E22F5C">
        <w:rPr>
          <w:i/>
          <w:iCs/>
        </w:rPr>
        <w:t xml:space="preserve"> End </w:t>
      </w:r>
      <w:proofErr w:type="spellStart"/>
      <w:r w:rsidRPr="00E22F5C">
        <w:rPr>
          <w:i/>
          <w:iCs/>
        </w:rPr>
        <w:t>Debate</w:t>
      </w:r>
      <w:proofErr w:type="spellEnd"/>
      <w:r w:rsidRPr="00E22F5C">
        <w:rPr>
          <w:i/>
          <w:iCs/>
        </w:rPr>
        <w:t xml:space="preserve"> Over </w:t>
      </w:r>
      <w:proofErr w:type="spellStart"/>
      <w:r w:rsidRPr="00E22F5C">
        <w:rPr>
          <w:i/>
          <w:iCs/>
        </w:rPr>
        <w:t>Effectiveness</w:t>
      </w:r>
      <w:proofErr w:type="spellEnd"/>
      <w:r w:rsidRPr="00E22F5C">
        <w:rPr>
          <w:i/>
          <w:iCs/>
        </w:rPr>
        <w:t xml:space="preserve"> Of </w:t>
      </w:r>
      <w:proofErr w:type="spellStart"/>
      <w:r w:rsidRPr="00E22F5C">
        <w:rPr>
          <w:i/>
          <w:iCs/>
        </w:rPr>
        <w:t>Hybrid</w:t>
      </w:r>
      <w:proofErr w:type="spellEnd"/>
      <w:r w:rsidRPr="00E22F5C">
        <w:rPr>
          <w:i/>
          <w:iCs/>
        </w:rPr>
        <w:t xml:space="preserve"> And </w:t>
      </w:r>
      <w:proofErr w:type="spellStart"/>
      <w:r w:rsidRPr="00E22F5C">
        <w:rPr>
          <w:i/>
          <w:iCs/>
        </w:rPr>
        <w:t>Remote</w:t>
      </w:r>
      <w:proofErr w:type="spellEnd"/>
      <w:r w:rsidRPr="00E22F5C">
        <w:rPr>
          <w:i/>
          <w:iCs/>
        </w:rPr>
        <w:t xml:space="preserve"> </w:t>
      </w:r>
      <w:proofErr w:type="spellStart"/>
      <w:r w:rsidRPr="00E22F5C">
        <w:rPr>
          <w:i/>
          <w:iCs/>
        </w:rPr>
        <w:t>Work</w:t>
      </w:r>
      <w:proofErr w:type="spellEnd"/>
      <w:r w:rsidRPr="00E22F5C">
        <w:t xml:space="preserve">. </w:t>
      </w:r>
      <w:proofErr w:type="spellStart"/>
      <w:r w:rsidRPr="00E22F5C">
        <w:t>Available</w:t>
      </w:r>
      <w:proofErr w:type="spellEnd"/>
      <w:r w:rsidRPr="00E22F5C">
        <w:t xml:space="preserve"> </w:t>
      </w:r>
      <w:proofErr w:type="spellStart"/>
      <w:r w:rsidRPr="00E22F5C">
        <w:t>at</w:t>
      </w:r>
      <w:proofErr w:type="spellEnd"/>
      <w:r w:rsidRPr="00E22F5C">
        <w:t xml:space="preserve">: </w:t>
      </w:r>
      <w:hyperlink r:id="rId17" w:history="1">
        <w:r w:rsidRPr="00B078D9">
          <w:rPr>
            <w:rStyle w:val="Hiperhivatkozs"/>
          </w:rPr>
          <w:t>https://www.forbes.com/sites/bryanrobinson/2022/02/04/3-new-studies-end-debate-over-effectiveness-of-hybrid-and-remote-work/?sh=21198cfe59b2</w:t>
        </w:r>
      </w:hyperlink>
      <w:r>
        <w:t xml:space="preserve"> </w:t>
      </w:r>
      <w:r w:rsidRPr="00E22F5C">
        <w:t xml:space="preserve">(Accessed: 4 </w:t>
      </w:r>
      <w:proofErr w:type="spellStart"/>
      <w:r w:rsidRPr="00E22F5C">
        <w:t>Feb</w:t>
      </w:r>
      <w:proofErr w:type="spellEnd"/>
      <w:r w:rsidRPr="00E22F5C">
        <w:t xml:space="preserve"> 2022)</w:t>
      </w:r>
    </w:p>
    <w:p w14:paraId="2911DA89" w14:textId="77777777" w:rsidR="00B405D9" w:rsidRDefault="00B405D9"/>
    <w:sectPr w:rsidR="00B405D9">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EE"/>
    <w:family w:val="swiss"/>
    <w:pitch w:val="variable"/>
    <w:sig w:usb0="E0002EFF" w:usb1="C000785B" w:usb2="00000009" w:usb3="00000000" w:csb0="000001FF" w:csb1="00000000"/>
  </w:font>
  <w:font w:name="Calibri">
    <w:panose1 w:val="020F0502020204030204"/>
    <w:charset w:val="EE"/>
    <w:family w:val="swiss"/>
    <w:pitch w:val="variable"/>
    <w:sig w:usb0="E4002EFF" w:usb1="C000247B"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Segoe UI">
    <w:panose1 w:val="020B0502040204020203"/>
    <w:charset w:val="EE"/>
    <w:family w:val="swiss"/>
    <w:pitch w:val="variable"/>
    <w:sig w:usb0="E4002EFF" w:usb1="C000E47F" w:usb2="00000009" w:usb3="00000000" w:csb0="000001FF" w:csb1="00000000"/>
  </w:font>
  <w:font w:name="Calibri Light">
    <w:panose1 w:val="020F0302020204030204"/>
    <w:charset w:val="EE"/>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1698"/>
    <w:rsid w:val="0079097C"/>
    <w:rsid w:val="00B405D9"/>
    <w:rsid w:val="00DD1698"/>
  </w:rsids>
  <m:mathPr>
    <m:mathFont m:val="Cambria Math"/>
    <m:brkBin m:val="before"/>
    <m:brkBinSub m:val="--"/>
    <m:smallFrac m:val="0"/>
    <m:dispDef/>
    <m:lMargin m:val="0"/>
    <m:rMargin m:val="0"/>
    <m:defJc m:val="centerGroup"/>
    <m:wrapIndent m:val="1440"/>
    <m:intLim m:val="subSup"/>
    <m:naryLim m:val="undOvr"/>
  </m:mathPr>
  <w:themeFontLang w:val="hu-HU"/>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834B93C"/>
  <w15:chartTrackingRefBased/>
  <w15:docId w15:val="{035FEF81-9A87-4FBF-BBB8-C2B6382647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Arial"/>
        <w:kern w:val="2"/>
        <w:sz w:val="24"/>
        <w:szCs w:val="24"/>
        <w:lang w:val="hu-HU"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l">
    <w:name w:val="Normal"/>
    <w:qFormat/>
    <w:rsid w:val="00DD1698"/>
  </w:style>
  <w:style w:type="paragraph" w:styleId="Cmsor1">
    <w:name w:val="heading 1"/>
    <w:basedOn w:val="Norml"/>
    <w:next w:val="Norml"/>
    <w:link w:val="Cmsor1Char"/>
    <w:autoRedefine/>
    <w:uiPriority w:val="9"/>
    <w:qFormat/>
    <w:rsid w:val="00B405D9"/>
    <w:pPr>
      <w:keepNext/>
      <w:keepLines/>
      <w:spacing w:before="240" w:after="0" w:line="256" w:lineRule="auto"/>
      <w:outlineLvl w:val="0"/>
    </w:pPr>
    <w:rPr>
      <w:rFonts w:eastAsiaTheme="majorEastAsia" w:cstheme="majorBidi"/>
      <w:b/>
      <w:sz w:val="32"/>
      <w:szCs w:val="32"/>
    </w:rPr>
  </w:style>
  <w:style w:type="paragraph" w:styleId="Cmsor2">
    <w:name w:val="heading 2"/>
    <w:basedOn w:val="Norml"/>
    <w:next w:val="Norml"/>
    <w:link w:val="Cmsor2Char"/>
    <w:autoRedefine/>
    <w:uiPriority w:val="9"/>
    <w:unhideWhenUsed/>
    <w:qFormat/>
    <w:rsid w:val="00B405D9"/>
    <w:pPr>
      <w:keepNext/>
      <w:keepLines/>
      <w:spacing w:before="40" w:after="0" w:line="256" w:lineRule="auto"/>
      <w:outlineLvl w:val="1"/>
    </w:pPr>
    <w:rPr>
      <w:rFonts w:eastAsiaTheme="majorEastAsia" w:cstheme="majorBidi"/>
      <w:i/>
      <w:iCs/>
      <w:color w:val="000000" w:themeColor="text1"/>
      <w:sz w:val="28"/>
      <w:szCs w:val="26"/>
    </w:rPr>
  </w:style>
  <w:style w:type="paragraph" w:styleId="Cmsor3">
    <w:name w:val="heading 3"/>
    <w:basedOn w:val="Norml"/>
    <w:next w:val="Norml"/>
    <w:link w:val="Cmsor3Char"/>
    <w:autoRedefine/>
    <w:uiPriority w:val="9"/>
    <w:unhideWhenUsed/>
    <w:qFormat/>
    <w:rsid w:val="0079097C"/>
    <w:pPr>
      <w:keepNext/>
      <w:keepLines/>
      <w:spacing w:before="40" w:after="0"/>
      <w:outlineLvl w:val="2"/>
    </w:pPr>
    <w:rPr>
      <w:rFonts w:eastAsiaTheme="majorEastAsia" w:cstheme="majorBidi"/>
      <w:i/>
      <w:color w:val="000000" w:themeColor="text1"/>
      <w:sz w:val="32"/>
      <w:u w:val="single"/>
    </w:rPr>
  </w:style>
  <w:style w:type="character" w:default="1" w:styleId="Bekezdsalapbettpusa">
    <w:name w:val="Default Paragraph Font"/>
    <w:uiPriority w:val="1"/>
    <w:semiHidden/>
    <w:unhideWhenUsed/>
  </w:style>
  <w:style w:type="table" w:default="1" w:styleId="Normltblzat">
    <w:name w:val="Normal Table"/>
    <w:uiPriority w:val="99"/>
    <w:semiHidden/>
    <w:unhideWhenUsed/>
    <w:tblPr>
      <w:tblInd w:w="0" w:type="dxa"/>
      <w:tblCellMar>
        <w:top w:w="0" w:type="dxa"/>
        <w:left w:w="108" w:type="dxa"/>
        <w:bottom w:w="0" w:type="dxa"/>
        <w:right w:w="108" w:type="dxa"/>
      </w:tblCellMar>
    </w:tblPr>
  </w:style>
  <w:style w:type="numbering" w:default="1" w:styleId="Nemlista">
    <w:name w:val="No List"/>
    <w:uiPriority w:val="99"/>
    <w:semiHidden/>
    <w:unhideWhenUsed/>
  </w:style>
  <w:style w:type="character" w:customStyle="1" w:styleId="Cmsor1Char">
    <w:name w:val="Címsor 1 Char"/>
    <w:basedOn w:val="Bekezdsalapbettpusa"/>
    <w:link w:val="Cmsor1"/>
    <w:uiPriority w:val="9"/>
    <w:rsid w:val="00B405D9"/>
    <w:rPr>
      <w:rFonts w:ascii="Arial" w:eastAsiaTheme="majorEastAsia" w:hAnsi="Arial" w:cstheme="majorBidi"/>
      <w:b/>
      <w:sz w:val="32"/>
      <w:szCs w:val="32"/>
    </w:rPr>
  </w:style>
  <w:style w:type="character" w:customStyle="1" w:styleId="Cmsor2Char">
    <w:name w:val="Címsor 2 Char"/>
    <w:basedOn w:val="Bekezdsalapbettpusa"/>
    <w:link w:val="Cmsor2"/>
    <w:uiPriority w:val="9"/>
    <w:rsid w:val="00B405D9"/>
    <w:rPr>
      <w:rFonts w:ascii="Arial" w:eastAsiaTheme="majorEastAsia" w:hAnsi="Arial" w:cstheme="majorBidi"/>
      <w:i/>
      <w:iCs/>
      <w:color w:val="000000" w:themeColor="text1"/>
      <w:sz w:val="28"/>
      <w:szCs w:val="26"/>
    </w:rPr>
  </w:style>
  <w:style w:type="character" w:customStyle="1" w:styleId="Cmsor3Char">
    <w:name w:val="Címsor 3 Char"/>
    <w:basedOn w:val="Bekezdsalapbettpusa"/>
    <w:link w:val="Cmsor3"/>
    <w:uiPriority w:val="9"/>
    <w:rsid w:val="0079097C"/>
    <w:rPr>
      <w:rFonts w:eastAsiaTheme="majorEastAsia" w:cstheme="majorBidi"/>
      <w:i/>
      <w:color w:val="000000" w:themeColor="text1"/>
      <w:sz w:val="32"/>
      <w:u w:val="single"/>
    </w:rPr>
  </w:style>
  <w:style w:type="character" w:styleId="Hiperhivatkozs">
    <w:name w:val="Hyperlink"/>
    <w:basedOn w:val="Bekezdsalapbettpusa"/>
    <w:uiPriority w:val="99"/>
    <w:unhideWhenUsed/>
    <w:rsid w:val="00DD169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etbridge.com/blog/performance-management/5-benefits-360-degree-feedback-remote-teams/" TargetMode="External"/><Relationship Id="rId13" Type="http://schemas.openxmlformats.org/officeDocument/2006/relationships/hyperlink" Target="https://www.ncbi.nlm.nih.gov/pmc/articles/PMC9690707/"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hibob.com/guides/remote-performance-review/" TargetMode="External"/><Relationship Id="rId12" Type="http://schemas.openxmlformats.org/officeDocument/2006/relationships/hyperlink" Target="https://blog.kenjo.io/how-to-use-kpis-for-measuring-remote-productivity" TargetMode="External"/><Relationship Id="rId17" Type="http://schemas.openxmlformats.org/officeDocument/2006/relationships/hyperlink" Target="https://www.forbes.com/sites/bryanrobinson/2022/02/04/3-new-studies-end-debate-over-effectiveness-of-hybrid-and-remote-work/?sh=21198cfe59b2" TargetMode="External"/><Relationship Id="rId2" Type="http://schemas.openxmlformats.org/officeDocument/2006/relationships/settings" Target="settings.xml"/><Relationship Id="rId16" Type="http://schemas.openxmlformats.org/officeDocument/2006/relationships/hyperlink" Target="https://www.sciencedirect.com/science/article/pii/S259029112300133X" TargetMode="Externa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hyperlink" Target="https://www.peoplegoal.com/blog/objectives-and-key-results" TargetMode="External"/><Relationship Id="rId5" Type="http://schemas.openxmlformats.org/officeDocument/2006/relationships/image" Target="media/image2.jpg"/><Relationship Id="rId15" Type="http://schemas.openxmlformats.org/officeDocument/2006/relationships/hyperlink" Target="https://www.performyard.com/articles/performance-appraisal-for-remote-employees" TargetMode="External"/><Relationship Id="rId10" Type="http://schemas.openxmlformats.org/officeDocument/2006/relationships/hyperlink" Target="https://pubmed.ncbi.nlm.nih.gov/36231675/" TargetMode="External"/><Relationship Id="rId19" Type="http://schemas.openxmlformats.org/officeDocument/2006/relationships/theme" Target="theme/theme1.xml"/><Relationship Id="rId4" Type="http://schemas.openxmlformats.org/officeDocument/2006/relationships/image" Target="media/image1.png"/><Relationship Id="rId9" Type="http://schemas.openxmlformats.org/officeDocument/2006/relationships/hyperlink" Target="https://pubmed.ncbi.nlm.nih.gov/36141948/" TargetMode="External"/><Relationship Id="rId14" Type="http://schemas.openxmlformats.org/officeDocument/2006/relationships/hyperlink" Target="https://www.ons.gov.uk/employmentandlabourmarket/peopleinwork/employmentandemployeetypes/articles/characteristicsofhomeworkersgreatbritain/september2022tojanuary2023?fbclid=IwAR0p_H3D5NF5Og9707Nus3m4ioN_f4ZkI08nP5WBWSEEhTL-xX2F75DlyDU" TargetMode="External"/></Relationships>
</file>

<file path=word/theme/theme1.xml><?xml version="1.0" encoding="utf-8"?>
<a:theme xmlns:a="http://schemas.openxmlformats.org/drawingml/2006/main" name="Office-téma">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10</Pages>
  <Words>2329</Words>
  <Characters>16626</Characters>
  <Application>Microsoft Office Word</Application>
  <DocSecurity>0</DocSecurity>
  <Lines>332</Lines>
  <Paragraphs>61</Paragraphs>
  <ScaleCrop>false</ScaleCrop>
  <Company/>
  <LinksUpToDate>false</LinksUpToDate>
  <CharactersWithSpaces>18894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Brigitta Horváth</dc:creator>
  <cp:keywords/>
  <dc:description/>
  <cp:lastModifiedBy>Brigitta Horváth</cp:lastModifiedBy>
  <cp:revision>1</cp:revision>
  <dcterms:created xsi:type="dcterms:W3CDTF">2023-12-21T09:05:00Z</dcterms:created>
  <dcterms:modified xsi:type="dcterms:W3CDTF">2023-12-21T09:07:00Z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67b45811-24c1-4252-8881-6b89d267fe25</vt:lpwstr>
  </property>
</Properties>
</file>