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63366" w:rsidR="00162B77" w:rsidP="1ACFCDEF" w:rsidRDefault="00162B77" w14:paraId="4F44E867" w14:textId="257BE3D2">
      <w:pPr>
        <w:pStyle w:val="Normal"/>
        <w:spacing w:line="360" w:lineRule="auto"/>
        <w:jc w:val="both"/>
      </w:pPr>
      <w:r w:rsidR="5416EC3E">
        <w:drawing>
          <wp:inline wp14:editId="41928775" wp14:anchorId="43B6AB70">
            <wp:extent cx="1816193" cy="723937"/>
            <wp:effectExtent l="0" t="0" r="0" b="0"/>
            <wp:docPr id="17728386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2838658" name="Picture 1772838658"/>
                    <pic:cNvPicPr/>
                  </pic:nvPicPr>
                  <pic:blipFill>
                    <a:blip xmlns:r="http://schemas.openxmlformats.org/officeDocument/2006/relationships" r:embed="rId305388278">
                      <a:extLst>
                        <a:ext uri="{28A0092B-C50C-407E-A947-70E740481C1C}">
                          <a14:useLocalDpi xmlns:a14="http://schemas.microsoft.com/office/drawing/2010/main"/>
                        </a:ext>
                      </a:extLst>
                    </a:blip>
                    <a:stretch>
                      <a:fillRect/>
                    </a:stretch>
                  </pic:blipFill>
                  <pic:spPr>
                    <a:xfrm>
                      <a:off x="0" y="0"/>
                      <a:ext cx="1816193" cy="723937"/>
                    </a:xfrm>
                    <a:prstGeom prst="rect">
                      <a:avLst/>
                    </a:prstGeom>
                  </pic:spPr>
                </pic:pic>
              </a:graphicData>
            </a:graphic>
          </wp:inline>
        </w:drawing>
      </w:r>
    </w:p>
    <w:p w:rsidRPr="00A63366" w:rsidR="00E32261" w:rsidP="00A63366" w:rsidRDefault="00E32261" w14:paraId="2194A0C5" w14:textId="77777777">
      <w:pPr>
        <w:spacing w:line="360" w:lineRule="auto"/>
        <w:jc w:val="both"/>
        <w:rPr>
          <w:rFonts w:ascii="Arial" w:hAnsi="Arial" w:cs="Arial"/>
        </w:rPr>
      </w:pPr>
    </w:p>
    <w:p w:rsidRPr="00A63366" w:rsidR="00A730BA" w:rsidP="20656E48" w:rsidRDefault="00A730BA" w14:paraId="5DE867E0" w14:textId="06B975BE">
      <w:pPr>
        <w:spacing w:line="360" w:lineRule="auto"/>
        <w:jc w:val="both"/>
        <w:rPr>
          <w:rFonts w:ascii="Arial" w:hAnsi="Arial" w:cs="Arial"/>
          <w:b w:val="1"/>
          <w:bCs w:val="1"/>
        </w:rPr>
      </w:pPr>
    </w:p>
    <w:p w:rsidRPr="00A63366" w:rsidR="00A730BA" w:rsidP="00A63366" w:rsidRDefault="00A730BA" w14:paraId="37E5F310" w14:textId="77777777">
      <w:pPr>
        <w:spacing w:line="360" w:lineRule="auto"/>
        <w:jc w:val="both"/>
        <w:rPr>
          <w:rFonts w:ascii="Arial" w:hAnsi="Arial" w:cs="Arial"/>
          <w:b/>
        </w:rPr>
      </w:pPr>
      <w:r w:rsidRPr="00A63366">
        <w:rPr>
          <w:rFonts w:ascii="Arial" w:hAnsi="Arial" w:cs="Arial"/>
          <w:b/>
        </w:rPr>
        <w:t>Module Code: LCHS 4008</w:t>
      </w:r>
    </w:p>
    <w:p w:rsidRPr="00A63366" w:rsidR="00A730BA" w:rsidP="20656E48" w:rsidRDefault="00A730BA" w14:paraId="0BAA7BDE" w14:textId="3793EB19">
      <w:pPr>
        <w:spacing w:line="360" w:lineRule="auto"/>
        <w:jc w:val="both"/>
        <w:rPr>
          <w:rFonts w:ascii="Arial" w:hAnsi="Arial" w:cs="Arial"/>
          <w:b w:val="1"/>
          <w:bCs w:val="1"/>
        </w:rPr>
      </w:pPr>
      <w:r w:rsidRPr="20656E48" w:rsidR="00A730BA">
        <w:rPr>
          <w:rFonts w:ascii="Arial" w:hAnsi="Arial" w:cs="Arial"/>
          <w:b w:val="1"/>
          <w:bCs w:val="1"/>
        </w:rPr>
        <w:t xml:space="preserve">Module </w:t>
      </w:r>
      <w:r w:rsidRPr="20656E48" w:rsidR="62C52434">
        <w:rPr>
          <w:rFonts w:ascii="Arial" w:hAnsi="Arial" w:cs="Arial"/>
          <w:b w:val="1"/>
          <w:bCs w:val="1"/>
        </w:rPr>
        <w:t>Name</w:t>
      </w:r>
      <w:r w:rsidRPr="20656E48" w:rsidR="00A730BA">
        <w:rPr>
          <w:rFonts w:ascii="Arial" w:hAnsi="Arial" w:cs="Arial"/>
          <w:b w:val="1"/>
          <w:bCs w:val="1"/>
        </w:rPr>
        <w:t>: Introduction to Public Health</w:t>
      </w:r>
    </w:p>
    <w:p w:rsidRPr="00A63366" w:rsidR="00A730BA" w:rsidP="20656E48" w:rsidRDefault="00A730BA" w14:paraId="265E98F7" w14:textId="4E55217A">
      <w:pPr>
        <w:spacing w:line="360" w:lineRule="auto"/>
        <w:jc w:val="both"/>
        <w:rPr>
          <w:rFonts w:ascii="Arial" w:hAnsi="Arial" w:cs="Arial"/>
          <w:b w:val="1"/>
          <w:bCs w:val="1"/>
        </w:rPr>
      </w:pPr>
      <w:r w:rsidRPr="20656E48" w:rsidR="00A730BA">
        <w:rPr>
          <w:rFonts w:ascii="Arial" w:hAnsi="Arial" w:cs="Arial"/>
          <w:b w:val="1"/>
          <w:bCs w:val="1"/>
        </w:rPr>
        <w:t>Lecturer</w:t>
      </w:r>
      <w:r w:rsidRPr="20656E48" w:rsidR="4AD28E0B">
        <w:rPr>
          <w:rFonts w:ascii="Arial" w:hAnsi="Arial" w:cs="Arial"/>
          <w:b w:val="1"/>
          <w:bCs w:val="1"/>
        </w:rPr>
        <w:t>’s name: Dr Pascal Navelle</w:t>
      </w:r>
    </w:p>
    <w:p w:rsidR="381FA234" w:rsidP="20656E48" w:rsidRDefault="381FA234" w14:paraId="55DDD807" w14:textId="342481E4">
      <w:pPr>
        <w:spacing w:line="360" w:lineRule="auto"/>
        <w:jc w:val="both"/>
        <w:rPr>
          <w:rFonts w:ascii="Arial" w:hAnsi="Arial" w:cs="Arial"/>
          <w:b w:val="1"/>
          <w:bCs w:val="1"/>
        </w:rPr>
      </w:pPr>
      <w:r w:rsidRPr="20656E48" w:rsidR="381FA234">
        <w:rPr>
          <w:rFonts w:ascii="Arial" w:hAnsi="Arial" w:cs="Arial"/>
          <w:b w:val="1"/>
          <w:bCs w:val="1"/>
        </w:rPr>
        <w:t>Student Name: Justyna Gajewska</w:t>
      </w:r>
    </w:p>
    <w:p w:rsidR="381FA234" w:rsidP="20656E48" w:rsidRDefault="381FA234" w14:paraId="2216B459" w14:textId="05F2F934">
      <w:pPr>
        <w:spacing w:line="360" w:lineRule="auto"/>
        <w:jc w:val="both"/>
        <w:rPr>
          <w:rFonts w:ascii="Arial" w:hAnsi="Arial" w:cs="Arial"/>
          <w:b w:val="1"/>
          <w:bCs w:val="1"/>
        </w:rPr>
      </w:pPr>
      <w:r w:rsidRPr="20656E48" w:rsidR="381FA234">
        <w:rPr>
          <w:rFonts w:ascii="Arial" w:hAnsi="Arial" w:cs="Arial"/>
          <w:b w:val="1"/>
          <w:bCs w:val="1"/>
        </w:rPr>
        <w:t>Student ID: 2517291</w:t>
      </w:r>
    </w:p>
    <w:p w:rsidRPr="00A63366" w:rsidR="00E32261" w:rsidP="20656E48" w:rsidRDefault="00A730BA" w14:paraId="18199F16" w14:textId="4170E613">
      <w:pPr>
        <w:pStyle w:val="Normal"/>
        <w:spacing w:line="360" w:lineRule="auto"/>
        <w:jc w:val="both"/>
        <w:rPr>
          <w:rFonts w:ascii="Arial" w:hAnsi="Arial" w:cs="Arial"/>
          <w:b w:val="1"/>
          <w:bCs w:val="1"/>
        </w:rPr>
      </w:pPr>
      <w:r w:rsidRPr="20656E48" w:rsidR="00A730BA">
        <w:rPr>
          <w:rFonts w:ascii="Arial" w:hAnsi="Arial" w:cs="Arial"/>
          <w:b w:val="1"/>
          <w:bCs w:val="1"/>
        </w:rPr>
        <w:t xml:space="preserve">Assignment Title: Report </w:t>
      </w:r>
      <w:r w:rsidRPr="20656E48" w:rsidR="357A20EF">
        <w:rPr>
          <w:rFonts w:ascii="Arial" w:hAnsi="Arial" w:cs="Arial"/>
          <w:b w:val="1"/>
          <w:bCs w:val="1"/>
        </w:rPr>
        <w:t>on a Health Issue,</w:t>
      </w:r>
      <w:r w:rsidRPr="20656E48" w:rsidR="00A730BA">
        <w:rPr>
          <w:rFonts w:ascii="Arial" w:hAnsi="Arial" w:cs="Arial"/>
          <w:b w:val="1"/>
          <w:bCs w:val="1"/>
        </w:rPr>
        <w:t xml:space="preserve"> Dementia: Measurement, Control, Community Consequences, and Service Provision</w:t>
      </w:r>
    </w:p>
    <w:p w:rsidR="53740891" w:rsidP="20656E48" w:rsidRDefault="53740891" w14:paraId="17569310" w14:textId="2FE8164B">
      <w:pPr>
        <w:pStyle w:val="Normal"/>
        <w:spacing w:line="360" w:lineRule="auto"/>
        <w:jc w:val="both"/>
        <w:rPr>
          <w:rFonts w:ascii="Arial" w:hAnsi="Arial" w:cs="Arial"/>
          <w:b w:val="1"/>
          <w:bCs w:val="1"/>
        </w:rPr>
      </w:pPr>
      <w:r w:rsidRPr="20656E48" w:rsidR="53740891">
        <w:rPr>
          <w:rFonts w:ascii="Arial" w:hAnsi="Arial" w:cs="Arial"/>
          <w:b w:val="1"/>
          <w:bCs w:val="1"/>
        </w:rPr>
        <w:t>Submission Date: 21/04/2026</w:t>
      </w:r>
    </w:p>
    <w:p w:rsidR="00E32261" w:rsidP="00A63366" w:rsidRDefault="00E32261" w14:paraId="29F8C850" w14:textId="77777777">
      <w:pPr>
        <w:spacing w:line="360" w:lineRule="auto"/>
        <w:jc w:val="both"/>
        <w:rPr>
          <w:rFonts w:ascii="Arial" w:hAnsi="Arial" w:cs="Arial"/>
        </w:rPr>
      </w:pPr>
    </w:p>
    <w:p w:rsidR="00A63366" w:rsidP="00A63366" w:rsidRDefault="00A63366" w14:paraId="48297D2E" w14:textId="77777777">
      <w:pPr>
        <w:spacing w:line="360" w:lineRule="auto"/>
        <w:jc w:val="both"/>
        <w:rPr>
          <w:rFonts w:ascii="Arial" w:hAnsi="Arial" w:cs="Arial"/>
        </w:rPr>
      </w:pPr>
    </w:p>
    <w:p w:rsidR="00A63366" w:rsidP="00A63366" w:rsidRDefault="00A63366" w14:paraId="7AB41890" w14:textId="77777777">
      <w:pPr>
        <w:spacing w:line="360" w:lineRule="auto"/>
        <w:jc w:val="both"/>
        <w:rPr>
          <w:rFonts w:ascii="Arial" w:hAnsi="Arial" w:cs="Arial"/>
        </w:rPr>
      </w:pPr>
    </w:p>
    <w:p w:rsidRPr="00A63366" w:rsidR="00A63366" w:rsidP="00A63366" w:rsidRDefault="00A63366" w14:paraId="6A1F37C2" w14:textId="77777777">
      <w:pPr>
        <w:spacing w:line="360" w:lineRule="auto"/>
        <w:jc w:val="both"/>
        <w:rPr>
          <w:rFonts w:ascii="Arial" w:hAnsi="Arial" w:cs="Arial"/>
        </w:rPr>
      </w:pPr>
    </w:p>
    <w:p w:rsidRPr="00A63366" w:rsidR="00E32261" w:rsidP="00A63366" w:rsidRDefault="00E32261" w14:paraId="4AAAF973" w14:textId="77777777">
      <w:pPr>
        <w:spacing w:line="360" w:lineRule="auto"/>
        <w:jc w:val="both"/>
        <w:rPr>
          <w:rFonts w:ascii="Arial" w:hAnsi="Arial" w:cs="Arial"/>
        </w:rPr>
      </w:pPr>
    </w:p>
    <w:p w:rsidRPr="00A63366" w:rsidR="00E32261" w:rsidP="00A63366" w:rsidRDefault="00E32261" w14:paraId="1C3080CE" w14:textId="77777777">
      <w:pPr>
        <w:spacing w:line="360" w:lineRule="auto"/>
        <w:jc w:val="both"/>
        <w:rPr>
          <w:rFonts w:ascii="Arial" w:hAnsi="Arial" w:cs="Arial"/>
        </w:rPr>
      </w:pPr>
    </w:p>
    <w:p w:rsidRPr="00A63366" w:rsidR="00E32261" w:rsidP="00A63366" w:rsidRDefault="00E32261" w14:paraId="0BCA1204" w14:textId="77777777">
      <w:pPr>
        <w:spacing w:line="360" w:lineRule="auto"/>
        <w:jc w:val="both"/>
        <w:rPr>
          <w:rFonts w:ascii="Arial" w:hAnsi="Arial" w:cs="Arial"/>
        </w:rPr>
      </w:pPr>
    </w:p>
    <w:p w:rsidRPr="00A63366" w:rsidR="00E32261" w:rsidP="00A63366" w:rsidRDefault="00E32261" w14:paraId="6221D940" w14:textId="77777777">
      <w:pPr>
        <w:spacing w:line="360" w:lineRule="auto"/>
        <w:jc w:val="both"/>
        <w:rPr>
          <w:rFonts w:ascii="Arial" w:hAnsi="Arial" w:cs="Arial"/>
        </w:rPr>
      </w:pPr>
    </w:p>
    <w:p w:rsidRPr="00A63366" w:rsidR="00A730BA" w:rsidP="00A63366" w:rsidRDefault="00A730BA" w14:paraId="47985620" w14:textId="77777777">
      <w:pPr>
        <w:spacing w:line="360" w:lineRule="auto"/>
        <w:jc w:val="both"/>
        <w:rPr>
          <w:rFonts w:ascii="Arial" w:hAnsi="Arial" w:cs="Arial"/>
        </w:rPr>
      </w:pPr>
    </w:p>
    <w:p w:rsidRPr="00A63366" w:rsidR="00A730BA" w:rsidP="00A63366" w:rsidRDefault="00A730BA" w14:paraId="3A2CD65A" w14:textId="77777777">
      <w:pPr>
        <w:spacing w:line="360" w:lineRule="auto"/>
        <w:jc w:val="both"/>
        <w:rPr>
          <w:rFonts w:ascii="Arial" w:hAnsi="Arial" w:cs="Arial"/>
        </w:rPr>
      </w:pPr>
    </w:p>
    <w:p w:rsidRPr="00A63366" w:rsidR="00E32261" w:rsidP="00A63366" w:rsidRDefault="00E32261" w14:paraId="65281488" w14:textId="77777777">
      <w:pPr>
        <w:spacing w:line="360" w:lineRule="auto"/>
        <w:jc w:val="both"/>
        <w:rPr>
          <w:rFonts w:ascii="Arial" w:hAnsi="Arial" w:cs="Arial"/>
        </w:rPr>
      </w:pPr>
    </w:p>
    <w:p w:rsidR="20656E48" w:rsidP="20656E48" w:rsidRDefault="20656E48" w14:paraId="092D3939" w14:textId="499BB899">
      <w:pPr>
        <w:spacing w:line="360" w:lineRule="auto"/>
        <w:jc w:val="both"/>
        <w:rPr>
          <w:rFonts w:ascii="Arial" w:hAnsi="Arial" w:cs="Arial"/>
        </w:rPr>
      </w:pPr>
    </w:p>
    <w:p w:rsidRPr="00A63366" w:rsidR="00E32261" w:rsidP="00A63366" w:rsidRDefault="00E32261" w14:paraId="4DA89D71" w14:textId="77777777">
      <w:pPr>
        <w:spacing w:line="360" w:lineRule="auto"/>
        <w:jc w:val="both"/>
        <w:rPr>
          <w:rFonts w:ascii="Arial" w:hAnsi="Arial" w:cs="Arial"/>
        </w:rPr>
      </w:pPr>
    </w:p>
    <w:sdt>
      <w:sdtPr>
        <w:id w:val="705069961"/>
        <w:docPartObj>
          <w:docPartGallery w:val="Table of Contents"/>
          <w:docPartUnique/>
        </w:docPartObj>
        <w:rPr>
          <w:rFonts w:ascii="Arial" w:hAnsi="Arial" w:eastAsia="Calibri" w:cs="Arial" w:eastAsiaTheme="minorAscii"/>
          <w:color w:val="auto"/>
          <w:sz w:val="22"/>
          <w:szCs w:val="22"/>
        </w:rPr>
      </w:sdtPr>
      <w:sdtEndPr>
        <w:rPr>
          <w:rFonts w:ascii="Arial" w:hAnsi="Arial" w:eastAsia="Calibri" w:cs="Arial" w:eastAsiaTheme="minorAscii"/>
          <w:b w:val="1"/>
          <w:bCs w:val="1"/>
          <w:noProof/>
          <w:color w:val="auto"/>
          <w:sz w:val="22"/>
          <w:szCs w:val="22"/>
        </w:rPr>
      </w:sdtEndPr>
      <w:sdtContent>
        <w:p w:rsidRPr="00A63366" w:rsidR="00A730BA" w:rsidP="00A63366" w:rsidRDefault="00A730BA" w14:paraId="58ACD170" w14:textId="77777777">
          <w:pPr>
            <w:pStyle w:val="TOCHeading"/>
            <w:spacing w:line="360" w:lineRule="auto"/>
            <w:jc w:val="both"/>
            <w:rPr>
              <w:rFonts w:ascii="Arial" w:hAnsi="Arial" w:cs="Arial"/>
              <w:sz w:val="22"/>
              <w:szCs w:val="22"/>
            </w:rPr>
          </w:pPr>
          <w:r w:rsidRPr="00A63366">
            <w:rPr>
              <w:rFonts w:ascii="Arial" w:hAnsi="Arial" w:cs="Arial"/>
              <w:sz w:val="22"/>
              <w:szCs w:val="22"/>
            </w:rPr>
            <w:t>Contents</w:t>
          </w:r>
        </w:p>
        <w:p w:rsidRPr="00A63366" w:rsidR="00A730BA" w:rsidP="00A63366" w:rsidRDefault="00A730BA" w14:paraId="78EBAA46" w14:textId="77777777">
          <w:pPr>
            <w:pStyle w:val="TOC1"/>
            <w:tabs>
              <w:tab w:val="left" w:pos="440"/>
              <w:tab w:val="right" w:leader="dot" w:pos="9350"/>
            </w:tabs>
            <w:spacing w:line="360" w:lineRule="auto"/>
            <w:jc w:val="both"/>
            <w:rPr>
              <w:rFonts w:ascii="Arial" w:hAnsi="Arial" w:cs="Arial" w:eastAsiaTheme="minorEastAsia"/>
              <w:noProof/>
            </w:rPr>
          </w:pPr>
          <w:r w:rsidRPr="00A63366">
            <w:rPr>
              <w:rFonts w:ascii="Arial" w:hAnsi="Arial" w:cs="Arial"/>
            </w:rPr>
            <w:fldChar w:fldCharType="begin"/>
          </w:r>
          <w:r w:rsidRPr="00A63366">
            <w:rPr>
              <w:rFonts w:ascii="Arial" w:hAnsi="Arial" w:cs="Arial"/>
            </w:rPr>
            <w:instrText xml:space="preserve"> TOC \o "1-3" \h \z \u </w:instrText>
          </w:r>
          <w:r w:rsidRPr="00A63366">
            <w:rPr>
              <w:rFonts w:ascii="Arial" w:hAnsi="Arial" w:cs="Arial"/>
            </w:rPr>
            <w:fldChar w:fldCharType="separate"/>
          </w:r>
          <w:hyperlink w:history="1" w:anchor="_Toc227643244">
            <w:r w:rsidRPr="00A63366">
              <w:rPr>
                <w:rStyle w:val="Hyperlink"/>
                <w:rFonts w:ascii="Arial" w:hAnsi="Arial" w:cs="Arial"/>
                <w:b/>
                <w:noProof/>
              </w:rPr>
              <w:t>1.</w:t>
            </w:r>
            <w:r w:rsidRPr="00A63366">
              <w:rPr>
                <w:rFonts w:ascii="Arial" w:hAnsi="Arial" w:cs="Arial" w:eastAsiaTheme="minorEastAsia"/>
                <w:noProof/>
              </w:rPr>
              <w:tab/>
            </w:r>
            <w:r w:rsidRPr="00A63366">
              <w:rPr>
                <w:rStyle w:val="Hyperlink"/>
                <w:rFonts w:ascii="Arial" w:hAnsi="Arial" w:cs="Arial"/>
                <w:b/>
                <w:noProof/>
              </w:rPr>
              <w:t>Introduction</w:t>
            </w:r>
            <w:r w:rsidRPr="00A63366">
              <w:rPr>
                <w:rFonts w:ascii="Arial" w:hAnsi="Arial" w:cs="Arial"/>
                <w:noProof/>
                <w:webHidden/>
              </w:rPr>
              <w:tab/>
            </w:r>
            <w:r w:rsidRPr="00A63366">
              <w:rPr>
                <w:rFonts w:ascii="Arial" w:hAnsi="Arial" w:cs="Arial"/>
                <w:noProof/>
                <w:webHidden/>
              </w:rPr>
              <w:fldChar w:fldCharType="begin"/>
            </w:r>
            <w:r w:rsidRPr="00A63366">
              <w:rPr>
                <w:rFonts w:ascii="Arial" w:hAnsi="Arial" w:cs="Arial"/>
                <w:noProof/>
                <w:webHidden/>
              </w:rPr>
              <w:instrText xml:space="preserve"> PAGEREF _Toc227643244 \h </w:instrText>
            </w:r>
            <w:r w:rsidRPr="00A63366">
              <w:rPr>
                <w:rFonts w:ascii="Arial" w:hAnsi="Arial" w:cs="Arial"/>
                <w:noProof/>
                <w:webHidden/>
              </w:rPr>
            </w:r>
            <w:r w:rsidRPr="00A63366">
              <w:rPr>
                <w:rFonts w:ascii="Arial" w:hAnsi="Arial" w:cs="Arial"/>
                <w:noProof/>
                <w:webHidden/>
              </w:rPr>
              <w:fldChar w:fldCharType="separate"/>
            </w:r>
            <w:r w:rsidRPr="00A63366">
              <w:rPr>
                <w:rFonts w:ascii="Arial" w:hAnsi="Arial" w:cs="Arial"/>
                <w:noProof/>
                <w:webHidden/>
              </w:rPr>
              <w:t>2</w:t>
            </w:r>
            <w:r w:rsidRPr="00A63366">
              <w:rPr>
                <w:rFonts w:ascii="Arial" w:hAnsi="Arial" w:cs="Arial"/>
                <w:noProof/>
                <w:webHidden/>
              </w:rPr>
              <w:fldChar w:fldCharType="end"/>
            </w:r>
          </w:hyperlink>
        </w:p>
        <w:p w:rsidRPr="00A63366" w:rsidR="00A730BA" w:rsidP="00A63366" w:rsidRDefault="00A730BA" w14:paraId="03F0318D" w14:textId="77777777">
          <w:pPr>
            <w:pStyle w:val="TOC1"/>
            <w:tabs>
              <w:tab w:val="left" w:pos="440"/>
              <w:tab w:val="right" w:leader="dot" w:pos="9350"/>
            </w:tabs>
            <w:spacing w:line="360" w:lineRule="auto"/>
            <w:jc w:val="both"/>
            <w:rPr>
              <w:rFonts w:ascii="Arial" w:hAnsi="Arial" w:cs="Arial" w:eastAsiaTheme="minorEastAsia"/>
              <w:noProof/>
            </w:rPr>
          </w:pPr>
          <w:hyperlink w:history="1" w:anchor="_Toc227643245">
            <w:r w:rsidRPr="00A63366">
              <w:rPr>
                <w:rStyle w:val="Hyperlink"/>
                <w:rFonts w:ascii="Arial" w:hAnsi="Arial" w:cs="Arial"/>
                <w:b/>
                <w:noProof/>
              </w:rPr>
              <w:t>2.</w:t>
            </w:r>
            <w:r w:rsidRPr="00A63366">
              <w:rPr>
                <w:rFonts w:ascii="Arial" w:hAnsi="Arial" w:cs="Arial" w:eastAsiaTheme="minorEastAsia"/>
                <w:noProof/>
              </w:rPr>
              <w:tab/>
            </w:r>
            <w:r w:rsidRPr="00A63366">
              <w:rPr>
                <w:rStyle w:val="Hyperlink"/>
                <w:rFonts w:ascii="Arial" w:hAnsi="Arial" w:cs="Arial"/>
                <w:b/>
                <w:noProof/>
              </w:rPr>
              <w:t>Main Body</w:t>
            </w:r>
            <w:r w:rsidRPr="00A63366">
              <w:rPr>
                <w:rFonts w:ascii="Arial" w:hAnsi="Arial" w:cs="Arial"/>
                <w:noProof/>
                <w:webHidden/>
              </w:rPr>
              <w:tab/>
            </w:r>
            <w:r w:rsidRPr="00A63366">
              <w:rPr>
                <w:rFonts w:ascii="Arial" w:hAnsi="Arial" w:cs="Arial"/>
                <w:noProof/>
                <w:webHidden/>
              </w:rPr>
              <w:fldChar w:fldCharType="begin"/>
            </w:r>
            <w:r w:rsidRPr="00A63366">
              <w:rPr>
                <w:rFonts w:ascii="Arial" w:hAnsi="Arial" w:cs="Arial"/>
                <w:noProof/>
                <w:webHidden/>
              </w:rPr>
              <w:instrText xml:space="preserve"> PAGEREF _Toc227643245 \h </w:instrText>
            </w:r>
            <w:r w:rsidRPr="00A63366">
              <w:rPr>
                <w:rFonts w:ascii="Arial" w:hAnsi="Arial" w:cs="Arial"/>
                <w:noProof/>
                <w:webHidden/>
              </w:rPr>
            </w:r>
            <w:r w:rsidRPr="00A63366">
              <w:rPr>
                <w:rFonts w:ascii="Arial" w:hAnsi="Arial" w:cs="Arial"/>
                <w:noProof/>
                <w:webHidden/>
              </w:rPr>
              <w:fldChar w:fldCharType="separate"/>
            </w:r>
            <w:r w:rsidRPr="00A63366">
              <w:rPr>
                <w:rFonts w:ascii="Arial" w:hAnsi="Arial" w:cs="Arial"/>
                <w:noProof/>
                <w:webHidden/>
              </w:rPr>
              <w:t>3</w:t>
            </w:r>
            <w:r w:rsidRPr="00A63366">
              <w:rPr>
                <w:rFonts w:ascii="Arial" w:hAnsi="Arial" w:cs="Arial"/>
                <w:noProof/>
                <w:webHidden/>
              </w:rPr>
              <w:fldChar w:fldCharType="end"/>
            </w:r>
          </w:hyperlink>
        </w:p>
        <w:p w:rsidRPr="00A63366" w:rsidR="00A730BA" w:rsidP="00A63366" w:rsidRDefault="00A730BA" w14:paraId="30A993EA" w14:textId="77777777">
          <w:pPr>
            <w:pStyle w:val="TOC2"/>
            <w:tabs>
              <w:tab w:val="right" w:leader="dot" w:pos="9350"/>
            </w:tabs>
            <w:spacing w:line="360" w:lineRule="auto"/>
            <w:jc w:val="both"/>
            <w:rPr>
              <w:rFonts w:ascii="Arial" w:hAnsi="Arial" w:cs="Arial" w:eastAsiaTheme="minorEastAsia"/>
              <w:noProof/>
            </w:rPr>
          </w:pPr>
          <w:hyperlink w:history="1" w:anchor="_Toc227643246">
            <w:r w:rsidRPr="00A63366">
              <w:rPr>
                <w:rStyle w:val="Hyperlink"/>
                <w:rFonts w:ascii="Arial" w:hAnsi="Arial" w:cs="Arial"/>
                <w:b/>
                <w:noProof/>
              </w:rPr>
              <w:t>2.1 Approaches to measure and monitor dementia</w:t>
            </w:r>
            <w:r w:rsidRPr="00A63366">
              <w:rPr>
                <w:rFonts w:ascii="Arial" w:hAnsi="Arial" w:cs="Arial"/>
                <w:noProof/>
                <w:webHidden/>
              </w:rPr>
              <w:tab/>
            </w:r>
            <w:r w:rsidRPr="00A63366">
              <w:rPr>
                <w:rFonts w:ascii="Arial" w:hAnsi="Arial" w:cs="Arial"/>
                <w:noProof/>
                <w:webHidden/>
              </w:rPr>
              <w:fldChar w:fldCharType="begin"/>
            </w:r>
            <w:r w:rsidRPr="00A63366">
              <w:rPr>
                <w:rFonts w:ascii="Arial" w:hAnsi="Arial" w:cs="Arial"/>
                <w:noProof/>
                <w:webHidden/>
              </w:rPr>
              <w:instrText xml:space="preserve"> PAGEREF _Toc227643246 \h </w:instrText>
            </w:r>
            <w:r w:rsidRPr="00A63366">
              <w:rPr>
                <w:rFonts w:ascii="Arial" w:hAnsi="Arial" w:cs="Arial"/>
                <w:noProof/>
                <w:webHidden/>
              </w:rPr>
            </w:r>
            <w:r w:rsidRPr="00A63366">
              <w:rPr>
                <w:rFonts w:ascii="Arial" w:hAnsi="Arial" w:cs="Arial"/>
                <w:noProof/>
                <w:webHidden/>
              </w:rPr>
              <w:fldChar w:fldCharType="separate"/>
            </w:r>
            <w:r w:rsidRPr="00A63366">
              <w:rPr>
                <w:rFonts w:ascii="Arial" w:hAnsi="Arial" w:cs="Arial"/>
                <w:noProof/>
                <w:webHidden/>
              </w:rPr>
              <w:t>3</w:t>
            </w:r>
            <w:r w:rsidRPr="00A63366">
              <w:rPr>
                <w:rFonts w:ascii="Arial" w:hAnsi="Arial" w:cs="Arial"/>
                <w:noProof/>
                <w:webHidden/>
              </w:rPr>
              <w:fldChar w:fldCharType="end"/>
            </w:r>
          </w:hyperlink>
        </w:p>
        <w:p w:rsidRPr="00A63366" w:rsidR="00A730BA" w:rsidP="00A63366" w:rsidRDefault="00A730BA" w14:paraId="749C397E" w14:textId="77777777">
          <w:pPr>
            <w:pStyle w:val="TOC2"/>
            <w:tabs>
              <w:tab w:val="right" w:leader="dot" w:pos="9350"/>
            </w:tabs>
            <w:spacing w:line="360" w:lineRule="auto"/>
            <w:jc w:val="both"/>
            <w:rPr>
              <w:rFonts w:ascii="Arial" w:hAnsi="Arial" w:cs="Arial" w:eastAsiaTheme="minorEastAsia"/>
              <w:noProof/>
            </w:rPr>
          </w:pPr>
          <w:hyperlink w:history="1" w:anchor="_Toc227643247">
            <w:r w:rsidRPr="00A63366">
              <w:rPr>
                <w:rStyle w:val="Hyperlink"/>
                <w:rFonts w:ascii="Arial" w:hAnsi="Arial" w:cs="Arial"/>
                <w:b/>
                <w:noProof/>
              </w:rPr>
              <w:t>2.2 How dementia is controlled</w:t>
            </w:r>
            <w:r w:rsidRPr="00A63366">
              <w:rPr>
                <w:rFonts w:ascii="Arial" w:hAnsi="Arial" w:cs="Arial"/>
                <w:noProof/>
                <w:webHidden/>
              </w:rPr>
              <w:tab/>
            </w:r>
            <w:r w:rsidRPr="00A63366">
              <w:rPr>
                <w:rFonts w:ascii="Arial" w:hAnsi="Arial" w:cs="Arial"/>
                <w:noProof/>
                <w:webHidden/>
              </w:rPr>
              <w:fldChar w:fldCharType="begin"/>
            </w:r>
            <w:r w:rsidRPr="00A63366">
              <w:rPr>
                <w:rFonts w:ascii="Arial" w:hAnsi="Arial" w:cs="Arial"/>
                <w:noProof/>
                <w:webHidden/>
              </w:rPr>
              <w:instrText xml:space="preserve"> PAGEREF _Toc227643247 \h </w:instrText>
            </w:r>
            <w:r w:rsidRPr="00A63366">
              <w:rPr>
                <w:rFonts w:ascii="Arial" w:hAnsi="Arial" w:cs="Arial"/>
                <w:noProof/>
                <w:webHidden/>
              </w:rPr>
            </w:r>
            <w:r w:rsidRPr="00A63366">
              <w:rPr>
                <w:rFonts w:ascii="Arial" w:hAnsi="Arial" w:cs="Arial"/>
                <w:noProof/>
                <w:webHidden/>
              </w:rPr>
              <w:fldChar w:fldCharType="separate"/>
            </w:r>
            <w:r w:rsidRPr="00A63366">
              <w:rPr>
                <w:rFonts w:ascii="Arial" w:hAnsi="Arial" w:cs="Arial"/>
                <w:noProof/>
                <w:webHidden/>
              </w:rPr>
              <w:t>4</w:t>
            </w:r>
            <w:r w:rsidRPr="00A63366">
              <w:rPr>
                <w:rFonts w:ascii="Arial" w:hAnsi="Arial" w:cs="Arial"/>
                <w:noProof/>
                <w:webHidden/>
              </w:rPr>
              <w:fldChar w:fldCharType="end"/>
            </w:r>
          </w:hyperlink>
        </w:p>
        <w:p w:rsidRPr="00A63366" w:rsidR="00A730BA" w:rsidP="00A63366" w:rsidRDefault="00A730BA" w14:paraId="28568D89" w14:textId="77777777">
          <w:pPr>
            <w:pStyle w:val="TOC2"/>
            <w:tabs>
              <w:tab w:val="right" w:leader="dot" w:pos="9350"/>
            </w:tabs>
            <w:spacing w:line="360" w:lineRule="auto"/>
            <w:jc w:val="both"/>
            <w:rPr>
              <w:rFonts w:ascii="Arial" w:hAnsi="Arial" w:cs="Arial" w:eastAsiaTheme="minorEastAsia"/>
              <w:noProof/>
            </w:rPr>
          </w:pPr>
          <w:hyperlink w:history="1" w:anchor="_Toc227643248">
            <w:r w:rsidRPr="00A63366">
              <w:rPr>
                <w:rStyle w:val="Hyperlink"/>
                <w:rFonts w:ascii="Arial" w:hAnsi="Arial" w:cs="Arial"/>
                <w:b/>
                <w:noProof/>
              </w:rPr>
              <w:t>2.3 Consequences of dementia on people in the community</w:t>
            </w:r>
            <w:r w:rsidRPr="00A63366">
              <w:rPr>
                <w:rFonts w:ascii="Arial" w:hAnsi="Arial" w:cs="Arial"/>
                <w:noProof/>
                <w:webHidden/>
              </w:rPr>
              <w:tab/>
            </w:r>
            <w:r w:rsidRPr="00A63366">
              <w:rPr>
                <w:rFonts w:ascii="Arial" w:hAnsi="Arial" w:cs="Arial"/>
                <w:noProof/>
                <w:webHidden/>
              </w:rPr>
              <w:fldChar w:fldCharType="begin"/>
            </w:r>
            <w:r w:rsidRPr="00A63366">
              <w:rPr>
                <w:rFonts w:ascii="Arial" w:hAnsi="Arial" w:cs="Arial"/>
                <w:noProof/>
                <w:webHidden/>
              </w:rPr>
              <w:instrText xml:space="preserve"> PAGEREF _Toc227643248 \h </w:instrText>
            </w:r>
            <w:r w:rsidRPr="00A63366">
              <w:rPr>
                <w:rFonts w:ascii="Arial" w:hAnsi="Arial" w:cs="Arial"/>
                <w:noProof/>
                <w:webHidden/>
              </w:rPr>
            </w:r>
            <w:r w:rsidRPr="00A63366">
              <w:rPr>
                <w:rFonts w:ascii="Arial" w:hAnsi="Arial" w:cs="Arial"/>
                <w:noProof/>
                <w:webHidden/>
              </w:rPr>
              <w:fldChar w:fldCharType="separate"/>
            </w:r>
            <w:r w:rsidRPr="00A63366">
              <w:rPr>
                <w:rFonts w:ascii="Arial" w:hAnsi="Arial" w:cs="Arial"/>
                <w:noProof/>
                <w:webHidden/>
              </w:rPr>
              <w:t>4</w:t>
            </w:r>
            <w:r w:rsidRPr="00A63366">
              <w:rPr>
                <w:rFonts w:ascii="Arial" w:hAnsi="Arial" w:cs="Arial"/>
                <w:noProof/>
                <w:webHidden/>
              </w:rPr>
              <w:fldChar w:fldCharType="end"/>
            </w:r>
          </w:hyperlink>
        </w:p>
        <w:p w:rsidRPr="00A63366" w:rsidR="00A730BA" w:rsidP="00A63366" w:rsidRDefault="00A730BA" w14:paraId="1B8096DD" w14:textId="77777777">
          <w:pPr>
            <w:pStyle w:val="TOC2"/>
            <w:tabs>
              <w:tab w:val="right" w:leader="dot" w:pos="9350"/>
            </w:tabs>
            <w:spacing w:line="360" w:lineRule="auto"/>
            <w:jc w:val="both"/>
            <w:rPr>
              <w:rFonts w:ascii="Arial" w:hAnsi="Arial" w:cs="Arial" w:eastAsiaTheme="minorEastAsia"/>
              <w:noProof/>
            </w:rPr>
          </w:pPr>
          <w:hyperlink w:history="1" w:anchor="_Toc227643249">
            <w:r w:rsidRPr="00A63366">
              <w:rPr>
                <w:rStyle w:val="Hyperlink"/>
                <w:rFonts w:ascii="Arial" w:hAnsi="Arial" w:cs="Arial"/>
                <w:b/>
                <w:noProof/>
              </w:rPr>
              <w:t>2.4 Health and social care support services required</w:t>
            </w:r>
            <w:r w:rsidRPr="00A63366">
              <w:rPr>
                <w:rFonts w:ascii="Arial" w:hAnsi="Arial" w:cs="Arial"/>
                <w:noProof/>
                <w:webHidden/>
              </w:rPr>
              <w:tab/>
            </w:r>
            <w:r w:rsidRPr="00A63366">
              <w:rPr>
                <w:rFonts w:ascii="Arial" w:hAnsi="Arial" w:cs="Arial"/>
                <w:noProof/>
                <w:webHidden/>
              </w:rPr>
              <w:fldChar w:fldCharType="begin"/>
            </w:r>
            <w:r w:rsidRPr="00A63366">
              <w:rPr>
                <w:rFonts w:ascii="Arial" w:hAnsi="Arial" w:cs="Arial"/>
                <w:noProof/>
                <w:webHidden/>
              </w:rPr>
              <w:instrText xml:space="preserve"> PAGEREF _Toc227643249 \h </w:instrText>
            </w:r>
            <w:r w:rsidRPr="00A63366">
              <w:rPr>
                <w:rFonts w:ascii="Arial" w:hAnsi="Arial" w:cs="Arial"/>
                <w:noProof/>
                <w:webHidden/>
              </w:rPr>
            </w:r>
            <w:r w:rsidRPr="00A63366">
              <w:rPr>
                <w:rFonts w:ascii="Arial" w:hAnsi="Arial" w:cs="Arial"/>
                <w:noProof/>
                <w:webHidden/>
              </w:rPr>
              <w:fldChar w:fldCharType="separate"/>
            </w:r>
            <w:r w:rsidRPr="00A63366">
              <w:rPr>
                <w:rFonts w:ascii="Arial" w:hAnsi="Arial" w:cs="Arial"/>
                <w:noProof/>
                <w:webHidden/>
              </w:rPr>
              <w:t>5</w:t>
            </w:r>
            <w:r w:rsidRPr="00A63366">
              <w:rPr>
                <w:rFonts w:ascii="Arial" w:hAnsi="Arial" w:cs="Arial"/>
                <w:noProof/>
                <w:webHidden/>
              </w:rPr>
              <w:fldChar w:fldCharType="end"/>
            </w:r>
          </w:hyperlink>
        </w:p>
        <w:p w:rsidRPr="00A63366" w:rsidR="00A730BA" w:rsidP="00A63366" w:rsidRDefault="00A730BA" w14:paraId="2F286AD0" w14:textId="77777777">
          <w:pPr>
            <w:pStyle w:val="TOC1"/>
            <w:tabs>
              <w:tab w:val="left" w:pos="440"/>
              <w:tab w:val="right" w:leader="dot" w:pos="9350"/>
            </w:tabs>
            <w:spacing w:line="360" w:lineRule="auto"/>
            <w:jc w:val="both"/>
            <w:rPr>
              <w:rFonts w:ascii="Arial" w:hAnsi="Arial" w:cs="Arial" w:eastAsiaTheme="minorEastAsia"/>
              <w:noProof/>
            </w:rPr>
          </w:pPr>
          <w:hyperlink w:history="1" w:anchor="_Toc227643250">
            <w:r w:rsidRPr="00A63366">
              <w:rPr>
                <w:rStyle w:val="Hyperlink"/>
                <w:rFonts w:ascii="Arial" w:hAnsi="Arial" w:cs="Arial"/>
                <w:b/>
                <w:noProof/>
              </w:rPr>
              <w:t>3.</w:t>
            </w:r>
            <w:r w:rsidRPr="00A63366">
              <w:rPr>
                <w:rFonts w:ascii="Arial" w:hAnsi="Arial" w:cs="Arial" w:eastAsiaTheme="minorEastAsia"/>
                <w:noProof/>
              </w:rPr>
              <w:tab/>
            </w:r>
            <w:r w:rsidRPr="00A63366">
              <w:rPr>
                <w:rStyle w:val="Hyperlink"/>
                <w:rFonts w:ascii="Arial" w:hAnsi="Arial" w:cs="Arial"/>
                <w:b/>
                <w:noProof/>
              </w:rPr>
              <w:t>Conclusion</w:t>
            </w:r>
            <w:r w:rsidRPr="00A63366">
              <w:rPr>
                <w:rFonts w:ascii="Arial" w:hAnsi="Arial" w:cs="Arial"/>
                <w:noProof/>
                <w:webHidden/>
              </w:rPr>
              <w:tab/>
            </w:r>
            <w:r w:rsidRPr="00A63366">
              <w:rPr>
                <w:rFonts w:ascii="Arial" w:hAnsi="Arial" w:cs="Arial"/>
                <w:noProof/>
                <w:webHidden/>
              </w:rPr>
              <w:fldChar w:fldCharType="begin"/>
            </w:r>
            <w:r w:rsidRPr="00A63366">
              <w:rPr>
                <w:rFonts w:ascii="Arial" w:hAnsi="Arial" w:cs="Arial"/>
                <w:noProof/>
                <w:webHidden/>
              </w:rPr>
              <w:instrText xml:space="preserve"> PAGEREF _Toc227643250 \h </w:instrText>
            </w:r>
            <w:r w:rsidRPr="00A63366">
              <w:rPr>
                <w:rFonts w:ascii="Arial" w:hAnsi="Arial" w:cs="Arial"/>
                <w:noProof/>
                <w:webHidden/>
              </w:rPr>
            </w:r>
            <w:r w:rsidRPr="00A63366">
              <w:rPr>
                <w:rFonts w:ascii="Arial" w:hAnsi="Arial" w:cs="Arial"/>
                <w:noProof/>
                <w:webHidden/>
              </w:rPr>
              <w:fldChar w:fldCharType="separate"/>
            </w:r>
            <w:r w:rsidRPr="00A63366">
              <w:rPr>
                <w:rFonts w:ascii="Arial" w:hAnsi="Arial" w:cs="Arial"/>
                <w:noProof/>
                <w:webHidden/>
              </w:rPr>
              <w:t>6</w:t>
            </w:r>
            <w:r w:rsidRPr="00A63366">
              <w:rPr>
                <w:rFonts w:ascii="Arial" w:hAnsi="Arial" w:cs="Arial"/>
                <w:noProof/>
                <w:webHidden/>
              </w:rPr>
              <w:fldChar w:fldCharType="end"/>
            </w:r>
          </w:hyperlink>
        </w:p>
        <w:p w:rsidRPr="00A63366" w:rsidR="00A730BA" w:rsidP="00A63366" w:rsidRDefault="00A730BA" w14:paraId="3C966ED3" w14:textId="77777777">
          <w:pPr>
            <w:pStyle w:val="TOC1"/>
            <w:tabs>
              <w:tab w:val="left" w:pos="440"/>
              <w:tab w:val="right" w:leader="dot" w:pos="9350"/>
            </w:tabs>
            <w:spacing w:line="360" w:lineRule="auto"/>
            <w:jc w:val="both"/>
            <w:rPr>
              <w:rFonts w:ascii="Arial" w:hAnsi="Arial" w:cs="Arial" w:eastAsiaTheme="minorEastAsia"/>
              <w:noProof/>
            </w:rPr>
          </w:pPr>
          <w:hyperlink w:history="1" w:anchor="_Toc227643251">
            <w:r w:rsidRPr="00A63366">
              <w:rPr>
                <w:rStyle w:val="Hyperlink"/>
                <w:rFonts w:ascii="Arial" w:hAnsi="Arial" w:cs="Arial"/>
                <w:b/>
                <w:noProof/>
              </w:rPr>
              <w:t>4.</w:t>
            </w:r>
            <w:r w:rsidRPr="00A63366">
              <w:rPr>
                <w:rFonts w:ascii="Arial" w:hAnsi="Arial" w:cs="Arial" w:eastAsiaTheme="minorEastAsia"/>
                <w:noProof/>
              </w:rPr>
              <w:tab/>
            </w:r>
            <w:r w:rsidRPr="00A63366">
              <w:rPr>
                <w:rStyle w:val="Hyperlink"/>
                <w:rFonts w:ascii="Arial" w:hAnsi="Arial" w:cs="Arial"/>
                <w:b/>
                <w:noProof/>
              </w:rPr>
              <w:t>References</w:t>
            </w:r>
            <w:r w:rsidRPr="00A63366">
              <w:rPr>
                <w:rFonts w:ascii="Arial" w:hAnsi="Arial" w:cs="Arial"/>
                <w:noProof/>
                <w:webHidden/>
              </w:rPr>
              <w:tab/>
            </w:r>
            <w:r w:rsidRPr="00A63366">
              <w:rPr>
                <w:rFonts w:ascii="Arial" w:hAnsi="Arial" w:cs="Arial"/>
                <w:noProof/>
                <w:webHidden/>
              </w:rPr>
              <w:fldChar w:fldCharType="begin"/>
            </w:r>
            <w:r w:rsidRPr="00A63366">
              <w:rPr>
                <w:rFonts w:ascii="Arial" w:hAnsi="Arial" w:cs="Arial"/>
                <w:noProof/>
                <w:webHidden/>
              </w:rPr>
              <w:instrText xml:space="preserve"> PAGEREF _Toc227643251 \h </w:instrText>
            </w:r>
            <w:r w:rsidRPr="00A63366">
              <w:rPr>
                <w:rFonts w:ascii="Arial" w:hAnsi="Arial" w:cs="Arial"/>
                <w:noProof/>
                <w:webHidden/>
              </w:rPr>
            </w:r>
            <w:r w:rsidRPr="00A63366">
              <w:rPr>
                <w:rFonts w:ascii="Arial" w:hAnsi="Arial" w:cs="Arial"/>
                <w:noProof/>
                <w:webHidden/>
              </w:rPr>
              <w:fldChar w:fldCharType="separate"/>
            </w:r>
            <w:r w:rsidRPr="00A63366">
              <w:rPr>
                <w:rFonts w:ascii="Arial" w:hAnsi="Arial" w:cs="Arial"/>
                <w:noProof/>
                <w:webHidden/>
              </w:rPr>
              <w:t>7</w:t>
            </w:r>
            <w:r w:rsidRPr="00A63366">
              <w:rPr>
                <w:rFonts w:ascii="Arial" w:hAnsi="Arial" w:cs="Arial"/>
                <w:noProof/>
                <w:webHidden/>
              </w:rPr>
              <w:fldChar w:fldCharType="end"/>
            </w:r>
          </w:hyperlink>
        </w:p>
        <w:p w:rsidRPr="00A63366" w:rsidR="00A730BA" w:rsidP="00A63366" w:rsidRDefault="00A730BA" w14:paraId="72267682" w14:textId="77777777">
          <w:pPr>
            <w:spacing w:line="360" w:lineRule="auto"/>
            <w:jc w:val="both"/>
            <w:rPr>
              <w:rFonts w:ascii="Arial" w:hAnsi="Arial" w:cs="Arial"/>
            </w:rPr>
          </w:pPr>
          <w:r w:rsidRPr="00A63366">
            <w:rPr>
              <w:rFonts w:ascii="Arial" w:hAnsi="Arial" w:cs="Arial"/>
              <w:b/>
              <w:bCs/>
              <w:noProof/>
            </w:rPr>
            <w:fldChar w:fldCharType="end"/>
          </w:r>
        </w:p>
      </w:sdtContent>
    </w:sdt>
    <w:p w:rsidRPr="00A63366" w:rsidR="00E32261" w:rsidP="00A63366" w:rsidRDefault="00E32261" w14:paraId="489D3B9B" w14:textId="77777777">
      <w:pPr>
        <w:spacing w:line="360" w:lineRule="auto"/>
        <w:jc w:val="both"/>
        <w:rPr>
          <w:rFonts w:ascii="Arial" w:hAnsi="Arial" w:cs="Arial"/>
        </w:rPr>
      </w:pPr>
    </w:p>
    <w:p w:rsidRPr="00A63366" w:rsidR="00E32261" w:rsidP="00A63366" w:rsidRDefault="00E32261" w14:paraId="5304962E" w14:textId="77777777">
      <w:pPr>
        <w:spacing w:line="360" w:lineRule="auto"/>
        <w:jc w:val="both"/>
        <w:rPr>
          <w:rFonts w:ascii="Arial" w:hAnsi="Arial" w:cs="Arial"/>
        </w:rPr>
      </w:pPr>
    </w:p>
    <w:p w:rsidRPr="00A63366" w:rsidR="00E32261" w:rsidP="00A63366" w:rsidRDefault="00E32261" w14:paraId="720239A0" w14:textId="77777777">
      <w:pPr>
        <w:spacing w:line="360" w:lineRule="auto"/>
        <w:jc w:val="both"/>
        <w:rPr>
          <w:rFonts w:ascii="Arial" w:hAnsi="Arial" w:cs="Arial"/>
        </w:rPr>
      </w:pPr>
    </w:p>
    <w:p w:rsidRPr="00A63366" w:rsidR="00E32261" w:rsidP="00A63366" w:rsidRDefault="00E32261" w14:paraId="5A69A3F0" w14:textId="77777777">
      <w:pPr>
        <w:spacing w:line="360" w:lineRule="auto"/>
        <w:jc w:val="both"/>
        <w:rPr>
          <w:rFonts w:ascii="Arial" w:hAnsi="Arial" w:cs="Arial"/>
        </w:rPr>
      </w:pPr>
    </w:p>
    <w:p w:rsidRPr="00A63366" w:rsidR="00E32261" w:rsidP="00A63366" w:rsidRDefault="00E32261" w14:paraId="21C30EEC" w14:textId="77777777">
      <w:pPr>
        <w:spacing w:line="360" w:lineRule="auto"/>
        <w:jc w:val="both"/>
        <w:rPr>
          <w:rFonts w:ascii="Arial" w:hAnsi="Arial" w:cs="Arial"/>
        </w:rPr>
      </w:pPr>
    </w:p>
    <w:p w:rsidRPr="00A63366" w:rsidR="00A730BA" w:rsidP="00A63366" w:rsidRDefault="00A730BA" w14:paraId="53203A51" w14:textId="77777777">
      <w:pPr>
        <w:spacing w:line="360" w:lineRule="auto"/>
        <w:jc w:val="both"/>
        <w:rPr>
          <w:rFonts w:ascii="Arial" w:hAnsi="Arial" w:cs="Arial"/>
        </w:rPr>
      </w:pPr>
    </w:p>
    <w:p w:rsidRPr="00A63366" w:rsidR="00A730BA" w:rsidP="00A63366" w:rsidRDefault="00A730BA" w14:paraId="166A1350" w14:textId="77777777">
      <w:pPr>
        <w:spacing w:line="360" w:lineRule="auto"/>
        <w:jc w:val="both"/>
        <w:rPr>
          <w:rFonts w:ascii="Arial" w:hAnsi="Arial" w:cs="Arial"/>
        </w:rPr>
      </w:pPr>
    </w:p>
    <w:p w:rsidRPr="00A63366" w:rsidR="00A730BA" w:rsidP="00A63366" w:rsidRDefault="00A730BA" w14:paraId="7E73AE63" w14:textId="77777777">
      <w:pPr>
        <w:spacing w:line="360" w:lineRule="auto"/>
        <w:jc w:val="both"/>
        <w:rPr>
          <w:rFonts w:ascii="Arial" w:hAnsi="Arial" w:cs="Arial"/>
        </w:rPr>
      </w:pPr>
    </w:p>
    <w:p w:rsidRPr="00A63366" w:rsidR="00A730BA" w:rsidP="00A63366" w:rsidRDefault="00A730BA" w14:paraId="36F6135C" w14:textId="77777777">
      <w:pPr>
        <w:spacing w:line="360" w:lineRule="auto"/>
        <w:jc w:val="both"/>
        <w:rPr>
          <w:rFonts w:ascii="Arial" w:hAnsi="Arial" w:cs="Arial"/>
        </w:rPr>
      </w:pPr>
    </w:p>
    <w:p w:rsidRPr="00A63366" w:rsidR="00A730BA" w:rsidP="00A63366" w:rsidRDefault="00A730BA" w14:paraId="195192F5" w14:textId="77777777">
      <w:pPr>
        <w:spacing w:line="360" w:lineRule="auto"/>
        <w:jc w:val="both"/>
        <w:rPr>
          <w:rFonts w:ascii="Arial" w:hAnsi="Arial" w:cs="Arial"/>
        </w:rPr>
      </w:pPr>
    </w:p>
    <w:p w:rsidR="00E32261" w:rsidP="00A63366" w:rsidRDefault="00E32261" w14:paraId="697F6F02" w14:textId="77777777">
      <w:pPr>
        <w:spacing w:line="360" w:lineRule="auto"/>
        <w:jc w:val="both"/>
        <w:rPr>
          <w:rFonts w:ascii="Arial" w:hAnsi="Arial" w:cs="Arial"/>
        </w:rPr>
      </w:pPr>
    </w:p>
    <w:p w:rsidR="00A63366" w:rsidP="00A63366" w:rsidRDefault="00A63366" w14:paraId="58D28DCC" w14:textId="77777777">
      <w:pPr>
        <w:spacing w:line="360" w:lineRule="auto"/>
        <w:jc w:val="both"/>
        <w:rPr>
          <w:rFonts w:ascii="Arial" w:hAnsi="Arial" w:cs="Arial"/>
        </w:rPr>
      </w:pPr>
    </w:p>
    <w:p w:rsidR="00A63366" w:rsidP="00A63366" w:rsidRDefault="00A63366" w14:paraId="20969E6F" w14:textId="77777777">
      <w:pPr>
        <w:spacing w:line="360" w:lineRule="auto"/>
        <w:jc w:val="both"/>
        <w:rPr>
          <w:rFonts w:ascii="Arial" w:hAnsi="Arial" w:cs="Arial"/>
        </w:rPr>
      </w:pPr>
    </w:p>
    <w:p w:rsidR="00A63366" w:rsidP="00A63366" w:rsidRDefault="00A63366" w14:paraId="4D48BB33" w14:textId="77777777">
      <w:pPr>
        <w:spacing w:line="360" w:lineRule="auto"/>
        <w:jc w:val="both"/>
        <w:rPr>
          <w:rFonts w:ascii="Arial" w:hAnsi="Arial" w:cs="Arial"/>
        </w:rPr>
      </w:pPr>
    </w:p>
    <w:p w:rsidR="00A63366" w:rsidP="00A63366" w:rsidRDefault="00A63366" w14:paraId="7A427A2D" w14:textId="77777777">
      <w:pPr>
        <w:spacing w:line="360" w:lineRule="auto"/>
        <w:jc w:val="both"/>
        <w:rPr>
          <w:rFonts w:ascii="Arial" w:hAnsi="Arial" w:cs="Arial"/>
        </w:rPr>
      </w:pPr>
    </w:p>
    <w:p w:rsidR="00A63366" w:rsidP="00A63366" w:rsidRDefault="00A63366" w14:paraId="63560AB4" w14:textId="77777777">
      <w:pPr>
        <w:spacing w:line="360" w:lineRule="auto"/>
        <w:jc w:val="both"/>
        <w:rPr>
          <w:rFonts w:ascii="Arial" w:hAnsi="Arial" w:cs="Arial"/>
        </w:rPr>
      </w:pPr>
    </w:p>
    <w:p w:rsidRPr="00A63366" w:rsidR="00A63366" w:rsidP="00A63366" w:rsidRDefault="00A63366" w14:paraId="76E58D0E" w14:textId="77777777">
      <w:pPr>
        <w:spacing w:line="360" w:lineRule="auto"/>
        <w:jc w:val="both"/>
        <w:rPr>
          <w:rFonts w:ascii="Arial" w:hAnsi="Arial" w:cs="Arial"/>
        </w:rPr>
      </w:pPr>
    </w:p>
    <w:p w:rsidRPr="00A63366" w:rsidR="00E32261" w:rsidP="00A63366" w:rsidRDefault="00E32261" w14:paraId="5F6140FA" w14:textId="77777777">
      <w:pPr>
        <w:spacing w:line="360" w:lineRule="auto"/>
        <w:jc w:val="both"/>
        <w:rPr>
          <w:rFonts w:ascii="Arial" w:hAnsi="Arial" w:cs="Arial"/>
        </w:rPr>
      </w:pPr>
    </w:p>
    <w:p w:rsidRPr="00A63366" w:rsidR="00A63366" w:rsidP="00A63366" w:rsidRDefault="00A63366" w14:paraId="3106B06E" w14:textId="77777777">
      <w:pPr>
        <w:spacing w:line="360" w:lineRule="auto"/>
        <w:jc w:val="both"/>
        <w:rPr>
          <w:rFonts w:ascii="Arial" w:hAnsi="Arial" w:cs="Arial"/>
        </w:rPr>
      </w:pPr>
    </w:p>
    <w:p w:rsidRPr="00A63366" w:rsidR="00E32261" w:rsidP="00A63366" w:rsidRDefault="00A63366" w14:paraId="68AB3E3B" w14:textId="77777777">
      <w:pPr>
        <w:pStyle w:val="Title"/>
        <w:spacing w:line="360" w:lineRule="auto"/>
        <w:jc w:val="both"/>
        <w:rPr>
          <w:rFonts w:ascii="Arial" w:hAnsi="Arial" w:cs="Arial"/>
          <w:b/>
          <w:sz w:val="22"/>
          <w:szCs w:val="22"/>
        </w:rPr>
      </w:pPr>
      <w:r w:rsidRPr="00A63366">
        <w:rPr>
          <w:rFonts w:ascii="Arial" w:hAnsi="Arial" w:cs="Arial"/>
          <w:b/>
          <w:sz w:val="22"/>
          <w:szCs w:val="22"/>
        </w:rPr>
        <w:t>Report on Dementia: Measurement, Control, Community Consequences, and Service Provision</w:t>
      </w:r>
    </w:p>
    <w:p w:rsidRPr="00A63366" w:rsidR="00E32261" w:rsidP="00A63366" w:rsidRDefault="00E32261" w14:paraId="0C7F4836" w14:textId="77777777">
      <w:pPr>
        <w:pStyle w:val="Heading1"/>
        <w:numPr>
          <w:ilvl w:val="0"/>
          <w:numId w:val="1"/>
        </w:numPr>
        <w:spacing w:line="360" w:lineRule="auto"/>
        <w:jc w:val="both"/>
        <w:rPr>
          <w:rFonts w:ascii="Arial" w:hAnsi="Arial" w:cs="Arial"/>
          <w:b/>
          <w:sz w:val="22"/>
          <w:szCs w:val="22"/>
        </w:rPr>
      </w:pPr>
      <w:bookmarkStart w:name="_Toc227643244" w:id="0"/>
      <w:r w:rsidRPr="00A63366">
        <w:rPr>
          <w:rFonts w:ascii="Arial" w:hAnsi="Arial" w:cs="Arial"/>
          <w:b/>
          <w:sz w:val="22"/>
          <w:szCs w:val="22"/>
        </w:rPr>
        <w:t>Introductio</w:t>
      </w:r>
      <w:r w:rsidRPr="00A63366" w:rsidR="00A730BA">
        <w:rPr>
          <w:rFonts w:ascii="Arial" w:hAnsi="Arial" w:cs="Arial"/>
          <w:b/>
          <w:sz w:val="22"/>
          <w:szCs w:val="22"/>
        </w:rPr>
        <w:t>n</w:t>
      </w:r>
      <w:bookmarkEnd w:id="0"/>
    </w:p>
    <w:p w:rsidRPr="00A63366" w:rsidR="00E32261" w:rsidP="00A63366" w:rsidRDefault="008735B6" w14:paraId="0A01ECE1" w14:textId="2E63C5D9">
      <w:pPr>
        <w:pStyle w:val="NormalWeb"/>
        <w:spacing w:line="360" w:lineRule="auto"/>
        <w:jc w:val="both"/>
        <w:rPr>
          <w:rFonts w:ascii="Arial" w:hAnsi="Arial" w:cs="Arial"/>
          <w:sz w:val="22"/>
          <w:szCs w:val="22"/>
        </w:rPr>
      </w:pPr>
      <w:r w:rsidRPr="20656E48" w:rsidR="008735B6">
        <w:rPr>
          <w:rFonts w:ascii="Arial" w:hAnsi="Arial" w:cs="Arial"/>
          <w:sz w:val="22"/>
          <w:szCs w:val="22"/>
        </w:rPr>
        <w:t xml:space="preserve">Clinically, dementia is a syndrome, typically chronic or progressive, which is </w:t>
      </w:r>
      <w:r w:rsidRPr="20656E48" w:rsidR="75C745DC">
        <w:rPr>
          <w:rFonts w:ascii="Arial" w:hAnsi="Arial" w:cs="Arial"/>
          <w:sz w:val="22"/>
          <w:szCs w:val="22"/>
        </w:rPr>
        <w:t>characterized</w:t>
      </w:r>
      <w:r w:rsidRPr="20656E48" w:rsidR="008735B6">
        <w:rPr>
          <w:rFonts w:ascii="Arial" w:hAnsi="Arial" w:cs="Arial"/>
          <w:sz w:val="22"/>
          <w:szCs w:val="22"/>
        </w:rPr>
        <w:t xml:space="preserve"> by impaired cognitive function, beyond what may be </w:t>
      </w:r>
      <w:r w:rsidRPr="20656E48" w:rsidR="008735B6">
        <w:rPr>
          <w:rFonts w:ascii="Arial" w:hAnsi="Arial" w:cs="Arial"/>
          <w:sz w:val="22"/>
          <w:szCs w:val="22"/>
        </w:rPr>
        <w:t>anticipated</w:t>
      </w:r>
      <w:r w:rsidRPr="20656E48" w:rsidR="008735B6">
        <w:rPr>
          <w:rFonts w:ascii="Arial" w:hAnsi="Arial" w:cs="Arial"/>
          <w:sz w:val="22"/>
          <w:szCs w:val="22"/>
        </w:rPr>
        <w:t xml:space="preserve"> of normal </w:t>
      </w:r>
      <w:r w:rsidRPr="20656E48" w:rsidR="008735B6">
        <w:rPr>
          <w:rFonts w:ascii="Arial" w:hAnsi="Arial" w:cs="Arial"/>
          <w:sz w:val="22"/>
          <w:szCs w:val="22"/>
        </w:rPr>
        <w:t>ageing</w:t>
      </w:r>
      <w:r w:rsidRPr="20656E48" w:rsidR="008735B6">
        <w:rPr>
          <w:rFonts w:ascii="Arial" w:hAnsi="Arial" w:cs="Arial"/>
          <w:sz w:val="22"/>
          <w:szCs w:val="22"/>
        </w:rPr>
        <w:t xml:space="preserve"> (World Health Organization, 2023). As opposed to a single disease, dementia is a broad terminology that includes </w:t>
      </w:r>
      <w:r w:rsidRPr="20656E48" w:rsidR="008735B6">
        <w:rPr>
          <w:rFonts w:ascii="Arial" w:hAnsi="Arial" w:cs="Arial"/>
          <w:sz w:val="22"/>
          <w:szCs w:val="22"/>
        </w:rPr>
        <w:t>a number of</w:t>
      </w:r>
      <w:r w:rsidRPr="20656E48" w:rsidR="008735B6">
        <w:rPr>
          <w:rFonts w:ascii="Arial" w:hAnsi="Arial" w:cs="Arial"/>
          <w:sz w:val="22"/>
          <w:szCs w:val="22"/>
        </w:rPr>
        <w:t xml:space="preserve"> other conditions, the most common of them being Alzheimer’s disease, which is followed by vascular dementia, dementia with </w:t>
      </w:r>
      <w:r w:rsidRPr="20656E48" w:rsidR="008735B6">
        <w:rPr>
          <w:rFonts w:ascii="Arial" w:hAnsi="Arial" w:cs="Arial"/>
          <w:sz w:val="22"/>
          <w:szCs w:val="22"/>
        </w:rPr>
        <w:t>Lewy</w:t>
      </w:r>
      <w:r w:rsidRPr="20656E48" w:rsidR="008735B6">
        <w:rPr>
          <w:rFonts w:ascii="Arial" w:hAnsi="Arial" w:cs="Arial"/>
          <w:sz w:val="22"/>
          <w:szCs w:val="22"/>
        </w:rPr>
        <w:t xml:space="preserve"> bodies, and </w:t>
      </w:r>
      <w:r w:rsidRPr="20656E48" w:rsidR="008735B6">
        <w:rPr>
          <w:rFonts w:ascii="Arial" w:hAnsi="Arial" w:cs="Arial"/>
          <w:sz w:val="22"/>
          <w:szCs w:val="22"/>
        </w:rPr>
        <w:t>frontotemporal</w:t>
      </w:r>
      <w:r w:rsidRPr="20656E48" w:rsidR="008735B6">
        <w:rPr>
          <w:rFonts w:ascii="Arial" w:hAnsi="Arial" w:cs="Arial"/>
          <w:sz w:val="22"/>
          <w:szCs w:val="22"/>
        </w:rPr>
        <w:t xml:space="preserve"> dementia (World Health Organization, 2024). The typical signs and symptoms are memory loss, confusion, inability to plan and concentrate, language problems, and the visible changes in mood or </w:t>
      </w:r>
      <w:r w:rsidRPr="20656E48" w:rsidR="597E09E2">
        <w:rPr>
          <w:rFonts w:ascii="Arial" w:hAnsi="Arial" w:cs="Arial"/>
          <w:sz w:val="22"/>
          <w:szCs w:val="22"/>
        </w:rPr>
        <w:t>behavior</w:t>
      </w:r>
      <w:r w:rsidRPr="20656E48" w:rsidR="008735B6">
        <w:rPr>
          <w:rFonts w:ascii="Arial" w:hAnsi="Arial" w:cs="Arial"/>
          <w:sz w:val="22"/>
          <w:szCs w:val="22"/>
        </w:rPr>
        <w:t xml:space="preserve"> (NHS, 2023). The prevalence</w:t>
      </w:r>
      <w:r w:rsidRPr="20656E48" w:rsidR="00A730BA">
        <w:rPr>
          <w:rFonts w:ascii="Arial" w:hAnsi="Arial" w:cs="Arial"/>
          <w:sz w:val="22"/>
          <w:szCs w:val="22"/>
        </w:rPr>
        <w:t xml:space="preserve"> of this health problem </w:t>
      </w:r>
      <w:r w:rsidRPr="20656E48" w:rsidR="0BF6896D">
        <w:rPr>
          <w:rFonts w:ascii="Arial" w:hAnsi="Arial" w:cs="Arial"/>
          <w:sz w:val="22"/>
          <w:szCs w:val="22"/>
        </w:rPr>
        <w:t>emphasizes</w:t>
      </w:r>
      <w:r w:rsidRPr="20656E48" w:rsidR="008735B6">
        <w:rPr>
          <w:rFonts w:ascii="Arial" w:hAnsi="Arial" w:cs="Arial"/>
          <w:sz w:val="22"/>
          <w:szCs w:val="22"/>
        </w:rPr>
        <w:t xml:space="preserve"> its severity. In the United Kingdom, there are about 982,000 individuals living with dementia and this is expected to increase to 1.2 million by 2030 (Alzheimer's Society, 2025). Dementia affects more than 55 million people worldwide, and almost 10 million people are diagnosed annually (World Health Organization, 2024). These increasing statistics underscore </w:t>
      </w:r>
      <w:r w:rsidRPr="20656E48" w:rsidR="008735B6">
        <w:rPr>
          <w:rFonts w:ascii="Arial" w:hAnsi="Arial" w:cs="Arial"/>
          <w:sz w:val="22"/>
          <w:szCs w:val="22"/>
        </w:rPr>
        <w:t>the dementia</w:t>
      </w:r>
      <w:r w:rsidRPr="20656E48" w:rsidR="008735B6">
        <w:rPr>
          <w:rFonts w:ascii="Arial" w:hAnsi="Arial" w:cs="Arial"/>
          <w:sz w:val="22"/>
          <w:szCs w:val="22"/>
        </w:rPr>
        <w:t xml:space="preserve"> as an urgent societal health issue that requires concerted effort in measurement, control, and service delivery. This report will explore methods of tracking dementia, restorative measures, societal outcomes, and the health and social care provisions that are essential.</w:t>
      </w:r>
    </w:p>
    <w:p w:rsidRPr="00A63366" w:rsidR="00E32261" w:rsidP="00A63366" w:rsidRDefault="00E32261" w14:paraId="06E91C21" w14:textId="77777777">
      <w:pPr>
        <w:pStyle w:val="Heading1"/>
        <w:numPr>
          <w:ilvl w:val="0"/>
          <w:numId w:val="1"/>
        </w:numPr>
        <w:spacing w:line="360" w:lineRule="auto"/>
        <w:jc w:val="both"/>
        <w:rPr>
          <w:rFonts w:ascii="Arial" w:hAnsi="Arial" w:cs="Arial"/>
          <w:b/>
          <w:sz w:val="22"/>
          <w:szCs w:val="22"/>
        </w:rPr>
      </w:pPr>
      <w:bookmarkStart w:name="_Toc227643245" w:id="1"/>
      <w:r w:rsidRPr="00A63366">
        <w:rPr>
          <w:rFonts w:ascii="Arial" w:hAnsi="Arial" w:cs="Arial"/>
          <w:b/>
          <w:sz w:val="22"/>
          <w:szCs w:val="22"/>
        </w:rPr>
        <w:t>Main Body</w:t>
      </w:r>
      <w:bookmarkEnd w:id="1"/>
    </w:p>
    <w:p w:rsidRPr="00A63366" w:rsidR="00E32261" w:rsidP="00A63366" w:rsidRDefault="00E32261" w14:paraId="37E8CDCB" w14:textId="77777777">
      <w:pPr>
        <w:pStyle w:val="Heading2"/>
        <w:spacing w:line="360" w:lineRule="auto"/>
        <w:jc w:val="both"/>
        <w:rPr>
          <w:rFonts w:ascii="Arial" w:hAnsi="Arial" w:cs="Arial"/>
          <w:b/>
          <w:sz w:val="22"/>
          <w:szCs w:val="22"/>
        </w:rPr>
      </w:pPr>
      <w:bookmarkStart w:name="_Toc227643246" w:id="2"/>
      <w:r w:rsidRPr="00A63366">
        <w:rPr>
          <w:rFonts w:ascii="Arial" w:hAnsi="Arial" w:cs="Arial"/>
          <w:b/>
          <w:sz w:val="22"/>
          <w:szCs w:val="22"/>
        </w:rPr>
        <w:t>2.1 Approaches to measure and monitor dementia</w:t>
      </w:r>
      <w:bookmarkEnd w:id="2"/>
    </w:p>
    <w:p w:rsidRPr="00A63366" w:rsidR="00E32261" w:rsidP="00A63366" w:rsidRDefault="008735B6" w14:paraId="792BBA3C" w14:textId="26B89E8C">
      <w:pPr>
        <w:spacing w:line="360" w:lineRule="auto"/>
        <w:jc w:val="both"/>
        <w:rPr>
          <w:rFonts w:ascii="Arial" w:hAnsi="Arial" w:cs="Arial"/>
        </w:rPr>
      </w:pPr>
      <w:r w:rsidRPr="20656E48" w:rsidR="008735B6">
        <w:rPr>
          <w:rFonts w:ascii="Arial" w:hAnsi="Arial" w:cs="Arial"/>
        </w:rPr>
        <w:t xml:space="preserve">A combination of primary care data, tools of cognitive screening, and longitudinal population studies are vital in effective monitoring of dementia. The Quality and Outcomes Framework (QOF) in the UK has been used to </w:t>
      </w:r>
      <w:r w:rsidRPr="20656E48" w:rsidR="4A8B7D85">
        <w:rPr>
          <w:rFonts w:ascii="Arial" w:hAnsi="Arial" w:cs="Arial"/>
        </w:rPr>
        <w:t>incentivize</w:t>
      </w:r>
      <w:r w:rsidRPr="20656E48" w:rsidR="008735B6">
        <w:rPr>
          <w:rFonts w:ascii="Arial" w:hAnsi="Arial" w:cs="Arial"/>
        </w:rPr>
        <w:t xml:space="preserve"> GPs to keep dementia registers, but studies have found that there is a so-called diagnosis gap, where fewer than half of all dementia cases are ever formally diagnosed (</w:t>
      </w:r>
      <w:r w:rsidRPr="20656E48" w:rsidR="008735B6">
        <w:rPr>
          <w:rFonts w:ascii="Arial" w:hAnsi="Arial" w:cs="Arial"/>
        </w:rPr>
        <w:t>Llibre</w:t>
      </w:r>
      <w:r w:rsidRPr="20656E48" w:rsidR="008735B6">
        <w:rPr>
          <w:rFonts w:ascii="Arial" w:hAnsi="Arial" w:cs="Arial"/>
        </w:rPr>
        <w:t>-Guerra</w:t>
      </w:r>
      <w:r w:rsidRPr="20656E48" w:rsidR="008735B6">
        <w:rPr>
          <w:rFonts w:ascii="Arial" w:hAnsi="Arial" w:cs="Arial"/>
        </w:rPr>
        <w:t xml:space="preserve"> et al., 2025). As a result, primary care clinicians resort to </w:t>
      </w:r>
      <w:r w:rsidRPr="20656E48" w:rsidR="0E35390B">
        <w:rPr>
          <w:rFonts w:ascii="Arial" w:hAnsi="Arial" w:cs="Arial"/>
        </w:rPr>
        <w:t>standardized</w:t>
      </w:r>
      <w:r w:rsidRPr="20656E48" w:rsidR="008735B6">
        <w:rPr>
          <w:rFonts w:ascii="Arial" w:hAnsi="Arial" w:cs="Arial"/>
        </w:rPr>
        <w:t xml:space="preserve"> cognitive screening tools to </w:t>
      </w:r>
      <w:r w:rsidRPr="20656E48" w:rsidR="008735B6">
        <w:rPr>
          <w:rFonts w:ascii="Arial" w:hAnsi="Arial" w:cs="Arial"/>
        </w:rPr>
        <w:t>assist</w:t>
      </w:r>
      <w:r w:rsidRPr="20656E48" w:rsidR="008735B6">
        <w:rPr>
          <w:rFonts w:ascii="Arial" w:hAnsi="Arial" w:cs="Arial"/>
        </w:rPr>
        <w:t xml:space="preserve"> in </w:t>
      </w:r>
      <w:r w:rsidRPr="20656E48" w:rsidR="15466935">
        <w:rPr>
          <w:rFonts w:ascii="Arial" w:hAnsi="Arial" w:cs="Arial"/>
        </w:rPr>
        <w:t>detection</w:t>
      </w:r>
      <w:r w:rsidRPr="20656E48" w:rsidR="008735B6">
        <w:rPr>
          <w:rFonts w:ascii="Arial" w:hAnsi="Arial" w:cs="Arial"/>
        </w:rPr>
        <w:t xml:space="preserve">. Mini-Mental State Examination (MMSE) is a time-tested screening test, but there are also some familiar limitations (such as </w:t>
      </w:r>
      <w:r w:rsidRPr="20656E48" w:rsidR="008735B6">
        <w:rPr>
          <w:rFonts w:ascii="Arial" w:hAnsi="Arial" w:cs="Arial"/>
        </w:rPr>
        <w:t>relatively low</w:t>
      </w:r>
      <w:r w:rsidRPr="20656E48" w:rsidR="008735B6">
        <w:rPr>
          <w:rFonts w:ascii="Arial" w:hAnsi="Arial" w:cs="Arial"/>
        </w:rPr>
        <w:t xml:space="preserve"> sensitivity to mild cognitive impairment and the possibility of cultural and educational bias) (</w:t>
      </w:r>
      <w:r w:rsidRPr="20656E48" w:rsidR="008735B6">
        <w:rPr>
          <w:rFonts w:ascii="Arial" w:hAnsi="Arial" w:cs="Arial"/>
        </w:rPr>
        <w:t>Sergi</w:t>
      </w:r>
      <w:r w:rsidRPr="20656E48" w:rsidR="008735B6">
        <w:rPr>
          <w:rFonts w:ascii="Arial" w:hAnsi="Arial" w:cs="Arial"/>
        </w:rPr>
        <w:t xml:space="preserve">, 2025). Montreal Cognitive Assessment (MoCA) is commonly chosen because it has more sensitivity in </w:t>
      </w:r>
      <w:r w:rsidRPr="20656E48" w:rsidR="008735B6">
        <w:rPr>
          <w:rFonts w:ascii="Arial" w:hAnsi="Arial" w:cs="Arial"/>
        </w:rPr>
        <w:t>identifying</w:t>
      </w:r>
      <w:r w:rsidRPr="20656E48" w:rsidR="008735B6">
        <w:rPr>
          <w:rFonts w:ascii="Arial" w:hAnsi="Arial" w:cs="Arial"/>
        </w:rPr>
        <w:t xml:space="preserve"> dementia at the early stage and is, therefore, extensively recommended to be used in memory clinics (Scottish Intercollegiate Guidelines Network, 2023). The English Longitudinal Study of </w:t>
      </w:r>
      <w:r w:rsidRPr="20656E48" w:rsidR="008735B6">
        <w:rPr>
          <w:rFonts w:ascii="Arial" w:hAnsi="Arial" w:cs="Arial"/>
        </w:rPr>
        <w:t>Ageing</w:t>
      </w:r>
      <w:r w:rsidRPr="20656E48" w:rsidR="008735B6">
        <w:rPr>
          <w:rFonts w:ascii="Arial" w:hAnsi="Arial" w:cs="Arial"/>
        </w:rPr>
        <w:t xml:space="preserve"> (ELSA) has followed dementia incidence in representative cohorts and presented crucial information on prevalence and risk factors to measure broader population trends (Chen et al., 2023). Moreover, </w:t>
      </w:r>
      <w:r w:rsidRPr="20656E48" w:rsidR="008735B6">
        <w:rPr>
          <w:rFonts w:ascii="Arial" w:hAnsi="Arial" w:cs="Arial"/>
        </w:rPr>
        <w:t>Cognitive</w:t>
      </w:r>
      <w:r w:rsidRPr="20656E48" w:rsidR="008735B6">
        <w:rPr>
          <w:rFonts w:ascii="Arial" w:hAnsi="Arial" w:cs="Arial"/>
        </w:rPr>
        <w:t xml:space="preserve"> Function and </w:t>
      </w:r>
      <w:r w:rsidRPr="20656E48" w:rsidR="008735B6">
        <w:rPr>
          <w:rFonts w:ascii="Arial" w:hAnsi="Arial" w:cs="Arial"/>
        </w:rPr>
        <w:t>Ageing</w:t>
      </w:r>
      <w:r w:rsidRPr="20656E48" w:rsidR="008735B6">
        <w:rPr>
          <w:rFonts w:ascii="Arial" w:hAnsi="Arial" w:cs="Arial"/>
        </w:rPr>
        <w:t xml:space="preserve"> Study (CFAS) of the Medical Research Council has been essential in giving longitudinal critical observations on the varying prevalence and incidence of dementia in the UK over decades (Matthews et al., 2016). Even with these elaborate monitoring frameworks, there are still major measurement shortcomings. The issue of under-diagnosis in certain demographic groups is also a particularly significant challenge; researchers have repeatedly identified individuals of Black, Asian and minority ethnic (BAME) origin and those in rural environments to have a lower rate of dementia diagnosis, indicating a lack of access to diagnostic services (Hazan et al., 2024). These disparities are still a major public health concern that needs to be addressed so that dementia surveillance can be </w:t>
      </w:r>
      <w:r w:rsidRPr="20656E48" w:rsidR="008735B6">
        <w:rPr>
          <w:rFonts w:ascii="Arial" w:hAnsi="Arial" w:cs="Arial"/>
        </w:rPr>
        <w:t>accurate</w:t>
      </w:r>
      <w:r w:rsidRPr="20656E48" w:rsidR="008735B6">
        <w:rPr>
          <w:rFonts w:ascii="Arial" w:hAnsi="Arial" w:cs="Arial"/>
        </w:rPr>
        <w:t xml:space="preserve"> and </w:t>
      </w:r>
      <w:r w:rsidRPr="20656E48" w:rsidR="008735B6">
        <w:rPr>
          <w:rFonts w:ascii="Arial" w:hAnsi="Arial" w:cs="Arial"/>
        </w:rPr>
        <w:t>equitable</w:t>
      </w:r>
      <w:r w:rsidRPr="20656E48" w:rsidR="008735B6">
        <w:rPr>
          <w:rFonts w:ascii="Arial" w:hAnsi="Arial" w:cs="Arial"/>
        </w:rPr>
        <w:t>.</w:t>
      </w:r>
    </w:p>
    <w:p w:rsidRPr="00A63366" w:rsidR="00E32261" w:rsidP="00A63366" w:rsidRDefault="00E32261" w14:paraId="1D9499AB" w14:textId="77777777">
      <w:pPr>
        <w:pStyle w:val="Heading2"/>
        <w:spacing w:line="360" w:lineRule="auto"/>
        <w:jc w:val="both"/>
        <w:rPr>
          <w:rFonts w:ascii="Arial" w:hAnsi="Arial" w:cs="Arial"/>
          <w:b/>
          <w:sz w:val="22"/>
          <w:szCs w:val="22"/>
        </w:rPr>
      </w:pPr>
      <w:bookmarkStart w:name="_Toc227643247" w:id="3"/>
      <w:r w:rsidRPr="00A63366">
        <w:rPr>
          <w:rFonts w:ascii="Arial" w:hAnsi="Arial" w:cs="Arial"/>
          <w:b/>
          <w:sz w:val="22"/>
          <w:szCs w:val="22"/>
        </w:rPr>
        <w:t>2.2 How dementia is controlled</w:t>
      </w:r>
      <w:bookmarkEnd w:id="3"/>
    </w:p>
    <w:p w:rsidRPr="00A63366" w:rsidR="00E32261" w:rsidP="00A63366" w:rsidRDefault="008735B6" w14:paraId="68D7F0FD" w14:textId="5B9DA598">
      <w:pPr>
        <w:spacing w:line="360" w:lineRule="auto"/>
        <w:jc w:val="both"/>
        <w:rPr>
          <w:rFonts w:ascii="Arial" w:hAnsi="Arial" w:cs="Arial"/>
        </w:rPr>
      </w:pPr>
      <w:r w:rsidRPr="20656E48" w:rsidR="008735B6">
        <w:rPr>
          <w:rFonts w:ascii="Arial" w:hAnsi="Arial" w:cs="Arial"/>
        </w:rPr>
        <w:t>Dementia needs a multifaceted public health strategy covering primary, secondary, and tertiary prevention. Pr</w:t>
      </w:r>
      <w:r w:rsidRPr="20656E48" w:rsidR="00A730BA">
        <w:rPr>
          <w:rFonts w:ascii="Arial" w:hAnsi="Arial" w:cs="Arial"/>
        </w:rPr>
        <w:t xml:space="preserve">imary prevention aims at </w:t>
      </w:r>
      <w:r w:rsidRPr="20656E48" w:rsidR="00A730BA">
        <w:rPr>
          <w:rFonts w:ascii="Arial" w:hAnsi="Arial" w:cs="Arial"/>
        </w:rPr>
        <w:t>minimis</w:t>
      </w:r>
      <w:r w:rsidRPr="20656E48" w:rsidR="008735B6">
        <w:rPr>
          <w:rFonts w:ascii="Arial" w:hAnsi="Arial" w:cs="Arial"/>
        </w:rPr>
        <w:t>ing</w:t>
      </w:r>
      <w:r w:rsidRPr="20656E48" w:rsidR="008735B6">
        <w:rPr>
          <w:rFonts w:ascii="Arial" w:hAnsi="Arial" w:cs="Arial"/>
        </w:rPr>
        <w:t xml:space="preserve"> modifiable risk factors over the life course. As reported by Livingston et al. (2024), about 40</w:t>
      </w:r>
      <w:r w:rsidRPr="20656E48" w:rsidR="00A730BA">
        <w:rPr>
          <w:rFonts w:ascii="Arial" w:hAnsi="Arial" w:cs="Arial"/>
        </w:rPr>
        <w:t>%</w:t>
      </w:r>
      <w:r w:rsidRPr="20656E48" w:rsidR="008735B6">
        <w:rPr>
          <w:rFonts w:ascii="Arial" w:hAnsi="Arial" w:cs="Arial"/>
        </w:rPr>
        <w:t xml:space="preserve"> of cases of dementia may be postponed or avoided through actions that </w:t>
      </w:r>
      <w:r w:rsidRPr="20656E48" w:rsidR="008735B6">
        <w:rPr>
          <w:rFonts w:ascii="Arial" w:hAnsi="Arial" w:cs="Arial"/>
        </w:rPr>
        <w:t>modify</w:t>
      </w:r>
      <w:r w:rsidRPr="20656E48" w:rsidR="008735B6">
        <w:rPr>
          <w:rFonts w:ascii="Arial" w:hAnsi="Arial" w:cs="Arial"/>
        </w:rPr>
        <w:t xml:space="preserve"> fourteen risks that are considered modifiable, such as hypertension, diabetes, physical inactivity, and smoking. The World Health Organization also suggests regular physical activity, quitting smoking, and blood pressure and sugar control as methods of slowing cognitive impairment (World Health Organization, 2023). Early diagnosis and cognitive stimulation are under secondary prevention. Early diagnosis leads to interventions and future care planning, and cognitive stimulation </w:t>
      </w:r>
      <w:r w:rsidRPr="20656E48" w:rsidR="008735B6">
        <w:rPr>
          <w:rFonts w:ascii="Arial" w:hAnsi="Arial" w:cs="Arial"/>
        </w:rPr>
        <w:t>programmes</w:t>
      </w:r>
      <w:r w:rsidRPr="20656E48" w:rsidR="008735B6">
        <w:rPr>
          <w:rFonts w:ascii="Arial" w:hAnsi="Arial" w:cs="Arial"/>
        </w:rPr>
        <w:t xml:space="preserve"> have proven to be useful in memory and problem-solving in patients with mild-to-moderate dementia (Holden, </w:t>
      </w:r>
      <w:r w:rsidRPr="20656E48" w:rsidR="008735B6">
        <w:rPr>
          <w:rFonts w:ascii="Arial" w:hAnsi="Arial" w:cs="Arial"/>
        </w:rPr>
        <w:t>Stoner</w:t>
      </w:r>
      <w:r w:rsidRPr="20656E48" w:rsidR="008735B6">
        <w:rPr>
          <w:rFonts w:ascii="Arial" w:hAnsi="Arial" w:cs="Arial"/>
        </w:rPr>
        <w:t xml:space="preserve"> and Spector, 2020). Tertiary control involves both non-pharmacological and pharmacological control. Three cholinesterase inhibitors, </w:t>
      </w:r>
      <w:r w:rsidRPr="20656E48" w:rsidR="008735B6">
        <w:rPr>
          <w:rFonts w:ascii="Arial" w:hAnsi="Arial" w:cs="Arial"/>
        </w:rPr>
        <w:t>donepezil</w:t>
      </w:r>
      <w:r w:rsidRPr="20656E48" w:rsidR="008735B6">
        <w:rPr>
          <w:rFonts w:ascii="Arial" w:hAnsi="Arial" w:cs="Arial"/>
        </w:rPr>
        <w:t xml:space="preserve">, </w:t>
      </w:r>
      <w:r w:rsidRPr="20656E48" w:rsidR="008735B6">
        <w:rPr>
          <w:rFonts w:ascii="Arial" w:hAnsi="Arial" w:cs="Arial"/>
        </w:rPr>
        <w:t>rivastigmine</w:t>
      </w:r>
      <w:r w:rsidRPr="20656E48" w:rsidR="008735B6">
        <w:rPr>
          <w:rFonts w:ascii="Arial" w:hAnsi="Arial" w:cs="Arial"/>
        </w:rPr>
        <w:t xml:space="preserve">, and galantamine, are used as </w:t>
      </w:r>
      <w:r w:rsidRPr="20656E48" w:rsidR="008735B6">
        <w:rPr>
          <w:rFonts w:ascii="Arial" w:hAnsi="Arial" w:cs="Arial"/>
        </w:rPr>
        <w:t>initial</w:t>
      </w:r>
      <w:r w:rsidRPr="20656E48" w:rsidR="008735B6">
        <w:rPr>
          <w:rFonts w:ascii="Arial" w:hAnsi="Arial" w:cs="Arial"/>
        </w:rPr>
        <w:t xml:space="preserve"> symptomatic therapy of Alzheimer disease, but are not curative (</w:t>
      </w:r>
      <w:r w:rsidRPr="20656E48" w:rsidR="008735B6">
        <w:rPr>
          <w:rFonts w:ascii="Arial" w:hAnsi="Arial" w:cs="Arial"/>
        </w:rPr>
        <w:t>Haake</w:t>
      </w:r>
      <w:r w:rsidRPr="20656E48" w:rsidR="008735B6">
        <w:rPr>
          <w:rFonts w:ascii="Arial" w:hAnsi="Arial" w:cs="Arial"/>
        </w:rPr>
        <w:t xml:space="preserve"> et al., 2020). Reality orientation and reminiscence therapy are non-pharmacological interventions that are used to manage </w:t>
      </w:r>
      <w:r w:rsidRPr="20656E48" w:rsidR="008735B6">
        <w:rPr>
          <w:rFonts w:ascii="Arial" w:hAnsi="Arial" w:cs="Arial"/>
        </w:rPr>
        <w:t>behavioural</w:t>
      </w:r>
      <w:r w:rsidRPr="20656E48" w:rsidR="008735B6">
        <w:rPr>
          <w:rFonts w:ascii="Arial" w:hAnsi="Arial" w:cs="Arial"/>
        </w:rPr>
        <w:t xml:space="preserve"> symptoms and increase quality of life (Park et al., 2019). These plans are supported with significant policy frameworks. The WHO Global Action Plan on the Public Health Response to Dementia (2017-2025) is an appeal to all member states to formulate national </w:t>
      </w:r>
      <w:r w:rsidRPr="20656E48" w:rsidR="008735B6">
        <w:rPr>
          <w:rFonts w:ascii="Arial" w:hAnsi="Arial" w:cs="Arial"/>
        </w:rPr>
        <w:t>dementia strategies with the aim of reducing risks, diagnosing, and supporting carers (WHO, 2017). In combination, these multi-l</w:t>
      </w:r>
      <w:r w:rsidRPr="20656E48" w:rsidR="00A730BA">
        <w:rPr>
          <w:rFonts w:ascii="Arial" w:hAnsi="Arial" w:cs="Arial"/>
        </w:rPr>
        <w:t xml:space="preserve">evel strategies offer an </w:t>
      </w:r>
      <w:r w:rsidRPr="20656E48" w:rsidR="5B1CC957">
        <w:rPr>
          <w:rFonts w:ascii="Arial" w:hAnsi="Arial" w:cs="Arial"/>
        </w:rPr>
        <w:t>organized</w:t>
      </w:r>
      <w:r w:rsidRPr="20656E48" w:rsidR="008735B6">
        <w:rPr>
          <w:rFonts w:ascii="Arial" w:hAnsi="Arial" w:cs="Arial"/>
        </w:rPr>
        <w:t xml:space="preserve"> approach to the control of dementia both on the population and individual scales.</w:t>
      </w:r>
    </w:p>
    <w:p w:rsidRPr="00A63366" w:rsidR="00E32261" w:rsidP="00A63366" w:rsidRDefault="00E32261" w14:paraId="3F44F8C5" w14:textId="77777777">
      <w:pPr>
        <w:pStyle w:val="Heading2"/>
        <w:spacing w:line="360" w:lineRule="auto"/>
        <w:jc w:val="both"/>
        <w:rPr>
          <w:rFonts w:ascii="Arial" w:hAnsi="Arial" w:cs="Arial"/>
          <w:b/>
          <w:sz w:val="22"/>
          <w:szCs w:val="22"/>
        </w:rPr>
      </w:pPr>
      <w:bookmarkStart w:name="_Toc227643248" w:id="4"/>
      <w:r w:rsidRPr="00A63366">
        <w:rPr>
          <w:rFonts w:ascii="Arial" w:hAnsi="Arial" w:cs="Arial"/>
          <w:b/>
          <w:sz w:val="22"/>
          <w:szCs w:val="22"/>
        </w:rPr>
        <w:t>2.3 Consequences of dementia on people in the community</w:t>
      </w:r>
      <w:bookmarkEnd w:id="4"/>
    </w:p>
    <w:p w:rsidRPr="00A63366" w:rsidR="00E32261" w:rsidP="00A63366" w:rsidRDefault="00D456EE" w14:paraId="540875C2" w14:textId="24876639">
      <w:pPr>
        <w:spacing w:line="360" w:lineRule="auto"/>
        <w:jc w:val="both"/>
        <w:rPr>
          <w:rFonts w:ascii="Arial" w:hAnsi="Arial" w:cs="Arial"/>
        </w:rPr>
      </w:pPr>
      <w:r w:rsidRPr="20656E48" w:rsidR="00D456EE">
        <w:rPr>
          <w:rFonts w:ascii="Arial" w:hAnsi="Arial" w:cs="Arial"/>
        </w:rPr>
        <w:t xml:space="preserve">Dementia has far-reaching and significant implications </w:t>
      </w:r>
      <w:r w:rsidRPr="20656E48" w:rsidR="00D456EE">
        <w:rPr>
          <w:rFonts w:ascii="Arial" w:hAnsi="Arial" w:cs="Arial"/>
        </w:rPr>
        <w:t>on</w:t>
      </w:r>
      <w:r w:rsidRPr="20656E48" w:rsidR="00D456EE">
        <w:rPr>
          <w:rFonts w:ascii="Arial" w:hAnsi="Arial" w:cs="Arial"/>
        </w:rPr>
        <w:t xml:space="preserve"> individuals, families, and the general community. The condition affects the person living with it in a far reaching way, studies have revealed that more than 80</w:t>
      </w:r>
      <w:r w:rsidRPr="20656E48" w:rsidR="00A730BA">
        <w:rPr>
          <w:rFonts w:ascii="Arial" w:hAnsi="Arial" w:cs="Arial"/>
        </w:rPr>
        <w:t>%</w:t>
      </w:r>
      <w:r w:rsidRPr="20656E48" w:rsidR="00D456EE">
        <w:rPr>
          <w:rFonts w:ascii="Arial" w:hAnsi="Arial" w:cs="Arial"/>
        </w:rPr>
        <w:t xml:space="preserve"> of the individuals get inactive after getting a diagnosis, and loneliness and depression are widespread, with about 42</w:t>
      </w:r>
      <w:r w:rsidRPr="20656E48" w:rsidR="00A730BA">
        <w:rPr>
          <w:rFonts w:ascii="Arial" w:hAnsi="Arial" w:cs="Arial"/>
        </w:rPr>
        <w:t>%</w:t>
      </w:r>
      <w:r w:rsidRPr="20656E48" w:rsidR="00D456EE">
        <w:rPr>
          <w:rFonts w:ascii="Arial" w:hAnsi="Arial" w:cs="Arial"/>
        </w:rPr>
        <w:t xml:space="preserve"> feeling embarrassed by their symptoms (Alzheimer's Society, 2025; </w:t>
      </w:r>
      <w:r w:rsidRPr="20656E48" w:rsidR="00D456EE">
        <w:rPr>
          <w:rFonts w:ascii="Arial" w:hAnsi="Arial" w:cs="Arial"/>
        </w:rPr>
        <w:t>Azevedo</w:t>
      </w:r>
      <w:r w:rsidRPr="20656E48" w:rsidR="00D456EE">
        <w:rPr>
          <w:rFonts w:ascii="Arial" w:hAnsi="Arial" w:cs="Arial"/>
        </w:rPr>
        <w:t xml:space="preserve"> et al., 2021). This is </w:t>
      </w:r>
      <w:r w:rsidRPr="20656E48" w:rsidR="00D456EE">
        <w:rPr>
          <w:rFonts w:ascii="Arial" w:hAnsi="Arial" w:cs="Arial"/>
        </w:rPr>
        <w:t>exacerbated</w:t>
      </w:r>
      <w:r w:rsidRPr="20656E48" w:rsidR="00D456EE">
        <w:rPr>
          <w:rFonts w:ascii="Arial" w:hAnsi="Arial" w:cs="Arial"/>
        </w:rPr>
        <w:t xml:space="preserve"> by high anxiety rates, with 73% of the diagnosed affected (Alzheimer's Society, 2025). The family carer burden is also very harsh. According to a survey by Alzheimer's Society conducted in 2025, 70% of unpaid carers report that their mental or physical health has been negatively affected, and most of them report a rise in social isolation (Alzheimer's Society, 2025). The financial burden is enormous, with 16% of carers having been forced to quit employment to offer full-time care and a third spending more than 100 hours a week caring (Alzheimer's Society, 2024). The economic impact on the UK is unbelievable, and dementia cost is estimated at </w:t>
      </w:r>
      <w:r w:rsidRPr="20656E48" w:rsidR="00A730BA">
        <w:rPr>
          <w:rFonts w:ascii="Arial" w:hAnsi="Arial" w:cs="Arial"/>
        </w:rPr>
        <w:t>£42</w:t>
      </w:r>
      <w:r w:rsidRPr="20656E48" w:rsidR="00D456EE">
        <w:rPr>
          <w:rFonts w:ascii="Arial" w:hAnsi="Arial" w:cs="Arial"/>
        </w:rPr>
        <w:t xml:space="preserve"> a year with </w:t>
      </w:r>
      <w:r w:rsidRPr="20656E48" w:rsidR="00A730BA">
        <w:rPr>
          <w:rFonts w:ascii="Arial" w:hAnsi="Arial" w:cs="Arial"/>
        </w:rPr>
        <w:t>£90</w:t>
      </w:r>
      <w:r w:rsidRPr="20656E48" w:rsidR="00D456EE">
        <w:rPr>
          <w:rFonts w:ascii="Arial" w:hAnsi="Arial" w:cs="Arial"/>
        </w:rPr>
        <w:t xml:space="preserve"> expected by 2040, half of which is due to unpaid care (CQC, 2025). Stigma and discrimination are also </w:t>
      </w:r>
      <w:r w:rsidRPr="20656E48" w:rsidR="443B39D6">
        <w:rPr>
          <w:rFonts w:ascii="Arial" w:hAnsi="Arial" w:cs="Arial"/>
        </w:rPr>
        <w:t>major barriers</w:t>
      </w:r>
      <w:r w:rsidRPr="20656E48" w:rsidR="00D456EE">
        <w:rPr>
          <w:rFonts w:ascii="Arial" w:hAnsi="Arial" w:cs="Arial"/>
        </w:rPr>
        <w:t xml:space="preserve"> socially, which </w:t>
      </w:r>
      <w:r w:rsidRPr="20656E48" w:rsidR="00D456EE">
        <w:rPr>
          <w:rFonts w:ascii="Arial" w:hAnsi="Arial" w:cs="Arial"/>
        </w:rPr>
        <w:t>frequently</w:t>
      </w:r>
      <w:r w:rsidRPr="20656E48" w:rsidR="00D456EE">
        <w:rPr>
          <w:rFonts w:ascii="Arial" w:hAnsi="Arial" w:cs="Arial"/>
        </w:rPr>
        <w:t xml:space="preserve"> result in a decrease in community participation and </w:t>
      </w:r>
      <w:r w:rsidRPr="20656E48" w:rsidR="237DE984">
        <w:rPr>
          <w:rFonts w:ascii="Arial" w:hAnsi="Arial" w:cs="Arial"/>
        </w:rPr>
        <w:t>strengthen</w:t>
      </w:r>
      <w:r w:rsidRPr="20656E48" w:rsidR="00D456EE">
        <w:rPr>
          <w:rFonts w:ascii="Arial" w:hAnsi="Arial" w:cs="Arial"/>
        </w:rPr>
        <w:t xml:space="preserve"> social exclusion (Oliveira et al., 2021). These complex effects underscore the idea that dementia is not a clinical diagnosis but a significant social and economic crisis that needs concerted efforts.</w:t>
      </w:r>
    </w:p>
    <w:p w:rsidRPr="00A63366" w:rsidR="00E32261" w:rsidP="00A63366" w:rsidRDefault="00E32261" w14:paraId="639A654C" w14:textId="77777777">
      <w:pPr>
        <w:pStyle w:val="Heading2"/>
        <w:spacing w:line="360" w:lineRule="auto"/>
        <w:jc w:val="both"/>
        <w:rPr>
          <w:rFonts w:ascii="Arial" w:hAnsi="Arial" w:cs="Arial"/>
          <w:b/>
          <w:sz w:val="22"/>
          <w:szCs w:val="22"/>
        </w:rPr>
      </w:pPr>
      <w:bookmarkStart w:name="_Toc227643249" w:id="5"/>
      <w:r w:rsidRPr="00A63366">
        <w:rPr>
          <w:rFonts w:ascii="Arial" w:hAnsi="Arial" w:cs="Arial"/>
          <w:b/>
          <w:sz w:val="22"/>
          <w:szCs w:val="22"/>
        </w:rPr>
        <w:t>2.4 Health and social care support services required</w:t>
      </w:r>
      <w:bookmarkEnd w:id="5"/>
    </w:p>
    <w:p w:rsidRPr="00A63366" w:rsidR="00A730BA" w:rsidP="00A63366" w:rsidRDefault="00A730BA" w14:paraId="352CFBF0" w14:textId="1EF6F3E7">
      <w:pPr>
        <w:spacing w:line="360" w:lineRule="auto"/>
        <w:jc w:val="both"/>
        <w:rPr>
          <w:rFonts w:ascii="Arial" w:hAnsi="Arial" w:cs="Arial"/>
        </w:rPr>
      </w:pPr>
      <w:r w:rsidRPr="20656E48" w:rsidR="00A730BA">
        <w:rPr>
          <w:rFonts w:ascii="Arial" w:hAnsi="Arial" w:cs="Arial"/>
        </w:rPr>
        <w:t>A holistic approach</w:t>
      </w:r>
      <w:r w:rsidRPr="20656E48" w:rsidR="00A730BA">
        <w:rPr>
          <w:rFonts w:ascii="Arial" w:hAnsi="Arial" w:cs="Arial"/>
        </w:rPr>
        <w:t xml:space="preserve"> to health and social care provision is critical towards addressing the complex needs of the dementia patients. In primary care, diagnosis, the continued administration of medication, and an annual review fall on general practitioners (GPs), and recent NHS England data </w:t>
      </w:r>
      <w:r w:rsidRPr="20656E48" w:rsidR="00A730BA">
        <w:rPr>
          <w:rFonts w:ascii="Arial" w:hAnsi="Arial" w:cs="Arial"/>
        </w:rPr>
        <w:t>indicates</w:t>
      </w:r>
      <w:r w:rsidRPr="20656E48" w:rsidR="00A730BA">
        <w:rPr>
          <w:rFonts w:ascii="Arial" w:hAnsi="Arial" w:cs="Arial"/>
        </w:rPr>
        <w:t xml:space="preserve"> that by June 2025, 67.3% of those diagnosed had had a care plan or a care plan review within the previous 12 months. There is a growing focus on integrating clinical pharmacists into primary care teams, which helps to improve medication </w:t>
      </w:r>
      <w:r w:rsidRPr="20656E48" w:rsidR="768ACDCA">
        <w:rPr>
          <w:rFonts w:ascii="Arial" w:hAnsi="Arial" w:cs="Arial"/>
        </w:rPr>
        <w:t>optimization</w:t>
      </w:r>
      <w:r w:rsidRPr="20656E48" w:rsidR="00A730BA">
        <w:rPr>
          <w:rFonts w:ascii="Arial" w:hAnsi="Arial" w:cs="Arial"/>
        </w:rPr>
        <w:t xml:space="preserve"> and safety among dementia patients of older age (</w:t>
      </w:r>
      <w:r w:rsidRPr="20656E48" w:rsidR="00A730BA">
        <w:rPr>
          <w:rFonts w:ascii="Arial" w:hAnsi="Arial" w:cs="Arial"/>
        </w:rPr>
        <w:t>Burnand</w:t>
      </w:r>
      <w:r w:rsidRPr="20656E48" w:rsidR="00A730BA">
        <w:rPr>
          <w:rFonts w:ascii="Arial" w:hAnsi="Arial" w:cs="Arial"/>
        </w:rPr>
        <w:t xml:space="preserve"> et al., 2025). Multidisciplinary diagnostic assessment and continued treatment </w:t>
      </w:r>
      <w:r w:rsidRPr="20656E48" w:rsidR="00A730BA">
        <w:rPr>
          <w:rFonts w:ascii="Arial" w:hAnsi="Arial" w:cs="Arial"/>
        </w:rPr>
        <w:t>is</w:t>
      </w:r>
      <w:r w:rsidRPr="20656E48" w:rsidR="00A730BA">
        <w:rPr>
          <w:rFonts w:ascii="Arial" w:hAnsi="Arial" w:cs="Arial"/>
        </w:rPr>
        <w:t xml:space="preserve"> delivered through specialist services such as memory clinics and old age psychiatry. Admiral Nurses, also called specialist dementia nurses, provide clinical and emotional specialist support to families and carers in the community, hospital, and care home environments. Social care is provided in the community in the form of domiciliary care, day </w:t>
      </w:r>
      <w:r w:rsidRPr="20656E48" w:rsidR="3FFA635B">
        <w:rPr>
          <w:rFonts w:ascii="Arial" w:hAnsi="Arial" w:cs="Arial"/>
        </w:rPr>
        <w:t>centers</w:t>
      </w:r>
      <w:r w:rsidRPr="20656E48" w:rsidR="00A730BA">
        <w:rPr>
          <w:rFonts w:ascii="Arial" w:hAnsi="Arial" w:cs="Arial"/>
        </w:rPr>
        <w:t xml:space="preserve"> </w:t>
      </w:r>
      <w:r w:rsidRPr="20656E48" w:rsidR="00A730BA">
        <w:rPr>
          <w:rFonts w:ascii="Arial" w:hAnsi="Arial" w:cs="Arial"/>
        </w:rPr>
        <w:t xml:space="preserve">with </w:t>
      </w:r>
      <w:r w:rsidRPr="20656E48" w:rsidR="3F04FD97">
        <w:rPr>
          <w:rFonts w:ascii="Arial" w:hAnsi="Arial" w:cs="Arial"/>
        </w:rPr>
        <w:t>organized</w:t>
      </w:r>
      <w:r w:rsidRPr="20656E48" w:rsidR="00A730BA">
        <w:rPr>
          <w:rFonts w:ascii="Arial" w:hAnsi="Arial" w:cs="Arial"/>
        </w:rPr>
        <w:t xml:space="preserve"> activities and respite care, and special dementia care homes where residential, nursing, and end-of-life care is offered (</w:t>
      </w:r>
      <w:r w:rsidRPr="20656E48" w:rsidR="00A730BA">
        <w:rPr>
          <w:rFonts w:ascii="Arial" w:hAnsi="Arial" w:cs="Arial"/>
        </w:rPr>
        <w:t>Baillieston</w:t>
      </w:r>
      <w:r w:rsidRPr="20656E48" w:rsidR="00A730BA">
        <w:rPr>
          <w:rFonts w:ascii="Arial" w:hAnsi="Arial" w:cs="Arial"/>
        </w:rPr>
        <w:t xml:space="preserve"> Community Care, 2025). </w:t>
      </w:r>
    </w:p>
    <w:p w:rsidRPr="00A63366" w:rsidR="00A730BA" w:rsidP="00A63366" w:rsidRDefault="00A730BA" w14:paraId="19C9EC2C" w14:textId="25B759F5">
      <w:pPr>
        <w:spacing w:line="360" w:lineRule="auto"/>
        <w:jc w:val="both"/>
        <w:rPr>
          <w:rFonts w:ascii="Arial" w:hAnsi="Arial" w:cs="Arial"/>
        </w:rPr>
      </w:pPr>
      <w:r w:rsidRPr="20656E48" w:rsidR="61909A40">
        <w:rPr>
          <w:rFonts w:ascii="Arial" w:hAnsi="Arial" w:cs="Arial"/>
        </w:rPr>
        <w:t>Organizational</w:t>
      </w:r>
      <w:r w:rsidRPr="20656E48" w:rsidR="00A730BA">
        <w:rPr>
          <w:rFonts w:ascii="Arial" w:hAnsi="Arial" w:cs="Arial"/>
        </w:rPr>
        <w:t xml:space="preserve"> support Community-based initiatives, like the Alzheimer Society, involve peer support groups, dementia advisers, and dementia-friendly communities (Alzheimer's Society, 2025). Lastly, professionals should undertake effective measures such as individual care plans, carer evaluations, and proactive end-of-life planning. Universal Care Plan, which is expanded in 2025 to cover dementia, allows joined-up and </w:t>
      </w:r>
      <w:r w:rsidRPr="20656E48" w:rsidR="00A730BA">
        <w:rPr>
          <w:rFonts w:ascii="Arial" w:hAnsi="Arial" w:cs="Arial"/>
        </w:rPr>
        <w:t>person-</w:t>
      </w:r>
      <w:r w:rsidRPr="20656E48" w:rsidR="35411C2D">
        <w:rPr>
          <w:rFonts w:ascii="Arial" w:hAnsi="Arial" w:cs="Arial"/>
        </w:rPr>
        <w:t>centered</w:t>
      </w:r>
      <w:r w:rsidRPr="20656E48" w:rsidR="00A730BA">
        <w:rPr>
          <w:rFonts w:ascii="Arial" w:hAnsi="Arial" w:cs="Arial"/>
        </w:rPr>
        <w:t xml:space="preserve"> care across health and social care environments (</w:t>
      </w:r>
      <w:r w:rsidRPr="20656E48" w:rsidR="454648D1">
        <w:rPr>
          <w:rFonts w:ascii="Arial" w:hAnsi="Arial" w:cs="Arial"/>
        </w:rPr>
        <w:t>One London</w:t>
      </w:r>
      <w:r w:rsidRPr="20656E48" w:rsidR="00A730BA">
        <w:rPr>
          <w:rFonts w:ascii="Arial" w:hAnsi="Arial" w:cs="Arial"/>
        </w:rPr>
        <w:t>, 2025), and instruments like the Integrated Palliative care Outcome Scale of Dementia (IPOS-Dem) are used to measure and enhance the quality of life of individuals near the end of life (</w:t>
      </w:r>
      <w:r w:rsidRPr="20656E48" w:rsidR="00A730BA">
        <w:rPr>
          <w:rFonts w:ascii="Arial" w:hAnsi="Arial" w:cs="Arial"/>
        </w:rPr>
        <w:t>Quartilho</w:t>
      </w:r>
      <w:r w:rsidRPr="20656E48" w:rsidR="00A730BA">
        <w:rPr>
          <w:rFonts w:ascii="Arial" w:hAnsi="Arial" w:cs="Arial"/>
        </w:rPr>
        <w:t xml:space="preserve"> et al., 2025). These services and professional actions </w:t>
      </w:r>
      <w:r w:rsidRPr="20656E48" w:rsidR="00A730BA">
        <w:rPr>
          <w:rFonts w:ascii="Arial" w:hAnsi="Arial" w:cs="Arial"/>
        </w:rPr>
        <w:t>together constitute</w:t>
      </w:r>
      <w:r w:rsidRPr="20656E48" w:rsidR="00A730BA">
        <w:rPr>
          <w:rFonts w:ascii="Arial" w:hAnsi="Arial" w:cs="Arial"/>
        </w:rPr>
        <w:t xml:space="preserve"> an integrated response to the multifaceted needs that arise due to dementia.</w:t>
      </w:r>
    </w:p>
    <w:p w:rsidRPr="00A63366" w:rsidR="00E32261" w:rsidP="00A63366" w:rsidRDefault="00E32261" w14:paraId="7276207C" w14:textId="77777777">
      <w:pPr>
        <w:pStyle w:val="Heading1"/>
        <w:numPr>
          <w:ilvl w:val="0"/>
          <w:numId w:val="1"/>
        </w:numPr>
        <w:spacing w:line="360" w:lineRule="auto"/>
        <w:jc w:val="both"/>
        <w:rPr>
          <w:rFonts w:ascii="Arial" w:hAnsi="Arial" w:cs="Arial"/>
          <w:b/>
          <w:sz w:val="22"/>
          <w:szCs w:val="22"/>
        </w:rPr>
      </w:pPr>
      <w:bookmarkStart w:name="_Toc227643250" w:id="6"/>
      <w:r w:rsidRPr="00A63366">
        <w:rPr>
          <w:rFonts w:ascii="Arial" w:hAnsi="Arial" w:cs="Arial"/>
          <w:b/>
          <w:sz w:val="22"/>
          <w:szCs w:val="22"/>
        </w:rPr>
        <w:t>Conclusion</w:t>
      </w:r>
      <w:bookmarkEnd w:id="6"/>
    </w:p>
    <w:p w:rsidRPr="00A63366" w:rsidR="00E32261" w:rsidP="00A63366" w:rsidRDefault="00D456EE" w14:paraId="38C92058" w14:textId="07556582">
      <w:pPr>
        <w:spacing w:line="360" w:lineRule="auto"/>
        <w:jc w:val="both"/>
        <w:rPr>
          <w:rFonts w:ascii="Arial" w:hAnsi="Arial" w:cs="Arial"/>
        </w:rPr>
      </w:pPr>
      <w:r w:rsidRPr="20656E48" w:rsidR="00D456EE">
        <w:rPr>
          <w:rFonts w:ascii="Arial" w:hAnsi="Arial" w:cs="Arial"/>
        </w:rPr>
        <w:t xml:space="preserve">To sum up, dementia is one of the most urgent issues of </w:t>
      </w:r>
      <w:r w:rsidRPr="20656E48" w:rsidR="51E7E9F0">
        <w:rPr>
          <w:rFonts w:ascii="Arial" w:hAnsi="Arial" w:cs="Arial"/>
        </w:rPr>
        <w:t>modern</w:t>
      </w:r>
      <w:r w:rsidRPr="20656E48" w:rsidR="00D456EE">
        <w:rPr>
          <w:rFonts w:ascii="Arial" w:hAnsi="Arial" w:cs="Arial"/>
        </w:rPr>
        <w:t xml:space="preserve"> public health, as the number of patients is more than 55 million worldwide and almost one million in the UK, which is bound to increase significantly. Primary care registers and cognitive screening instruments have enhanced better detection, but there are still major restrictions, such as under-diagnosis of minority ethnic groups. There is no cure, though control strategies that include risk reduction, early diagnosis, and symptomatic treatments are promising. </w:t>
      </w:r>
      <w:r w:rsidRPr="20656E48" w:rsidR="30B51B5B">
        <w:rPr>
          <w:rFonts w:ascii="Arial" w:hAnsi="Arial" w:cs="Arial"/>
        </w:rPr>
        <w:t>The result</w:t>
      </w:r>
      <w:r w:rsidRPr="20656E48" w:rsidR="00D456EE">
        <w:rPr>
          <w:rFonts w:ascii="Arial" w:hAnsi="Arial" w:cs="Arial"/>
        </w:rPr>
        <w:t xml:space="preserve"> is catastrophic: loss of autonomy, burdens on carers and astounding financial expenditure of over </w:t>
      </w:r>
      <w:r w:rsidRPr="20656E48" w:rsidR="00A730BA">
        <w:rPr>
          <w:rFonts w:ascii="Arial" w:hAnsi="Arial" w:cs="Arial"/>
        </w:rPr>
        <w:t>£42</w:t>
      </w:r>
      <w:r w:rsidRPr="20656E48" w:rsidR="00D456EE">
        <w:rPr>
          <w:rFonts w:ascii="Arial" w:hAnsi="Arial" w:cs="Arial"/>
        </w:rPr>
        <w:t xml:space="preserve"> in the UK alone. The management of this crisis requires a combined health and social care strategy that focuses on early diagnosis</w:t>
      </w:r>
      <w:r w:rsidRPr="20656E48" w:rsidR="00A730BA">
        <w:rPr>
          <w:rFonts w:ascii="Arial" w:hAnsi="Arial" w:cs="Arial"/>
        </w:rPr>
        <w:t xml:space="preserve"> and care planning, </w:t>
      </w:r>
      <w:r w:rsidRPr="20656E48" w:rsidR="790434A2">
        <w:rPr>
          <w:rFonts w:ascii="Arial" w:hAnsi="Arial" w:cs="Arial"/>
        </w:rPr>
        <w:t>individualized</w:t>
      </w:r>
      <w:r w:rsidRPr="20656E48" w:rsidR="00D456EE">
        <w:rPr>
          <w:rFonts w:ascii="Arial" w:hAnsi="Arial" w:cs="Arial"/>
        </w:rPr>
        <w:t xml:space="preserve"> assessments of carers, and strong community support. </w:t>
      </w:r>
      <w:r w:rsidRPr="20656E48" w:rsidR="00D456EE">
        <w:rPr>
          <w:rFonts w:ascii="Arial" w:hAnsi="Arial" w:cs="Arial"/>
        </w:rPr>
        <w:t>As long as</w:t>
      </w:r>
      <w:r w:rsidRPr="20656E48" w:rsidR="00D456EE">
        <w:rPr>
          <w:rFonts w:ascii="Arial" w:hAnsi="Arial" w:cs="Arial"/>
        </w:rPr>
        <w:t xml:space="preserve"> there is no long-term investment or political will, the human and financial burden of dementia will continue to increase.</w:t>
      </w:r>
    </w:p>
    <w:p w:rsidRPr="00A63366" w:rsidR="00A730BA" w:rsidP="00A63366" w:rsidRDefault="00A730BA" w14:paraId="16EAAE02" w14:textId="77777777">
      <w:pPr>
        <w:pStyle w:val="Heading1"/>
        <w:numPr>
          <w:ilvl w:val="0"/>
          <w:numId w:val="1"/>
        </w:numPr>
        <w:spacing w:line="360" w:lineRule="auto"/>
        <w:jc w:val="both"/>
        <w:rPr>
          <w:rFonts w:ascii="Arial" w:hAnsi="Arial" w:cs="Arial"/>
          <w:b/>
          <w:sz w:val="22"/>
          <w:szCs w:val="22"/>
        </w:rPr>
      </w:pPr>
      <w:bookmarkStart w:name="_Toc227643251" w:id="7"/>
      <w:r w:rsidRPr="00A63366">
        <w:rPr>
          <w:rFonts w:ascii="Arial" w:hAnsi="Arial" w:cs="Arial"/>
          <w:b/>
          <w:sz w:val="22"/>
          <w:szCs w:val="22"/>
        </w:rPr>
        <w:t>References</w:t>
      </w:r>
      <w:bookmarkEnd w:id="7"/>
    </w:p>
    <w:p w:rsidRPr="00A63366" w:rsidR="00A730BA" w:rsidP="00A63366" w:rsidRDefault="00A730BA" w14:paraId="442234A1"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Alzheimer’s Society (2024). </w:t>
      </w:r>
      <w:r w:rsidRPr="00A63366">
        <w:rPr>
          <w:rFonts w:ascii="Arial" w:hAnsi="Arial" w:cs="Arial"/>
          <w:i/>
          <w:iCs/>
          <w:sz w:val="22"/>
          <w:szCs w:val="22"/>
        </w:rPr>
        <w:t>The economic impact of dementia</w:t>
      </w:r>
      <w:r w:rsidRPr="00A63366">
        <w:rPr>
          <w:rFonts w:ascii="Arial" w:hAnsi="Arial" w:cs="Arial"/>
          <w:sz w:val="22"/>
          <w:szCs w:val="22"/>
        </w:rPr>
        <w:t>. [online] Alzheimer’s Society. Available at: https://www.alzheimers.org.uk/what-we-do/policy-and-influencing/economic-impact-of-dementia.</w:t>
      </w:r>
    </w:p>
    <w:p w:rsidRPr="00A63366" w:rsidR="00A730BA" w:rsidP="00A63366" w:rsidRDefault="00A730BA" w14:paraId="6F49DD47"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Alzheimer's Society (2025). </w:t>
      </w:r>
      <w:r w:rsidRPr="00A63366">
        <w:rPr>
          <w:rFonts w:ascii="Arial" w:hAnsi="Arial" w:cs="Arial"/>
          <w:i/>
          <w:iCs/>
          <w:sz w:val="22"/>
          <w:szCs w:val="22"/>
        </w:rPr>
        <w:t>Dementia statistics</w:t>
      </w:r>
      <w:r w:rsidRPr="00A63366">
        <w:rPr>
          <w:rFonts w:ascii="Arial" w:hAnsi="Arial" w:cs="Arial"/>
          <w:sz w:val="22"/>
          <w:szCs w:val="22"/>
        </w:rPr>
        <w:t>. [online] Alzheimers.org.uk. Available at: https://www.alzheimers.org.uk/.</w:t>
      </w:r>
    </w:p>
    <w:p w:rsidRPr="00A63366" w:rsidR="00A730BA" w:rsidP="00A63366" w:rsidRDefault="00A730BA" w14:paraId="7FBACFFF" w14:textId="77777777">
      <w:pPr>
        <w:pStyle w:val="NormalWeb"/>
        <w:spacing w:before="0" w:beforeAutospacing="0" w:after="240" w:afterAutospacing="0" w:line="360" w:lineRule="auto"/>
        <w:jc w:val="both"/>
        <w:rPr>
          <w:rFonts w:ascii="Arial" w:hAnsi="Arial" w:cs="Arial"/>
          <w:sz w:val="22"/>
          <w:szCs w:val="22"/>
        </w:rPr>
      </w:pPr>
      <w:proofErr w:type="spellStart"/>
      <w:r w:rsidRPr="00A63366">
        <w:rPr>
          <w:rFonts w:ascii="Arial" w:hAnsi="Arial" w:cs="Arial"/>
          <w:sz w:val="22"/>
          <w:szCs w:val="22"/>
        </w:rPr>
        <w:t>Azevedo</w:t>
      </w:r>
      <w:proofErr w:type="spellEnd"/>
      <w:r w:rsidRPr="00A63366">
        <w:rPr>
          <w:rFonts w:ascii="Arial" w:hAnsi="Arial" w:cs="Arial"/>
          <w:sz w:val="22"/>
          <w:szCs w:val="22"/>
        </w:rPr>
        <w:t xml:space="preserve">, L.V. dos S., </w:t>
      </w:r>
      <w:proofErr w:type="spellStart"/>
      <w:r w:rsidRPr="00A63366">
        <w:rPr>
          <w:rFonts w:ascii="Arial" w:hAnsi="Arial" w:cs="Arial"/>
          <w:sz w:val="22"/>
          <w:szCs w:val="22"/>
        </w:rPr>
        <w:t>Calandri</w:t>
      </w:r>
      <w:proofErr w:type="spellEnd"/>
      <w:r w:rsidRPr="00A63366">
        <w:rPr>
          <w:rFonts w:ascii="Arial" w:hAnsi="Arial" w:cs="Arial"/>
          <w:sz w:val="22"/>
          <w:szCs w:val="22"/>
        </w:rPr>
        <w:t xml:space="preserve">, I.L., </w:t>
      </w:r>
      <w:proofErr w:type="spellStart"/>
      <w:r w:rsidRPr="00A63366">
        <w:rPr>
          <w:rFonts w:ascii="Arial" w:hAnsi="Arial" w:cs="Arial"/>
          <w:sz w:val="22"/>
          <w:szCs w:val="22"/>
        </w:rPr>
        <w:t>Slachevsky</w:t>
      </w:r>
      <w:proofErr w:type="spellEnd"/>
      <w:r w:rsidRPr="00A63366">
        <w:rPr>
          <w:rFonts w:ascii="Arial" w:hAnsi="Arial" w:cs="Arial"/>
          <w:sz w:val="22"/>
          <w:szCs w:val="22"/>
        </w:rPr>
        <w:t xml:space="preserve">, A., </w:t>
      </w:r>
      <w:proofErr w:type="spellStart"/>
      <w:r w:rsidRPr="00A63366">
        <w:rPr>
          <w:rFonts w:ascii="Arial" w:hAnsi="Arial" w:cs="Arial"/>
          <w:sz w:val="22"/>
          <w:szCs w:val="22"/>
        </w:rPr>
        <w:t>Graviotto</w:t>
      </w:r>
      <w:proofErr w:type="spellEnd"/>
      <w:r w:rsidRPr="00A63366">
        <w:rPr>
          <w:rFonts w:ascii="Arial" w:hAnsi="Arial" w:cs="Arial"/>
          <w:sz w:val="22"/>
          <w:szCs w:val="22"/>
        </w:rPr>
        <w:t xml:space="preserve">, H.G., Vieira, M.C.S., Andrade, C.B. de, Rossetti, A.P., </w:t>
      </w:r>
      <w:proofErr w:type="spellStart"/>
      <w:r w:rsidRPr="00A63366">
        <w:rPr>
          <w:rFonts w:ascii="Arial" w:hAnsi="Arial" w:cs="Arial"/>
          <w:sz w:val="22"/>
          <w:szCs w:val="22"/>
        </w:rPr>
        <w:t>Generoso</w:t>
      </w:r>
      <w:proofErr w:type="spellEnd"/>
      <w:r w:rsidRPr="00A63366">
        <w:rPr>
          <w:rFonts w:ascii="Arial" w:hAnsi="Arial" w:cs="Arial"/>
          <w:sz w:val="22"/>
          <w:szCs w:val="22"/>
        </w:rPr>
        <w:t xml:space="preserve">, A.B., </w:t>
      </w:r>
      <w:proofErr w:type="spellStart"/>
      <w:r w:rsidRPr="00A63366">
        <w:rPr>
          <w:rFonts w:ascii="Arial" w:hAnsi="Arial" w:cs="Arial"/>
          <w:sz w:val="22"/>
          <w:szCs w:val="22"/>
        </w:rPr>
        <w:t>Carmona</w:t>
      </w:r>
      <w:proofErr w:type="spellEnd"/>
      <w:r w:rsidRPr="00A63366">
        <w:rPr>
          <w:rFonts w:ascii="Arial" w:hAnsi="Arial" w:cs="Arial"/>
          <w:sz w:val="22"/>
          <w:szCs w:val="22"/>
        </w:rPr>
        <w:t xml:space="preserve">, K.C., Pinto, L.A.C., </w:t>
      </w:r>
      <w:proofErr w:type="spellStart"/>
      <w:r w:rsidRPr="00A63366">
        <w:rPr>
          <w:rFonts w:ascii="Arial" w:hAnsi="Arial" w:cs="Arial"/>
          <w:sz w:val="22"/>
          <w:szCs w:val="22"/>
        </w:rPr>
        <w:t>Sorbara</w:t>
      </w:r>
      <w:proofErr w:type="spellEnd"/>
      <w:r w:rsidRPr="00A63366">
        <w:rPr>
          <w:rFonts w:ascii="Arial" w:hAnsi="Arial" w:cs="Arial"/>
          <w:sz w:val="22"/>
          <w:szCs w:val="22"/>
        </w:rPr>
        <w:t xml:space="preserve">, M., Pinto, A., </w:t>
      </w:r>
      <w:proofErr w:type="spellStart"/>
      <w:r w:rsidRPr="00A63366">
        <w:rPr>
          <w:rFonts w:ascii="Arial" w:hAnsi="Arial" w:cs="Arial"/>
          <w:sz w:val="22"/>
          <w:szCs w:val="22"/>
        </w:rPr>
        <w:t>Guajardo</w:t>
      </w:r>
      <w:proofErr w:type="spellEnd"/>
      <w:r w:rsidRPr="00A63366">
        <w:rPr>
          <w:rFonts w:ascii="Arial" w:hAnsi="Arial" w:cs="Arial"/>
          <w:sz w:val="22"/>
          <w:szCs w:val="22"/>
        </w:rPr>
        <w:t xml:space="preserve">, T., </w:t>
      </w:r>
      <w:proofErr w:type="spellStart"/>
      <w:r w:rsidRPr="00A63366">
        <w:rPr>
          <w:rFonts w:ascii="Arial" w:hAnsi="Arial" w:cs="Arial"/>
          <w:sz w:val="22"/>
          <w:szCs w:val="22"/>
        </w:rPr>
        <w:t>Olavarria</w:t>
      </w:r>
      <w:proofErr w:type="spellEnd"/>
      <w:r w:rsidRPr="00A63366">
        <w:rPr>
          <w:rFonts w:ascii="Arial" w:hAnsi="Arial" w:cs="Arial"/>
          <w:sz w:val="22"/>
          <w:szCs w:val="22"/>
        </w:rPr>
        <w:t xml:space="preserve">, L., </w:t>
      </w:r>
      <w:proofErr w:type="spellStart"/>
      <w:r w:rsidRPr="00A63366">
        <w:rPr>
          <w:rFonts w:ascii="Arial" w:hAnsi="Arial" w:cs="Arial"/>
          <w:sz w:val="22"/>
          <w:szCs w:val="22"/>
        </w:rPr>
        <w:t>Thumala</w:t>
      </w:r>
      <w:proofErr w:type="spellEnd"/>
      <w:r w:rsidRPr="00A63366">
        <w:rPr>
          <w:rFonts w:ascii="Arial" w:hAnsi="Arial" w:cs="Arial"/>
          <w:sz w:val="22"/>
          <w:szCs w:val="22"/>
        </w:rPr>
        <w:t xml:space="preserve">, D., </w:t>
      </w:r>
      <w:proofErr w:type="spellStart"/>
      <w:r w:rsidRPr="00A63366">
        <w:rPr>
          <w:rFonts w:ascii="Arial" w:hAnsi="Arial" w:cs="Arial"/>
          <w:sz w:val="22"/>
          <w:szCs w:val="22"/>
        </w:rPr>
        <w:t>Crivelli</w:t>
      </w:r>
      <w:proofErr w:type="spellEnd"/>
      <w:r w:rsidRPr="00A63366">
        <w:rPr>
          <w:rFonts w:ascii="Arial" w:hAnsi="Arial" w:cs="Arial"/>
          <w:sz w:val="22"/>
          <w:szCs w:val="22"/>
        </w:rPr>
        <w:t xml:space="preserve">, L., Vivas, L., </w:t>
      </w:r>
      <w:proofErr w:type="spellStart"/>
      <w:r w:rsidRPr="00A63366">
        <w:rPr>
          <w:rFonts w:ascii="Arial" w:hAnsi="Arial" w:cs="Arial"/>
          <w:sz w:val="22"/>
          <w:szCs w:val="22"/>
        </w:rPr>
        <w:t>Allegri</w:t>
      </w:r>
      <w:proofErr w:type="spellEnd"/>
      <w:r w:rsidRPr="00A63366">
        <w:rPr>
          <w:rFonts w:ascii="Arial" w:hAnsi="Arial" w:cs="Arial"/>
          <w:sz w:val="22"/>
          <w:szCs w:val="22"/>
        </w:rPr>
        <w:t xml:space="preserve">, R.F., Barbosa, M.T. and Serrano, C.M. (2021). Impact of Social Isolation on People with Dementia and Their Family Caregivers. </w:t>
      </w:r>
      <w:r w:rsidRPr="00A63366">
        <w:rPr>
          <w:rFonts w:ascii="Arial" w:hAnsi="Arial" w:cs="Arial"/>
          <w:i/>
          <w:iCs/>
          <w:sz w:val="22"/>
          <w:szCs w:val="22"/>
        </w:rPr>
        <w:t>Journal of Alzheimer’s Disease</w:t>
      </w:r>
      <w:r w:rsidRPr="00A63366">
        <w:rPr>
          <w:rFonts w:ascii="Arial" w:hAnsi="Arial" w:cs="Arial"/>
          <w:sz w:val="22"/>
          <w:szCs w:val="22"/>
        </w:rPr>
        <w:t xml:space="preserve">, Preprint(Preprint), pp.1–11. </w:t>
      </w:r>
      <w:proofErr w:type="spellStart"/>
      <w:r w:rsidRPr="00A63366">
        <w:rPr>
          <w:rFonts w:ascii="Arial" w:hAnsi="Arial" w:cs="Arial"/>
          <w:sz w:val="22"/>
          <w:szCs w:val="22"/>
        </w:rPr>
        <w:t>doi:https</w:t>
      </w:r>
      <w:proofErr w:type="spellEnd"/>
      <w:r w:rsidRPr="00A63366">
        <w:rPr>
          <w:rFonts w:ascii="Arial" w:hAnsi="Arial" w:cs="Arial"/>
          <w:sz w:val="22"/>
          <w:szCs w:val="22"/>
        </w:rPr>
        <w:t>://doi.org/10.3233/JAD-201580.</w:t>
      </w:r>
    </w:p>
    <w:p w:rsidRPr="00A63366" w:rsidR="00A730BA" w:rsidP="00A63366" w:rsidRDefault="00A730BA" w14:paraId="3CCA565C" w14:textId="77777777">
      <w:pPr>
        <w:pStyle w:val="NormalWeb"/>
        <w:spacing w:before="0" w:beforeAutospacing="0" w:after="240" w:afterAutospacing="0" w:line="360" w:lineRule="auto"/>
        <w:jc w:val="both"/>
        <w:rPr>
          <w:rFonts w:ascii="Arial" w:hAnsi="Arial" w:cs="Arial"/>
          <w:sz w:val="22"/>
          <w:szCs w:val="22"/>
        </w:rPr>
      </w:pPr>
      <w:proofErr w:type="spellStart"/>
      <w:r w:rsidRPr="00A63366">
        <w:rPr>
          <w:rFonts w:ascii="Arial" w:hAnsi="Arial" w:cs="Arial"/>
          <w:sz w:val="22"/>
          <w:szCs w:val="22"/>
        </w:rPr>
        <w:t>Baillieston</w:t>
      </w:r>
      <w:proofErr w:type="spellEnd"/>
      <w:r w:rsidRPr="00A63366">
        <w:rPr>
          <w:rFonts w:ascii="Arial" w:hAnsi="Arial" w:cs="Arial"/>
          <w:sz w:val="22"/>
          <w:szCs w:val="22"/>
        </w:rPr>
        <w:t xml:space="preserve"> Community Care (2025). </w:t>
      </w:r>
      <w:r w:rsidRPr="00A63366">
        <w:rPr>
          <w:rFonts w:ascii="Arial" w:hAnsi="Arial" w:cs="Arial"/>
          <w:i/>
          <w:iCs/>
          <w:sz w:val="22"/>
          <w:szCs w:val="22"/>
        </w:rPr>
        <w:t>Specialist dementia care services: Models and outcomes.</w:t>
      </w:r>
      <w:r w:rsidRPr="00A63366">
        <w:rPr>
          <w:rFonts w:ascii="Arial" w:hAnsi="Arial" w:cs="Arial"/>
          <w:sz w:val="22"/>
          <w:szCs w:val="22"/>
        </w:rPr>
        <w:t xml:space="preserve"> [online] Available at: https://bailliestoncommunitycare.co.uk/.</w:t>
      </w:r>
    </w:p>
    <w:p w:rsidRPr="00A63366" w:rsidR="00A730BA" w:rsidP="00A63366" w:rsidRDefault="00A730BA" w14:paraId="395FD07A" w14:textId="77777777">
      <w:pPr>
        <w:pStyle w:val="NormalWeb"/>
        <w:spacing w:before="0" w:beforeAutospacing="0" w:after="240" w:afterAutospacing="0" w:line="360" w:lineRule="auto"/>
        <w:jc w:val="both"/>
        <w:rPr>
          <w:rFonts w:ascii="Arial" w:hAnsi="Arial" w:cs="Arial"/>
          <w:sz w:val="22"/>
          <w:szCs w:val="22"/>
        </w:rPr>
      </w:pPr>
      <w:proofErr w:type="spellStart"/>
      <w:r w:rsidRPr="00A63366">
        <w:rPr>
          <w:rFonts w:ascii="Arial" w:hAnsi="Arial" w:cs="Arial"/>
          <w:sz w:val="22"/>
          <w:szCs w:val="22"/>
        </w:rPr>
        <w:t>Burnand</w:t>
      </w:r>
      <w:proofErr w:type="spellEnd"/>
      <w:r w:rsidRPr="00A63366">
        <w:rPr>
          <w:rFonts w:ascii="Arial" w:hAnsi="Arial" w:cs="Arial"/>
          <w:sz w:val="22"/>
          <w:szCs w:val="22"/>
        </w:rPr>
        <w:t xml:space="preserve">, A., Woodward, A., Vladimir </w:t>
      </w:r>
      <w:proofErr w:type="spellStart"/>
      <w:r w:rsidRPr="00A63366">
        <w:rPr>
          <w:rFonts w:ascii="Arial" w:hAnsi="Arial" w:cs="Arial"/>
          <w:sz w:val="22"/>
          <w:szCs w:val="22"/>
        </w:rPr>
        <w:t>Kolodin</w:t>
      </w:r>
      <w:proofErr w:type="spellEnd"/>
      <w:r w:rsidRPr="00A63366">
        <w:rPr>
          <w:rFonts w:ascii="Arial" w:hAnsi="Arial" w:cs="Arial"/>
          <w:sz w:val="22"/>
          <w:szCs w:val="22"/>
        </w:rPr>
        <w:t xml:space="preserve">, </w:t>
      </w:r>
      <w:proofErr w:type="spellStart"/>
      <w:r w:rsidRPr="00A63366">
        <w:rPr>
          <w:rFonts w:ascii="Arial" w:hAnsi="Arial" w:cs="Arial"/>
          <w:sz w:val="22"/>
          <w:szCs w:val="22"/>
        </w:rPr>
        <w:t>Manthorpe</w:t>
      </w:r>
      <w:proofErr w:type="spellEnd"/>
      <w:r w:rsidRPr="00A63366">
        <w:rPr>
          <w:rFonts w:ascii="Arial" w:hAnsi="Arial" w:cs="Arial"/>
          <w:sz w:val="22"/>
          <w:szCs w:val="22"/>
        </w:rPr>
        <w:t xml:space="preserve">, J., </w:t>
      </w:r>
      <w:proofErr w:type="spellStart"/>
      <w:r w:rsidRPr="00A63366">
        <w:rPr>
          <w:rFonts w:ascii="Arial" w:hAnsi="Arial" w:cs="Arial"/>
          <w:sz w:val="22"/>
          <w:szCs w:val="22"/>
        </w:rPr>
        <w:t>Jani</w:t>
      </w:r>
      <w:proofErr w:type="spellEnd"/>
      <w:r w:rsidRPr="00A63366">
        <w:rPr>
          <w:rFonts w:ascii="Arial" w:hAnsi="Arial" w:cs="Arial"/>
          <w:sz w:val="22"/>
          <w:szCs w:val="22"/>
        </w:rPr>
        <w:t xml:space="preserve">, Y., Mine </w:t>
      </w:r>
      <w:proofErr w:type="spellStart"/>
      <w:r w:rsidRPr="00A63366">
        <w:rPr>
          <w:rFonts w:ascii="Arial" w:hAnsi="Arial" w:cs="Arial"/>
          <w:sz w:val="22"/>
          <w:szCs w:val="22"/>
        </w:rPr>
        <w:t>Orlu</w:t>
      </w:r>
      <w:proofErr w:type="spellEnd"/>
      <w:r w:rsidRPr="00A63366">
        <w:rPr>
          <w:rFonts w:ascii="Arial" w:hAnsi="Arial" w:cs="Arial"/>
          <w:sz w:val="22"/>
          <w:szCs w:val="22"/>
        </w:rPr>
        <w:t xml:space="preserve">, </w:t>
      </w:r>
      <w:proofErr w:type="spellStart"/>
      <w:r w:rsidRPr="00A63366">
        <w:rPr>
          <w:rFonts w:ascii="Arial" w:hAnsi="Arial" w:cs="Arial"/>
          <w:sz w:val="22"/>
          <w:szCs w:val="22"/>
        </w:rPr>
        <w:t>Cini</w:t>
      </w:r>
      <w:proofErr w:type="spellEnd"/>
      <w:r w:rsidRPr="00A63366">
        <w:rPr>
          <w:rFonts w:ascii="Arial" w:hAnsi="Arial" w:cs="Arial"/>
          <w:sz w:val="22"/>
          <w:szCs w:val="22"/>
        </w:rPr>
        <w:t xml:space="preserve"> </w:t>
      </w:r>
      <w:proofErr w:type="spellStart"/>
      <w:r w:rsidRPr="00A63366">
        <w:rPr>
          <w:rFonts w:ascii="Arial" w:hAnsi="Arial" w:cs="Arial"/>
          <w:sz w:val="22"/>
          <w:szCs w:val="22"/>
        </w:rPr>
        <w:t>Bhanu</w:t>
      </w:r>
      <w:proofErr w:type="spellEnd"/>
      <w:r w:rsidRPr="00A63366">
        <w:rPr>
          <w:rFonts w:ascii="Arial" w:hAnsi="Arial" w:cs="Arial"/>
          <w:sz w:val="22"/>
          <w:szCs w:val="22"/>
        </w:rPr>
        <w:t xml:space="preserve">, </w:t>
      </w:r>
      <w:proofErr w:type="spellStart"/>
      <w:r w:rsidRPr="00A63366">
        <w:rPr>
          <w:rFonts w:ascii="Arial" w:hAnsi="Arial" w:cs="Arial"/>
          <w:sz w:val="22"/>
          <w:szCs w:val="22"/>
        </w:rPr>
        <w:t>Kritika</w:t>
      </w:r>
      <w:proofErr w:type="spellEnd"/>
      <w:r w:rsidRPr="00A63366">
        <w:rPr>
          <w:rFonts w:ascii="Arial" w:hAnsi="Arial" w:cs="Arial"/>
          <w:sz w:val="22"/>
          <w:szCs w:val="22"/>
        </w:rPr>
        <w:t xml:space="preserve"> </w:t>
      </w:r>
      <w:proofErr w:type="spellStart"/>
      <w:r w:rsidRPr="00A63366">
        <w:rPr>
          <w:rFonts w:ascii="Arial" w:hAnsi="Arial" w:cs="Arial"/>
          <w:sz w:val="22"/>
          <w:szCs w:val="22"/>
        </w:rPr>
        <w:t>Samsi</w:t>
      </w:r>
      <w:proofErr w:type="spellEnd"/>
      <w:r w:rsidRPr="00A63366">
        <w:rPr>
          <w:rFonts w:ascii="Arial" w:hAnsi="Arial" w:cs="Arial"/>
          <w:sz w:val="22"/>
          <w:szCs w:val="22"/>
        </w:rPr>
        <w:t xml:space="preserve">, </w:t>
      </w:r>
      <w:proofErr w:type="spellStart"/>
      <w:r w:rsidRPr="00A63366">
        <w:rPr>
          <w:rFonts w:ascii="Arial" w:hAnsi="Arial" w:cs="Arial"/>
          <w:sz w:val="22"/>
          <w:szCs w:val="22"/>
        </w:rPr>
        <w:t>Vickerstaff</w:t>
      </w:r>
      <w:proofErr w:type="spellEnd"/>
      <w:r w:rsidRPr="00A63366">
        <w:rPr>
          <w:rFonts w:ascii="Arial" w:hAnsi="Arial" w:cs="Arial"/>
          <w:sz w:val="22"/>
          <w:szCs w:val="22"/>
        </w:rPr>
        <w:t xml:space="preserve">, V., </w:t>
      </w:r>
      <w:proofErr w:type="spellStart"/>
      <w:r w:rsidRPr="00A63366">
        <w:rPr>
          <w:rFonts w:ascii="Arial" w:hAnsi="Arial" w:cs="Arial"/>
          <w:sz w:val="22"/>
          <w:szCs w:val="22"/>
        </w:rPr>
        <w:t>Wilcock</w:t>
      </w:r>
      <w:proofErr w:type="spellEnd"/>
      <w:r w:rsidRPr="00A63366">
        <w:rPr>
          <w:rFonts w:ascii="Arial" w:hAnsi="Arial" w:cs="Arial"/>
          <w:sz w:val="22"/>
          <w:szCs w:val="22"/>
        </w:rPr>
        <w:t xml:space="preserve">, J., Ward, J., </w:t>
      </w:r>
      <w:proofErr w:type="spellStart"/>
      <w:r w:rsidRPr="00A63366">
        <w:rPr>
          <w:rFonts w:ascii="Arial" w:hAnsi="Arial" w:cs="Arial"/>
          <w:sz w:val="22"/>
          <w:szCs w:val="22"/>
        </w:rPr>
        <w:t>Rait</w:t>
      </w:r>
      <w:proofErr w:type="spellEnd"/>
      <w:r w:rsidRPr="00A63366">
        <w:rPr>
          <w:rFonts w:ascii="Arial" w:hAnsi="Arial" w:cs="Arial"/>
          <w:sz w:val="22"/>
          <w:szCs w:val="22"/>
        </w:rPr>
        <w:t xml:space="preserve">, G. and Davies, N. (2025). Service delivery and the role of clinical pharmacists in UK primary care for older people, including people with dementia: a scoping review. </w:t>
      </w:r>
      <w:r w:rsidRPr="00A63366">
        <w:rPr>
          <w:rFonts w:ascii="Arial" w:hAnsi="Arial" w:cs="Arial"/>
          <w:i/>
          <w:iCs/>
          <w:sz w:val="22"/>
          <w:szCs w:val="22"/>
        </w:rPr>
        <w:t>BMC Primary Care</w:t>
      </w:r>
      <w:r w:rsidRPr="00A63366">
        <w:rPr>
          <w:rFonts w:ascii="Arial" w:hAnsi="Arial" w:cs="Arial"/>
          <w:sz w:val="22"/>
          <w:szCs w:val="22"/>
        </w:rPr>
        <w:t xml:space="preserve">, 26(1). </w:t>
      </w:r>
      <w:proofErr w:type="spellStart"/>
      <w:r w:rsidRPr="00A63366">
        <w:rPr>
          <w:rFonts w:ascii="Arial" w:hAnsi="Arial" w:cs="Arial"/>
          <w:sz w:val="22"/>
          <w:szCs w:val="22"/>
        </w:rPr>
        <w:t>doi:https</w:t>
      </w:r>
      <w:proofErr w:type="spellEnd"/>
      <w:r w:rsidRPr="00A63366">
        <w:rPr>
          <w:rFonts w:ascii="Arial" w:hAnsi="Arial" w:cs="Arial"/>
          <w:sz w:val="22"/>
          <w:szCs w:val="22"/>
        </w:rPr>
        <w:t>://doi.org/10.1186/s12875-024-02685-x.</w:t>
      </w:r>
    </w:p>
    <w:p w:rsidRPr="00A63366" w:rsidR="00A730BA" w:rsidP="00A63366" w:rsidRDefault="00A730BA" w14:paraId="2BCDB5FB"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Chen, Y., </w:t>
      </w:r>
      <w:proofErr w:type="spellStart"/>
      <w:r w:rsidRPr="00A63366">
        <w:rPr>
          <w:rFonts w:ascii="Arial" w:hAnsi="Arial" w:cs="Arial"/>
          <w:sz w:val="22"/>
          <w:szCs w:val="22"/>
        </w:rPr>
        <w:t>Bandosz</w:t>
      </w:r>
      <w:proofErr w:type="spellEnd"/>
      <w:r w:rsidRPr="00A63366">
        <w:rPr>
          <w:rFonts w:ascii="Arial" w:hAnsi="Arial" w:cs="Arial"/>
          <w:sz w:val="22"/>
          <w:szCs w:val="22"/>
        </w:rPr>
        <w:t xml:space="preserve">, P., </w:t>
      </w:r>
      <w:proofErr w:type="spellStart"/>
      <w:r w:rsidRPr="00A63366">
        <w:rPr>
          <w:rFonts w:ascii="Arial" w:hAnsi="Arial" w:cs="Arial"/>
          <w:sz w:val="22"/>
          <w:szCs w:val="22"/>
        </w:rPr>
        <w:t>Stoye</w:t>
      </w:r>
      <w:proofErr w:type="spellEnd"/>
      <w:r w:rsidRPr="00A63366">
        <w:rPr>
          <w:rFonts w:ascii="Arial" w:hAnsi="Arial" w:cs="Arial"/>
          <w:sz w:val="22"/>
          <w:szCs w:val="22"/>
        </w:rPr>
        <w:t xml:space="preserve">, G., Liu, Y., Wu, Y., </w:t>
      </w:r>
      <w:proofErr w:type="spellStart"/>
      <w:r w:rsidRPr="00A63366">
        <w:rPr>
          <w:rFonts w:ascii="Arial" w:hAnsi="Arial" w:cs="Arial"/>
          <w:sz w:val="22"/>
          <w:szCs w:val="22"/>
        </w:rPr>
        <w:t>Lobanov-Rostovsky</w:t>
      </w:r>
      <w:proofErr w:type="spellEnd"/>
      <w:r w:rsidRPr="00A63366">
        <w:rPr>
          <w:rFonts w:ascii="Arial" w:hAnsi="Arial" w:cs="Arial"/>
          <w:sz w:val="22"/>
          <w:szCs w:val="22"/>
        </w:rPr>
        <w:t xml:space="preserve">, S., French, E., </w:t>
      </w:r>
      <w:proofErr w:type="spellStart"/>
      <w:r w:rsidRPr="00A63366">
        <w:rPr>
          <w:rFonts w:ascii="Arial" w:hAnsi="Arial" w:cs="Arial"/>
          <w:sz w:val="22"/>
          <w:szCs w:val="22"/>
        </w:rPr>
        <w:t>Kivimäki</w:t>
      </w:r>
      <w:proofErr w:type="spellEnd"/>
      <w:r w:rsidRPr="00A63366">
        <w:rPr>
          <w:rFonts w:ascii="Arial" w:hAnsi="Arial" w:cs="Arial"/>
          <w:sz w:val="22"/>
          <w:szCs w:val="22"/>
        </w:rPr>
        <w:t xml:space="preserve">, M., Livingston, G., Liao, J. and Brunner, E.J. (2023). Dementia incidence trend in England and Wales, 2002-19, and projection for dementia burden to 2040: analysis of data from the English Longitudinal Study of </w:t>
      </w:r>
      <w:proofErr w:type="spellStart"/>
      <w:r w:rsidRPr="00A63366">
        <w:rPr>
          <w:rFonts w:ascii="Arial" w:hAnsi="Arial" w:cs="Arial"/>
          <w:sz w:val="22"/>
          <w:szCs w:val="22"/>
        </w:rPr>
        <w:t>Ageing</w:t>
      </w:r>
      <w:proofErr w:type="spellEnd"/>
      <w:r w:rsidRPr="00A63366">
        <w:rPr>
          <w:rFonts w:ascii="Arial" w:hAnsi="Arial" w:cs="Arial"/>
          <w:sz w:val="22"/>
          <w:szCs w:val="22"/>
        </w:rPr>
        <w:t xml:space="preserve">. </w:t>
      </w:r>
      <w:r w:rsidRPr="00A63366">
        <w:rPr>
          <w:rFonts w:ascii="Arial" w:hAnsi="Arial" w:cs="Arial"/>
          <w:i/>
          <w:iCs/>
          <w:sz w:val="22"/>
          <w:szCs w:val="22"/>
        </w:rPr>
        <w:t>PubMed</w:t>
      </w:r>
      <w:r w:rsidRPr="00A63366">
        <w:rPr>
          <w:rFonts w:ascii="Arial" w:hAnsi="Arial" w:cs="Arial"/>
          <w:sz w:val="22"/>
          <w:szCs w:val="22"/>
        </w:rPr>
        <w:t xml:space="preserve">, 8(11), </w:t>
      </w:r>
      <w:proofErr w:type="spellStart"/>
      <w:r w:rsidRPr="00A63366">
        <w:rPr>
          <w:rFonts w:ascii="Arial" w:hAnsi="Arial" w:cs="Arial"/>
          <w:sz w:val="22"/>
          <w:szCs w:val="22"/>
        </w:rPr>
        <w:t>pp.e859</w:t>
      </w:r>
      <w:proofErr w:type="spellEnd"/>
      <w:r w:rsidRPr="00A63366">
        <w:rPr>
          <w:rFonts w:ascii="Arial" w:hAnsi="Arial" w:cs="Arial"/>
          <w:sz w:val="22"/>
          <w:szCs w:val="22"/>
        </w:rPr>
        <w:t xml:space="preserve">–e867. </w:t>
      </w:r>
      <w:proofErr w:type="spellStart"/>
      <w:r w:rsidRPr="00A63366">
        <w:rPr>
          <w:rFonts w:ascii="Arial" w:hAnsi="Arial" w:cs="Arial"/>
          <w:sz w:val="22"/>
          <w:szCs w:val="22"/>
        </w:rPr>
        <w:t>doi:https</w:t>
      </w:r>
      <w:proofErr w:type="spellEnd"/>
      <w:r w:rsidRPr="00A63366">
        <w:rPr>
          <w:rFonts w:ascii="Arial" w:hAnsi="Arial" w:cs="Arial"/>
          <w:sz w:val="22"/>
          <w:szCs w:val="22"/>
        </w:rPr>
        <w:t>://doi.org/10.1016/s2468-2667(23)00214-1.</w:t>
      </w:r>
    </w:p>
    <w:p w:rsidRPr="00A63366" w:rsidR="00A730BA" w:rsidP="00A63366" w:rsidRDefault="00A730BA" w14:paraId="0DCB39F9"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CQC (2025). </w:t>
      </w:r>
      <w:r w:rsidRPr="00A63366">
        <w:rPr>
          <w:rFonts w:ascii="Arial" w:hAnsi="Arial" w:cs="Arial"/>
          <w:i/>
          <w:iCs/>
          <w:sz w:val="22"/>
          <w:szCs w:val="22"/>
        </w:rPr>
        <w:t>Health and social care support for people with dementia - Care Quality Commission</w:t>
      </w:r>
      <w:r w:rsidRPr="00A63366">
        <w:rPr>
          <w:rFonts w:ascii="Arial" w:hAnsi="Arial" w:cs="Arial"/>
          <w:sz w:val="22"/>
          <w:szCs w:val="22"/>
        </w:rPr>
        <w:t>. [online] Cqc.org.uk. Available at: https://www.cqc.org.uk/publications/health-and-social-care-support-dementia.</w:t>
      </w:r>
    </w:p>
    <w:p w:rsidRPr="00A63366" w:rsidR="00A730BA" w:rsidP="00A63366" w:rsidRDefault="00A730BA" w14:paraId="487BCC7D" w14:textId="77777777">
      <w:pPr>
        <w:pStyle w:val="NormalWeb"/>
        <w:spacing w:before="0" w:beforeAutospacing="0" w:after="240" w:afterAutospacing="0" w:line="360" w:lineRule="auto"/>
        <w:jc w:val="both"/>
        <w:rPr>
          <w:rFonts w:ascii="Arial" w:hAnsi="Arial" w:cs="Arial"/>
          <w:sz w:val="22"/>
          <w:szCs w:val="22"/>
        </w:rPr>
      </w:pPr>
      <w:proofErr w:type="spellStart"/>
      <w:r w:rsidRPr="00A63366">
        <w:rPr>
          <w:rFonts w:ascii="Arial" w:hAnsi="Arial" w:cs="Arial"/>
          <w:sz w:val="22"/>
          <w:szCs w:val="22"/>
        </w:rPr>
        <w:t>Haake</w:t>
      </w:r>
      <w:proofErr w:type="spellEnd"/>
      <w:r w:rsidRPr="00A63366">
        <w:rPr>
          <w:rFonts w:ascii="Arial" w:hAnsi="Arial" w:cs="Arial"/>
          <w:sz w:val="22"/>
          <w:szCs w:val="22"/>
        </w:rPr>
        <w:t xml:space="preserve">, A., Nguyen, K., Friedman, L., </w:t>
      </w:r>
      <w:proofErr w:type="spellStart"/>
      <w:r w:rsidRPr="00A63366">
        <w:rPr>
          <w:rFonts w:ascii="Arial" w:hAnsi="Arial" w:cs="Arial"/>
          <w:sz w:val="22"/>
          <w:szCs w:val="22"/>
        </w:rPr>
        <w:t>Chakkamparambil</w:t>
      </w:r>
      <w:proofErr w:type="spellEnd"/>
      <w:r w:rsidRPr="00A63366">
        <w:rPr>
          <w:rFonts w:ascii="Arial" w:hAnsi="Arial" w:cs="Arial"/>
          <w:sz w:val="22"/>
          <w:szCs w:val="22"/>
        </w:rPr>
        <w:t xml:space="preserve">, B. and </w:t>
      </w:r>
      <w:proofErr w:type="spellStart"/>
      <w:r w:rsidRPr="00A63366">
        <w:rPr>
          <w:rFonts w:ascii="Arial" w:hAnsi="Arial" w:cs="Arial"/>
          <w:sz w:val="22"/>
          <w:szCs w:val="22"/>
        </w:rPr>
        <w:t>Grossberg</w:t>
      </w:r>
      <w:proofErr w:type="spellEnd"/>
      <w:r w:rsidRPr="00A63366">
        <w:rPr>
          <w:rFonts w:ascii="Arial" w:hAnsi="Arial" w:cs="Arial"/>
          <w:sz w:val="22"/>
          <w:szCs w:val="22"/>
        </w:rPr>
        <w:t xml:space="preserve">, G.T. (2020). An update on the utility and safety of cholinesterase inhibitors for the treatment of Alzheimer’s disease. </w:t>
      </w:r>
      <w:r w:rsidRPr="00A63366">
        <w:rPr>
          <w:rFonts w:ascii="Arial" w:hAnsi="Arial" w:cs="Arial"/>
          <w:i/>
          <w:iCs/>
          <w:sz w:val="22"/>
          <w:szCs w:val="22"/>
        </w:rPr>
        <w:t>Expert Opinion on Drug Safety</w:t>
      </w:r>
      <w:r w:rsidRPr="00A63366">
        <w:rPr>
          <w:rFonts w:ascii="Arial" w:hAnsi="Arial" w:cs="Arial"/>
          <w:sz w:val="22"/>
          <w:szCs w:val="22"/>
        </w:rPr>
        <w:t xml:space="preserve">, 19(2), pp.147–157. </w:t>
      </w:r>
      <w:proofErr w:type="spellStart"/>
      <w:r w:rsidRPr="00A63366">
        <w:rPr>
          <w:rFonts w:ascii="Arial" w:hAnsi="Arial" w:cs="Arial"/>
          <w:sz w:val="22"/>
          <w:szCs w:val="22"/>
        </w:rPr>
        <w:t>doi:https</w:t>
      </w:r>
      <w:proofErr w:type="spellEnd"/>
      <w:r w:rsidRPr="00A63366">
        <w:rPr>
          <w:rFonts w:ascii="Arial" w:hAnsi="Arial" w:cs="Arial"/>
          <w:sz w:val="22"/>
          <w:szCs w:val="22"/>
        </w:rPr>
        <w:t>://doi.org/10.1080/14740338.2020.1721456.</w:t>
      </w:r>
    </w:p>
    <w:p w:rsidRPr="00A63366" w:rsidR="00A730BA" w:rsidP="00A63366" w:rsidRDefault="00A730BA" w14:paraId="5060B8BE"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Hazan, J., Liu, K.Y., Isaacs, J.D. and </w:t>
      </w:r>
      <w:proofErr w:type="spellStart"/>
      <w:r w:rsidRPr="00A63366">
        <w:rPr>
          <w:rFonts w:ascii="Arial" w:hAnsi="Arial" w:cs="Arial"/>
          <w:sz w:val="22"/>
          <w:szCs w:val="22"/>
        </w:rPr>
        <w:t>Mukadam</w:t>
      </w:r>
      <w:proofErr w:type="spellEnd"/>
      <w:r w:rsidRPr="00A63366">
        <w:rPr>
          <w:rFonts w:ascii="Arial" w:hAnsi="Arial" w:cs="Arial"/>
          <w:sz w:val="22"/>
          <w:szCs w:val="22"/>
        </w:rPr>
        <w:t xml:space="preserve">, N. (2024). Dementia diagnosis rates and the impact of ethnicity, rurality and deprivation. </w:t>
      </w:r>
      <w:r w:rsidRPr="00A63366">
        <w:rPr>
          <w:rFonts w:ascii="Arial" w:hAnsi="Arial" w:cs="Arial"/>
          <w:i/>
          <w:iCs/>
          <w:sz w:val="22"/>
          <w:szCs w:val="22"/>
        </w:rPr>
        <w:t>Aging &amp; Mental Health</w:t>
      </w:r>
      <w:r w:rsidRPr="00A63366">
        <w:rPr>
          <w:rFonts w:ascii="Arial" w:hAnsi="Arial" w:cs="Arial"/>
          <w:sz w:val="22"/>
          <w:szCs w:val="22"/>
        </w:rPr>
        <w:t xml:space="preserve">, 29(1), pp.1–7. </w:t>
      </w:r>
      <w:proofErr w:type="spellStart"/>
      <w:r w:rsidRPr="00A63366">
        <w:rPr>
          <w:rFonts w:ascii="Arial" w:hAnsi="Arial" w:cs="Arial"/>
          <w:sz w:val="22"/>
          <w:szCs w:val="22"/>
        </w:rPr>
        <w:t>doi:https</w:t>
      </w:r>
      <w:proofErr w:type="spellEnd"/>
      <w:r w:rsidRPr="00A63366">
        <w:rPr>
          <w:rFonts w:ascii="Arial" w:hAnsi="Arial" w:cs="Arial"/>
          <w:sz w:val="22"/>
          <w:szCs w:val="22"/>
        </w:rPr>
        <w:t>://doi.org/10.1080/13607863.2024.2374936.</w:t>
      </w:r>
    </w:p>
    <w:p w:rsidRPr="00A63366" w:rsidR="00A730BA" w:rsidP="00A63366" w:rsidRDefault="00A730BA" w14:paraId="299C28FE"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Holden, E., Stoner, C.R. and Spector, A. (2020). Cognitive stimulation therapy for dementia: Provision in National Health Service settings in England, Scotland and Wales. </w:t>
      </w:r>
      <w:r w:rsidRPr="00A63366">
        <w:rPr>
          <w:rFonts w:ascii="Arial" w:hAnsi="Arial" w:cs="Arial"/>
          <w:i/>
          <w:iCs/>
          <w:sz w:val="22"/>
          <w:szCs w:val="22"/>
        </w:rPr>
        <w:t>Dementia</w:t>
      </w:r>
      <w:r w:rsidRPr="00A63366">
        <w:rPr>
          <w:rFonts w:ascii="Arial" w:hAnsi="Arial" w:cs="Arial"/>
          <w:sz w:val="22"/>
          <w:szCs w:val="22"/>
        </w:rPr>
        <w:t xml:space="preserve">, 20(5), p.147130122095461. </w:t>
      </w:r>
      <w:proofErr w:type="spellStart"/>
      <w:r w:rsidRPr="00A63366">
        <w:rPr>
          <w:rFonts w:ascii="Arial" w:hAnsi="Arial" w:cs="Arial"/>
          <w:sz w:val="22"/>
          <w:szCs w:val="22"/>
        </w:rPr>
        <w:t>doi:https</w:t>
      </w:r>
      <w:proofErr w:type="spellEnd"/>
      <w:r w:rsidRPr="00A63366">
        <w:rPr>
          <w:rFonts w:ascii="Arial" w:hAnsi="Arial" w:cs="Arial"/>
          <w:sz w:val="22"/>
          <w:szCs w:val="22"/>
        </w:rPr>
        <w:t>://doi.org/10.1177/1471301220954611.</w:t>
      </w:r>
    </w:p>
    <w:p w:rsidRPr="00A63366" w:rsidR="00A730BA" w:rsidP="00A63366" w:rsidRDefault="00A730BA" w14:paraId="66DD5530"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Livingston, G., Huntley, J., Liu, K.Y., </w:t>
      </w:r>
      <w:proofErr w:type="spellStart"/>
      <w:r w:rsidRPr="00A63366">
        <w:rPr>
          <w:rFonts w:ascii="Arial" w:hAnsi="Arial" w:cs="Arial"/>
          <w:sz w:val="22"/>
          <w:szCs w:val="22"/>
        </w:rPr>
        <w:t>Costafreda</w:t>
      </w:r>
      <w:proofErr w:type="spellEnd"/>
      <w:r w:rsidRPr="00A63366">
        <w:rPr>
          <w:rFonts w:ascii="Arial" w:hAnsi="Arial" w:cs="Arial"/>
          <w:sz w:val="22"/>
          <w:szCs w:val="22"/>
        </w:rPr>
        <w:t xml:space="preserve">, S.G., </w:t>
      </w:r>
      <w:proofErr w:type="spellStart"/>
      <w:r w:rsidRPr="00A63366">
        <w:rPr>
          <w:rFonts w:ascii="Arial" w:hAnsi="Arial" w:cs="Arial"/>
          <w:sz w:val="22"/>
          <w:szCs w:val="22"/>
        </w:rPr>
        <w:t>Selbæk</w:t>
      </w:r>
      <w:proofErr w:type="spellEnd"/>
      <w:r w:rsidRPr="00A63366">
        <w:rPr>
          <w:rFonts w:ascii="Arial" w:hAnsi="Arial" w:cs="Arial"/>
          <w:sz w:val="22"/>
          <w:szCs w:val="22"/>
        </w:rPr>
        <w:t xml:space="preserve">, G., </w:t>
      </w:r>
      <w:proofErr w:type="spellStart"/>
      <w:r w:rsidRPr="00A63366">
        <w:rPr>
          <w:rFonts w:ascii="Arial" w:hAnsi="Arial" w:cs="Arial"/>
          <w:sz w:val="22"/>
          <w:szCs w:val="22"/>
        </w:rPr>
        <w:t>Alladi</w:t>
      </w:r>
      <w:proofErr w:type="spellEnd"/>
      <w:r w:rsidRPr="00A63366">
        <w:rPr>
          <w:rFonts w:ascii="Arial" w:hAnsi="Arial" w:cs="Arial"/>
          <w:sz w:val="22"/>
          <w:szCs w:val="22"/>
        </w:rPr>
        <w:t xml:space="preserve">, S., Ames, D., Banerjee, S., Burns, A., </w:t>
      </w:r>
      <w:proofErr w:type="spellStart"/>
      <w:r w:rsidRPr="00A63366">
        <w:rPr>
          <w:rFonts w:ascii="Arial" w:hAnsi="Arial" w:cs="Arial"/>
          <w:sz w:val="22"/>
          <w:szCs w:val="22"/>
        </w:rPr>
        <w:t>Brayne</w:t>
      </w:r>
      <w:proofErr w:type="spellEnd"/>
      <w:r w:rsidRPr="00A63366">
        <w:rPr>
          <w:rFonts w:ascii="Arial" w:hAnsi="Arial" w:cs="Arial"/>
          <w:sz w:val="22"/>
          <w:szCs w:val="22"/>
        </w:rPr>
        <w:t xml:space="preserve">, C., Fox, N.C., </w:t>
      </w:r>
      <w:proofErr w:type="spellStart"/>
      <w:r w:rsidRPr="00A63366">
        <w:rPr>
          <w:rFonts w:ascii="Arial" w:hAnsi="Arial" w:cs="Arial"/>
          <w:sz w:val="22"/>
          <w:szCs w:val="22"/>
        </w:rPr>
        <w:t>Ferri</w:t>
      </w:r>
      <w:proofErr w:type="spellEnd"/>
      <w:r w:rsidRPr="00A63366">
        <w:rPr>
          <w:rFonts w:ascii="Arial" w:hAnsi="Arial" w:cs="Arial"/>
          <w:sz w:val="22"/>
          <w:szCs w:val="22"/>
        </w:rPr>
        <w:t xml:space="preserve">, C.P., </w:t>
      </w:r>
      <w:proofErr w:type="spellStart"/>
      <w:r w:rsidRPr="00A63366">
        <w:rPr>
          <w:rFonts w:ascii="Arial" w:hAnsi="Arial" w:cs="Arial"/>
          <w:sz w:val="22"/>
          <w:szCs w:val="22"/>
        </w:rPr>
        <w:t>Gitlin</w:t>
      </w:r>
      <w:proofErr w:type="spellEnd"/>
      <w:r w:rsidRPr="00A63366">
        <w:rPr>
          <w:rFonts w:ascii="Arial" w:hAnsi="Arial" w:cs="Arial"/>
          <w:sz w:val="22"/>
          <w:szCs w:val="22"/>
        </w:rPr>
        <w:t xml:space="preserve">, L.N., Howard, R., Kales, H.C., </w:t>
      </w:r>
      <w:proofErr w:type="spellStart"/>
      <w:r w:rsidRPr="00A63366">
        <w:rPr>
          <w:rFonts w:ascii="Arial" w:hAnsi="Arial" w:cs="Arial"/>
          <w:sz w:val="22"/>
          <w:szCs w:val="22"/>
        </w:rPr>
        <w:t>Kivimäki</w:t>
      </w:r>
      <w:proofErr w:type="spellEnd"/>
      <w:r w:rsidRPr="00A63366">
        <w:rPr>
          <w:rFonts w:ascii="Arial" w:hAnsi="Arial" w:cs="Arial"/>
          <w:sz w:val="22"/>
          <w:szCs w:val="22"/>
        </w:rPr>
        <w:t xml:space="preserve">, M., Larson, E.B., </w:t>
      </w:r>
      <w:proofErr w:type="spellStart"/>
      <w:r w:rsidRPr="00A63366">
        <w:rPr>
          <w:rFonts w:ascii="Arial" w:hAnsi="Arial" w:cs="Arial"/>
          <w:sz w:val="22"/>
          <w:szCs w:val="22"/>
        </w:rPr>
        <w:t>Nakasujja</w:t>
      </w:r>
      <w:proofErr w:type="spellEnd"/>
      <w:r w:rsidRPr="00A63366">
        <w:rPr>
          <w:rFonts w:ascii="Arial" w:hAnsi="Arial" w:cs="Arial"/>
          <w:sz w:val="22"/>
          <w:szCs w:val="22"/>
        </w:rPr>
        <w:t xml:space="preserve">, N., </w:t>
      </w:r>
      <w:proofErr w:type="spellStart"/>
      <w:r w:rsidRPr="00A63366">
        <w:rPr>
          <w:rFonts w:ascii="Arial" w:hAnsi="Arial" w:cs="Arial"/>
          <w:sz w:val="22"/>
          <w:szCs w:val="22"/>
        </w:rPr>
        <w:t>Rockwood</w:t>
      </w:r>
      <w:proofErr w:type="spellEnd"/>
      <w:r w:rsidRPr="00A63366">
        <w:rPr>
          <w:rFonts w:ascii="Arial" w:hAnsi="Arial" w:cs="Arial"/>
          <w:sz w:val="22"/>
          <w:szCs w:val="22"/>
        </w:rPr>
        <w:t xml:space="preserve">, K. and </w:t>
      </w:r>
      <w:proofErr w:type="spellStart"/>
      <w:r w:rsidRPr="00A63366">
        <w:rPr>
          <w:rFonts w:ascii="Arial" w:hAnsi="Arial" w:cs="Arial"/>
          <w:sz w:val="22"/>
          <w:szCs w:val="22"/>
        </w:rPr>
        <w:t>Samus</w:t>
      </w:r>
      <w:proofErr w:type="spellEnd"/>
      <w:r w:rsidRPr="00A63366">
        <w:rPr>
          <w:rFonts w:ascii="Arial" w:hAnsi="Arial" w:cs="Arial"/>
          <w:sz w:val="22"/>
          <w:szCs w:val="22"/>
        </w:rPr>
        <w:t xml:space="preserve">, Q. (2024). Dementia prevention, intervention, and care: 2024 Report of the Lancet Standing Commission. </w:t>
      </w:r>
      <w:r w:rsidRPr="00A63366">
        <w:rPr>
          <w:rFonts w:ascii="Arial" w:hAnsi="Arial" w:cs="Arial"/>
          <w:i/>
          <w:iCs/>
          <w:sz w:val="22"/>
          <w:szCs w:val="22"/>
        </w:rPr>
        <w:t>The Lancet</w:t>
      </w:r>
      <w:r w:rsidRPr="00A63366">
        <w:rPr>
          <w:rFonts w:ascii="Arial" w:hAnsi="Arial" w:cs="Arial"/>
          <w:sz w:val="22"/>
          <w:szCs w:val="22"/>
        </w:rPr>
        <w:t xml:space="preserve">, [online] 404(10452). </w:t>
      </w:r>
      <w:proofErr w:type="spellStart"/>
      <w:r w:rsidRPr="00A63366">
        <w:rPr>
          <w:rFonts w:ascii="Arial" w:hAnsi="Arial" w:cs="Arial"/>
          <w:sz w:val="22"/>
          <w:szCs w:val="22"/>
        </w:rPr>
        <w:t>doi:https</w:t>
      </w:r>
      <w:proofErr w:type="spellEnd"/>
      <w:r w:rsidRPr="00A63366">
        <w:rPr>
          <w:rFonts w:ascii="Arial" w:hAnsi="Arial" w:cs="Arial"/>
          <w:sz w:val="22"/>
          <w:szCs w:val="22"/>
        </w:rPr>
        <w:t>://doi.org/10.1016/s0140-6736(24)01296-0.</w:t>
      </w:r>
    </w:p>
    <w:p w:rsidRPr="00A63366" w:rsidR="00A730BA" w:rsidP="00A63366" w:rsidRDefault="00A730BA" w14:paraId="541A0620" w14:textId="77777777">
      <w:pPr>
        <w:pStyle w:val="NormalWeb"/>
        <w:spacing w:before="0" w:beforeAutospacing="0" w:after="240" w:afterAutospacing="0" w:line="360" w:lineRule="auto"/>
        <w:jc w:val="both"/>
        <w:rPr>
          <w:rFonts w:ascii="Arial" w:hAnsi="Arial" w:cs="Arial"/>
          <w:sz w:val="22"/>
          <w:szCs w:val="22"/>
        </w:rPr>
      </w:pPr>
      <w:proofErr w:type="spellStart"/>
      <w:r w:rsidRPr="00A63366">
        <w:rPr>
          <w:rFonts w:ascii="Arial" w:hAnsi="Arial" w:cs="Arial"/>
          <w:sz w:val="22"/>
          <w:szCs w:val="22"/>
        </w:rPr>
        <w:t>Llibre-Guerra</w:t>
      </w:r>
      <w:proofErr w:type="spellEnd"/>
      <w:r w:rsidRPr="00A63366">
        <w:rPr>
          <w:rFonts w:ascii="Arial" w:hAnsi="Arial" w:cs="Arial"/>
          <w:sz w:val="22"/>
          <w:szCs w:val="22"/>
        </w:rPr>
        <w:t xml:space="preserve">, J.J., </w:t>
      </w:r>
      <w:proofErr w:type="spellStart"/>
      <w:r w:rsidRPr="00A63366">
        <w:rPr>
          <w:rFonts w:ascii="Arial" w:hAnsi="Arial" w:cs="Arial"/>
          <w:sz w:val="22"/>
          <w:szCs w:val="22"/>
        </w:rPr>
        <w:t>Llerena</w:t>
      </w:r>
      <w:proofErr w:type="spellEnd"/>
      <w:r w:rsidRPr="00A63366">
        <w:rPr>
          <w:rFonts w:ascii="Arial" w:hAnsi="Arial" w:cs="Arial"/>
          <w:sz w:val="22"/>
          <w:szCs w:val="22"/>
        </w:rPr>
        <w:t xml:space="preserve">, T.Z., Figueroa, Z.M., </w:t>
      </w:r>
      <w:proofErr w:type="spellStart"/>
      <w:r w:rsidRPr="00A63366">
        <w:rPr>
          <w:rFonts w:ascii="Arial" w:hAnsi="Arial" w:cs="Arial"/>
          <w:sz w:val="22"/>
          <w:szCs w:val="22"/>
        </w:rPr>
        <w:t>Almirall-Sánchez</w:t>
      </w:r>
      <w:proofErr w:type="spellEnd"/>
      <w:r w:rsidRPr="00A63366">
        <w:rPr>
          <w:rFonts w:ascii="Arial" w:hAnsi="Arial" w:cs="Arial"/>
          <w:sz w:val="22"/>
          <w:szCs w:val="22"/>
        </w:rPr>
        <w:t xml:space="preserve">, A., </w:t>
      </w:r>
      <w:proofErr w:type="spellStart"/>
      <w:r w:rsidRPr="00A63366">
        <w:rPr>
          <w:rFonts w:ascii="Arial" w:hAnsi="Arial" w:cs="Arial"/>
          <w:sz w:val="22"/>
          <w:szCs w:val="22"/>
        </w:rPr>
        <w:t>Rodríguez-Velasco</w:t>
      </w:r>
      <w:proofErr w:type="spellEnd"/>
      <w:r w:rsidRPr="00A63366">
        <w:rPr>
          <w:rFonts w:ascii="Arial" w:hAnsi="Arial" w:cs="Arial"/>
          <w:sz w:val="22"/>
          <w:szCs w:val="22"/>
        </w:rPr>
        <w:t xml:space="preserve">, A., Santos Martínez, A., </w:t>
      </w:r>
      <w:proofErr w:type="spellStart"/>
      <w:r w:rsidRPr="00A63366">
        <w:rPr>
          <w:rFonts w:ascii="Arial" w:hAnsi="Arial" w:cs="Arial"/>
          <w:sz w:val="22"/>
          <w:szCs w:val="22"/>
        </w:rPr>
        <w:t>Gutiérrez-Herrera</w:t>
      </w:r>
      <w:proofErr w:type="spellEnd"/>
      <w:r w:rsidRPr="00A63366">
        <w:rPr>
          <w:rFonts w:ascii="Arial" w:hAnsi="Arial" w:cs="Arial"/>
          <w:sz w:val="22"/>
          <w:szCs w:val="22"/>
        </w:rPr>
        <w:t xml:space="preserve">, R.F., Rodríguez-Salgado, A.M. and </w:t>
      </w:r>
      <w:proofErr w:type="spellStart"/>
      <w:r w:rsidRPr="00A63366">
        <w:rPr>
          <w:rFonts w:ascii="Arial" w:hAnsi="Arial" w:cs="Arial"/>
          <w:sz w:val="22"/>
          <w:szCs w:val="22"/>
        </w:rPr>
        <w:t>Llibre-Rodríguez</w:t>
      </w:r>
      <w:proofErr w:type="spellEnd"/>
      <w:r w:rsidRPr="00A63366">
        <w:rPr>
          <w:rFonts w:ascii="Arial" w:hAnsi="Arial" w:cs="Arial"/>
          <w:sz w:val="22"/>
          <w:szCs w:val="22"/>
        </w:rPr>
        <w:t xml:space="preserve">, J.J. (2025). Advancing dementia preparedness in Low and Middle Income countries: A randomized trial to improve diagnosis in primary care. </w:t>
      </w:r>
      <w:r w:rsidRPr="00A63366">
        <w:rPr>
          <w:rFonts w:ascii="Arial" w:hAnsi="Arial" w:cs="Arial"/>
          <w:i/>
          <w:iCs/>
          <w:sz w:val="22"/>
          <w:szCs w:val="22"/>
        </w:rPr>
        <w:t>Alzheimer’s &amp; dementia : the journal of the Alzheimer’s Association</w:t>
      </w:r>
      <w:r w:rsidRPr="00A63366">
        <w:rPr>
          <w:rFonts w:ascii="Arial" w:hAnsi="Arial" w:cs="Arial"/>
          <w:sz w:val="22"/>
          <w:szCs w:val="22"/>
        </w:rPr>
        <w:t xml:space="preserve">, [online] 21(5), p.e70283. </w:t>
      </w:r>
      <w:proofErr w:type="spellStart"/>
      <w:r w:rsidRPr="00A63366">
        <w:rPr>
          <w:rFonts w:ascii="Arial" w:hAnsi="Arial" w:cs="Arial"/>
          <w:sz w:val="22"/>
          <w:szCs w:val="22"/>
        </w:rPr>
        <w:t>doi:https</w:t>
      </w:r>
      <w:proofErr w:type="spellEnd"/>
      <w:r w:rsidRPr="00A63366">
        <w:rPr>
          <w:rFonts w:ascii="Arial" w:hAnsi="Arial" w:cs="Arial"/>
          <w:sz w:val="22"/>
          <w:szCs w:val="22"/>
        </w:rPr>
        <w:t>://doi.org/10.1002/alz.70283.</w:t>
      </w:r>
    </w:p>
    <w:p w:rsidRPr="00A63366" w:rsidR="00A730BA" w:rsidP="00A63366" w:rsidRDefault="00A730BA" w14:paraId="0569E4DA"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Matthews, F.E., Stephan, B.C.M., Robinson, L., Jagger, C., Barnes, L.E., Arthur, A. and </w:t>
      </w:r>
      <w:proofErr w:type="spellStart"/>
      <w:r w:rsidRPr="00A63366">
        <w:rPr>
          <w:rFonts w:ascii="Arial" w:hAnsi="Arial" w:cs="Arial"/>
          <w:sz w:val="22"/>
          <w:szCs w:val="22"/>
        </w:rPr>
        <w:t>Brayne</w:t>
      </w:r>
      <w:proofErr w:type="spellEnd"/>
      <w:r w:rsidRPr="00A63366">
        <w:rPr>
          <w:rFonts w:ascii="Arial" w:hAnsi="Arial" w:cs="Arial"/>
          <w:sz w:val="22"/>
          <w:szCs w:val="22"/>
        </w:rPr>
        <w:t xml:space="preserve">, C. (2016). A two decade dementia incidence comparison from the Cognitive Function and </w:t>
      </w:r>
      <w:proofErr w:type="spellStart"/>
      <w:r w:rsidRPr="00A63366">
        <w:rPr>
          <w:rFonts w:ascii="Arial" w:hAnsi="Arial" w:cs="Arial"/>
          <w:sz w:val="22"/>
          <w:szCs w:val="22"/>
        </w:rPr>
        <w:t>Ageing</w:t>
      </w:r>
      <w:proofErr w:type="spellEnd"/>
      <w:r w:rsidRPr="00A63366">
        <w:rPr>
          <w:rFonts w:ascii="Arial" w:hAnsi="Arial" w:cs="Arial"/>
          <w:sz w:val="22"/>
          <w:szCs w:val="22"/>
        </w:rPr>
        <w:t xml:space="preserve"> Studies I and II. </w:t>
      </w:r>
      <w:r w:rsidRPr="00A63366">
        <w:rPr>
          <w:rFonts w:ascii="Arial" w:hAnsi="Arial" w:cs="Arial"/>
          <w:i/>
          <w:iCs/>
          <w:sz w:val="22"/>
          <w:szCs w:val="22"/>
        </w:rPr>
        <w:t>Nature Communications</w:t>
      </w:r>
      <w:r w:rsidRPr="00A63366">
        <w:rPr>
          <w:rFonts w:ascii="Arial" w:hAnsi="Arial" w:cs="Arial"/>
          <w:sz w:val="22"/>
          <w:szCs w:val="22"/>
        </w:rPr>
        <w:t xml:space="preserve">, [online] 7(1). </w:t>
      </w:r>
      <w:proofErr w:type="spellStart"/>
      <w:r w:rsidRPr="00A63366">
        <w:rPr>
          <w:rFonts w:ascii="Arial" w:hAnsi="Arial" w:cs="Arial"/>
          <w:sz w:val="22"/>
          <w:szCs w:val="22"/>
        </w:rPr>
        <w:t>doi:https</w:t>
      </w:r>
      <w:proofErr w:type="spellEnd"/>
      <w:r w:rsidRPr="00A63366">
        <w:rPr>
          <w:rFonts w:ascii="Arial" w:hAnsi="Arial" w:cs="Arial"/>
          <w:sz w:val="22"/>
          <w:szCs w:val="22"/>
        </w:rPr>
        <w:t>://doi.org/10.1038/ncomms11398.</w:t>
      </w:r>
    </w:p>
    <w:p w:rsidRPr="00A63366" w:rsidR="00A730BA" w:rsidP="00A63366" w:rsidRDefault="00A730BA" w14:paraId="4A7D2FE6"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NHS (2023). </w:t>
      </w:r>
      <w:r w:rsidRPr="00A63366">
        <w:rPr>
          <w:rFonts w:ascii="Arial" w:hAnsi="Arial" w:cs="Arial"/>
          <w:i/>
          <w:iCs/>
          <w:sz w:val="22"/>
          <w:szCs w:val="22"/>
        </w:rPr>
        <w:t>Symptoms of dementia</w:t>
      </w:r>
      <w:r w:rsidRPr="00A63366">
        <w:rPr>
          <w:rFonts w:ascii="Arial" w:hAnsi="Arial" w:cs="Arial"/>
          <w:sz w:val="22"/>
          <w:szCs w:val="22"/>
        </w:rPr>
        <w:t>. [online] NHS. Available at: https://www.nhs.uk/conditions/dementia/symptoms-and-diagnosis/symptoms/.</w:t>
      </w:r>
    </w:p>
    <w:p w:rsidRPr="00A63366" w:rsidR="00A730BA" w:rsidP="00A63366" w:rsidRDefault="00A730BA" w14:paraId="3FA366F1"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NHS England (2025). </w:t>
      </w:r>
      <w:r w:rsidRPr="00A63366">
        <w:rPr>
          <w:rFonts w:ascii="Arial" w:hAnsi="Arial" w:cs="Arial"/>
          <w:i/>
          <w:iCs/>
          <w:sz w:val="22"/>
          <w:szCs w:val="22"/>
        </w:rPr>
        <w:t>Primary care dementia data: Quality and Outcomes Framework (QOF) annual report 2024-25</w:t>
      </w:r>
      <w:r w:rsidRPr="00A63366">
        <w:rPr>
          <w:rFonts w:ascii="Arial" w:hAnsi="Arial" w:cs="Arial"/>
          <w:sz w:val="22"/>
          <w:szCs w:val="22"/>
        </w:rPr>
        <w:t>. [online] Digital.nhs.uk. Available at: https://digital.nhs.uk/data-and-information/publications/statistical/primary-care-dementia-data/february-2025.</w:t>
      </w:r>
    </w:p>
    <w:p w:rsidRPr="00A63366" w:rsidR="00A730BA" w:rsidP="00A63366" w:rsidRDefault="00A730BA" w14:paraId="7AB103F7"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Oliveira, D., Da </w:t>
      </w:r>
      <w:proofErr w:type="spellStart"/>
      <w:r w:rsidRPr="00A63366">
        <w:rPr>
          <w:rFonts w:ascii="Arial" w:hAnsi="Arial" w:cs="Arial"/>
          <w:sz w:val="22"/>
          <w:szCs w:val="22"/>
        </w:rPr>
        <w:t>Mata</w:t>
      </w:r>
      <w:proofErr w:type="spellEnd"/>
      <w:r w:rsidRPr="00A63366">
        <w:rPr>
          <w:rFonts w:ascii="Arial" w:hAnsi="Arial" w:cs="Arial"/>
          <w:sz w:val="22"/>
          <w:szCs w:val="22"/>
        </w:rPr>
        <w:t xml:space="preserve">, F.A.F., Mateus, E., </w:t>
      </w:r>
      <w:proofErr w:type="spellStart"/>
      <w:r w:rsidRPr="00A63366">
        <w:rPr>
          <w:rFonts w:ascii="Arial" w:hAnsi="Arial" w:cs="Arial"/>
          <w:sz w:val="22"/>
          <w:szCs w:val="22"/>
        </w:rPr>
        <w:t>Musyimi</w:t>
      </w:r>
      <w:proofErr w:type="spellEnd"/>
      <w:r w:rsidRPr="00A63366">
        <w:rPr>
          <w:rFonts w:ascii="Arial" w:hAnsi="Arial" w:cs="Arial"/>
          <w:sz w:val="22"/>
          <w:szCs w:val="22"/>
        </w:rPr>
        <w:t xml:space="preserve">, C.W., Farina, N., </w:t>
      </w:r>
      <w:proofErr w:type="spellStart"/>
      <w:r w:rsidRPr="00A63366">
        <w:rPr>
          <w:rFonts w:ascii="Arial" w:hAnsi="Arial" w:cs="Arial"/>
          <w:sz w:val="22"/>
          <w:szCs w:val="22"/>
        </w:rPr>
        <w:t>Ferri</w:t>
      </w:r>
      <w:proofErr w:type="spellEnd"/>
      <w:r w:rsidRPr="00A63366">
        <w:rPr>
          <w:rFonts w:ascii="Arial" w:hAnsi="Arial" w:cs="Arial"/>
          <w:sz w:val="22"/>
          <w:szCs w:val="22"/>
        </w:rPr>
        <w:t xml:space="preserve">, C.P. and </w:t>
      </w:r>
      <w:proofErr w:type="spellStart"/>
      <w:r w:rsidRPr="00A63366">
        <w:rPr>
          <w:rFonts w:ascii="Arial" w:hAnsi="Arial" w:cs="Arial"/>
          <w:sz w:val="22"/>
          <w:szCs w:val="22"/>
        </w:rPr>
        <w:t>Evans-Lacko</w:t>
      </w:r>
      <w:proofErr w:type="spellEnd"/>
      <w:r w:rsidRPr="00A63366">
        <w:rPr>
          <w:rFonts w:ascii="Arial" w:hAnsi="Arial" w:cs="Arial"/>
          <w:sz w:val="22"/>
          <w:szCs w:val="22"/>
        </w:rPr>
        <w:t xml:space="preserve">, S. (2021). Experiences of stigma and discrimination among people living with dementia and family carers in Brazil: qualitative study. </w:t>
      </w:r>
      <w:proofErr w:type="spellStart"/>
      <w:r w:rsidRPr="00A63366">
        <w:rPr>
          <w:rFonts w:ascii="Arial" w:hAnsi="Arial" w:cs="Arial"/>
          <w:i/>
          <w:iCs/>
          <w:sz w:val="22"/>
          <w:szCs w:val="22"/>
        </w:rPr>
        <w:t>Ageing</w:t>
      </w:r>
      <w:proofErr w:type="spellEnd"/>
      <w:r w:rsidRPr="00A63366">
        <w:rPr>
          <w:rFonts w:ascii="Arial" w:hAnsi="Arial" w:cs="Arial"/>
          <w:i/>
          <w:iCs/>
          <w:sz w:val="22"/>
          <w:szCs w:val="22"/>
        </w:rPr>
        <w:t xml:space="preserve"> and Society</w:t>
      </w:r>
      <w:r w:rsidRPr="00A63366">
        <w:rPr>
          <w:rFonts w:ascii="Arial" w:hAnsi="Arial" w:cs="Arial"/>
          <w:sz w:val="22"/>
          <w:szCs w:val="22"/>
        </w:rPr>
        <w:t xml:space="preserve">, 43(2), pp.1–22. </w:t>
      </w:r>
      <w:proofErr w:type="spellStart"/>
      <w:r w:rsidRPr="00A63366">
        <w:rPr>
          <w:rFonts w:ascii="Arial" w:hAnsi="Arial" w:cs="Arial"/>
          <w:sz w:val="22"/>
          <w:szCs w:val="22"/>
        </w:rPr>
        <w:t>doi:https</w:t>
      </w:r>
      <w:proofErr w:type="spellEnd"/>
      <w:r w:rsidRPr="00A63366">
        <w:rPr>
          <w:rFonts w:ascii="Arial" w:hAnsi="Arial" w:cs="Arial"/>
          <w:sz w:val="22"/>
          <w:szCs w:val="22"/>
        </w:rPr>
        <w:t>://doi.org/10.1017/s0144686x21000660.</w:t>
      </w:r>
    </w:p>
    <w:p w:rsidRPr="00A63366" w:rsidR="00A730BA" w:rsidP="00A63366" w:rsidRDefault="00A730BA" w14:paraId="73F20174"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OneLondon (2025). </w:t>
      </w:r>
      <w:r w:rsidRPr="00A63366">
        <w:rPr>
          <w:rFonts w:ascii="Arial" w:hAnsi="Arial" w:cs="Arial"/>
          <w:i/>
          <w:iCs/>
          <w:sz w:val="22"/>
          <w:szCs w:val="22"/>
        </w:rPr>
        <w:t>Universal Care Plan expansion for dementia: A framework for integrated care.</w:t>
      </w:r>
      <w:r w:rsidRPr="00A63366">
        <w:rPr>
          <w:rFonts w:ascii="Arial" w:hAnsi="Arial" w:cs="Arial"/>
          <w:sz w:val="22"/>
          <w:szCs w:val="22"/>
        </w:rPr>
        <w:t xml:space="preserve"> [online] </w:t>
      </w:r>
      <w:proofErr w:type="spellStart"/>
      <w:r w:rsidRPr="00A63366">
        <w:rPr>
          <w:rFonts w:ascii="Arial" w:hAnsi="Arial" w:cs="Arial"/>
          <w:sz w:val="22"/>
          <w:szCs w:val="22"/>
        </w:rPr>
        <w:t>Onelondon.online</w:t>
      </w:r>
      <w:proofErr w:type="spellEnd"/>
      <w:r w:rsidRPr="00A63366">
        <w:rPr>
          <w:rFonts w:ascii="Arial" w:hAnsi="Arial" w:cs="Arial"/>
          <w:sz w:val="22"/>
          <w:szCs w:val="22"/>
        </w:rPr>
        <w:t>. Available at: https://ucp.onelondon.online/universal-care-plan-news-december-2025/ [Accessed 20 Apr. 2026].</w:t>
      </w:r>
    </w:p>
    <w:p w:rsidRPr="00A63366" w:rsidR="00A730BA" w:rsidP="00A63366" w:rsidRDefault="00A730BA" w14:paraId="262EC08B"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Park, K., Lee, S., Yang, J., Song, T. and Hong, G.-R.S. (2019). A systematic review and meta-analysis on the effect of reminiscence therapy for people with dementia. </w:t>
      </w:r>
      <w:r w:rsidRPr="00A63366">
        <w:rPr>
          <w:rFonts w:ascii="Arial" w:hAnsi="Arial" w:cs="Arial"/>
          <w:i/>
          <w:iCs/>
          <w:sz w:val="22"/>
          <w:szCs w:val="22"/>
        </w:rPr>
        <w:t>International Psychogeriatrics</w:t>
      </w:r>
      <w:r w:rsidRPr="00A63366">
        <w:rPr>
          <w:rFonts w:ascii="Arial" w:hAnsi="Arial" w:cs="Arial"/>
          <w:sz w:val="22"/>
          <w:szCs w:val="22"/>
        </w:rPr>
        <w:t xml:space="preserve">, [online] 31(11), pp.1–17. </w:t>
      </w:r>
      <w:proofErr w:type="spellStart"/>
      <w:r w:rsidRPr="00A63366">
        <w:rPr>
          <w:rFonts w:ascii="Arial" w:hAnsi="Arial" w:cs="Arial"/>
          <w:sz w:val="22"/>
          <w:szCs w:val="22"/>
        </w:rPr>
        <w:t>doi:https</w:t>
      </w:r>
      <w:proofErr w:type="spellEnd"/>
      <w:r w:rsidRPr="00A63366">
        <w:rPr>
          <w:rFonts w:ascii="Arial" w:hAnsi="Arial" w:cs="Arial"/>
          <w:sz w:val="22"/>
          <w:szCs w:val="22"/>
        </w:rPr>
        <w:t>://doi.org/10.1017/s1041610218002168.</w:t>
      </w:r>
    </w:p>
    <w:p w:rsidRPr="00A63366" w:rsidR="00A730BA" w:rsidP="00A63366" w:rsidRDefault="00A730BA" w14:paraId="6A9D62A5" w14:textId="77777777">
      <w:pPr>
        <w:pStyle w:val="NormalWeb"/>
        <w:spacing w:before="0" w:beforeAutospacing="0" w:after="240" w:afterAutospacing="0" w:line="360" w:lineRule="auto"/>
        <w:jc w:val="both"/>
        <w:rPr>
          <w:rFonts w:ascii="Arial" w:hAnsi="Arial" w:cs="Arial"/>
          <w:sz w:val="22"/>
          <w:szCs w:val="22"/>
        </w:rPr>
      </w:pPr>
      <w:proofErr w:type="spellStart"/>
      <w:r w:rsidRPr="00A63366">
        <w:rPr>
          <w:rFonts w:ascii="Arial" w:hAnsi="Arial" w:cs="Arial"/>
          <w:sz w:val="22"/>
          <w:szCs w:val="22"/>
        </w:rPr>
        <w:t>Quartilho</w:t>
      </w:r>
      <w:proofErr w:type="spellEnd"/>
      <w:r w:rsidRPr="00A63366">
        <w:rPr>
          <w:rFonts w:ascii="Arial" w:hAnsi="Arial" w:cs="Arial"/>
          <w:sz w:val="22"/>
          <w:szCs w:val="22"/>
        </w:rPr>
        <w:t xml:space="preserve">, F., Silva, J.B., Cunha, D., </w:t>
      </w:r>
      <w:proofErr w:type="spellStart"/>
      <w:r w:rsidRPr="00A63366">
        <w:rPr>
          <w:rFonts w:ascii="Arial" w:hAnsi="Arial" w:cs="Arial"/>
          <w:sz w:val="22"/>
          <w:szCs w:val="22"/>
        </w:rPr>
        <w:t>Canelas</w:t>
      </w:r>
      <w:proofErr w:type="spellEnd"/>
      <w:r w:rsidRPr="00A63366">
        <w:rPr>
          <w:rFonts w:ascii="Arial" w:hAnsi="Arial" w:cs="Arial"/>
          <w:sz w:val="22"/>
          <w:szCs w:val="22"/>
        </w:rPr>
        <w:t xml:space="preserve">, D., Neves, J.R., Andrade, J.P., </w:t>
      </w:r>
      <w:proofErr w:type="spellStart"/>
      <w:r w:rsidRPr="00A63366">
        <w:rPr>
          <w:rFonts w:ascii="Arial" w:hAnsi="Arial" w:cs="Arial"/>
          <w:sz w:val="22"/>
          <w:szCs w:val="22"/>
        </w:rPr>
        <w:t>Dourado</w:t>
      </w:r>
      <w:proofErr w:type="spellEnd"/>
      <w:r w:rsidRPr="00A63366">
        <w:rPr>
          <w:rFonts w:ascii="Arial" w:hAnsi="Arial" w:cs="Arial"/>
          <w:sz w:val="22"/>
          <w:szCs w:val="22"/>
        </w:rPr>
        <w:t xml:space="preserve">, M. and Ribeiro, H. (2025). IPOS-Dem Scale in the Assessment of Patients with Dementia in Palliative Care—Potential for Adaptation: A Systematic Review. </w:t>
      </w:r>
      <w:r w:rsidRPr="00A63366">
        <w:rPr>
          <w:rFonts w:ascii="Arial" w:hAnsi="Arial" w:cs="Arial"/>
          <w:i/>
          <w:iCs/>
          <w:sz w:val="22"/>
          <w:szCs w:val="22"/>
        </w:rPr>
        <w:t>Journal of Dementia and Alzheimer’s Disease</w:t>
      </w:r>
      <w:r w:rsidRPr="00A63366">
        <w:rPr>
          <w:rFonts w:ascii="Arial" w:hAnsi="Arial" w:cs="Arial"/>
          <w:sz w:val="22"/>
          <w:szCs w:val="22"/>
        </w:rPr>
        <w:t xml:space="preserve">, [online] 2(4), p.47. </w:t>
      </w:r>
      <w:proofErr w:type="spellStart"/>
      <w:r w:rsidRPr="00A63366">
        <w:rPr>
          <w:rFonts w:ascii="Arial" w:hAnsi="Arial" w:cs="Arial"/>
          <w:sz w:val="22"/>
          <w:szCs w:val="22"/>
        </w:rPr>
        <w:t>doi:https</w:t>
      </w:r>
      <w:proofErr w:type="spellEnd"/>
      <w:r w:rsidRPr="00A63366">
        <w:rPr>
          <w:rFonts w:ascii="Arial" w:hAnsi="Arial" w:cs="Arial"/>
          <w:sz w:val="22"/>
          <w:szCs w:val="22"/>
        </w:rPr>
        <w:t>://doi.org/10.3390/jdad2040047.</w:t>
      </w:r>
    </w:p>
    <w:p w:rsidRPr="00A63366" w:rsidR="00A730BA" w:rsidP="00A63366" w:rsidRDefault="00A730BA" w14:paraId="32DE3F17"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Scottish Intercollegiate Guidelines Network (2023). </w:t>
      </w:r>
      <w:r w:rsidRPr="00A63366">
        <w:rPr>
          <w:rFonts w:ascii="Arial" w:hAnsi="Arial" w:cs="Arial"/>
          <w:i/>
          <w:iCs/>
          <w:sz w:val="22"/>
          <w:szCs w:val="22"/>
        </w:rPr>
        <w:t>SIGN168 Assessment, diagnosis, care and support for people with dementia and their carers A national clinical guideline</w:t>
      </w:r>
      <w:r w:rsidRPr="00A63366">
        <w:rPr>
          <w:rFonts w:ascii="Arial" w:hAnsi="Arial" w:cs="Arial"/>
          <w:sz w:val="22"/>
          <w:szCs w:val="22"/>
        </w:rPr>
        <w:t>. [online] Available at: https://www.sign.ac.uk/media/2157/sign-168-dementia.pdf.</w:t>
      </w:r>
    </w:p>
    <w:p w:rsidRPr="00A63366" w:rsidR="00A730BA" w:rsidP="00A63366" w:rsidRDefault="00A730BA" w14:paraId="13272575" w14:textId="77777777">
      <w:pPr>
        <w:pStyle w:val="NormalWeb"/>
        <w:spacing w:before="0" w:beforeAutospacing="0" w:after="240" w:afterAutospacing="0" w:line="360" w:lineRule="auto"/>
        <w:jc w:val="both"/>
        <w:rPr>
          <w:rFonts w:ascii="Arial" w:hAnsi="Arial" w:cs="Arial"/>
          <w:sz w:val="22"/>
          <w:szCs w:val="22"/>
        </w:rPr>
      </w:pPr>
      <w:proofErr w:type="spellStart"/>
      <w:r w:rsidRPr="00A63366">
        <w:rPr>
          <w:rFonts w:ascii="Arial" w:hAnsi="Arial" w:cs="Arial"/>
          <w:sz w:val="22"/>
          <w:szCs w:val="22"/>
        </w:rPr>
        <w:t>Sergi</w:t>
      </w:r>
      <w:proofErr w:type="spellEnd"/>
      <w:r w:rsidRPr="00A63366">
        <w:rPr>
          <w:rFonts w:ascii="Arial" w:hAnsi="Arial" w:cs="Arial"/>
          <w:sz w:val="22"/>
          <w:szCs w:val="22"/>
        </w:rPr>
        <w:t xml:space="preserve">, M.R. (2025). Is the MMSE enough for MCI? A narrative review of the usefulness of the MMSE. </w:t>
      </w:r>
      <w:r w:rsidRPr="00A63366">
        <w:rPr>
          <w:rFonts w:ascii="Arial" w:hAnsi="Arial" w:cs="Arial"/>
          <w:i/>
          <w:iCs/>
          <w:sz w:val="22"/>
          <w:szCs w:val="22"/>
        </w:rPr>
        <w:t>Frontiers in Psychology</w:t>
      </w:r>
      <w:r w:rsidRPr="00A63366">
        <w:rPr>
          <w:rFonts w:ascii="Arial" w:hAnsi="Arial" w:cs="Arial"/>
          <w:sz w:val="22"/>
          <w:szCs w:val="22"/>
        </w:rPr>
        <w:t xml:space="preserve">, 16. </w:t>
      </w:r>
      <w:proofErr w:type="spellStart"/>
      <w:r w:rsidRPr="00A63366">
        <w:rPr>
          <w:rFonts w:ascii="Arial" w:hAnsi="Arial" w:cs="Arial"/>
          <w:sz w:val="22"/>
          <w:szCs w:val="22"/>
        </w:rPr>
        <w:t>doi:https</w:t>
      </w:r>
      <w:proofErr w:type="spellEnd"/>
      <w:r w:rsidRPr="00A63366">
        <w:rPr>
          <w:rFonts w:ascii="Arial" w:hAnsi="Arial" w:cs="Arial"/>
          <w:sz w:val="22"/>
          <w:szCs w:val="22"/>
        </w:rPr>
        <w:t>://doi.org/10.3389/fpsyg.2025.1727738.</w:t>
      </w:r>
    </w:p>
    <w:p w:rsidRPr="00A63366" w:rsidR="00A730BA" w:rsidP="00A63366" w:rsidRDefault="00A730BA" w14:paraId="5FD4B3A6"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WHO (2017). </w:t>
      </w:r>
      <w:r w:rsidRPr="00A63366">
        <w:rPr>
          <w:rFonts w:ascii="Arial" w:hAnsi="Arial" w:cs="Arial"/>
          <w:i/>
          <w:iCs/>
          <w:sz w:val="22"/>
          <w:szCs w:val="22"/>
        </w:rPr>
        <w:t>Global Action Plan on the Public Health Response to Dementia 2017 - 2025</w:t>
      </w:r>
      <w:r w:rsidRPr="00A63366">
        <w:rPr>
          <w:rFonts w:ascii="Arial" w:hAnsi="Arial" w:cs="Arial"/>
          <w:sz w:val="22"/>
          <w:szCs w:val="22"/>
        </w:rPr>
        <w:t>. [online] www.who.int. Available at: https://www.who.int/publications/i/item/global-action-plan-on-the-public-health-response-to-dementia-2017---2025.</w:t>
      </w:r>
    </w:p>
    <w:p w:rsidRPr="00A63366" w:rsidR="00A730BA" w:rsidP="00A63366" w:rsidRDefault="00A730BA" w14:paraId="7DFCBF58"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World Health Organization (2023). </w:t>
      </w:r>
      <w:r w:rsidRPr="00A63366">
        <w:rPr>
          <w:rFonts w:ascii="Arial" w:hAnsi="Arial" w:cs="Arial"/>
          <w:i/>
          <w:iCs/>
          <w:sz w:val="22"/>
          <w:szCs w:val="22"/>
        </w:rPr>
        <w:t>Risk reduction of cognitive decline and dementia: WHO guidelines</w:t>
      </w:r>
      <w:r w:rsidRPr="00A63366">
        <w:rPr>
          <w:rFonts w:ascii="Arial" w:hAnsi="Arial" w:cs="Arial"/>
          <w:sz w:val="22"/>
          <w:szCs w:val="22"/>
        </w:rPr>
        <w:t>. [online] Who.int. Available at: https://www.who.int/publications-detail-redirect/risk-reduction-of-cognitive-decline-and-dementia.</w:t>
      </w:r>
    </w:p>
    <w:p w:rsidRPr="00A63366" w:rsidR="00A730BA" w:rsidP="00A63366" w:rsidRDefault="00A730BA" w14:paraId="64457D37" w14:textId="77777777">
      <w:pPr>
        <w:pStyle w:val="NormalWeb"/>
        <w:spacing w:before="0" w:beforeAutospacing="0" w:after="240" w:afterAutospacing="0" w:line="360" w:lineRule="auto"/>
        <w:jc w:val="both"/>
        <w:rPr>
          <w:rFonts w:ascii="Arial" w:hAnsi="Arial" w:cs="Arial"/>
          <w:sz w:val="22"/>
          <w:szCs w:val="22"/>
        </w:rPr>
      </w:pPr>
      <w:r w:rsidRPr="00A63366">
        <w:rPr>
          <w:rFonts w:ascii="Arial" w:hAnsi="Arial" w:cs="Arial"/>
          <w:sz w:val="22"/>
          <w:szCs w:val="22"/>
        </w:rPr>
        <w:t xml:space="preserve">World Health Organization (2025). </w:t>
      </w:r>
      <w:r w:rsidRPr="00A63366">
        <w:rPr>
          <w:rFonts w:ascii="Arial" w:hAnsi="Arial" w:cs="Arial"/>
          <w:i/>
          <w:iCs/>
          <w:sz w:val="22"/>
          <w:szCs w:val="22"/>
        </w:rPr>
        <w:t>Dementia</w:t>
      </w:r>
      <w:r w:rsidRPr="00A63366">
        <w:rPr>
          <w:rFonts w:ascii="Arial" w:hAnsi="Arial" w:cs="Arial"/>
          <w:sz w:val="22"/>
          <w:szCs w:val="22"/>
        </w:rPr>
        <w:t>. [online] World Health Organization. Available at: https://www.who.int/news-room/fact-sheets/detail/dementia.</w:t>
      </w:r>
    </w:p>
    <w:p w:rsidRPr="00A63366" w:rsidR="00A730BA" w:rsidP="00A63366" w:rsidRDefault="00A730BA" w14:paraId="58E1968C" w14:textId="77777777">
      <w:pPr>
        <w:spacing w:line="360" w:lineRule="auto"/>
        <w:jc w:val="both"/>
        <w:rPr>
          <w:rFonts w:ascii="Arial" w:hAnsi="Arial" w:cs="Arial"/>
        </w:rPr>
      </w:pPr>
    </w:p>
    <w:sectPr w:rsidRPr="00A63366" w:rsidR="00A730BA" w:rsidSect="00A63366">
      <w:headerReference w:type="default" r:id="rId7"/>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D2965" w:rsidP="00A63366" w:rsidRDefault="00BD2965" w14:paraId="4FABAC7B" w14:textId="77777777">
      <w:pPr>
        <w:spacing w:after="0" w:line="240" w:lineRule="auto"/>
      </w:pPr>
      <w:r>
        <w:separator/>
      </w:r>
    </w:p>
  </w:endnote>
  <w:endnote w:type="continuationSeparator" w:id="0">
    <w:p w:rsidR="00BD2965" w:rsidP="00A63366" w:rsidRDefault="00BD2965" w14:paraId="3A7E142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D2965" w:rsidP="00A63366" w:rsidRDefault="00BD2965" w14:paraId="00C1AA82" w14:textId="77777777">
      <w:pPr>
        <w:spacing w:after="0" w:line="240" w:lineRule="auto"/>
      </w:pPr>
      <w:r>
        <w:separator/>
      </w:r>
    </w:p>
  </w:footnote>
  <w:footnote w:type="continuationSeparator" w:id="0">
    <w:p w:rsidR="00BD2965" w:rsidP="00A63366" w:rsidRDefault="00BD2965" w14:paraId="254E3A4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1593515"/>
      <w:docPartObj>
        <w:docPartGallery w:val="Page Numbers (Top of Page)"/>
        <w:docPartUnique/>
      </w:docPartObj>
    </w:sdtPr>
    <w:sdtEndPr>
      <w:rPr>
        <w:noProof/>
      </w:rPr>
    </w:sdtEndPr>
    <w:sdtContent>
      <w:p w:rsidR="00A63366" w:rsidRDefault="00A63366" w14:paraId="188ECBF4" w14:textId="7777777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A63366" w:rsidRDefault="00A63366" w14:paraId="39330BC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27281E"/>
    <w:multiLevelType w:val="hybridMultilevel"/>
    <w:tmpl w:val="FC423C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3666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6"/>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261"/>
    <w:rsid w:val="00162B77"/>
    <w:rsid w:val="0040244C"/>
    <w:rsid w:val="008735B6"/>
    <w:rsid w:val="00A63366"/>
    <w:rsid w:val="00A730BA"/>
    <w:rsid w:val="00AC13F4"/>
    <w:rsid w:val="00BD2965"/>
    <w:rsid w:val="00C96A90"/>
    <w:rsid w:val="00D456EE"/>
    <w:rsid w:val="00E32261"/>
    <w:rsid w:val="00E6567B"/>
    <w:rsid w:val="00ED314B"/>
    <w:rsid w:val="00F7428D"/>
    <w:rsid w:val="05979A28"/>
    <w:rsid w:val="0994ED9B"/>
    <w:rsid w:val="0BF6896D"/>
    <w:rsid w:val="0D6CA26D"/>
    <w:rsid w:val="0E35390B"/>
    <w:rsid w:val="15466935"/>
    <w:rsid w:val="1ACFCDEF"/>
    <w:rsid w:val="20656E48"/>
    <w:rsid w:val="237DE984"/>
    <w:rsid w:val="257F9702"/>
    <w:rsid w:val="2C3101EE"/>
    <w:rsid w:val="30B51B5B"/>
    <w:rsid w:val="35411C2D"/>
    <w:rsid w:val="357A20EF"/>
    <w:rsid w:val="381FA234"/>
    <w:rsid w:val="3F04FD97"/>
    <w:rsid w:val="3FFA635B"/>
    <w:rsid w:val="443B39D6"/>
    <w:rsid w:val="454648D1"/>
    <w:rsid w:val="4A8B7D85"/>
    <w:rsid w:val="4AD28E0B"/>
    <w:rsid w:val="5053CA71"/>
    <w:rsid w:val="51E7E9F0"/>
    <w:rsid w:val="53740891"/>
    <w:rsid w:val="5416EC3E"/>
    <w:rsid w:val="58EAEE05"/>
    <w:rsid w:val="597E09E2"/>
    <w:rsid w:val="5B1CC957"/>
    <w:rsid w:val="61909A40"/>
    <w:rsid w:val="62C52434"/>
    <w:rsid w:val="630C0CE6"/>
    <w:rsid w:val="67559178"/>
    <w:rsid w:val="722E7157"/>
    <w:rsid w:val="75C745DC"/>
    <w:rsid w:val="768ACDCA"/>
    <w:rsid w:val="790434A2"/>
    <w:rsid w:val="7CF1A504"/>
    <w:rsid w:val="7D7493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0184D"/>
  <w15:chartTrackingRefBased/>
  <w15:docId w15:val="{744352AD-E4A4-40E8-8E8A-D7E02CB47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3226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32261"/>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E32261"/>
    <w:pPr>
      <w:spacing w:before="100" w:beforeAutospacing="1" w:after="100" w:afterAutospacing="1" w:line="240" w:lineRule="auto"/>
    </w:pPr>
    <w:rPr>
      <w:rFonts w:ascii="Times New Roman" w:hAnsi="Times New Roman" w:eastAsia="Times New Roman" w:cs="Times New Roman"/>
      <w:sz w:val="24"/>
      <w:szCs w:val="24"/>
    </w:rPr>
  </w:style>
  <w:style w:type="character" w:styleId="Heading1Char" w:customStyle="1">
    <w:name w:val="Heading 1 Char"/>
    <w:basedOn w:val="DefaultParagraphFont"/>
    <w:link w:val="Heading1"/>
    <w:uiPriority w:val="9"/>
    <w:rsid w:val="00E32261"/>
    <w:rPr>
      <w:rFonts w:asciiTheme="majorHAnsi" w:hAnsiTheme="majorHAnsi" w:eastAsiaTheme="majorEastAsia" w:cstheme="majorBidi"/>
      <w:color w:val="2E74B5" w:themeColor="accent1" w:themeShade="BF"/>
      <w:sz w:val="32"/>
      <w:szCs w:val="32"/>
    </w:rPr>
  </w:style>
  <w:style w:type="character" w:styleId="Heading2Char" w:customStyle="1">
    <w:name w:val="Heading 2 Char"/>
    <w:basedOn w:val="DefaultParagraphFont"/>
    <w:link w:val="Heading2"/>
    <w:uiPriority w:val="9"/>
    <w:rsid w:val="00E32261"/>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A730BA"/>
    <w:pPr>
      <w:outlineLvl w:val="9"/>
    </w:pPr>
  </w:style>
  <w:style w:type="paragraph" w:styleId="TOC1">
    <w:name w:val="toc 1"/>
    <w:basedOn w:val="Normal"/>
    <w:next w:val="Normal"/>
    <w:autoRedefine/>
    <w:uiPriority w:val="39"/>
    <w:unhideWhenUsed/>
    <w:rsid w:val="00A730BA"/>
    <w:pPr>
      <w:spacing w:after="100"/>
    </w:pPr>
  </w:style>
  <w:style w:type="paragraph" w:styleId="TOC2">
    <w:name w:val="toc 2"/>
    <w:basedOn w:val="Normal"/>
    <w:next w:val="Normal"/>
    <w:autoRedefine/>
    <w:uiPriority w:val="39"/>
    <w:unhideWhenUsed/>
    <w:rsid w:val="00A730BA"/>
    <w:pPr>
      <w:spacing w:after="100"/>
      <w:ind w:left="220"/>
    </w:pPr>
  </w:style>
  <w:style w:type="character" w:styleId="Hyperlink">
    <w:name w:val="Hyperlink"/>
    <w:basedOn w:val="DefaultParagraphFont"/>
    <w:uiPriority w:val="99"/>
    <w:unhideWhenUsed/>
    <w:rsid w:val="00A730BA"/>
    <w:rPr>
      <w:color w:val="0563C1" w:themeColor="hyperlink"/>
      <w:u w:val="single"/>
    </w:rPr>
  </w:style>
  <w:style w:type="paragraph" w:styleId="Title">
    <w:name w:val="Title"/>
    <w:basedOn w:val="Normal"/>
    <w:next w:val="Normal"/>
    <w:link w:val="TitleChar"/>
    <w:uiPriority w:val="10"/>
    <w:qFormat/>
    <w:rsid w:val="00A63366"/>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63366"/>
    <w:rPr>
      <w:rFonts w:asciiTheme="majorHAnsi" w:hAnsiTheme="majorHAnsi" w:eastAsiaTheme="majorEastAsia" w:cstheme="majorBidi"/>
      <w:spacing w:val="-10"/>
      <w:kern w:val="28"/>
      <w:sz w:val="56"/>
      <w:szCs w:val="56"/>
    </w:rPr>
  </w:style>
  <w:style w:type="paragraph" w:styleId="Header">
    <w:name w:val="header"/>
    <w:basedOn w:val="Normal"/>
    <w:link w:val="HeaderChar"/>
    <w:uiPriority w:val="99"/>
    <w:unhideWhenUsed/>
    <w:rsid w:val="00A63366"/>
    <w:pPr>
      <w:tabs>
        <w:tab w:val="center" w:pos="4680"/>
        <w:tab w:val="right" w:pos="9360"/>
      </w:tabs>
      <w:spacing w:after="0" w:line="240" w:lineRule="auto"/>
    </w:pPr>
  </w:style>
  <w:style w:type="character" w:styleId="HeaderChar" w:customStyle="1">
    <w:name w:val="Header Char"/>
    <w:basedOn w:val="DefaultParagraphFont"/>
    <w:link w:val="Header"/>
    <w:uiPriority w:val="99"/>
    <w:rsid w:val="00A63366"/>
  </w:style>
  <w:style w:type="paragraph" w:styleId="Footer">
    <w:name w:val="footer"/>
    <w:basedOn w:val="Normal"/>
    <w:link w:val="FooterChar"/>
    <w:uiPriority w:val="99"/>
    <w:unhideWhenUsed/>
    <w:rsid w:val="00A63366"/>
    <w:pPr>
      <w:tabs>
        <w:tab w:val="center" w:pos="4680"/>
        <w:tab w:val="right" w:pos="9360"/>
      </w:tabs>
      <w:spacing w:after="0" w:line="240" w:lineRule="auto"/>
    </w:pPr>
  </w:style>
  <w:style w:type="character" w:styleId="FooterChar" w:customStyle="1">
    <w:name w:val="Footer Char"/>
    <w:basedOn w:val="DefaultParagraphFont"/>
    <w:link w:val="Footer"/>
    <w:uiPriority w:val="99"/>
    <w:rsid w:val="00A633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5990446">
      <w:bodyDiv w:val="1"/>
      <w:marLeft w:val="0"/>
      <w:marRight w:val="0"/>
      <w:marTop w:val="0"/>
      <w:marBottom w:val="0"/>
      <w:divBdr>
        <w:top w:val="none" w:sz="0" w:space="0" w:color="auto"/>
        <w:left w:val="none" w:sz="0" w:space="0" w:color="auto"/>
        <w:bottom w:val="none" w:sz="0" w:space="0" w:color="auto"/>
        <w:right w:val="none" w:sz="0" w:space="0" w:color="auto"/>
      </w:divBdr>
      <w:divsChild>
        <w:div w:id="545482580">
          <w:marLeft w:val="0"/>
          <w:marRight w:val="0"/>
          <w:marTop w:val="0"/>
          <w:marBottom w:val="0"/>
          <w:divBdr>
            <w:top w:val="none" w:sz="0" w:space="0" w:color="auto"/>
            <w:left w:val="none" w:sz="0" w:space="0" w:color="auto"/>
            <w:bottom w:val="none" w:sz="0" w:space="0" w:color="auto"/>
            <w:right w:val="none" w:sz="0" w:space="0" w:color="auto"/>
          </w:divBdr>
        </w:div>
      </w:divsChild>
    </w:div>
    <w:div w:id="1301156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png" Id="rId30538827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Talha</dc:creator>
  <keywords/>
  <dc:description/>
  <lastModifiedBy>Justyna Gajewska (2517291)</lastModifiedBy>
  <revision>4</revision>
  <dcterms:created xsi:type="dcterms:W3CDTF">2026-04-21T17:13:00.0000000Z</dcterms:created>
  <dcterms:modified xsi:type="dcterms:W3CDTF">2026-04-21T20:39:50.3376457Z</dcterms:modified>
</coreProperties>
</file>