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3F0538" w14:textId="7DDA83EA" w:rsidR="00A87520" w:rsidRPr="00A87520" w:rsidRDefault="00A87520" w:rsidP="00873146">
      <w:pPr>
        <w:jc w:val="center"/>
        <w:rPr>
          <w:rFonts w:ascii="Arial" w:hAnsi="Arial" w:cs="Arial"/>
          <w:b/>
          <w:bCs/>
          <w:sz w:val="32"/>
          <w:szCs w:val="32"/>
        </w:rPr>
      </w:pPr>
    </w:p>
    <w:p w14:paraId="0D9ED621" w14:textId="662507AD" w:rsidR="00873146" w:rsidRPr="00B92097" w:rsidRDefault="00873146" w:rsidP="00873146">
      <w:pPr>
        <w:jc w:val="center"/>
        <w:rPr>
          <w:rFonts w:ascii="Arial" w:hAnsi="Arial" w:cs="Arial"/>
          <w:b/>
          <w:bCs/>
          <w:sz w:val="24"/>
          <w:szCs w:val="24"/>
        </w:rPr>
      </w:pPr>
      <w:r w:rsidRPr="00B92097">
        <w:rPr>
          <w:rFonts w:ascii="Arial" w:hAnsi="Arial" w:cs="Arial"/>
          <w:b/>
          <w:bCs/>
          <w:sz w:val="24"/>
          <w:szCs w:val="24"/>
        </w:rPr>
        <w:t>Student Name:</w:t>
      </w:r>
      <w:r w:rsidR="00376AA2">
        <w:rPr>
          <w:rFonts w:ascii="Arial" w:hAnsi="Arial" w:cs="Arial"/>
          <w:b/>
          <w:bCs/>
          <w:sz w:val="24"/>
          <w:szCs w:val="24"/>
        </w:rPr>
        <w:t xml:space="preserve"> Divine Feleo</w:t>
      </w:r>
    </w:p>
    <w:p w14:paraId="0F76EA1C" w14:textId="0D843E04" w:rsidR="00873146" w:rsidRPr="00B92097" w:rsidRDefault="00873146" w:rsidP="00873146">
      <w:pPr>
        <w:jc w:val="center"/>
        <w:rPr>
          <w:rFonts w:ascii="Arial" w:hAnsi="Arial" w:cs="Arial"/>
          <w:b/>
          <w:bCs/>
          <w:sz w:val="24"/>
          <w:szCs w:val="24"/>
        </w:rPr>
      </w:pPr>
      <w:r w:rsidRPr="00B92097">
        <w:rPr>
          <w:rFonts w:ascii="Arial" w:hAnsi="Arial" w:cs="Arial"/>
          <w:b/>
          <w:bCs/>
          <w:sz w:val="24"/>
          <w:szCs w:val="24"/>
        </w:rPr>
        <w:t>Student ID:</w:t>
      </w:r>
      <w:r w:rsidR="00376AA2">
        <w:rPr>
          <w:rFonts w:ascii="Arial" w:hAnsi="Arial" w:cs="Arial"/>
          <w:b/>
          <w:bCs/>
          <w:sz w:val="24"/>
          <w:szCs w:val="24"/>
        </w:rPr>
        <w:t>2133500</w:t>
      </w:r>
    </w:p>
    <w:p w14:paraId="769B3ECD" w14:textId="16095936" w:rsidR="00873146" w:rsidRPr="00B92097" w:rsidRDefault="00873146" w:rsidP="00873146">
      <w:pPr>
        <w:jc w:val="center"/>
        <w:rPr>
          <w:rFonts w:ascii="Arial" w:hAnsi="Arial" w:cs="Arial"/>
          <w:b/>
          <w:bCs/>
          <w:sz w:val="24"/>
          <w:szCs w:val="24"/>
        </w:rPr>
      </w:pPr>
      <w:r w:rsidRPr="00B92097">
        <w:rPr>
          <w:rFonts w:ascii="Arial" w:hAnsi="Arial" w:cs="Arial"/>
          <w:b/>
          <w:bCs/>
          <w:sz w:val="24"/>
          <w:szCs w:val="24"/>
        </w:rPr>
        <w:t>Module Code:</w:t>
      </w:r>
      <w:r w:rsidR="00A87520">
        <w:rPr>
          <w:rFonts w:ascii="Arial" w:hAnsi="Arial" w:cs="Arial"/>
          <w:b/>
          <w:bCs/>
          <w:sz w:val="24"/>
          <w:szCs w:val="24"/>
        </w:rPr>
        <w:t xml:space="preserve"> </w:t>
      </w:r>
      <w:r w:rsidR="00A87520" w:rsidRPr="00A87520">
        <w:rPr>
          <w:rFonts w:ascii="Arial" w:hAnsi="Arial" w:cs="Arial"/>
          <w:sz w:val="24"/>
          <w:szCs w:val="24"/>
        </w:rPr>
        <w:t>LCHS4004</w:t>
      </w:r>
    </w:p>
    <w:p w14:paraId="3B5D590A" w14:textId="0C7089E1" w:rsidR="00873146" w:rsidRPr="00A87520" w:rsidRDefault="00873146" w:rsidP="00A87520">
      <w:pPr>
        <w:jc w:val="center"/>
        <w:rPr>
          <w:rFonts w:ascii="Arial" w:hAnsi="Arial" w:cs="Arial"/>
          <w:b/>
          <w:bCs/>
          <w:sz w:val="32"/>
          <w:szCs w:val="32"/>
        </w:rPr>
      </w:pPr>
      <w:r w:rsidRPr="00B92097">
        <w:rPr>
          <w:rFonts w:ascii="Arial" w:hAnsi="Arial" w:cs="Arial"/>
          <w:b/>
          <w:bCs/>
          <w:sz w:val="24"/>
          <w:szCs w:val="24"/>
        </w:rPr>
        <w:t>Module Title:</w:t>
      </w:r>
      <w:r w:rsidR="00A87520">
        <w:rPr>
          <w:rFonts w:ascii="Arial" w:hAnsi="Arial" w:cs="Arial"/>
          <w:b/>
          <w:bCs/>
          <w:sz w:val="24"/>
          <w:szCs w:val="24"/>
        </w:rPr>
        <w:t xml:space="preserve"> </w:t>
      </w:r>
      <w:r w:rsidR="00A87520" w:rsidRPr="00A87520">
        <w:rPr>
          <w:rFonts w:ascii="Arial" w:hAnsi="Arial" w:cs="Arial"/>
          <w:sz w:val="24"/>
          <w:szCs w:val="24"/>
        </w:rPr>
        <w:t>Introduction to Public Health</w:t>
      </w:r>
    </w:p>
    <w:p w14:paraId="7FBECE20" w14:textId="1886F736" w:rsidR="00873146" w:rsidRPr="00376AA2" w:rsidRDefault="00873146" w:rsidP="00376AA2">
      <w:pPr>
        <w:jc w:val="center"/>
        <w:rPr>
          <w:rFonts w:ascii="Arial" w:hAnsi="Arial" w:cs="Arial"/>
          <w:b/>
          <w:bCs/>
          <w:sz w:val="24"/>
          <w:szCs w:val="24"/>
        </w:rPr>
      </w:pPr>
      <w:r w:rsidRPr="00B92097">
        <w:rPr>
          <w:rFonts w:ascii="Arial" w:hAnsi="Arial" w:cs="Arial"/>
          <w:b/>
          <w:bCs/>
          <w:sz w:val="24"/>
          <w:szCs w:val="24"/>
        </w:rPr>
        <w:t>Lecturer’s Name:</w:t>
      </w:r>
      <w:r w:rsidR="00376AA2" w:rsidRPr="00376AA2">
        <w:t xml:space="preserve"> </w:t>
      </w:r>
      <w:r w:rsidR="00376AA2" w:rsidRPr="00376AA2">
        <w:rPr>
          <w:rFonts w:ascii="Arial" w:hAnsi="Arial" w:cs="Arial"/>
          <w:b/>
          <w:bCs/>
          <w:sz w:val="24"/>
          <w:szCs w:val="24"/>
        </w:rPr>
        <w:t>Laila Surani</w:t>
      </w:r>
    </w:p>
    <w:p w14:paraId="1A991540" w14:textId="18194B61" w:rsidR="00873146" w:rsidRPr="00B92097" w:rsidRDefault="00873146" w:rsidP="00873146">
      <w:pPr>
        <w:jc w:val="center"/>
        <w:rPr>
          <w:rFonts w:ascii="Arial" w:hAnsi="Arial" w:cs="Arial"/>
          <w:b/>
          <w:bCs/>
          <w:sz w:val="32"/>
          <w:szCs w:val="32"/>
        </w:rPr>
      </w:pPr>
    </w:p>
    <w:p w14:paraId="1D6D986A" w14:textId="107CDBA0" w:rsidR="00873146" w:rsidRPr="00B92097" w:rsidRDefault="00873146" w:rsidP="00873146">
      <w:pPr>
        <w:jc w:val="center"/>
        <w:rPr>
          <w:rFonts w:ascii="Arial" w:hAnsi="Arial" w:cs="Arial"/>
          <w:b/>
          <w:bCs/>
          <w:sz w:val="32"/>
          <w:szCs w:val="32"/>
        </w:rPr>
      </w:pPr>
    </w:p>
    <w:p w14:paraId="210236AF" w14:textId="3B684662" w:rsidR="00873146" w:rsidRDefault="00873146" w:rsidP="00873146">
      <w:pPr>
        <w:jc w:val="center"/>
        <w:rPr>
          <w:rFonts w:ascii="Arial" w:hAnsi="Arial" w:cs="Arial"/>
          <w:b/>
          <w:bCs/>
          <w:sz w:val="32"/>
          <w:szCs w:val="32"/>
        </w:rPr>
      </w:pPr>
    </w:p>
    <w:p w14:paraId="2A60FC76" w14:textId="65C2130E" w:rsidR="00B06D11" w:rsidRDefault="00B06D11" w:rsidP="00873146">
      <w:pPr>
        <w:jc w:val="center"/>
        <w:rPr>
          <w:rFonts w:ascii="Arial" w:hAnsi="Arial" w:cs="Arial"/>
          <w:b/>
          <w:bCs/>
          <w:sz w:val="32"/>
          <w:szCs w:val="32"/>
        </w:rPr>
      </w:pPr>
    </w:p>
    <w:p w14:paraId="6161F845" w14:textId="067E5665" w:rsidR="00B06D11" w:rsidRDefault="00B06D11" w:rsidP="00873146">
      <w:pPr>
        <w:jc w:val="center"/>
        <w:rPr>
          <w:rFonts w:ascii="Arial" w:hAnsi="Arial" w:cs="Arial"/>
          <w:b/>
          <w:bCs/>
          <w:sz w:val="32"/>
          <w:szCs w:val="32"/>
        </w:rPr>
      </w:pPr>
    </w:p>
    <w:p w14:paraId="37C526AD" w14:textId="2169875A" w:rsidR="00B06D11" w:rsidRDefault="00B06D11" w:rsidP="00873146">
      <w:pPr>
        <w:jc w:val="center"/>
        <w:rPr>
          <w:rFonts w:ascii="Arial" w:hAnsi="Arial" w:cs="Arial"/>
          <w:b/>
          <w:bCs/>
          <w:sz w:val="32"/>
          <w:szCs w:val="32"/>
        </w:rPr>
      </w:pPr>
    </w:p>
    <w:p w14:paraId="687A4CA1" w14:textId="36DA9A86" w:rsidR="00B06D11" w:rsidRDefault="00B06D11" w:rsidP="00873146">
      <w:pPr>
        <w:jc w:val="center"/>
        <w:rPr>
          <w:rFonts w:ascii="Arial" w:hAnsi="Arial" w:cs="Arial"/>
          <w:b/>
          <w:bCs/>
          <w:sz w:val="32"/>
          <w:szCs w:val="32"/>
        </w:rPr>
      </w:pPr>
    </w:p>
    <w:p w14:paraId="7B66DEF1" w14:textId="3483C2B5" w:rsidR="00B06D11" w:rsidRDefault="00B06D11" w:rsidP="00873146">
      <w:pPr>
        <w:jc w:val="center"/>
        <w:rPr>
          <w:rFonts w:ascii="Arial" w:hAnsi="Arial" w:cs="Arial"/>
          <w:b/>
          <w:bCs/>
          <w:sz w:val="32"/>
          <w:szCs w:val="32"/>
        </w:rPr>
      </w:pPr>
    </w:p>
    <w:p w14:paraId="0F1507BC" w14:textId="3B4D6B07" w:rsidR="00873146" w:rsidRDefault="00873146" w:rsidP="00376AA2">
      <w:pPr>
        <w:pStyle w:val="TOCHeading"/>
        <w:spacing w:line="360" w:lineRule="auto"/>
        <w:jc w:val="both"/>
        <w:rPr>
          <w:rFonts w:ascii="Arial" w:eastAsiaTheme="minorHAnsi" w:hAnsi="Arial" w:cs="Arial"/>
          <w:b/>
          <w:bCs/>
          <w:color w:val="auto"/>
        </w:rPr>
      </w:pPr>
    </w:p>
    <w:p w14:paraId="240FCFA6" w14:textId="77777777" w:rsidR="00376AA2" w:rsidRPr="00376AA2" w:rsidRDefault="00376AA2" w:rsidP="00376AA2"/>
    <w:p w14:paraId="225D6D7F" w14:textId="753E7906" w:rsidR="00873146" w:rsidRPr="00B92097" w:rsidRDefault="00873146" w:rsidP="00873146">
      <w:pPr>
        <w:jc w:val="center"/>
        <w:rPr>
          <w:rFonts w:ascii="Arial" w:hAnsi="Arial" w:cs="Arial"/>
          <w:b/>
          <w:bCs/>
          <w:sz w:val="32"/>
          <w:szCs w:val="32"/>
        </w:rPr>
      </w:pPr>
    </w:p>
    <w:p w14:paraId="78B5DDDA" w14:textId="740CEC01" w:rsidR="00873146" w:rsidRPr="00B92097" w:rsidRDefault="00873146" w:rsidP="00873146">
      <w:pPr>
        <w:jc w:val="center"/>
        <w:rPr>
          <w:rFonts w:ascii="Arial" w:hAnsi="Arial" w:cs="Arial"/>
          <w:b/>
          <w:bCs/>
          <w:sz w:val="32"/>
          <w:szCs w:val="32"/>
        </w:rPr>
      </w:pPr>
    </w:p>
    <w:p w14:paraId="2EC6CD4A" w14:textId="1BBE4B27" w:rsidR="00873146" w:rsidRPr="00B92097" w:rsidRDefault="00873146" w:rsidP="00873146">
      <w:pPr>
        <w:jc w:val="center"/>
        <w:rPr>
          <w:rFonts w:ascii="Arial" w:hAnsi="Arial" w:cs="Arial"/>
          <w:b/>
          <w:bCs/>
          <w:sz w:val="32"/>
          <w:szCs w:val="32"/>
        </w:rPr>
      </w:pPr>
    </w:p>
    <w:p w14:paraId="6E55E4A4" w14:textId="703160BC" w:rsidR="00873146" w:rsidRPr="00B92097" w:rsidRDefault="00873146" w:rsidP="00873146">
      <w:pPr>
        <w:jc w:val="center"/>
        <w:rPr>
          <w:rFonts w:ascii="Arial" w:hAnsi="Arial" w:cs="Arial"/>
          <w:b/>
          <w:bCs/>
          <w:sz w:val="32"/>
          <w:szCs w:val="32"/>
        </w:rPr>
      </w:pPr>
    </w:p>
    <w:p w14:paraId="31590190" w14:textId="45773837" w:rsidR="00873146" w:rsidRDefault="00873146" w:rsidP="00873146">
      <w:pPr>
        <w:jc w:val="center"/>
        <w:rPr>
          <w:rFonts w:ascii="Arial" w:hAnsi="Arial" w:cs="Arial"/>
          <w:b/>
          <w:bCs/>
          <w:sz w:val="32"/>
          <w:szCs w:val="32"/>
        </w:rPr>
      </w:pPr>
    </w:p>
    <w:p w14:paraId="09B475D1" w14:textId="77777777" w:rsidR="00B06D11" w:rsidRPr="00B92097" w:rsidRDefault="00B06D11" w:rsidP="00873146">
      <w:pPr>
        <w:jc w:val="center"/>
        <w:rPr>
          <w:rFonts w:ascii="Arial" w:hAnsi="Arial" w:cs="Arial"/>
          <w:b/>
          <w:bCs/>
          <w:sz w:val="32"/>
          <w:szCs w:val="32"/>
        </w:rPr>
      </w:pPr>
    </w:p>
    <w:p w14:paraId="42545935" w14:textId="38EF2663" w:rsidR="00873146" w:rsidRPr="00B92097" w:rsidRDefault="00873146" w:rsidP="00873146">
      <w:pPr>
        <w:jc w:val="center"/>
        <w:rPr>
          <w:rFonts w:ascii="Arial" w:hAnsi="Arial" w:cs="Arial"/>
          <w:b/>
          <w:bCs/>
          <w:sz w:val="32"/>
          <w:szCs w:val="32"/>
        </w:rPr>
      </w:pPr>
    </w:p>
    <w:p w14:paraId="49A07F87" w14:textId="5D7C3002" w:rsidR="00873146" w:rsidRPr="00376AA2" w:rsidRDefault="00873146" w:rsidP="00B84EAC">
      <w:pPr>
        <w:pStyle w:val="Heading1"/>
        <w:rPr>
          <w:rFonts w:ascii="Arial" w:hAnsi="Arial" w:cs="Arial"/>
          <w:b/>
          <w:color w:val="auto"/>
        </w:rPr>
      </w:pPr>
      <w:bookmarkStart w:id="0" w:name="_Toc131768102"/>
      <w:bookmarkStart w:id="1" w:name="_Toc131768158"/>
      <w:r w:rsidRPr="00376AA2">
        <w:rPr>
          <w:rFonts w:ascii="Arial" w:hAnsi="Arial" w:cs="Arial"/>
          <w:b/>
          <w:color w:val="auto"/>
        </w:rPr>
        <w:lastRenderedPageBreak/>
        <w:t>Introduction</w:t>
      </w:r>
      <w:bookmarkEnd w:id="0"/>
      <w:bookmarkEnd w:id="1"/>
    </w:p>
    <w:p w14:paraId="004A9539" w14:textId="420A809A" w:rsidR="00873146" w:rsidRDefault="00873146" w:rsidP="00873146">
      <w:pPr>
        <w:jc w:val="both"/>
        <w:rPr>
          <w:rFonts w:ascii="Arial" w:hAnsi="Arial" w:cs="Arial"/>
          <w:b/>
          <w:bCs/>
          <w:sz w:val="32"/>
          <w:szCs w:val="32"/>
        </w:rPr>
      </w:pPr>
    </w:p>
    <w:p w14:paraId="32957CD3" w14:textId="25145BC5" w:rsidR="00973D84" w:rsidRPr="00973D84" w:rsidRDefault="00973D84" w:rsidP="00973D84">
      <w:pPr>
        <w:spacing w:line="360" w:lineRule="auto"/>
        <w:jc w:val="both"/>
      </w:pPr>
      <w:r>
        <w:rPr>
          <w:rFonts w:ascii="Arial" w:hAnsi="Arial" w:cs="Arial"/>
          <w:color w:val="301400"/>
          <w:shd w:val="clear" w:color="auto" w:fill="FFFFFF"/>
        </w:rPr>
        <w:t xml:space="preserve">COVID-19 is </w:t>
      </w:r>
      <w:r w:rsidR="004D01F4">
        <w:rPr>
          <w:rFonts w:ascii="Arial" w:hAnsi="Arial" w:cs="Arial"/>
          <w:color w:val="301400"/>
          <w:shd w:val="clear" w:color="auto" w:fill="FFFFFF"/>
        </w:rPr>
        <w:t xml:space="preserve">known as </w:t>
      </w:r>
      <w:r>
        <w:rPr>
          <w:rFonts w:ascii="Arial" w:hAnsi="Arial" w:cs="Arial"/>
          <w:color w:val="301400"/>
          <w:shd w:val="clear" w:color="auto" w:fill="FFFFFF"/>
        </w:rPr>
        <w:t xml:space="preserve">a highly contagious respiratory illness </w:t>
      </w:r>
      <w:r w:rsidR="004D01F4">
        <w:rPr>
          <w:rFonts w:ascii="Arial" w:hAnsi="Arial" w:cs="Arial"/>
          <w:color w:val="301400"/>
          <w:shd w:val="clear" w:color="auto" w:fill="FFFFFF"/>
        </w:rPr>
        <w:t xml:space="preserve">resulted from the attack of </w:t>
      </w:r>
      <w:r>
        <w:rPr>
          <w:rFonts w:ascii="Arial" w:hAnsi="Arial" w:cs="Arial"/>
          <w:color w:val="301400"/>
          <w:shd w:val="clear" w:color="auto" w:fill="FFFFFF"/>
        </w:rPr>
        <w:t xml:space="preserve">the novel coronavirus. It has affected millions of lives and caused a significant impact on our daily activities, including work, school, travel, and social gatherings. It is essential to follow guidelines such as wearing </w:t>
      </w:r>
      <w:r w:rsidR="004D01F4">
        <w:rPr>
          <w:rFonts w:ascii="Arial" w:hAnsi="Arial" w:cs="Arial"/>
          <w:color w:val="301400"/>
          <w:shd w:val="clear" w:color="auto" w:fill="FFFFFF"/>
        </w:rPr>
        <w:t xml:space="preserve">face </w:t>
      </w:r>
      <w:r>
        <w:rPr>
          <w:rFonts w:ascii="Arial" w:hAnsi="Arial" w:cs="Arial"/>
          <w:color w:val="301400"/>
          <w:shd w:val="clear" w:color="auto" w:fill="FFFFFF"/>
        </w:rPr>
        <w:t xml:space="preserve">masks, </w:t>
      </w:r>
      <w:r w:rsidR="004D01F4">
        <w:rPr>
          <w:rFonts w:ascii="Arial" w:hAnsi="Arial" w:cs="Arial"/>
          <w:color w:val="301400"/>
          <w:shd w:val="clear" w:color="auto" w:fill="FFFFFF"/>
        </w:rPr>
        <w:t>hand gloves, maintaining distance</w:t>
      </w:r>
      <w:r>
        <w:rPr>
          <w:rFonts w:ascii="Arial" w:hAnsi="Arial" w:cs="Arial"/>
          <w:color w:val="301400"/>
          <w:shd w:val="clear" w:color="auto" w:fill="FFFFFF"/>
        </w:rPr>
        <w:t xml:space="preserve">, washing hands frequently, and getting vaccinated to prevent the spread of the virus and protect </w:t>
      </w:r>
      <w:proofErr w:type="gramStart"/>
      <w:r>
        <w:rPr>
          <w:rFonts w:ascii="Arial" w:hAnsi="Arial" w:cs="Arial"/>
          <w:color w:val="301400"/>
          <w:shd w:val="clear" w:color="auto" w:fill="FFFFFF"/>
        </w:rPr>
        <w:t>ourselves</w:t>
      </w:r>
      <w:proofErr w:type="gramEnd"/>
      <w:r>
        <w:rPr>
          <w:rFonts w:ascii="Arial" w:hAnsi="Arial" w:cs="Arial"/>
          <w:color w:val="301400"/>
          <w:shd w:val="clear" w:color="auto" w:fill="FFFFFF"/>
        </w:rPr>
        <w:t xml:space="preserve"> and our communities.</w:t>
      </w:r>
    </w:p>
    <w:p w14:paraId="10293D35" w14:textId="77777777" w:rsidR="00BC7D84" w:rsidRPr="00BC7D84" w:rsidRDefault="00BC7D84" w:rsidP="00BC7D84">
      <w:pPr>
        <w:pStyle w:val="Heading1"/>
        <w:spacing w:line="360" w:lineRule="auto"/>
        <w:jc w:val="both"/>
        <w:rPr>
          <w:rFonts w:ascii="Arial" w:eastAsiaTheme="minorHAnsi" w:hAnsi="Arial" w:cs="Arial"/>
          <w:color w:val="auto"/>
          <w:sz w:val="22"/>
          <w:szCs w:val="22"/>
        </w:rPr>
      </w:pPr>
      <w:bookmarkStart w:id="2" w:name="_Toc131768103"/>
      <w:bookmarkStart w:id="3" w:name="_Toc131768159"/>
      <w:r w:rsidRPr="00BC7D84">
        <w:rPr>
          <w:rFonts w:ascii="Arial" w:eastAsiaTheme="minorHAnsi" w:hAnsi="Arial" w:cs="Arial"/>
          <w:color w:val="auto"/>
          <w:sz w:val="22"/>
          <w:szCs w:val="22"/>
        </w:rPr>
        <w:t>Worldwide, the COVID-19 pandemic has had a significant impact, with over 400 million cases and over 6 million deaths reported as of April 2023. The incidence of COVID-19 varies by country and region, with some areas experiencing more severe outbreaks than others. In countries with high vaccination levels and effective public health measures, COVID-19 has decreased significantly (</w:t>
      </w:r>
      <w:proofErr w:type="spellStart"/>
      <w:r w:rsidRPr="00BC7D84">
        <w:rPr>
          <w:rFonts w:ascii="Arial" w:eastAsiaTheme="minorHAnsi" w:hAnsi="Arial" w:cs="Arial"/>
          <w:color w:val="auto"/>
          <w:sz w:val="22"/>
          <w:szCs w:val="22"/>
        </w:rPr>
        <w:t>Chinazzi</w:t>
      </w:r>
      <w:proofErr w:type="spellEnd"/>
      <w:r w:rsidRPr="00BC7D84">
        <w:rPr>
          <w:rFonts w:ascii="Arial" w:eastAsiaTheme="minorHAnsi" w:hAnsi="Arial" w:cs="Arial"/>
          <w:color w:val="auto"/>
          <w:sz w:val="22"/>
          <w:szCs w:val="22"/>
        </w:rPr>
        <w:t xml:space="preserve"> &amp; </w:t>
      </w:r>
      <w:proofErr w:type="spellStart"/>
      <w:r w:rsidRPr="00BC7D84">
        <w:rPr>
          <w:rFonts w:ascii="Arial" w:eastAsiaTheme="minorHAnsi" w:hAnsi="Arial" w:cs="Arial"/>
          <w:color w:val="auto"/>
          <w:sz w:val="22"/>
          <w:szCs w:val="22"/>
        </w:rPr>
        <w:t>Vespignani</w:t>
      </w:r>
      <w:proofErr w:type="spellEnd"/>
      <w:r w:rsidRPr="00BC7D84">
        <w:rPr>
          <w:rFonts w:ascii="Arial" w:eastAsiaTheme="minorHAnsi" w:hAnsi="Arial" w:cs="Arial"/>
          <w:color w:val="auto"/>
          <w:sz w:val="22"/>
          <w:szCs w:val="22"/>
        </w:rPr>
        <w:t>, 2020).</w:t>
      </w:r>
      <w:bookmarkEnd w:id="2"/>
      <w:bookmarkEnd w:id="3"/>
    </w:p>
    <w:p w14:paraId="191DE064" w14:textId="77777777" w:rsidR="00BC7D84" w:rsidRPr="00BC7D84" w:rsidRDefault="00BC7D84" w:rsidP="00BC7D84">
      <w:pPr>
        <w:pStyle w:val="Heading1"/>
        <w:spacing w:line="360" w:lineRule="auto"/>
        <w:jc w:val="both"/>
        <w:rPr>
          <w:rFonts w:ascii="Arial" w:eastAsiaTheme="minorHAnsi" w:hAnsi="Arial" w:cs="Arial"/>
          <w:color w:val="auto"/>
          <w:sz w:val="22"/>
          <w:szCs w:val="22"/>
        </w:rPr>
      </w:pPr>
      <w:bookmarkStart w:id="4" w:name="_Toc131768104"/>
      <w:bookmarkStart w:id="5" w:name="_Toc131768160"/>
      <w:r w:rsidRPr="00BC7D84">
        <w:rPr>
          <w:rFonts w:ascii="Arial" w:eastAsiaTheme="minorHAnsi" w:hAnsi="Arial" w:cs="Arial"/>
          <w:color w:val="auto"/>
          <w:sz w:val="22"/>
          <w:szCs w:val="22"/>
        </w:rPr>
        <w:t>In the UK, the incidence of COVID-19 has also varied over time. At the height of the pandemic in early 2021, the country was experiencing tens of thousands of cases and hundreds of deaths per day. However, with the introduction of effective vaccines and public health measures, COVID-19 has decreased significantly. As of April 2023, the UK is experiencing a relatively low incidence of COVID-19, with a few thousand cases per day and relatively few deaths (</w:t>
      </w:r>
      <w:proofErr w:type="spellStart"/>
      <w:r w:rsidRPr="00BC7D84">
        <w:rPr>
          <w:rFonts w:ascii="Arial" w:eastAsiaTheme="minorHAnsi" w:hAnsi="Arial" w:cs="Arial"/>
          <w:color w:val="auto"/>
          <w:sz w:val="22"/>
          <w:szCs w:val="22"/>
        </w:rPr>
        <w:t>Chinazzi</w:t>
      </w:r>
      <w:proofErr w:type="spellEnd"/>
      <w:r w:rsidRPr="00BC7D84">
        <w:rPr>
          <w:rFonts w:ascii="Arial" w:eastAsiaTheme="minorHAnsi" w:hAnsi="Arial" w:cs="Arial"/>
          <w:color w:val="auto"/>
          <w:sz w:val="22"/>
          <w:szCs w:val="22"/>
        </w:rPr>
        <w:t xml:space="preserve"> &amp; </w:t>
      </w:r>
      <w:proofErr w:type="spellStart"/>
      <w:r w:rsidRPr="00BC7D84">
        <w:rPr>
          <w:rFonts w:ascii="Arial" w:eastAsiaTheme="minorHAnsi" w:hAnsi="Arial" w:cs="Arial"/>
          <w:color w:val="auto"/>
          <w:sz w:val="22"/>
          <w:szCs w:val="22"/>
        </w:rPr>
        <w:t>Vespignani</w:t>
      </w:r>
      <w:proofErr w:type="spellEnd"/>
      <w:r w:rsidRPr="00BC7D84">
        <w:rPr>
          <w:rFonts w:ascii="Arial" w:eastAsiaTheme="minorHAnsi" w:hAnsi="Arial" w:cs="Arial"/>
          <w:color w:val="auto"/>
          <w:sz w:val="22"/>
          <w:szCs w:val="22"/>
        </w:rPr>
        <w:t>, 2020).</w:t>
      </w:r>
      <w:bookmarkEnd w:id="4"/>
      <w:bookmarkEnd w:id="5"/>
    </w:p>
    <w:p w14:paraId="77202278" w14:textId="77777777" w:rsidR="00BC7D84" w:rsidRPr="00BC7D84" w:rsidRDefault="00BC7D84" w:rsidP="00BC7D84">
      <w:pPr>
        <w:pStyle w:val="Heading1"/>
        <w:spacing w:line="360" w:lineRule="auto"/>
        <w:jc w:val="both"/>
        <w:rPr>
          <w:rFonts w:ascii="Arial" w:eastAsiaTheme="minorHAnsi" w:hAnsi="Arial" w:cs="Arial"/>
          <w:color w:val="auto"/>
          <w:sz w:val="22"/>
          <w:szCs w:val="22"/>
        </w:rPr>
      </w:pPr>
      <w:bookmarkStart w:id="6" w:name="_Toc131768105"/>
      <w:bookmarkStart w:id="7" w:name="_Toc131768161"/>
      <w:r w:rsidRPr="00BC7D84">
        <w:rPr>
          <w:rFonts w:ascii="Arial" w:eastAsiaTheme="minorHAnsi" w:hAnsi="Arial" w:cs="Arial"/>
          <w:color w:val="auto"/>
          <w:sz w:val="22"/>
          <w:szCs w:val="22"/>
        </w:rPr>
        <w:t>It is essential to mention that different issues can affect the incidence of COVID-19, including vaccination rates, public health measures, and the emergence of new virus variants. As such, it's essential to monitor these levels carefully and take appropriate action to prevent the further spread of the disease.</w:t>
      </w:r>
      <w:bookmarkEnd w:id="6"/>
      <w:bookmarkEnd w:id="7"/>
    </w:p>
    <w:p w14:paraId="1B9CC523" w14:textId="3B486B2E" w:rsidR="00873146" w:rsidRPr="00376AA2" w:rsidRDefault="00B84EAC" w:rsidP="00B84EAC">
      <w:pPr>
        <w:pStyle w:val="Heading1"/>
        <w:jc w:val="both"/>
        <w:rPr>
          <w:rFonts w:ascii="Arial" w:hAnsi="Arial" w:cs="Arial"/>
          <w:b/>
          <w:bCs/>
          <w:color w:val="auto"/>
        </w:rPr>
      </w:pPr>
      <w:bookmarkStart w:id="8" w:name="_Toc131768162"/>
      <w:r w:rsidRPr="00376AA2">
        <w:rPr>
          <w:rFonts w:ascii="Arial" w:hAnsi="Arial" w:cs="Arial"/>
          <w:b/>
          <w:bCs/>
          <w:color w:val="auto"/>
        </w:rPr>
        <w:t>The He</w:t>
      </w:r>
      <w:r w:rsidR="0055738B" w:rsidRPr="00376AA2">
        <w:rPr>
          <w:rFonts w:ascii="Arial" w:hAnsi="Arial" w:cs="Arial"/>
          <w:b/>
          <w:bCs/>
          <w:color w:val="auto"/>
        </w:rPr>
        <w:t>alth Measures for the Public</w:t>
      </w:r>
      <w:r w:rsidRPr="00376AA2">
        <w:rPr>
          <w:rFonts w:ascii="Arial" w:hAnsi="Arial" w:cs="Arial"/>
          <w:b/>
          <w:bCs/>
          <w:color w:val="auto"/>
        </w:rPr>
        <w:t xml:space="preserve"> That Are Available for COVID -19</w:t>
      </w:r>
      <w:bookmarkEnd w:id="8"/>
      <w:r w:rsidRPr="00376AA2">
        <w:rPr>
          <w:rFonts w:ascii="Arial" w:hAnsi="Arial" w:cs="Arial"/>
          <w:b/>
          <w:bCs/>
          <w:color w:val="auto"/>
        </w:rPr>
        <w:t xml:space="preserve"> </w:t>
      </w:r>
    </w:p>
    <w:p w14:paraId="22A370E0" w14:textId="77777777" w:rsidR="00AC76AD" w:rsidRPr="00376AA2" w:rsidRDefault="00AC76AD" w:rsidP="00AC76AD">
      <w:pPr>
        <w:spacing w:line="360" w:lineRule="auto"/>
        <w:jc w:val="both"/>
        <w:rPr>
          <w:rFonts w:ascii="Arial" w:hAnsi="Arial" w:cs="Arial"/>
          <w:lang w:val="en-GB"/>
        </w:rPr>
      </w:pPr>
    </w:p>
    <w:p w14:paraId="0DF482AD" w14:textId="77777777" w:rsidR="00BC7D84" w:rsidRPr="00BC7D84" w:rsidRDefault="00BC7D84" w:rsidP="00BC7D84">
      <w:pPr>
        <w:spacing w:after="0"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color w:val="0E101A"/>
          <w:sz w:val="24"/>
          <w:szCs w:val="24"/>
        </w:rPr>
        <w:t>The UK government has implemented various public measures to control the effect of COVID-19 since the start of the pandemic. These measures have been adjusted over time in response to changing circumstances, such as new virus variants and changing incidence levels.</w:t>
      </w:r>
    </w:p>
    <w:p w14:paraId="7845E88F" w14:textId="77777777" w:rsidR="00BC7D84" w:rsidRPr="00BC7D84" w:rsidRDefault="00BC7D84" w:rsidP="00BC7D84">
      <w:pPr>
        <w:spacing w:after="0"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b/>
          <w:bCs/>
          <w:color w:val="0E101A"/>
          <w:sz w:val="24"/>
          <w:szCs w:val="24"/>
        </w:rPr>
        <w:t>Some of the critical public measures implemented in the UK include:</w:t>
      </w:r>
    </w:p>
    <w:p w14:paraId="2CF79B41" w14:textId="77777777" w:rsidR="00BC7D84" w:rsidRPr="00BC7D84" w:rsidRDefault="00BC7D84" w:rsidP="00BC7D84">
      <w:pPr>
        <w:spacing w:after="0"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b/>
          <w:bCs/>
          <w:color w:val="0E101A"/>
          <w:sz w:val="24"/>
          <w:szCs w:val="24"/>
        </w:rPr>
        <w:lastRenderedPageBreak/>
        <w:t>Vaccination:</w:t>
      </w:r>
      <w:r w:rsidRPr="00BC7D84">
        <w:rPr>
          <w:rFonts w:ascii="Times New Roman" w:eastAsia="Times New Roman" w:hAnsi="Times New Roman" w:cs="Times New Roman"/>
          <w:color w:val="0E101A"/>
          <w:sz w:val="24"/>
          <w:szCs w:val="24"/>
        </w:rPr>
        <w:t> The UK government has implemented a robust vaccination program, which has been highly successful in reducing the incidence of COVID-19. As of April 2023, over 90% of the adult population has received at least one dose of the vaccine, and over 80% have received two doses (</w:t>
      </w:r>
      <w:proofErr w:type="spellStart"/>
      <w:r w:rsidRPr="00BC7D84">
        <w:rPr>
          <w:rFonts w:ascii="Times New Roman" w:eastAsia="Times New Roman" w:hAnsi="Times New Roman" w:cs="Times New Roman"/>
          <w:color w:val="0E101A"/>
          <w:sz w:val="24"/>
          <w:szCs w:val="24"/>
        </w:rPr>
        <w:t>Chinazzi</w:t>
      </w:r>
      <w:proofErr w:type="spellEnd"/>
      <w:r w:rsidRPr="00BC7D84">
        <w:rPr>
          <w:rFonts w:ascii="Times New Roman" w:eastAsia="Times New Roman" w:hAnsi="Times New Roman" w:cs="Times New Roman"/>
          <w:color w:val="0E101A"/>
          <w:sz w:val="24"/>
          <w:szCs w:val="24"/>
        </w:rPr>
        <w:t xml:space="preserve"> &amp; </w:t>
      </w:r>
      <w:proofErr w:type="spellStart"/>
      <w:r w:rsidRPr="00BC7D84">
        <w:rPr>
          <w:rFonts w:ascii="Times New Roman" w:eastAsia="Times New Roman" w:hAnsi="Times New Roman" w:cs="Times New Roman"/>
          <w:color w:val="0E101A"/>
          <w:sz w:val="24"/>
          <w:szCs w:val="24"/>
        </w:rPr>
        <w:t>Vespignani</w:t>
      </w:r>
      <w:proofErr w:type="spellEnd"/>
      <w:r w:rsidRPr="00BC7D84">
        <w:rPr>
          <w:rFonts w:ascii="Times New Roman" w:eastAsia="Times New Roman" w:hAnsi="Times New Roman" w:cs="Times New Roman"/>
          <w:color w:val="0E101A"/>
          <w:sz w:val="24"/>
          <w:szCs w:val="24"/>
        </w:rPr>
        <w:t>, 2020).</w:t>
      </w:r>
    </w:p>
    <w:p w14:paraId="320BD645" w14:textId="77777777" w:rsidR="00BC7D84" w:rsidRPr="00BC7D84" w:rsidRDefault="00BC7D84" w:rsidP="00BC7D84">
      <w:pPr>
        <w:spacing w:after="0"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b/>
          <w:bCs/>
          <w:color w:val="0E101A"/>
          <w:sz w:val="24"/>
          <w:szCs w:val="24"/>
        </w:rPr>
        <w:t>Testing:</w:t>
      </w:r>
      <w:r w:rsidRPr="00BC7D84">
        <w:rPr>
          <w:rFonts w:ascii="Times New Roman" w:eastAsia="Times New Roman" w:hAnsi="Times New Roman" w:cs="Times New Roman"/>
          <w:color w:val="0E101A"/>
          <w:sz w:val="24"/>
          <w:szCs w:val="24"/>
        </w:rPr>
        <w:t> The UK government has implemented a testing program to identify cases of COVID-19 and prevent the further spread of the disease. Testing is free for anyone with symptoms of COVID-19, and rapid lateral flow tests are available for everyone in England (</w:t>
      </w:r>
      <w:proofErr w:type="spellStart"/>
      <w:r w:rsidRPr="00BC7D84">
        <w:rPr>
          <w:rFonts w:ascii="Times New Roman" w:eastAsia="Times New Roman" w:hAnsi="Times New Roman" w:cs="Times New Roman"/>
          <w:color w:val="0E101A"/>
          <w:sz w:val="24"/>
          <w:szCs w:val="24"/>
        </w:rPr>
        <w:t>Gostin</w:t>
      </w:r>
      <w:proofErr w:type="spellEnd"/>
      <w:r w:rsidRPr="00BC7D84">
        <w:rPr>
          <w:rFonts w:ascii="Times New Roman" w:eastAsia="Times New Roman" w:hAnsi="Times New Roman" w:cs="Times New Roman"/>
          <w:color w:val="0E101A"/>
          <w:sz w:val="24"/>
          <w:szCs w:val="24"/>
        </w:rPr>
        <w:t xml:space="preserve"> &amp; Wiley, 2020).</w:t>
      </w:r>
    </w:p>
    <w:p w14:paraId="0B27DDC0" w14:textId="77777777" w:rsidR="00BC7D84" w:rsidRPr="00BC7D84" w:rsidRDefault="00BC7D84" w:rsidP="00BC7D84">
      <w:pPr>
        <w:spacing w:after="0"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b/>
          <w:bCs/>
          <w:color w:val="0E101A"/>
          <w:sz w:val="24"/>
          <w:szCs w:val="24"/>
        </w:rPr>
        <w:t>Isolation and quarantine:</w:t>
      </w:r>
      <w:r w:rsidRPr="00BC7D84">
        <w:rPr>
          <w:rFonts w:ascii="Times New Roman" w:eastAsia="Times New Roman" w:hAnsi="Times New Roman" w:cs="Times New Roman"/>
          <w:color w:val="0E101A"/>
          <w:sz w:val="24"/>
          <w:szCs w:val="24"/>
        </w:rPr>
        <w:t xml:space="preserve"> When the COVID-19 pandemic was ongoing, people affected by this disease had to be isolated to avoid close contact with others. As a safety period, they had to stay isolated for at least 10 days. </w:t>
      </w:r>
      <w:proofErr w:type="spellStart"/>
      <w:r w:rsidRPr="00BC7D84">
        <w:rPr>
          <w:rFonts w:ascii="Times New Roman" w:eastAsia="Times New Roman" w:hAnsi="Times New Roman" w:cs="Times New Roman"/>
          <w:color w:val="0E101A"/>
          <w:sz w:val="24"/>
          <w:szCs w:val="24"/>
        </w:rPr>
        <w:t>Travellers</w:t>
      </w:r>
      <w:proofErr w:type="spellEnd"/>
      <w:r w:rsidRPr="00BC7D84">
        <w:rPr>
          <w:rFonts w:ascii="Times New Roman" w:eastAsia="Times New Roman" w:hAnsi="Times New Roman" w:cs="Times New Roman"/>
          <w:color w:val="0E101A"/>
          <w:sz w:val="24"/>
          <w:szCs w:val="24"/>
        </w:rPr>
        <w:t xml:space="preserve"> entering the UK from certain countries must quarantine for 10 days (</w:t>
      </w:r>
      <w:proofErr w:type="spellStart"/>
      <w:r w:rsidRPr="00BC7D84">
        <w:rPr>
          <w:rFonts w:ascii="Times New Roman" w:eastAsia="Times New Roman" w:hAnsi="Times New Roman" w:cs="Times New Roman"/>
          <w:color w:val="0E101A"/>
          <w:sz w:val="24"/>
          <w:szCs w:val="24"/>
        </w:rPr>
        <w:t>Gostin</w:t>
      </w:r>
      <w:proofErr w:type="spellEnd"/>
      <w:r w:rsidRPr="00BC7D84">
        <w:rPr>
          <w:rFonts w:ascii="Times New Roman" w:eastAsia="Times New Roman" w:hAnsi="Times New Roman" w:cs="Times New Roman"/>
          <w:color w:val="0E101A"/>
          <w:sz w:val="24"/>
          <w:szCs w:val="24"/>
        </w:rPr>
        <w:t xml:space="preserve"> &amp; Wiley, 2020).</w:t>
      </w:r>
    </w:p>
    <w:p w14:paraId="1372C992" w14:textId="77777777" w:rsidR="00BC7D84" w:rsidRPr="00BC7D84" w:rsidRDefault="00BC7D84" w:rsidP="00BC7D84">
      <w:pPr>
        <w:spacing w:after="0"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b/>
          <w:bCs/>
          <w:color w:val="0E101A"/>
          <w:sz w:val="24"/>
          <w:szCs w:val="24"/>
        </w:rPr>
        <w:t>Face coverings:</w:t>
      </w:r>
      <w:r w:rsidRPr="00BC7D84">
        <w:rPr>
          <w:rFonts w:ascii="Times New Roman" w:eastAsia="Times New Roman" w:hAnsi="Times New Roman" w:cs="Times New Roman"/>
          <w:color w:val="0E101A"/>
          <w:sz w:val="24"/>
          <w:szCs w:val="24"/>
        </w:rPr>
        <w:t> There was a particular law about covering the face with face masks in indoor settings such as public buses, cars, or markets where people gather to shop. However, the requirement to wear face coverings has been relaxed in some circumstances in response to decreasing incidence levels.</w:t>
      </w:r>
    </w:p>
    <w:p w14:paraId="35ABB012" w14:textId="77777777" w:rsidR="00BC7D84" w:rsidRPr="00BC7D84" w:rsidRDefault="00BC7D84" w:rsidP="00BC7D84">
      <w:pPr>
        <w:spacing w:after="0"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b/>
          <w:bCs/>
          <w:color w:val="0E101A"/>
          <w:sz w:val="24"/>
          <w:szCs w:val="24"/>
        </w:rPr>
        <w:t>Social distancing:</w:t>
      </w:r>
      <w:r w:rsidRPr="00BC7D84">
        <w:rPr>
          <w:rFonts w:ascii="Times New Roman" w:eastAsia="Times New Roman" w:hAnsi="Times New Roman" w:cs="Times New Roman"/>
          <w:color w:val="0E101A"/>
          <w:sz w:val="24"/>
          <w:szCs w:val="24"/>
        </w:rPr>
        <w:t> Social distancing measures have been implemented in various settings, such as workplaces and schools, to stop the spread of COVID-19. However, the government has relaxed some social distancing measures in response to decreasing levels of incidence (World Health Organization, 2020).</w:t>
      </w:r>
    </w:p>
    <w:p w14:paraId="168E67B3" w14:textId="77777777" w:rsidR="00BC7D84" w:rsidRPr="00BC7D84" w:rsidRDefault="00BC7D84" w:rsidP="00BC7D84">
      <w:pPr>
        <w:spacing w:after="0"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b/>
          <w:bCs/>
          <w:color w:val="0E101A"/>
          <w:sz w:val="24"/>
          <w:szCs w:val="24"/>
        </w:rPr>
        <w:t>COVID-19 certification:</w:t>
      </w:r>
      <w:r w:rsidRPr="00BC7D84">
        <w:rPr>
          <w:rFonts w:ascii="Times New Roman" w:eastAsia="Times New Roman" w:hAnsi="Times New Roman" w:cs="Times New Roman"/>
          <w:color w:val="0E101A"/>
          <w:sz w:val="24"/>
          <w:szCs w:val="24"/>
        </w:rPr>
        <w:t> In some settings, such as nightclubs and significant events, COVID-19 certification is required to demonstrate that individuals should have taken the vaccine or should be tested negative for COVID-19 (World Health Organization, 2020).</w:t>
      </w:r>
    </w:p>
    <w:p w14:paraId="702D0A9A" w14:textId="77777777" w:rsidR="00BC7D84" w:rsidRPr="00BC7D84" w:rsidRDefault="00BC7D84" w:rsidP="00BC7D84">
      <w:pPr>
        <w:spacing w:after="0"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b/>
          <w:bCs/>
          <w:color w:val="0E101A"/>
          <w:sz w:val="24"/>
          <w:szCs w:val="24"/>
        </w:rPr>
        <w:t>Work from home:</w:t>
      </w:r>
      <w:r w:rsidRPr="00BC7D84">
        <w:rPr>
          <w:rFonts w:ascii="Times New Roman" w:eastAsia="Times New Roman" w:hAnsi="Times New Roman" w:cs="Times New Roman"/>
          <w:color w:val="0E101A"/>
          <w:sz w:val="24"/>
          <w:szCs w:val="24"/>
        </w:rPr>
        <w:t> The government has encouraged people to work from home to reduce the number of people in workplaces and prevent people from being affected by this disease (World Health Organization, 2020).</w:t>
      </w:r>
    </w:p>
    <w:p w14:paraId="0AFCA837" w14:textId="77777777" w:rsidR="00BC7D84" w:rsidRPr="00BC7D84" w:rsidRDefault="00BC7D84" w:rsidP="00BC7D84">
      <w:pPr>
        <w:spacing w:after="0"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color w:val="0E101A"/>
          <w:sz w:val="24"/>
          <w:szCs w:val="24"/>
        </w:rPr>
        <w:t>These public measures have had a significant impact on controlling the spread of COVID-19 in the UK. However, the government continues to monitor the situation closely and may adjust these measures as needed in response to changing circumstances.</w:t>
      </w:r>
    </w:p>
    <w:p w14:paraId="28A7D9FB" w14:textId="77777777" w:rsidR="00AC76AD" w:rsidRPr="00B92097" w:rsidRDefault="00AC76AD" w:rsidP="00AC76AD">
      <w:pPr>
        <w:spacing w:line="360" w:lineRule="auto"/>
        <w:jc w:val="both"/>
        <w:rPr>
          <w:rFonts w:ascii="Arial" w:hAnsi="Arial" w:cs="Arial"/>
        </w:rPr>
      </w:pPr>
    </w:p>
    <w:p w14:paraId="2E38F995" w14:textId="77777777" w:rsidR="006D440E" w:rsidRDefault="006D440E" w:rsidP="00AC76AD">
      <w:pPr>
        <w:spacing w:line="360" w:lineRule="auto"/>
        <w:jc w:val="both"/>
        <w:rPr>
          <w:rFonts w:ascii="Arial" w:eastAsia="Times New Roman" w:hAnsi="Arial" w:cs="Arial"/>
          <w:color w:val="0E101A"/>
        </w:rPr>
      </w:pPr>
    </w:p>
    <w:p w14:paraId="500F0E0D" w14:textId="77777777" w:rsidR="00BC7D84" w:rsidRPr="00BC7D84" w:rsidRDefault="00BC7D84" w:rsidP="00BC7D84">
      <w:pPr>
        <w:spacing w:after="0"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color w:val="0E101A"/>
          <w:sz w:val="24"/>
          <w:szCs w:val="24"/>
        </w:rPr>
        <w:lastRenderedPageBreak/>
        <w:t>Several risk factors for this disease in the UK can be broadly categorized into individual-level, community-level, and systemic factors. Understanding these risk factors is crucial for developing effective public health strategies to control the spread of COVID-19.</w:t>
      </w:r>
    </w:p>
    <w:p w14:paraId="6C9AEB7A" w14:textId="77777777" w:rsidR="00BC7D84" w:rsidRPr="00BC7D84" w:rsidRDefault="00BC7D84" w:rsidP="00BC7D84">
      <w:pPr>
        <w:spacing w:after="0"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b/>
          <w:bCs/>
          <w:color w:val="0E101A"/>
          <w:sz w:val="24"/>
          <w:szCs w:val="24"/>
        </w:rPr>
        <w:t>Individual-Level Factors</w:t>
      </w:r>
    </w:p>
    <w:p w14:paraId="0E489099" w14:textId="77777777" w:rsidR="00BC7D84" w:rsidRPr="00BC7D84" w:rsidRDefault="00BC7D84" w:rsidP="00BC7D84">
      <w:pPr>
        <w:spacing w:after="0"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b/>
          <w:bCs/>
          <w:color w:val="0E101A"/>
          <w:sz w:val="24"/>
          <w:szCs w:val="24"/>
        </w:rPr>
        <w:t>Age:</w:t>
      </w:r>
      <w:r w:rsidRPr="00BC7D84">
        <w:rPr>
          <w:rFonts w:ascii="Times New Roman" w:eastAsia="Times New Roman" w:hAnsi="Times New Roman" w:cs="Times New Roman"/>
          <w:color w:val="0E101A"/>
          <w:sz w:val="24"/>
          <w:szCs w:val="24"/>
        </w:rPr>
        <w:t> People who are old age are at a higher risk of affecting by COVID-19. Individuals over 60, especially those over 80, are at the most significant risk.</w:t>
      </w:r>
    </w:p>
    <w:p w14:paraId="10DFF901" w14:textId="77777777" w:rsidR="00BC7D84" w:rsidRPr="00BC7D84" w:rsidRDefault="00BC7D84" w:rsidP="00BC7D84">
      <w:pPr>
        <w:spacing w:after="0"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b/>
          <w:bCs/>
          <w:color w:val="0E101A"/>
          <w:sz w:val="24"/>
          <w:szCs w:val="24"/>
        </w:rPr>
        <w:t>Sex:</w:t>
      </w:r>
      <w:r w:rsidRPr="00BC7D84">
        <w:rPr>
          <w:rFonts w:ascii="Times New Roman" w:eastAsia="Times New Roman" w:hAnsi="Times New Roman" w:cs="Times New Roman"/>
          <w:color w:val="0E101A"/>
          <w:sz w:val="24"/>
          <w:szCs w:val="24"/>
        </w:rPr>
        <w:t> Men have a higher risk of being affected by this disease, and they are at risk of severe illness and death (Guan, Liang &amp; Du, 2020).</w:t>
      </w:r>
    </w:p>
    <w:p w14:paraId="7B605069" w14:textId="77777777" w:rsidR="00BC7D84" w:rsidRPr="00BC7D84" w:rsidRDefault="00BC7D84" w:rsidP="00BC7D84">
      <w:pPr>
        <w:spacing w:after="0"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b/>
          <w:bCs/>
          <w:color w:val="0E101A"/>
          <w:sz w:val="24"/>
          <w:szCs w:val="24"/>
        </w:rPr>
        <w:t>Underlying health conditions:</w:t>
      </w:r>
      <w:r w:rsidRPr="00BC7D84">
        <w:rPr>
          <w:rFonts w:ascii="Times New Roman" w:eastAsia="Times New Roman" w:hAnsi="Times New Roman" w:cs="Times New Roman"/>
          <w:color w:val="0E101A"/>
          <w:sz w:val="24"/>
          <w:szCs w:val="24"/>
        </w:rPr>
        <w:t> People with different health issues, such as obesity, diabetes, and heart disease, have a greater risk of being sick and dying from COVID-19.</w:t>
      </w:r>
    </w:p>
    <w:p w14:paraId="38F9BD10" w14:textId="77777777" w:rsidR="00BC7D84" w:rsidRPr="00BC7D84" w:rsidRDefault="00BC7D84" w:rsidP="00BC7D84">
      <w:pPr>
        <w:spacing w:after="0"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b/>
          <w:bCs/>
          <w:color w:val="0E101A"/>
          <w:sz w:val="24"/>
          <w:szCs w:val="24"/>
        </w:rPr>
        <w:t>Immune status:</w:t>
      </w:r>
      <w:r w:rsidRPr="00BC7D84">
        <w:rPr>
          <w:rFonts w:ascii="Times New Roman" w:eastAsia="Times New Roman" w:hAnsi="Times New Roman" w:cs="Times New Roman"/>
          <w:color w:val="0E101A"/>
          <w:sz w:val="24"/>
          <w:szCs w:val="24"/>
        </w:rPr>
        <w:t> Individuals with weakened immune systems, such as those undergoing cancer treatment, face more risk of being affected by the disease and death from COVID-19 (Guan, Liang &amp; Du, 2020).</w:t>
      </w:r>
    </w:p>
    <w:p w14:paraId="5FD6DE76" w14:textId="77777777" w:rsidR="00BC7D84" w:rsidRPr="00BC7D84" w:rsidRDefault="00BC7D84" w:rsidP="00BC7D84">
      <w:pPr>
        <w:spacing w:after="0"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b/>
          <w:bCs/>
          <w:color w:val="0E101A"/>
          <w:sz w:val="24"/>
          <w:szCs w:val="24"/>
        </w:rPr>
        <w:t>Vaccination status:</w:t>
      </w:r>
      <w:r w:rsidRPr="00BC7D84">
        <w:rPr>
          <w:rFonts w:ascii="Times New Roman" w:eastAsia="Times New Roman" w:hAnsi="Times New Roman" w:cs="Times New Roman"/>
          <w:color w:val="0E101A"/>
          <w:sz w:val="24"/>
          <w:szCs w:val="24"/>
        </w:rPr>
        <w:t> Individuals who have not been vaccinated against COVID-19 have more risk of contracting the disease and developing severe illness.</w:t>
      </w:r>
    </w:p>
    <w:p w14:paraId="512131ED" w14:textId="77777777" w:rsidR="00BC7D84" w:rsidRPr="00BC7D84" w:rsidRDefault="00BC7D84" w:rsidP="00BC7D84">
      <w:pPr>
        <w:spacing w:after="0"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b/>
          <w:bCs/>
          <w:color w:val="0E101A"/>
          <w:sz w:val="24"/>
          <w:szCs w:val="24"/>
        </w:rPr>
        <w:t>Community-Level Factors</w:t>
      </w:r>
    </w:p>
    <w:p w14:paraId="018541DE" w14:textId="77777777" w:rsidR="00BC7D84" w:rsidRPr="00BC7D84" w:rsidRDefault="00BC7D84" w:rsidP="00BC7D84">
      <w:pPr>
        <w:spacing w:after="0"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b/>
          <w:bCs/>
          <w:color w:val="0E101A"/>
          <w:sz w:val="24"/>
          <w:szCs w:val="24"/>
        </w:rPr>
        <w:t>The density of population:</w:t>
      </w:r>
      <w:r w:rsidRPr="00BC7D84">
        <w:rPr>
          <w:rFonts w:ascii="Times New Roman" w:eastAsia="Times New Roman" w:hAnsi="Times New Roman" w:cs="Times New Roman"/>
          <w:color w:val="0E101A"/>
          <w:sz w:val="24"/>
          <w:szCs w:val="24"/>
        </w:rPr>
        <w:t> Places that have high population density areas are facing a higher risk of illness and death from COVID-19 transmission due to increased person-to-person contact.</w:t>
      </w:r>
    </w:p>
    <w:p w14:paraId="703CA348" w14:textId="77777777" w:rsidR="00BC7D84" w:rsidRPr="00BC7D84" w:rsidRDefault="00BC7D84" w:rsidP="00BC7D84">
      <w:pPr>
        <w:spacing w:after="0"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b/>
          <w:bCs/>
          <w:color w:val="0E101A"/>
          <w:sz w:val="24"/>
          <w:szCs w:val="24"/>
        </w:rPr>
        <w:t>Deprivation:</w:t>
      </w:r>
      <w:r w:rsidRPr="00BC7D84">
        <w:rPr>
          <w:rFonts w:ascii="Times New Roman" w:eastAsia="Times New Roman" w:hAnsi="Times New Roman" w:cs="Times New Roman"/>
          <w:color w:val="0E101A"/>
          <w:sz w:val="24"/>
          <w:szCs w:val="24"/>
        </w:rPr>
        <w:t> Areas with higher levels of deprivation, such as poverty and unemployment, are at higher risk of COVID-19 transmission due to underlying health inequalities and higher rates of underlying health conditions (</w:t>
      </w:r>
      <w:proofErr w:type="spellStart"/>
      <w:r w:rsidRPr="00BC7D84">
        <w:rPr>
          <w:rFonts w:ascii="Times New Roman" w:eastAsia="Times New Roman" w:hAnsi="Times New Roman" w:cs="Times New Roman"/>
          <w:color w:val="0E101A"/>
          <w:sz w:val="24"/>
          <w:szCs w:val="24"/>
        </w:rPr>
        <w:t>Grasselli</w:t>
      </w:r>
      <w:proofErr w:type="spellEnd"/>
      <w:r w:rsidRPr="00BC7D84">
        <w:rPr>
          <w:rFonts w:ascii="Times New Roman" w:eastAsia="Times New Roman" w:hAnsi="Times New Roman" w:cs="Times New Roman"/>
          <w:color w:val="0E101A"/>
          <w:sz w:val="24"/>
          <w:szCs w:val="24"/>
        </w:rPr>
        <w:t xml:space="preserve"> &amp; Langer, 2020).</w:t>
      </w:r>
    </w:p>
    <w:p w14:paraId="615105DB" w14:textId="77777777" w:rsidR="00BC7D84" w:rsidRPr="00BC7D84" w:rsidRDefault="00BC7D84" w:rsidP="00BC7D84">
      <w:pPr>
        <w:spacing w:after="0"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b/>
          <w:bCs/>
          <w:color w:val="0E101A"/>
          <w:sz w:val="24"/>
          <w:szCs w:val="24"/>
        </w:rPr>
        <w:t>Ethnicity:</w:t>
      </w:r>
      <w:r w:rsidRPr="00BC7D84">
        <w:rPr>
          <w:rFonts w:ascii="Times New Roman" w:eastAsia="Times New Roman" w:hAnsi="Times New Roman" w:cs="Times New Roman"/>
          <w:color w:val="0E101A"/>
          <w:sz w:val="24"/>
          <w:szCs w:val="24"/>
        </w:rPr>
        <w:t> Ethnic minorities face a higher risk of being affected and dying from COVID-19 due to underlying health inequalities and higher rates of underlying health conditions.</w:t>
      </w:r>
    </w:p>
    <w:p w14:paraId="7C5A7BCB" w14:textId="77777777" w:rsidR="00BC7D84" w:rsidRPr="00BC7D84" w:rsidRDefault="00BC7D84" w:rsidP="00BC7D84">
      <w:pPr>
        <w:spacing w:after="0"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b/>
          <w:bCs/>
          <w:color w:val="0E101A"/>
          <w:sz w:val="24"/>
          <w:szCs w:val="24"/>
        </w:rPr>
        <w:t>Household composition:</w:t>
      </w:r>
      <w:r w:rsidRPr="00BC7D84">
        <w:rPr>
          <w:rFonts w:ascii="Times New Roman" w:eastAsia="Times New Roman" w:hAnsi="Times New Roman" w:cs="Times New Roman"/>
          <w:color w:val="0E101A"/>
          <w:sz w:val="24"/>
          <w:szCs w:val="24"/>
        </w:rPr>
        <w:t> Individuals living in crowded or multigenerational households are at higher risk of COVID-19 transmission (</w:t>
      </w:r>
      <w:proofErr w:type="spellStart"/>
      <w:r w:rsidRPr="00BC7D84">
        <w:rPr>
          <w:rFonts w:ascii="Times New Roman" w:eastAsia="Times New Roman" w:hAnsi="Times New Roman" w:cs="Times New Roman"/>
          <w:color w:val="0E101A"/>
          <w:sz w:val="24"/>
          <w:szCs w:val="24"/>
        </w:rPr>
        <w:t>Grasselli</w:t>
      </w:r>
      <w:proofErr w:type="spellEnd"/>
      <w:r w:rsidRPr="00BC7D84">
        <w:rPr>
          <w:rFonts w:ascii="Times New Roman" w:eastAsia="Times New Roman" w:hAnsi="Times New Roman" w:cs="Times New Roman"/>
          <w:color w:val="0E101A"/>
          <w:sz w:val="24"/>
          <w:szCs w:val="24"/>
        </w:rPr>
        <w:t xml:space="preserve"> &amp; Langer, 2020).</w:t>
      </w:r>
    </w:p>
    <w:p w14:paraId="364C27C3" w14:textId="77777777" w:rsidR="00BC7D84" w:rsidRPr="00BC7D84" w:rsidRDefault="00BC7D84" w:rsidP="00BC7D84">
      <w:pPr>
        <w:spacing w:after="0"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b/>
          <w:bCs/>
          <w:color w:val="0E101A"/>
          <w:sz w:val="24"/>
          <w:szCs w:val="24"/>
        </w:rPr>
        <w:t>Systemic Factors</w:t>
      </w:r>
    </w:p>
    <w:p w14:paraId="229E37D6" w14:textId="77777777" w:rsidR="00BC7D84" w:rsidRPr="00BC7D84" w:rsidRDefault="00BC7D84" w:rsidP="00BC7D84">
      <w:pPr>
        <w:spacing w:after="0"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b/>
          <w:bCs/>
          <w:color w:val="0E101A"/>
          <w:sz w:val="24"/>
          <w:szCs w:val="24"/>
        </w:rPr>
        <w:t>Healthcare capacity:</w:t>
      </w:r>
      <w:r w:rsidRPr="00BC7D84">
        <w:rPr>
          <w:rFonts w:ascii="Times New Roman" w:eastAsia="Times New Roman" w:hAnsi="Times New Roman" w:cs="Times New Roman"/>
          <w:color w:val="0E101A"/>
          <w:sz w:val="24"/>
          <w:szCs w:val="24"/>
        </w:rPr>
        <w:t> Areas with lower healthcare capacity, such as fewer hospital beds and healthcare workers, are at higher risk of overwhelming their healthcare system during a COVID-19 outbreak.</w:t>
      </w:r>
    </w:p>
    <w:p w14:paraId="2AD0D7F9" w14:textId="77777777" w:rsidR="00BC7D84" w:rsidRPr="00BC7D84" w:rsidRDefault="00BC7D84" w:rsidP="00BC7D84">
      <w:pPr>
        <w:spacing w:after="0"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b/>
          <w:bCs/>
          <w:color w:val="0E101A"/>
          <w:sz w:val="24"/>
          <w:szCs w:val="24"/>
        </w:rPr>
        <w:lastRenderedPageBreak/>
        <w:t>Public health response:</w:t>
      </w:r>
      <w:r w:rsidRPr="00BC7D84">
        <w:rPr>
          <w:rFonts w:ascii="Times New Roman" w:eastAsia="Times New Roman" w:hAnsi="Times New Roman" w:cs="Times New Roman"/>
          <w:color w:val="0E101A"/>
          <w:sz w:val="24"/>
          <w:szCs w:val="24"/>
        </w:rPr>
        <w:t> Effective measures used for public health care, such as testing, contact tracing, and isolation, are crucial for controlling the spread of COVID-19 (</w:t>
      </w:r>
      <w:proofErr w:type="spellStart"/>
      <w:r w:rsidRPr="00BC7D84">
        <w:rPr>
          <w:rFonts w:ascii="Times New Roman" w:eastAsia="Times New Roman" w:hAnsi="Times New Roman" w:cs="Times New Roman"/>
          <w:color w:val="0E101A"/>
          <w:sz w:val="24"/>
          <w:szCs w:val="24"/>
        </w:rPr>
        <w:t>Grasselli</w:t>
      </w:r>
      <w:proofErr w:type="spellEnd"/>
      <w:r w:rsidRPr="00BC7D84">
        <w:rPr>
          <w:rFonts w:ascii="Times New Roman" w:eastAsia="Times New Roman" w:hAnsi="Times New Roman" w:cs="Times New Roman"/>
          <w:color w:val="0E101A"/>
          <w:sz w:val="24"/>
          <w:szCs w:val="24"/>
        </w:rPr>
        <w:t xml:space="preserve"> &amp; Langer, 2020).</w:t>
      </w:r>
    </w:p>
    <w:p w14:paraId="28FA2D05" w14:textId="77777777" w:rsidR="00BC7D84" w:rsidRPr="00BC7D84" w:rsidRDefault="00BC7D84" w:rsidP="00BC7D84">
      <w:pPr>
        <w:spacing w:after="0"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b/>
          <w:bCs/>
          <w:color w:val="0E101A"/>
          <w:sz w:val="24"/>
          <w:szCs w:val="24"/>
        </w:rPr>
        <w:t>Government policies:</w:t>
      </w:r>
      <w:r w:rsidRPr="00BC7D84">
        <w:rPr>
          <w:rFonts w:ascii="Times New Roman" w:eastAsia="Times New Roman" w:hAnsi="Times New Roman" w:cs="Times New Roman"/>
          <w:color w:val="0E101A"/>
          <w:sz w:val="24"/>
          <w:szCs w:val="24"/>
        </w:rPr>
        <w:t> Government policies, such as lockdowns, mask mandates, and vaccine mandates, can participate an essential role in controlling the spread of COVID-19.</w:t>
      </w:r>
    </w:p>
    <w:p w14:paraId="209DF02F" w14:textId="77777777" w:rsidR="00BC7D84" w:rsidRPr="00BC7D84" w:rsidRDefault="00BC7D84" w:rsidP="00BC7D84">
      <w:pPr>
        <w:spacing w:after="0"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color w:val="0E101A"/>
          <w:sz w:val="24"/>
          <w:szCs w:val="24"/>
        </w:rPr>
        <w:t>It's important to note that these risk factors are interrelated and can reinforce each other. For example, individuals with underlying health issues have more risk of living in deprived areas that pose the risk of being affected by the disease due to higher population density and household composition. Effective public healthcare procedures and strategies must consider these interrelated risk factors to control the spread of COVID-19 (</w:t>
      </w:r>
      <w:proofErr w:type="spellStart"/>
      <w:r w:rsidRPr="00BC7D84">
        <w:rPr>
          <w:rFonts w:ascii="Times New Roman" w:eastAsia="Times New Roman" w:hAnsi="Times New Roman" w:cs="Times New Roman"/>
          <w:color w:val="0E101A"/>
          <w:sz w:val="24"/>
          <w:szCs w:val="24"/>
        </w:rPr>
        <w:t>Grasselli</w:t>
      </w:r>
      <w:proofErr w:type="spellEnd"/>
      <w:r w:rsidRPr="00BC7D84">
        <w:rPr>
          <w:rFonts w:ascii="Times New Roman" w:eastAsia="Times New Roman" w:hAnsi="Times New Roman" w:cs="Times New Roman"/>
          <w:color w:val="0E101A"/>
          <w:sz w:val="24"/>
          <w:szCs w:val="24"/>
        </w:rPr>
        <w:t xml:space="preserve"> &amp; Langer, 2020).</w:t>
      </w:r>
    </w:p>
    <w:p w14:paraId="66140CF8" w14:textId="77777777" w:rsidR="00BC7D84" w:rsidRPr="00BC7D84" w:rsidRDefault="00BC7D84" w:rsidP="00BC7D84">
      <w:pPr>
        <w:spacing w:after="0"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color w:val="0E101A"/>
          <w:sz w:val="24"/>
          <w:szCs w:val="24"/>
        </w:rPr>
        <w:t>In conclusion, the risk factors for COVID-19 in the UK are multifaceted and include individual-level, community-level, and systemic factors. Understanding these risk factors is crucial for developing effective public health strategies to control the spread of COVID-19 and mitigate its impact on individuals and communities (Yancy, 2020).</w:t>
      </w:r>
    </w:p>
    <w:p w14:paraId="010C8246" w14:textId="5A37BE61" w:rsidR="0092637D" w:rsidRPr="00376AA2" w:rsidRDefault="00E21556" w:rsidP="006D440E">
      <w:pPr>
        <w:pStyle w:val="Heading1"/>
        <w:rPr>
          <w:rFonts w:ascii="Arial" w:hAnsi="Arial" w:cs="Arial"/>
          <w:b/>
          <w:bCs/>
          <w:color w:val="auto"/>
        </w:rPr>
      </w:pPr>
      <w:r w:rsidRPr="00376AA2">
        <w:rPr>
          <w:rFonts w:ascii="Arial" w:hAnsi="Arial" w:cs="Arial"/>
          <w:b/>
          <w:bCs/>
          <w:color w:val="auto"/>
        </w:rPr>
        <w:t>The Health and Social Care setting in the UK Associated with Short Term Public Health Consequences</w:t>
      </w:r>
    </w:p>
    <w:p w14:paraId="43D14127" w14:textId="77777777" w:rsidR="0092637D" w:rsidRPr="00376AA2" w:rsidRDefault="0092637D" w:rsidP="0092637D">
      <w:pPr>
        <w:spacing w:line="360" w:lineRule="auto"/>
        <w:jc w:val="both"/>
        <w:rPr>
          <w:rStyle w:val="Strong"/>
          <w:rFonts w:ascii="Arial" w:eastAsia="Times New Roman" w:hAnsi="Arial" w:cs="Arial"/>
          <w:b w:val="0"/>
        </w:rPr>
      </w:pPr>
    </w:p>
    <w:p w14:paraId="59060487" w14:textId="77777777" w:rsidR="00BC7D84" w:rsidRPr="00BC7D84" w:rsidRDefault="00BC7D84" w:rsidP="00BC7D84">
      <w:pPr>
        <w:spacing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color w:val="0E101A"/>
          <w:sz w:val="24"/>
          <w:szCs w:val="24"/>
        </w:rPr>
        <w:t>The short-term public health consequences of COVID-19 in health and social care settings in the UK have been significant. These consequences include increased pressure on healthcare systems, high rates of infection and death among healthcare workers, and the spread of the disease within care homes and other residential settings.</w:t>
      </w:r>
    </w:p>
    <w:p w14:paraId="56E881EA" w14:textId="77777777" w:rsidR="00BC7D84" w:rsidRPr="00BC7D84" w:rsidRDefault="00BC7D84" w:rsidP="00BC7D84">
      <w:pPr>
        <w:spacing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color w:val="0E101A"/>
          <w:sz w:val="24"/>
          <w:szCs w:val="24"/>
        </w:rPr>
        <w:t>One of the most significant short-term consequences of COVID-19 in health and social care settings has been the increased demand for healthcare services. The disease has led to a surge in hospital admissions, particularly among the elderly and those with underlying health conditions. This surge has strained healthcare resources, including hospital beds, medical equipment, and healthcare workers (</w:t>
      </w:r>
      <w:proofErr w:type="spellStart"/>
      <w:r w:rsidRPr="00BC7D84">
        <w:rPr>
          <w:rFonts w:ascii="Times New Roman" w:eastAsia="Times New Roman" w:hAnsi="Times New Roman" w:cs="Times New Roman"/>
          <w:color w:val="0E101A"/>
          <w:sz w:val="24"/>
          <w:szCs w:val="24"/>
        </w:rPr>
        <w:t>Doremalen</w:t>
      </w:r>
      <w:proofErr w:type="spellEnd"/>
      <w:r w:rsidRPr="00BC7D84">
        <w:rPr>
          <w:rFonts w:ascii="Times New Roman" w:eastAsia="Times New Roman" w:hAnsi="Times New Roman" w:cs="Times New Roman"/>
          <w:color w:val="0E101A"/>
          <w:sz w:val="24"/>
          <w:szCs w:val="24"/>
        </w:rPr>
        <w:t xml:space="preserve"> &amp; Lloyd-Smith, 2020).</w:t>
      </w:r>
    </w:p>
    <w:p w14:paraId="30CCC3CD" w14:textId="77777777" w:rsidR="00BC7D84" w:rsidRPr="00BC7D84" w:rsidRDefault="00BC7D84" w:rsidP="00BC7D84">
      <w:pPr>
        <w:spacing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color w:val="0E101A"/>
          <w:sz w:val="24"/>
          <w:szCs w:val="24"/>
        </w:rPr>
        <w:t xml:space="preserve">Another consequence of COVID-19 in health and social care settings has been the high rate of infection and death of people who work in health care. These people have a higher risk of exposure to the virus as they </w:t>
      </w:r>
      <w:proofErr w:type="gramStart"/>
      <w:r w:rsidRPr="00BC7D84">
        <w:rPr>
          <w:rFonts w:ascii="Times New Roman" w:eastAsia="Times New Roman" w:hAnsi="Times New Roman" w:cs="Times New Roman"/>
          <w:color w:val="0E101A"/>
          <w:sz w:val="24"/>
          <w:szCs w:val="24"/>
        </w:rPr>
        <w:t>have to</w:t>
      </w:r>
      <w:proofErr w:type="gramEnd"/>
      <w:r w:rsidRPr="00BC7D84">
        <w:rPr>
          <w:rFonts w:ascii="Times New Roman" w:eastAsia="Times New Roman" w:hAnsi="Times New Roman" w:cs="Times New Roman"/>
          <w:color w:val="0E101A"/>
          <w:sz w:val="24"/>
          <w:szCs w:val="24"/>
        </w:rPr>
        <w:t xml:space="preserve"> maintain close contact with coronavirus patients. This has resulted in staff shortages and increased pressure on the remaining healthcare workers.</w:t>
      </w:r>
    </w:p>
    <w:p w14:paraId="3A80687D" w14:textId="77777777" w:rsidR="00BC7D84" w:rsidRPr="00BC7D84" w:rsidRDefault="00BC7D84" w:rsidP="00BC7D84">
      <w:pPr>
        <w:spacing w:line="360" w:lineRule="auto"/>
        <w:jc w:val="both"/>
        <w:rPr>
          <w:rFonts w:ascii="Times New Roman" w:eastAsia="Times New Roman" w:hAnsi="Times New Roman" w:cs="Times New Roman"/>
          <w:color w:val="0E101A"/>
          <w:sz w:val="24"/>
          <w:szCs w:val="24"/>
        </w:rPr>
      </w:pPr>
      <w:r w:rsidRPr="00BC7D84">
        <w:rPr>
          <w:rFonts w:ascii="Times New Roman" w:eastAsia="Times New Roman" w:hAnsi="Times New Roman" w:cs="Times New Roman"/>
          <w:color w:val="0E101A"/>
          <w:sz w:val="24"/>
          <w:szCs w:val="24"/>
        </w:rPr>
        <w:lastRenderedPageBreak/>
        <w:t>The spread of COVID-19 within care homes and other residential settings has also been a significant public health consequence of the disease. These settings are particularly vulnerable to outbreaks due to the proximity of residents and the difficulty of implementing social distancing measures. The high rates of infection and death within these settings have devastated vulnerable populations, including old age people and those with different health issues (</w:t>
      </w:r>
      <w:proofErr w:type="spellStart"/>
      <w:r w:rsidRPr="00BC7D84">
        <w:rPr>
          <w:rFonts w:ascii="Times New Roman" w:eastAsia="Times New Roman" w:hAnsi="Times New Roman" w:cs="Times New Roman"/>
          <w:color w:val="0E101A"/>
          <w:sz w:val="24"/>
          <w:szCs w:val="24"/>
        </w:rPr>
        <w:t>Doremalen</w:t>
      </w:r>
      <w:proofErr w:type="spellEnd"/>
      <w:r w:rsidRPr="00BC7D84">
        <w:rPr>
          <w:rFonts w:ascii="Times New Roman" w:eastAsia="Times New Roman" w:hAnsi="Times New Roman" w:cs="Times New Roman"/>
          <w:color w:val="0E101A"/>
          <w:sz w:val="24"/>
          <w:szCs w:val="24"/>
        </w:rPr>
        <w:t xml:space="preserve"> &amp; Lloyd-Smith, 2020).</w:t>
      </w:r>
    </w:p>
    <w:p w14:paraId="1A9D6A61" w14:textId="6B355528" w:rsidR="00B16919" w:rsidRDefault="00BC7D84" w:rsidP="00BC7D84">
      <w:pPr>
        <w:spacing w:line="360" w:lineRule="auto"/>
        <w:jc w:val="both"/>
      </w:pPr>
      <w:r w:rsidRPr="00BC7D84">
        <w:rPr>
          <w:rFonts w:ascii="Times New Roman" w:eastAsia="Times New Roman" w:hAnsi="Times New Roman" w:cs="Times New Roman"/>
          <w:color w:val="0E101A"/>
          <w:sz w:val="24"/>
          <w:szCs w:val="24"/>
        </w:rPr>
        <w:t>Overall, the short-term public health consequences of COVID-19 in health and social care settings in the UK have been significant, leading to increased pressure on healthcare systems, high rates of infection and death among healthcare workers, and the spread of the disease within care homes and other residential settings. Effective public health strategies, including vaccination programs and infection control measures, are crucial for mitigating these consequences and reducing the impact of COVID-19 on vulnerable populations (Yen, Schwartz &amp; CDC COVID-19 Response Team, 2020).</w:t>
      </w:r>
    </w:p>
    <w:tbl>
      <w:tblPr>
        <w:tblStyle w:val="TableGrid"/>
        <w:tblW w:w="0" w:type="auto"/>
        <w:tblLook w:val="04A0" w:firstRow="1" w:lastRow="0" w:firstColumn="1" w:lastColumn="0" w:noHBand="0" w:noVBand="1"/>
      </w:tblPr>
      <w:tblGrid>
        <w:gridCol w:w="1870"/>
        <w:gridCol w:w="1870"/>
        <w:gridCol w:w="1870"/>
        <w:gridCol w:w="1870"/>
        <w:gridCol w:w="1870"/>
      </w:tblGrid>
      <w:tr w:rsidR="009F5D0D" w:rsidRPr="009F5D0D" w14:paraId="1FC6EC0A" w14:textId="77777777" w:rsidTr="007C7405">
        <w:tc>
          <w:tcPr>
            <w:tcW w:w="1870" w:type="dxa"/>
          </w:tcPr>
          <w:p w14:paraId="02A7F4E4" w14:textId="77777777" w:rsidR="009F5D0D" w:rsidRPr="009F5D0D" w:rsidRDefault="009F5D0D" w:rsidP="007C7405">
            <w:r w:rsidRPr="009F5D0D">
              <w:t>Country Name</w:t>
            </w:r>
          </w:p>
        </w:tc>
        <w:tc>
          <w:tcPr>
            <w:tcW w:w="1870" w:type="dxa"/>
          </w:tcPr>
          <w:p w14:paraId="006A9052" w14:textId="77777777" w:rsidR="009F5D0D" w:rsidRPr="009F5D0D" w:rsidRDefault="009F5D0D" w:rsidP="007C7405">
            <w:r w:rsidRPr="009F5D0D">
              <w:t>Deaths (%)</w:t>
            </w:r>
          </w:p>
        </w:tc>
        <w:tc>
          <w:tcPr>
            <w:tcW w:w="1870" w:type="dxa"/>
          </w:tcPr>
          <w:p w14:paraId="132F43D4" w14:textId="77777777" w:rsidR="009F5D0D" w:rsidRPr="009F5D0D" w:rsidRDefault="009F5D0D" w:rsidP="007C7405">
            <w:r w:rsidRPr="009F5D0D">
              <w:t>Ongoing (%)</w:t>
            </w:r>
          </w:p>
        </w:tc>
        <w:tc>
          <w:tcPr>
            <w:tcW w:w="1870" w:type="dxa"/>
          </w:tcPr>
          <w:p w14:paraId="1749E2AC" w14:textId="77777777" w:rsidR="009F5D0D" w:rsidRPr="009F5D0D" w:rsidRDefault="009F5D0D" w:rsidP="007C7405">
            <w:r w:rsidRPr="009F5D0D">
              <w:t>Recovery Rate (%)</w:t>
            </w:r>
          </w:p>
        </w:tc>
        <w:tc>
          <w:tcPr>
            <w:tcW w:w="1870" w:type="dxa"/>
          </w:tcPr>
          <w:p w14:paraId="08898BDA" w14:textId="77777777" w:rsidR="009F5D0D" w:rsidRPr="009F5D0D" w:rsidRDefault="009F5D0D" w:rsidP="007C7405">
            <w:r w:rsidRPr="009F5D0D">
              <w:t>Total</w:t>
            </w:r>
          </w:p>
        </w:tc>
      </w:tr>
      <w:tr w:rsidR="009F5D0D" w14:paraId="63B94527" w14:textId="77777777" w:rsidTr="007C7405">
        <w:tc>
          <w:tcPr>
            <w:tcW w:w="1870" w:type="dxa"/>
          </w:tcPr>
          <w:p w14:paraId="2D5A105C" w14:textId="77777777" w:rsidR="009F5D0D" w:rsidRDefault="009F5D0D" w:rsidP="007C7405">
            <w:r>
              <w:t>CHINA</w:t>
            </w:r>
          </w:p>
        </w:tc>
        <w:tc>
          <w:tcPr>
            <w:tcW w:w="1870" w:type="dxa"/>
          </w:tcPr>
          <w:p w14:paraId="73326579" w14:textId="77777777" w:rsidR="009F5D0D" w:rsidRDefault="009F5D0D" w:rsidP="007C7405">
            <w:r>
              <w:t>4.096</w:t>
            </w:r>
          </w:p>
        </w:tc>
        <w:tc>
          <w:tcPr>
            <w:tcW w:w="1870" w:type="dxa"/>
          </w:tcPr>
          <w:p w14:paraId="6F6BBACE" w14:textId="77777777" w:rsidR="009F5D0D" w:rsidRDefault="009F5D0D" w:rsidP="007C7405">
            <w:r>
              <w:t>9.1</w:t>
            </w:r>
          </w:p>
        </w:tc>
        <w:tc>
          <w:tcPr>
            <w:tcW w:w="1870" w:type="dxa"/>
          </w:tcPr>
          <w:p w14:paraId="12EA67C0" w14:textId="77777777" w:rsidR="009F5D0D" w:rsidRDefault="009F5D0D" w:rsidP="007C7405">
            <w:r>
              <w:t>86.9</w:t>
            </w:r>
          </w:p>
        </w:tc>
        <w:tc>
          <w:tcPr>
            <w:tcW w:w="1870" w:type="dxa"/>
          </w:tcPr>
          <w:p w14:paraId="459AEE6A" w14:textId="77777777" w:rsidR="009F5D0D" w:rsidRDefault="009F5D0D" w:rsidP="007C7405">
            <w:r>
              <w:t>81,154</w:t>
            </w:r>
          </w:p>
        </w:tc>
      </w:tr>
      <w:tr w:rsidR="009F5D0D" w14:paraId="2366A9B5" w14:textId="77777777" w:rsidTr="007C7405">
        <w:tc>
          <w:tcPr>
            <w:tcW w:w="1870" w:type="dxa"/>
          </w:tcPr>
          <w:p w14:paraId="559ED18B" w14:textId="77777777" w:rsidR="009F5D0D" w:rsidRDefault="009F5D0D" w:rsidP="007C7405">
            <w:r>
              <w:t>ITALY</w:t>
            </w:r>
          </w:p>
        </w:tc>
        <w:tc>
          <w:tcPr>
            <w:tcW w:w="1870" w:type="dxa"/>
          </w:tcPr>
          <w:p w14:paraId="48D99C4F" w14:textId="77777777" w:rsidR="009F5D0D" w:rsidRDefault="009F5D0D" w:rsidP="007C7405">
            <w:r>
              <w:t>8.3</w:t>
            </w:r>
          </w:p>
        </w:tc>
        <w:tc>
          <w:tcPr>
            <w:tcW w:w="1870" w:type="dxa"/>
          </w:tcPr>
          <w:p w14:paraId="5F4E623B" w14:textId="77777777" w:rsidR="009F5D0D" w:rsidRDefault="009F5D0D" w:rsidP="007C7405">
            <w:r>
              <w:t>80.4</w:t>
            </w:r>
          </w:p>
        </w:tc>
        <w:tc>
          <w:tcPr>
            <w:tcW w:w="1870" w:type="dxa"/>
          </w:tcPr>
          <w:p w14:paraId="5D1B61F9" w14:textId="77777777" w:rsidR="009F5D0D" w:rsidRDefault="009F5D0D" w:rsidP="007C7405">
            <w:r>
              <w:t>11.3</w:t>
            </w:r>
          </w:p>
        </w:tc>
        <w:tc>
          <w:tcPr>
            <w:tcW w:w="1870" w:type="dxa"/>
          </w:tcPr>
          <w:p w14:paraId="7E8A86EA" w14:textId="77777777" w:rsidR="009F5D0D" w:rsidRDefault="009F5D0D" w:rsidP="007C7405">
            <w:r>
              <w:t>35,713</w:t>
            </w:r>
          </w:p>
        </w:tc>
      </w:tr>
      <w:tr w:rsidR="009F5D0D" w14:paraId="7F022830" w14:textId="77777777" w:rsidTr="007C7405">
        <w:tc>
          <w:tcPr>
            <w:tcW w:w="1870" w:type="dxa"/>
          </w:tcPr>
          <w:p w14:paraId="34895168" w14:textId="77777777" w:rsidR="009F5D0D" w:rsidRDefault="009F5D0D" w:rsidP="007C7405">
            <w:r>
              <w:t>IRAN</w:t>
            </w:r>
          </w:p>
        </w:tc>
        <w:tc>
          <w:tcPr>
            <w:tcW w:w="1870" w:type="dxa"/>
          </w:tcPr>
          <w:p w14:paraId="1304D5A8" w14:textId="77777777" w:rsidR="009F5D0D" w:rsidRDefault="009F5D0D" w:rsidP="007C7405">
            <w:r>
              <w:t>7.0</w:t>
            </w:r>
          </w:p>
        </w:tc>
        <w:tc>
          <w:tcPr>
            <w:tcW w:w="1870" w:type="dxa"/>
          </w:tcPr>
          <w:p w14:paraId="3B853D76" w14:textId="77777777" w:rsidR="009F5D0D" w:rsidRDefault="009F5D0D" w:rsidP="007C7405">
            <w:r>
              <w:t>62.0</w:t>
            </w:r>
          </w:p>
        </w:tc>
        <w:tc>
          <w:tcPr>
            <w:tcW w:w="1870" w:type="dxa"/>
          </w:tcPr>
          <w:p w14:paraId="0193B0E3" w14:textId="77777777" w:rsidR="009F5D0D" w:rsidRDefault="009F5D0D" w:rsidP="007C7405">
            <w:r>
              <w:t>31.0</w:t>
            </w:r>
          </w:p>
        </w:tc>
        <w:tc>
          <w:tcPr>
            <w:tcW w:w="1870" w:type="dxa"/>
          </w:tcPr>
          <w:p w14:paraId="19F59FDA" w14:textId="77777777" w:rsidR="009F5D0D" w:rsidRDefault="009F5D0D" w:rsidP="007C7405">
            <w:r>
              <w:t>18,407</w:t>
            </w:r>
          </w:p>
        </w:tc>
      </w:tr>
      <w:tr w:rsidR="009F5D0D" w14:paraId="240FC0D3" w14:textId="77777777" w:rsidTr="007C7405">
        <w:tc>
          <w:tcPr>
            <w:tcW w:w="1870" w:type="dxa"/>
          </w:tcPr>
          <w:p w14:paraId="10CCB569" w14:textId="77777777" w:rsidR="009F5D0D" w:rsidRDefault="009F5D0D" w:rsidP="007C7405">
            <w:r>
              <w:t>SPAIN</w:t>
            </w:r>
          </w:p>
        </w:tc>
        <w:tc>
          <w:tcPr>
            <w:tcW w:w="1870" w:type="dxa"/>
          </w:tcPr>
          <w:p w14:paraId="185831AC" w14:textId="77777777" w:rsidR="009F5D0D" w:rsidRDefault="009F5D0D" w:rsidP="007C7405">
            <w:r>
              <w:t>4.3</w:t>
            </w:r>
          </w:p>
        </w:tc>
        <w:tc>
          <w:tcPr>
            <w:tcW w:w="1870" w:type="dxa"/>
          </w:tcPr>
          <w:p w14:paraId="0A7653A0" w14:textId="77777777" w:rsidR="009F5D0D" w:rsidRDefault="009F5D0D" w:rsidP="007C7405">
            <w:r>
              <w:t>88.5</w:t>
            </w:r>
          </w:p>
        </w:tc>
        <w:tc>
          <w:tcPr>
            <w:tcW w:w="1870" w:type="dxa"/>
          </w:tcPr>
          <w:p w14:paraId="7872E72E" w14:textId="77777777" w:rsidR="009F5D0D" w:rsidRDefault="009F5D0D" w:rsidP="007C7405">
            <w:r>
              <w:t>7.2</w:t>
            </w:r>
          </w:p>
        </w:tc>
        <w:tc>
          <w:tcPr>
            <w:tcW w:w="1870" w:type="dxa"/>
          </w:tcPr>
          <w:p w14:paraId="6B1BC98B" w14:textId="77777777" w:rsidR="009F5D0D" w:rsidRDefault="009F5D0D" w:rsidP="007C7405">
            <w:r>
              <w:t>15,014</w:t>
            </w:r>
          </w:p>
        </w:tc>
      </w:tr>
      <w:tr w:rsidR="009F5D0D" w14:paraId="79BCCA59" w14:textId="77777777" w:rsidTr="007C7405">
        <w:tc>
          <w:tcPr>
            <w:tcW w:w="1870" w:type="dxa"/>
          </w:tcPr>
          <w:p w14:paraId="0B6524B7" w14:textId="77777777" w:rsidR="009F5D0D" w:rsidRDefault="009F5D0D" w:rsidP="007C7405">
            <w:r>
              <w:t>GERMANY</w:t>
            </w:r>
          </w:p>
        </w:tc>
        <w:tc>
          <w:tcPr>
            <w:tcW w:w="1870" w:type="dxa"/>
          </w:tcPr>
          <w:p w14:paraId="423E2D96" w14:textId="77777777" w:rsidR="009F5D0D" w:rsidRDefault="009F5D0D" w:rsidP="007C7405">
            <w:r>
              <w:t>0.2</w:t>
            </w:r>
          </w:p>
        </w:tc>
        <w:tc>
          <w:tcPr>
            <w:tcW w:w="1870" w:type="dxa"/>
          </w:tcPr>
          <w:p w14:paraId="6667BAAB" w14:textId="77777777" w:rsidR="009F5D0D" w:rsidRDefault="009F5D0D" w:rsidP="007C7405">
            <w:r>
              <w:t>98.9</w:t>
            </w:r>
          </w:p>
        </w:tc>
        <w:tc>
          <w:tcPr>
            <w:tcW w:w="1870" w:type="dxa"/>
          </w:tcPr>
          <w:p w14:paraId="34711088" w14:textId="77777777" w:rsidR="009F5D0D" w:rsidRDefault="009F5D0D" w:rsidP="007C7405">
            <w:r>
              <w:t>0.9</w:t>
            </w:r>
          </w:p>
        </w:tc>
        <w:tc>
          <w:tcPr>
            <w:tcW w:w="1870" w:type="dxa"/>
          </w:tcPr>
          <w:p w14:paraId="70940626" w14:textId="77777777" w:rsidR="009F5D0D" w:rsidRDefault="009F5D0D" w:rsidP="007C7405">
            <w:r>
              <w:t>13,093</w:t>
            </w:r>
          </w:p>
        </w:tc>
      </w:tr>
      <w:tr w:rsidR="009F5D0D" w14:paraId="2350F8FD" w14:textId="77777777" w:rsidTr="007C7405">
        <w:tc>
          <w:tcPr>
            <w:tcW w:w="1870" w:type="dxa"/>
          </w:tcPr>
          <w:p w14:paraId="5AABC3EC" w14:textId="77777777" w:rsidR="009F5D0D" w:rsidRDefault="009F5D0D" w:rsidP="007C7405">
            <w:r>
              <w:t>US</w:t>
            </w:r>
          </w:p>
        </w:tc>
        <w:tc>
          <w:tcPr>
            <w:tcW w:w="1870" w:type="dxa"/>
          </w:tcPr>
          <w:p w14:paraId="0A881DDD" w14:textId="77777777" w:rsidR="009F5D0D" w:rsidRDefault="009F5D0D" w:rsidP="007C7405">
            <w:r>
              <w:t>1.6</w:t>
            </w:r>
          </w:p>
        </w:tc>
        <w:tc>
          <w:tcPr>
            <w:tcW w:w="1870" w:type="dxa"/>
          </w:tcPr>
          <w:p w14:paraId="22EE54B2" w14:textId="77777777" w:rsidR="009F5D0D" w:rsidRDefault="009F5D0D" w:rsidP="007C7405">
            <w:r>
              <w:t>97.3</w:t>
            </w:r>
          </w:p>
        </w:tc>
        <w:tc>
          <w:tcPr>
            <w:tcW w:w="1870" w:type="dxa"/>
          </w:tcPr>
          <w:p w14:paraId="2C33E6FD" w14:textId="77777777" w:rsidR="009F5D0D" w:rsidRDefault="009F5D0D" w:rsidP="007C7405">
            <w:r>
              <w:t>1.1</w:t>
            </w:r>
          </w:p>
        </w:tc>
        <w:tc>
          <w:tcPr>
            <w:tcW w:w="1870" w:type="dxa"/>
          </w:tcPr>
          <w:p w14:paraId="5E3145D6" w14:textId="77777777" w:rsidR="009F5D0D" w:rsidRDefault="009F5D0D" w:rsidP="007C7405">
            <w:r>
              <w:t>9,415</w:t>
            </w:r>
          </w:p>
        </w:tc>
      </w:tr>
      <w:tr w:rsidR="009F5D0D" w14:paraId="50C60B96" w14:textId="77777777" w:rsidTr="007C7405">
        <w:tc>
          <w:tcPr>
            <w:tcW w:w="1870" w:type="dxa"/>
          </w:tcPr>
          <w:p w14:paraId="746CB801" w14:textId="77777777" w:rsidR="009F5D0D" w:rsidRDefault="009F5D0D" w:rsidP="007C7405">
            <w:r>
              <w:t>FRANCE</w:t>
            </w:r>
          </w:p>
        </w:tc>
        <w:tc>
          <w:tcPr>
            <w:tcW w:w="1870" w:type="dxa"/>
          </w:tcPr>
          <w:p w14:paraId="09DC041D" w14:textId="77777777" w:rsidR="009F5D0D" w:rsidRDefault="009F5D0D" w:rsidP="007C7405">
            <w:r>
              <w:t>2.7</w:t>
            </w:r>
          </w:p>
        </w:tc>
        <w:tc>
          <w:tcPr>
            <w:tcW w:w="1870" w:type="dxa"/>
          </w:tcPr>
          <w:p w14:paraId="589688DA" w14:textId="77777777" w:rsidR="009F5D0D" w:rsidRDefault="009F5D0D" w:rsidP="007C7405">
            <w:r>
              <w:t>97.2</w:t>
            </w:r>
          </w:p>
        </w:tc>
        <w:tc>
          <w:tcPr>
            <w:tcW w:w="1870" w:type="dxa"/>
          </w:tcPr>
          <w:p w14:paraId="220CF581" w14:textId="77777777" w:rsidR="009F5D0D" w:rsidRDefault="009F5D0D" w:rsidP="007C7405">
            <w:r>
              <w:t>0.1</w:t>
            </w:r>
          </w:p>
        </w:tc>
        <w:tc>
          <w:tcPr>
            <w:tcW w:w="1870" w:type="dxa"/>
          </w:tcPr>
          <w:p w14:paraId="66331553" w14:textId="77777777" w:rsidR="009F5D0D" w:rsidRDefault="009F5D0D" w:rsidP="007C7405">
            <w:r>
              <w:t>9,058</w:t>
            </w:r>
          </w:p>
        </w:tc>
      </w:tr>
      <w:tr w:rsidR="009F5D0D" w14:paraId="004DDE3E" w14:textId="77777777" w:rsidTr="007C7405">
        <w:tc>
          <w:tcPr>
            <w:tcW w:w="1870" w:type="dxa"/>
          </w:tcPr>
          <w:p w14:paraId="58B74BB0" w14:textId="77777777" w:rsidR="009F5D0D" w:rsidRDefault="009F5D0D" w:rsidP="007C7405">
            <w:r>
              <w:t>SOUTH KOREA</w:t>
            </w:r>
          </w:p>
        </w:tc>
        <w:tc>
          <w:tcPr>
            <w:tcW w:w="1870" w:type="dxa"/>
          </w:tcPr>
          <w:p w14:paraId="0ADF82BF" w14:textId="77777777" w:rsidR="009F5D0D" w:rsidRDefault="009F5D0D" w:rsidP="007C7405">
            <w:r>
              <w:t>1.1</w:t>
            </w:r>
          </w:p>
        </w:tc>
        <w:tc>
          <w:tcPr>
            <w:tcW w:w="1870" w:type="dxa"/>
          </w:tcPr>
          <w:p w14:paraId="3BA78AC4" w14:textId="77777777" w:rsidR="009F5D0D" w:rsidRDefault="009F5D0D" w:rsidP="007C7405">
            <w:r>
              <w:t>81.0</w:t>
            </w:r>
          </w:p>
        </w:tc>
        <w:tc>
          <w:tcPr>
            <w:tcW w:w="1870" w:type="dxa"/>
          </w:tcPr>
          <w:p w14:paraId="25834F94" w14:textId="77777777" w:rsidR="009F5D0D" w:rsidRDefault="009F5D0D" w:rsidP="007C7405">
            <w:r>
              <w:t>18.0</w:t>
            </w:r>
          </w:p>
        </w:tc>
        <w:tc>
          <w:tcPr>
            <w:tcW w:w="1870" w:type="dxa"/>
          </w:tcPr>
          <w:p w14:paraId="3990BA75" w14:textId="77777777" w:rsidR="009F5D0D" w:rsidRDefault="009F5D0D" w:rsidP="007C7405">
            <w:r>
              <w:t>8,565</w:t>
            </w:r>
          </w:p>
        </w:tc>
      </w:tr>
    </w:tbl>
    <w:p w14:paraId="70EEBDA6" w14:textId="77777777" w:rsidR="00B16919" w:rsidRPr="00CA7EEA" w:rsidRDefault="00B16919" w:rsidP="00CA7EEA">
      <w:pPr>
        <w:spacing w:line="360" w:lineRule="auto"/>
        <w:jc w:val="both"/>
        <w:rPr>
          <w:rFonts w:ascii="Arial" w:hAnsi="Arial" w:cs="Arial"/>
        </w:rPr>
      </w:pPr>
    </w:p>
    <w:p w14:paraId="4F9169C2" w14:textId="77777777" w:rsidR="00CA7EEA" w:rsidRPr="00CA7EEA" w:rsidRDefault="00B16919" w:rsidP="00CA7EEA">
      <w:pPr>
        <w:spacing w:line="360" w:lineRule="auto"/>
        <w:jc w:val="center"/>
        <w:rPr>
          <w:rStyle w:val="Strong"/>
          <w:rFonts w:ascii="Arial" w:eastAsia="Times New Roman" w:hAnsi="Arial" w:cs="Arial"/>
          <w:b w:val="0"/>
          <w:color w:val="0E101A"/>
        </w:rPr>
      </w:pPr>
      <w:r w:rsidRPr="00CA7EEA">
        <w:rPr>
          <w:rFonts w:ascii="Arial" w:hAnsi="Arial" w:cs="Arial"/>
          <w:b/>
          <w:bCs/>
        </w:rPr>
        <w:t>COVID -19 Effect on the world</w:t>
      </w:r>
      <w:r w:rsidR="00CA7EEA" w:rsidRPr="00CA7EEA">
        <w:rPr>
          <w:rFonts w:ascii="Arial" w:hAnsi="Arial" w:cs="Arial"/>
        </w:rPr>
        <w:t xml:space="preserve"> </w:t>
      </w:r>
      <w:r w:rsidR="00CA7EEA" w:rsidRPr="00CA7EEA">
        <w:rPr>
          <w:rStyle w:val="Strong"/>
          <w:rFonts w:ascii="Arial" w:eastAsia="Times New Roman" w:hAnsi="Arial" w:cs="Arial"/>
          <w:b w:val="0"/>
          <w:color w:val="0E101A"/>
        </w:rPr>
        <w:t>(</w:t>
      </w:r>
      <w:r w:rsidR="00CA7EEA" w:rsidRPr="00CA7EEA">
        <w:rPr>
          <w:rFonts w:ascii="Arial" w:hAnsi="Arial" w:cs="Arial"/>
        </w:rPr>
        <w:t>Yen, Schwartz &amp; CDC COVID-19 Response Team, 2020).</w:t>
      </w:r>
    </w:p>
    <w:p w14:paraId="7072C1FD" w14:textId="3F02A638" w:rsidR="00B16919" w:rsidRDefault="00B16919" w:rsidP="00B16919">
      <w:pPr>
        <w:jc w:val="center"/>
        <w:rPr>
          <w:rFonts w:ascii="Arial" w:hAnsi="Arial" w:cs="Arial"/>
          <w:b/>
        </w:rPr>
      </w:pPr>
    </w:p>
    <w:p w14:paraId="63AF8297" w14:textId="77777777" w:rsidR="00CA7EEA" w:rsidRPr="00B16919" w:rsidRDefault="00CA7EEA" w:rsidP="00B16919">
      <w:pPr>
        <w:jc w:val="center"/>
        <w:rPr>
          <w:rFonts w:ascii="Arial" w:hAnsi="Arial" w:cs="Arial"/>
          <w:b/>
        </w:rPr>
      </w:pPr>
    </w:p>
    <w:p w14:paraId="41E996BF" w14:textId="1C2B2191" w:rsidR="00A136D4" w:rsidRPr="00376AA2" w:rsidRDefault="00A136D4" w:rsidP="00A136D4">
      <w:pPr>
        <w:pStyle w:val="Heading1"/>
        <w:rPr>
          <w:rFonts w:ascii="Arial" w:hAnsi="Arial" w:cs="Arial"/>
          <w:b/>
          <w:bCs/>
          <w:color w:val="auto"/>
        </w:rPr>
      </w:pPr>
      <w:r w:rsidRPr="00376AA2">
        <w:rPr>
          <w:rFonts w:ascii="Arial" w:hAnsi="Arial" w:cs="Arial"/>
          <w:b/>
          <w:bCs/>
          <w:color w:val="auto"/>
        </w:rPr>
        <w:t>The Health and Social Care setting in the UK Associated with Long Term Public Health Consequences</w:t>
      </w:r>
    </w:p>
    <w:p w14:paraId="689125D4" w14:textId="0AD733A4" w:rsidR="00C52EA0" w:rsidRPr="00F75E89" w:rsidRDefault="00F75E89" w:rsidP="00B92097">
      <w:pPr>
        <w:spacing w:line="360" w:lineRule="auto"/>
        <w:jc w:val="both"/>
        <w:rPr>
          <w:rFonts w:ascii="Arial" w:hAnsi="Arial" w:cs="Arial"/>
          <w:b/>
        </w:rPr>
      </w:pPr>
      <w:r w:rsidRPr="00F75E89">
        <w:rPr>
          <w:rFonts w:ascii="Arial" w:hAnsi="Arial" w:cs="Arial"/>
          <w:b/>
        </w:rPr>
        <w:t xml:space="preserve"> </w:t>
      </w:r>
    </w:p>
    <w:p w14:paraId="25F648A3" w14:textId="77777777" w:rsidR="00BC7D84" w:rsidRPr="00BC7D84" w:rsidRDefault="00BC7D84" w:rsidP="00BC7D84">
      <w:pPr>
        <w:spacing w:line="360" w:lineRule="auto"/>
        <w:jc w:val="both"/>
        <w:rPr>
          <w:rFonts w:ascii="Arial" w:eastAsia="Times New Roman" w:hAnsi="Arial" w:cs="Arial"/>
        </w:rPr>
      </w:pPr>
      <w:r w:rsidRPr="00BC7D84">
        <w:rPr>
          <w:rFonts w:ascii="Arial" w:eastAsia="Times New Roman" w:hAnsi="Arial" w:cs="Arial"/>
        </w:rPr>
        <w:t>The long-term consequences of public health of COVID-19 in health and social care settings in the UK are still being studied and understood. However, several potential long-term consequences can be considered based on the available data and research.</w:t>
      </w:r>
    </w:p>
    <w:p w14:paraId="744D66BC" w14:textId="7C15F37B" w:rsidR="00BC7D84" w:rsidRPr="00BC7D84" w:rsidRDefault="00BC7D84" w:rsidP="00BC7D84">
      <w:pPr>
        <w:spacing w:line="360" w:lineRule="auto"/>
        <w:jc w:val="both"/>
        <w:rPr>
          <w:rFonts w:ascii="Arial" w:eastAsia="Times New Roman" w:hAnsi="Arial" w:cs="Arial"/>
        </w:rPr>
      </w:pPr>
      <w:r w:rsidRPr="00BC7D84">
        <w:rPr>
          <w:rFonts w:ascii="Arial" w:eastAsia="Times New Roman" w:hAnsi="Arial" w:cs="Arial"/>
        </w:rPr>
        <w:lastRenderedPageBreak/>
        <w:t>One potential long-term consequence is the impact on the mental health of healthcare workers and patients. The pandemic has caused high levels of stress and anxiety for healthcare workers, which is one of the crucial factors that may affect long-term mental health</w:t>
      </w:r>
      <w:r w:rsidR="003D5E09">
        <w:rPr>
          <w:rFonts w:ascii="Arial" w:eastAsia="Times New Roman" w:hAnsi="Arial" w:cs="Arial"/>
        </w:rPr>
        <w:t>.</w:t>
      </w:r>
      <w:r w:rsidRPr="00BC7D84">
        <w:rPr>
          <w:rFonts w:ascii="Arial" w:eastAsia="Times New Roman" w:hAnsi="Arial" w:cs="Arial"/>
        </w:rPr>
        <w:t xml:space="preserve"> Patients </w:t>
      </w:r>
      <w:r w:rsidR="003D5E09">
        <w:rPr>
          <w:rFonts w:ascii="Arial" w:eastAsia="Times New Roman" w:hAnsi="Arial" w:cs="Arial"/>
        </w:rPr>
        <w:t xml:space="preserve">who are </w:t>
      </w:r>
      <w:r w:rsidRPr="00BC7D84">
        <w:rPr>
          <w:rFonts w:ascii="Arial" w:eastAsia="Times New Roman" w:hAnsi="Arial" w:cs="Arial"/>
        </w:rPr>
        <w:t xml:space="preserve">hospitalized </w:t>
      </w:r>
      <w:r w:rsidR="003D5E09">
        <w:rPr>
          <w:rFonts w:ascii="Arial" w:eastAsia="Times New Roman" w:hAnsi="Arial" w:cs="Arial"/>
        </w:rPr>
        <w:t>affected by Corona Virus</w:t>
      </w:r>
      <w:r w:rsidRPr="00BC7D84">
        <w:rPr>
          <w:rFonts w:ascii="Arial" w:eastAsia="Times New Roman" w:hAnsi="Arial" w:cs="Arial"/>
        </w:rPr>
        <w:t xml:space="preserve"> may also experience long-term mental health effects, such as anxiety, depression, and cognitive impairment (Grabowski and Joynt Maddox, 2020).</w:t>
      </w:r>
    </w:p>
    <w:p w14:paraId="586B2C1D" w14:textId="77777777" w:rsidR="00BC7D84" w:rsidRPr="00BC7D84" w:rsidRDefault="00BC7D84" w:rsidP="00BC7D84">
      <w:pPr>
        <w:spacing w:line="360" w:lineRule="auto"/>
        <w:jc w:val="both"/>
        <w:rPr>
          <w:rFonts w:ascii="Arial" w:eastAsia="Times New Roman" w:hAnsi="Arial" w:cs="Arial"/>
        </w:rPr>
      </w:pPr>
      <w:r w:rsidRPr="00BC7D84">
        <w:rPr>
          <w:rFonts w:ascii="Arial" w:eastAsia="Times New Roman" w:hAnsi="Arial" w:cs="Arial"/>
        </w:rPr>
        <w:t>Another potential long-term consequence of the pandemic is the impact on the health of individuals who delayed or postponed necessary healthcare services during the pandemic. As I mentioned earlier, routine healthcare services were disrupted during the pandemic, and many individuals may have delayed seeking medical attention for non-COVID-related health conditions. This delay could lead to long-term health consequences, such as a higher risk of complications or reduced treatment options (Grabowski and Joynt Maddox, 2020).</w:t>
      </w:r>
    </w:p>
    <w:p w14:paraId="22882B14" w14:textId="77777777" w:rsidR="00BC7D84" w:rsidRPr="00BC7D84" w:rsidRDefault="00BC7D84" w:rsidP="00BC7D84">
      <w:pPr>
        <w:spacing w:line="360" w:lineRule="auto"/>
        <w:jc w:val="both"/>
        <w:rPr>
          <w:rFonts w:ascii="Arial" w:eastAsia="Times New Roman" w:hAnsi="Arial" w:cs="Arial"/>
        </w:rPr>
      </w:pPr>
      <w:r w:rsidRPr="00BC7D84">
        <w:rPr>
          <w:rFonts w:ascii="Arial" w:eastAsia="Times New Roman" w:hAnsi="Arial" w:cs="Arial"/>
        </w:rPr>
        <w:t>In addition, the pandemic may exacerbate existing health inequalities in society. Individuals from deprived areas and minority ethnic groups have been disproportionately affected by this disease. This could also result in long-term health consequences, such as a higher burden of chronic diseases, reduced life expectancy, and poorer health outcomes.</w:t>
      </w:r>
    </w:p>
    <w:p w14:paraId="5CE9703C" w14:textId="77777777" w:rsidR="00BC7D84" w:rsidRPr="00BC7D84" w:rsidRDefault="00BC7D84" w:rsidP="00BC7D84">
      <w:pPr>
        <w:spacing w:line="360" w:lineRule="auto"/>
        <w:jc w:val="both"/>
        <w:rPr>
          <w:rFonts w:ascii="Arial" w:eastAsia="Times New Roman" w:hAnsi="Arial" w:cs="Arial"/>
        </w:rPr>
      </w:pPr>
      <w:r w:rsidRPr="00BC7D84">
        <w:rPr>
          <w:rFonts w:ascii="Arial" w:eastAsia="Times New Roman" w:hAnsi="Arial" w:cs="Arial"/>
        </w:rPr>
        <w:t>The economic impact can be extended of the pandemic could also have implications for public health in the UK. The pandemic has caused significant economic disruption, including job losses and reduced economic activity. This can be the reason for long-term health consequences, such as increased poverty and reduced access to healthcare services (Greenhalgh and Husain, 2021).</w:t>
      </w:r>
    </w:p>
    <w:p w14:paraId="0283A310" w14:textId="77777777" w:rsidR="00BC7D84" w:rsidRPr="00BC7D84" w:rsidRDefault="00BC7D84" w:rsidP="00BC7D84">
      <w:pPr>
        <w:spacing w:line="360" w:lineRule="auto"/>
        <w:jc w:val="both"/>
        <w:rPr>
          <w:rFonts w:ascii="Arial" w:eastAsia="Times New Roman" w:hAnsi="Arial" w:cs="Arial"/>
        </w:rPr>
      </w:pPr>
      <w:r w:rsidRPr="00BC7D84">
        <w:rPr>
          <w:rFonts w:ascii="Arial" w:eastAsia="Times New Roman" w:hAnsi="Arial" w:cs="Arial"/>
        </w:rPr>
        <w:t>Finally, the emergence of new virus variants could have long-term consequences for public health in health and social care settings in the UK. These variants could be more transmissible or virulent than previous strains, leading to increased pressure on healthcare systems and potentially higher morbidity and mortality rates.</w:t>
      </w:r>
    </w:p>
    <w:p w14:paraId="637BF830" w14:textId="18088163" w:rsidR="00B16919" w:rsidRDefault="00BC7D84" w:rsidP="00B92097">
      <w:pPr>
        <w:spacing w:line="360" w:lineRule="auto"/>
        <w:jc w:val="both"/>
        <w:rPr>
          <w:rFonts w:ascii="Arial" w:hAnsi="Arial" w:cs="Arial"/>
        </w:rPr>
      </w:pPr>
      <w:r w:rsidRPr="00BC7D84">
        <w:rPr>
          <w:rFonts w:ascii="Arial" w:eastAsia="Times New Roman" w:hAnsi="Arial" w:cs="Arial"/>
        </w:rPr>
        <w:t>Overall, the long-term public health consequences of COVID-19 in the UK's health and social care settings are complex and multifaceted. Effective public health strategies and interventions, including mental health support for healthcare workers and patients, targeted interventions to address health inequalities, and investment in healthcare infrastructure and services, will mitigate these consequences and promote long-term health and well-being (Greenhalgh and Husain, 2021).</w:t>
      </w:r>
      <w:r w:rsidR="00B16919">
        <w:rPr>
          <w:rFonts w:ascii="Arial" w:hAnsi="Arial" w:cs="Arial"/>
        </w:rPr>
        <w:t xml:space="preserve"> </w:t>
      </w:r>
    </w:p>
    <w:tbl>
      <w:tblPr>
        <w:tblStyle w:val="TableGrid"/>
        <w:tblW w:w="0" w:type="auto"/>
        <w:jc w:val="center"/>
        <w:tblLook w:val="04A0" w:firstRow="1" w:lastRow="0" w:firstColumn="1" w:lastColumn="0" w:noHBand="0" w:noVBand="1"/>
      </w:tblPr>
      <w:tblGrid>
        <w:gridCol w:w="8298"/>
      </w:tblGrid>
      <w:tr w:rsidR="008712A5" w14:paraId="68423044" w14:textId="77777777" w:rsidTr="008712A5">
        <w:trPr>
          <w:jc w:val="center"/>
        </w:trPr>
        <w:tc>
          <w:tcPr>
            <w:tcW w:w="8298" w:type="dxa"/>
          </w:tcPr>
          <w:p w14:paraId="4A4C13A7" w14:textId="77777777" w:rsidR="008712A5" w:rsidRPr="008712A5" w:rsidRDefault="008712A5" w:rsidP="008712A5">
            <w:pPr>
              <w:spacing w:line="360" w:lineRule="auto"/>
              <w:jc w:val="center"/>
              <w:rPr>
                <w:rFonts w:ascii="Arial" w:hAnsi="Arial" w:cs="Arial"/>
                <w:b/>
              </w:rPr>
            </w:pPr>
            <w:r w:rsidRPr="008712A5">
              <w:rPr>
                <w:rFonts w:ascii="Arial" w:hAnsi="Arial" w:cs="Arial"/>
                <w:b/>
              </w:rPr>
              <w:t>COVID-19 cases and deaths in the UK:</w:t>
            </w:r>
          </w:p>
          <w:p w14:paraId="697230B3" w14:textId="77777777" w:rsidR="008712A5" w:rsidRDefault="008712A5" w:rsidP="008712A5">
            <w:pPr>
              <w:spacing w:line="360" w:lineRule="auto"/>
              <w:jc w:val="center"/>
              <w:rPr>
                <w:rFonts w:ascii="Arial" w:hAnsi="Arial" w:cs="Arial"/>
              </w:rPr>
            </w:pPr>
            <w:r>
              <w:rPr>
                <w:rFonts w:ascii="Arial" w:hAnsi="Arial" w:cs="Arial"/>
              </w:rPr>
              <w:t xml:space="preserve">Confirmed COVID-19 cases in the UK: over 14 </w:t>
            </w:r>
            <w:proofErr w:type="gramStart"/>
            <w:r>
              <w:rPr>
                <w:rFonts w:ascii="Arial" w:hAnsi="Arial" w:cs="Arial"/>
              </w:rPr>
              <w:t>million</w:t>
            </w:r>
            <w:proofErr w:type="gramEnd"/>
          </w:p>
          <w:p w14:paraId="30F95517" w14:textId="70CD0ABF" w:rsidR="008712A5" w:rsidRDefault="008712A5" w:rsidP="008712A5">
            <w:pPr>
              <w:spacing w:line="360" w:lineRule="auto"/>
              <w:jc w:val="center"/>
              <w:rPr>
                <w:rFonts w:ascii="Arial" w:hAnsi="Arial" w:cs="Arial"/>
              </w:rPr>
            </w:pPr>
            <w:r>
              <w:rPr>
                <w:rFonts w:ascii="Arial" w:hAnsi="Arial" w:cs="Arial"/>
              </w:rPr>
              <w:lastRenderedPageBreak/>
              <w:t>COVID-19 deaths in the UK: over 1,50,000</w:t>
            </w:r>
          </w:p>
        </w:tc>
      </w:tr>
      <w:tr w:rsidR="008712A5" w14:paraId="68BCE8A6" w14:textId="77777777" w:rsidTr="008712A5">
        <w:trPr>
          <w:jc w:val="center"/>
        </w:trPr>
        <w:tc>
          <w:tcPr>
            <w:tcW w:w="8298" w:type="dxa"/>
          </w:tcPr>
          <w:p w14:paraId="05223016" w14:textId="77777777" w:rsidR="008712A5" w:rsidRPr="008712A5" w:rsidRDefault="008712A5" w:rsidP="008712A5">
            <w:pPr>
              <w:spacing w:line="360" w:lineRule="auto"/>
              <w:jc w:val="center"/>
              <w:rPr>
                <w:rFonts w:ascii="Arial" w:hAnsi="Arial" w:cs="Arial"/>
                <w:b/>
              </w:rPr>
            </w:pPr>
            <w:r w:rsidRPr="008712A5">
              <w:rPr>
                <w:rFonts w:ascii="Arial" w:hAnsi="Arial" w:cs="Arial"/>
                <w:b/>
              </w:rPr>
              <w:lastRenderedPageBreak/>
              <w:t>Economic consequences of COVID-19 in the UK:</w:t>
            </w:r>
          </w:p>
          <w:p w14:paraId="3BA0CD96" w14:textId="77777777" w:rsidR="008712A5" w:rsidRDefault="008712A5" w:rsidP="008712A5">
            <w:pPr>
              <w:spacing w:line="360" w:lineRule="auto"/>
              <w:jc w:val="center"/>
              <w:rPr>
                <w:rFonts w:ascii="Arial" w:hAnsi="Arial" w:cs="Arial"/>
              </w:rPr>
            </w:pPr>
            <w:r>
              <w:rPr>
                <w:rFonts w:ascii="Arial" w:hAnsi="Arial" w:cs="Arial"/>
              </w:rPr>
              <w:t xml:space="preserve">UK GDP fell by 9.9% in </w:t>
            </w:r>
            <w:proofErr w:type="gramStart"/>
            <w:r>
              <w:rPr>
                <w:rFonts w:ascii="Arial" w:hAnsi="Arial" w:cs="Arial"/>
              </w:rPr>
              <w:t>2020</w:t>
            </w:r>
            <w:proofErr w:type="gramEnd"/>
          </w:p>
          <w:p w14:paraId="4E428388" w14:textId="5FA35533" w:rsidR="008712A5" w:rsidRDefault="008712A5" w:rsidP="008712A5">
            <w:pPr>
              <w:spacing w:line="360" w:lineRule="auto"/>
              <w:jc w:val="center"/>
              <w:rPr>
                <w:rFonts w:ascii="Arial" w:hAnsi="Arial" w:cs="Arial"/>
              </w:rPr>
            </w:pPr>
            <w:r>
              <w:rPr>
                <w:rFonts w:ascii="Arial" w:hAnsi="Arial" w:cs="Arial"/>
              </w:rPr>
              <w:t>UK unemployment rate rose from 3.9% in early 2020 to 6.2% by the end of the year</w:t>
            </w:r>
          </w:p>
        </w:tc>
      </w:tr>
    </w:tbl>
    <w:p w14:paraId="02EADD07" w14:textId="77777777" w:rsidR="008712A5" w:rsidRDefault="008712A5" w:rsidP="00B92097">
      <w:pPr>
        <w:spacing w:line="360" w:lineRule="auto"/>
        <w:jc w:val="both"/>
        <w:rPr>
          <w:rFonts w:ascii="Arial" w:hAnsi="Arial" w:cs="Arial"/>
        </w:rPr>
      </w:pPr>
    </w:p>
    <w:p w14:paraId="73E03938" w14:textId="68684B49" w:rsidR="00A3134E" w:rsidRPr="00B16919" w:rsidRDefault="00B16919" w:rsidP="00B16919">
      <w:pPr>
        <w:spacing w:line="360" w:lineRule="auto"/>
        <w:jc w:val="center"/>
        <w:rPr>
          <w:rFonts w:ascii="Arial" w:hAnsi="Arial" w:cs="Arial"/>
          <w:b/>
        </w:rPr>
      </w:pPr>
      <w:r w:rsidRPr="00B16919">
        <w:rPr>
          <w:rFonts w:ascii="Arial" w:hAnsi="Arial" w:cs="Arial"/>
          <w:b/>
        </w:rPr>
        <w:t xml:space="preserve">Consequences of COVID </w:t>
      </w:r>
      <w:r w:rsidR="00A455B7">
        <w:rPr>
          <w:rFonts w:ascii="Arial" w:hAnsi="Arial" w:cs="Arial"/>
          <w:b/>
        </w:rPr>
        <w:t>–</w:t>
      </w:r>
      <w:r w:rsidRPr="00B16919">
        <w:rPr>
          <w:rFonts w:ascii="Arial" w:hAnsi="Arial" w:cs="Arial"/>
          <w:b/>
        </w:rPr>
        <w:t xml:space="preserve"> 19</w:t>
      </w:r>
      <w:r w:rsidR="00A455B7">
        <w:rPr>
          <w:rFonts w:ascii="Arial" w:hAnsi="Arial" w:cs="Arial"/>
          <w:b/>
        </w:rPr>
        <w:t xml:space="preserve"> </w:t>
      </w:r>
      <w:r w:rsidR="00A455B7">
        <w:rPr>
          <w:rFonts w:ascii="Arial" w:eastAsia="Times New Roman" w:hAnsi="Arial" w:cs="Arial"/>
        </w:rPr>
        <w:t>(</w:t>
      </w:r>
      <w:r w:rsidR="00A455B7" w:rsidRPr="00727583">
        <w:rPr>
          <w:rFonts w:ascii="Arial" w:hAnsi="Arial" w:cs="Arial"/>
        </w:rPr>
        <w:t>Greenhalgh</w:t>
      </w:r>
      <w:r w:rsidR="00A455B7">
        <w:rPr>
          <w:rFonts w:ascii="Arial" w:hAnsi="Arial" w:cs="Arial"/>
        </w:rPr>
        <w:t xml:space="preserve"> and </w:t>
      </w:r>
      <w:r w:rsidR="00A455B7" w:rsidRPr="00727583">
        <w:rPr>
          <w:rFonts w:ascii="Arial" w:hAnsi="Arial" w:cs="Arial"/>
        </w:rPr>
        <w:t>Husain, 2021).</w:t>
      </w:r>
    </w:p>
    <w:p w14:paraId="54F8BE5C" w14:textId="77777777" w:rsidR="00B16919" w:rsidRDefault="00B16919" w:rsidP="00A3134E">
      <w:pPr>
        <w:pStyle w:val="Heading1"/>
        <w:rPr>
          <w:rFonts w:ascii="Arial" w:hAnsi="Arial" w:cs="Arial"/>
          <w:b/>
        </w:rPr>
      </w:pPr>
    </w:p>
    <w:p w14:paraId="04C66D81" w14:textId="08D9570F" w:rsidR="00A3134E" w:rsidRPr="00376AA2" w:rsidRDefault="00A3134E" w:rsidP="006D440E">
      <w:pPr>
        <w:pStyle w:val="Heading1"/>
        <w:rPr>
          <w:rFonts w:ascii="Arial" w:hAnsi="Arial" w:cs="Arial"/>
          <w:b/>
          <w:bCs/>
          <w:color w:val="auto"/>
        </w:rPr>
      </w:pPr>
      <w:bookmarkStart w:id="9" w:name="_Toc131768166"/>
      <w:r w:rsidRPr="00376AA2">
        <w:rPr>
          <w:rFonts w:ascii="Arial" w:hAnsi="Arial" w:cs="Arial"/>
          <w:b/>
          <w:bCs/>
          <w:color w:val="auto"/>
        </w:rPr>
        <w:t>Conclusion</w:t>
      </w:r>
      <w:bookmarkEnd w:id="9"/>
    </w:p>
    <w:p w14:paraId="14ED98F1" w14:textId="77777777" w:rsidR="00A3134E" w:rsidRPr="00376AA2" w:rsidRDefault="00A3134E" w:rsidP="00B92097">
      <w:pPr>
        <w:spacing w:line="360" w:lineRule="auto"/>
        <w:jc w:val="both"/>
        <w:rPr>
          <w:rFonts w:ascii="Arial" w:hAnsi="Arial" w:cs="Arial"/>
        </w:rPr>
      </w:pPr>
    </w:p>
    <w:p w14:paraId="5AF9D2AB" w14:textId="77777777" w:rsidR="00BC7D84" w:rsidRPr="00BC7D84" w:rsidRDefault="00BC7D84" w:rsidP="00BC7D84">
      <w:pPr>
        <w:spacing w:line="360" w:lineRule="auto"/>
        <w:jc w:val="both"/>
        <w:rPr>
          <w:rFonts w:ascii="Arial" w:hAnsi="Arial" w:cs="Arial"/>
        </w:rPr>
      </w:pPr>
      <w:r w:rsidRPr="00BC7D84">
        <w:rPr>
          <w:rFonts w:ascii="Arial" w:hAnsi="Arial" w:cs="Arial"/>
        </w:rPr>
        <w:t>The UK has experienced a severe impact of COVID-19 based on public health and the economy. The virus has caused many illnesses and deaths, straining the country's overall healthcare process.</w:t>
      </w:r>
    </w:p>
    <w:p w14:paraId="3D13BF17" w14:textId="77777777" w:rsidR="00BC7D84" w:rsidRPr="00BC7D84" w:rsidRDefault="00BC7D84" w:rsidP="00BC7D84">
      <w:pPr>
        <w:spacing w:line="360" w:lineRule="auto"/>
        <w:jc w:val="both"/>
        <w:rPr>
          <w:rFonts w:ascii="Arial" w:hAnsi="Arial" w:cs="Arial"/>
        </w:rPr>
      </w:pPr>
      <w:r w:rsidRPr="00BC7D84">
        <w:rPr>
          <w:rFonts w:ascii="Arial" w:hAnsi="Arial" w:cs="Arial"/>
        </w:rPr>
        <w:t>The UK's National Health Service (NHS) has played a critical role in the fight against COVID-19, providing care for those who have fallen ill and administering vaccines to the population. The pandemic has highlighted the importance of having a well-funded and well-staffed public healthcare system that can respond to a crisis like this (Shiels and Anderson, 2021).</w:t>
      </w:r>
    </w:p>
    <w:p w14:paraId="3996AE72" w14:textId="77777777" w:rsidR="00BC7D84" w:rsidRPr="00BC7D84" w:rsidRDefault="00BC7D84" w:rsidP="00BC7D84">
      <w:pPr>
        <w:spacing w:line="360" w:lineRule="auto"/>
        <w:jc w:val="both"/>
        <w:rPr>
          <w:rFonts w:ascii="Arial" w:hAnsi="Arial" w:cs="Arial"/>
        </w:rPr>
      </w:pPr>
      <w:r w:rsidRPr="00BC7D84">
        <w:rPr>
          <w:rFonts w:ascii="Arial" w:hAnsi="Arial" w:cs="Arial"/>
        </w:rPr>
        <w:t>The pandemic has also highlighted existing health disparities in the UK. Certain groups, such as people from Minority Ethnic backgrounds and different parts of Asia, have been disproportionately affected by COVID-19. This underscores the importance of public health efforts to address inequalities and ensure everyone has access to healthcare, regardless of their background or socioeconomic status (Shiels and Anderson, 2021).</w:t>
      </w:r>
    </w:p>
    <w:p w14:paraId="75C21384" w14:textId="64AF2421" w:rsidR="0020791B" w:rsidRDefault="00BC7D84" w:rsidP="00BC7D84">
      <w:pPr>
        <w:spacing w:line="360" w:lineRule="auto"/>
        <w:jc w:val="both"/>
        <w:rPr>
          <w:rFonts w:ascii="Arial" w:hAnsi="Arial" w:cs="Arial"/>
        </w:rPr>
      </w:pPr>
      <w:r w:rsidRPr="00BC7D84">
        <w:rPr>
          <w:rFonts w:ascii="Arial" w:hAnsi="Arial" w:cs="Arial"/>
        </w:rPr>
        <w:t>Overall, the COVID-19 pandemic has demonstrated public healthcare's crucial role in keeping society healthy and safe. It has also highlighted the need for continued investment and support for public health initiatives to ensure the UK is prepared for future health crises.</w:t>
      </w:r>
    </w:p>
    <w:p w14:paraId="3A420F40" w14:textId="134FD854" w:rsidR="0020791B" w:rsidRDefault="0020791B" w:rsidP="0020791B">
      <w:pPr>
        <w:spacing w:line="360" w:lineRule="auto"/>
        <w:jc w:val="both"/>
        <w:rPr>
          <w:rFonts w:ascii="Arial" w:hAnsi="Arial" w:cs="Arial"/>
        </w:rPr>
      </w:pPr>
    </w:p>
    <w:p w14:paraId="42BFD1E0" w14:textId="77777777" w:rsidR="00C52EA0" w:rsidRDefault="00C52EA0" w:rsidP="00B92097">
      <w:pPr>
        <w:spacing w:line="360" w:lineRule="auto"/>
        <w:jc w:val="both"/>
        <w:rPr>
          <w:rFonts w:ascii="Arial" w:hAnsi="Arial" w:cs="Arial"/>
        </w:rPr>
      </w:pPr>
    </w:p>
    <w:p w14:paraId="0D98B36E" w14:textId="77777777" w:rsidR="002A3AF1" w:rsidRPr="00376AA2" w:rsidRDefault="002A3AF1" w:rsidP="002A3AF1">
      <w:pPr>
        <w:pStyle w:val="Heading1"/>
        <w:rPr>
          <w:rFonts w:ascii="Arial" w:hAnsi="Arial" w:cs="Arial"/>
          <w:b/>
          <w:bCs/>
          <w:color w:val="auto"/>
        </w:rPr>
      </w:pPr>
      <w:bookmarkStart w:id="10" w:name="_Toc131768167"/>
      <w:r w:rsidRPr="00376AA2">
        <w:rPr>
          <w:rFonts w:ascii="Arial" w:hAnsi="Arial" w:cs="Arial"/>
          <w:b/>
          <w:bCs/>
          <w:color w:val="auto"/>
        </w:rPr>
        <w:t>References</w:t>
      </w:r>
      <w:bookmarkEnd w:id="10"/>
    </w:p>
    <w:p w14:paraId="3628286E" w14:textId="77777777" w:rsidR="002A3AF1" w:rsidRDefault="002A3AF1" w:rsidP="002A3AF1">
      <w:pPr>
        <w:spacing w:line="360" w:lineRule="auto"/>
        <w:jc w:val="both"/>
        <w:rPr>
          <w:rFonts w:ascii="Arial" w:hAnsi="Arial" w:cs="Arial"/>
        </w:rPr>
      </w:pPr>
    </w:p>
    <w:p w14:paraId="3DA3C78C" w14:textId="77777777" w:rsidR="002A3AF1" w:rsidRPr="004765C5" w:rsidRDefault="002A3AF1" w:rsidP="002A3AF1">
      <w:pPr>
        <w:spacing w:line="360" w:lineRule="auto"/>
        <w:ind w:left="360"/>
        <w:jc w:val="both"/>
        <w:rPr>
          <w:rFonts w:ascii="Arial" w:hAnsi="Arial" w:cs="Arial"/>
        </w:rPr>
      </w:pPr>
      <w:proofErr w:type="spellStart"/>
      <w:r w:rsidRPr="004765C5">
        <w:rPr>
          <w:rFonts w:ascii="Arial" w:hAnsi="Arial" w:cs="Arial"/>
        </w:rPr>
        <w:lastRenderedPageBreak/>
        <w:t>Chinazzi</w:t>
      </w:r>
      <w:proofErr w:type="spellEnd"/>
      <w:r w:rsidRPr="004765C5">
        <w:rPr>
          <w:rFonts w:ascii="Arial" w:hAnsi="Arial" w:cs="Arial"/>
        </w:rPr>
        <w:t xml:space="preserve">, M., Davis, J. T. &amp; </w:t>
      </w:r>
      <w:proofErr w:type="spellStart"/>
      <w:r w:rsidRPr="004765C5">
        <w:rPr>
          <w:rFonts w:ascii="Arial" w:hAnsi="Arial" w:cs="Arial"/>
        </w:rPr>
        <w:t>Vespignani</w:t>
      </w:r>
      <w:proofErr w:type="spellEnd"/>
      <w:r w:rsidRPr="004765C5">
        <w:rPr>
          <w:rFonts w:ascii="Arial" w:hAnsi="Arial" w:cs="Arial"/>
        </w:rPr>
        <w:t xml:space="preserve">, A. (2020). </w:t>
      </w:r>
      <w:r w:rsidRPr="004765C5">
        <w:rPr>
          <w:rFonts w:ascii="Arial" w:hAnsi="Arial" w:cs="Arial"/>
          <w:i/>
          <w:iCs/>
        </w:rPr>
        <w:t>The effect of travel restrictions on the spread of the 2019 novel coronavirus (COVID-19) outbreak. Science</w:t>
      </w:r>
      <w:r w:rsidRPr="004765C5">
        <w:rPr>
          <w:rFonts w:ascii="Arial" w:hAnsi="Arial" w:cs="Arial"/>
        </w:rPr>
        <w:t>, 368(6489), 395-400.</w:t>
      </w:r>
    </w:p>
    <w:p w14:paraId="4F2B198E" w14:textId="77777777" w:rsidR="002A3AF1" w:rsidRPr="004765C5" w:rsidRDefault="002A3AF1" w:rsidP="002A3AF1">
      <w:pPr>
        <w:spacing w:line="360" w:lineRule="auto"/>
        <w:ind w:left="360"/>
        <w:jc w:val="both"/>
        <w:rPr>
          <w:rFonts w:ascii="Arial" w:hAnsi="Arial" w:cs="Arial"/>
        </w:rPr>
      </w:pPr>
      <w:proofErr w:type="spellStart"/>
      <w:r w:rsidRPr="004765C5">
        <w:rPr>
          <w:rFonts w:ascii="Arial" w:hAnsi="Arial" w:cs="Arial"/>
        </w:rPr>
        <w:t>Gostin</w:t>
      </w:r>
      <w:proofErr w:type="spellEnd"/>
      <w:r w:rsidRPr="004765C5">
        <w:rPr>
          <w:rFonts w:ascii="Arial" w:hAnsi="Arial" w:cs="Arial"/>
        </w:rPr>
        <w:t xml:space="preserve">, L. O., &amp; Wiley, L. F. (2020). </w:t>
      </w:r>
      <w:r w:rsidRPr="004765C5">
        <w:rPr>
          <w:rFonts w:ascii="Arial" w:hAnsi="Arial" w:cs="Arial"/>
          <w:i/>
          <w:iCs/>
        </w:rPr>
        <w:t>Governmental public health powers during the COVID-19 pandemic: stay-at-home orders, business closures, and travel restrictions.</w:t>
      </w:r>
      <w:r w:rsidRPr="004765C5">
        <w:rPr>
          <w:rFonts w:ascii="Arial" w:hAnsi="Arial" w:cs="Arial"/>
        </w:rPr>
        <w:t xml:space="preserve"> JAMA, 323(21), 2137-2138.</w:t>
      </w:r>
    </w:p>
    <w:p w14:paraId="4380324E" w14:textId="77777777" w:rsidR="002A3AF1" w:rsidRPr="004765C5" w:rsidRDefault="002A3AF1" w:rsidP="002A3AF1">
      <w:pPr>
        <w:spacing w:line="360" w:lineRule="auto"/>
        <w:ind w:left="360"/>
        <w:jc w:val="both"/>
        <w:rPr>
          <w:rFonts w:ascii="Arial" w:hAnsi="Arial" w:cs="Arial"/>
        </w:rPr>
      </w:pPr>
      <w:r w:rsidRPr="004765C5">
        <w:rPr>
          <w:rFonts w:ascii="Arial" w:hAnsi="Arial" w:cs="Arial"/>
        </w:rPr>
        <w:t xml:space="preserve">World Health Organization. (2020). </w:t>
      </w:r>
      <w:r w:rsidRPr="004765C5">
        <w:rPr>
          <w:rFonts w:ascii="Arial" w:hAnsi="Arial" w:cs="Arial"/>
          <w:i/>
          <w:iCs/>
        </w:rPr>
        <w:t>Non-pharmaceutical public health measures for mitigating the risk and impact of epidemic and pandemic influenza.</w:t>
      </w:r>
      <w:r w:rsidRPr="004765C5">
        <w:rPr>
          <w:rFonts w:ascii="Arial" w:hAnsi="Arial" w:cs="Arial"/>
        </w:rPr>
        <w:t xml:space="preserve"> World Health Organization.</w:t>
      </w:r>
    </w:p>
    <w:p w14:paraId="2816AC62" w14:textId="77777777" w:rsidR="002A3AF1" w:rsidRPr="004765C5" w:rsidRDefault="002A3AF1" w:rsidP="002A3AF1">
      <w:pPr>
        <w:spacing w:line="360" w:lineRule="auto"/>
        <w:ind w:left="360"/>
        <w:jc w:val="both"/>
        <w:rPr>
          <w:rFonts w:ascii="Arial" w:hAnsi="Arial" w:cs="Arial"/>
        </w:rPr>
      </w:pPr>
      <w:r w:rsidRPr="004765C5">
        <w:rPr>
          <w:rFonts w:ascii="Arial" w:hAnsi="Arial" w:cs="Arial"/>
        </w:rPr>
        <w:t xml:space="preserve">Guan, W. J., Liang, W. H., &amp; Du, B. (2020). </w:t>
      </w:r>
      <w:r w:rsidRPr="004765C5">
        <w:rPr>
          <w:rFonts w:ascii="Arial" w:hAnsi="Arial" w:cs="Arial"/>
          <w:i/>
          <w:iCs/>
        </w:rPr>
        <w:t>Comorbidity and its impact on 1590 patients with Covid-19 in China: a nationwide analysis.</w:t>
      </w:r>
      <w:r w:rsidRPr="004765C5">
        <w:rPr>
          <w:rFonts w:ascii="Arial" w:hAnsi="Arial" w:cs="Arial"/>
        </w:rPr>
        <w:t xml:space="preserve"> European Respiratory Journal, 55(5), 2000547.</w:t>
      </w:r>
    </w:p>
    <w:p w14:paraId="08E00179" w14:textId="77777777" w:rsidR="002A3AF1" w:rsidRPr="004765C5" w:rsidRDefault="002A3AF1" w:rsidP="002A3AF1">
      <w:pPr>
        <w:spacing w:line="360" w:lineRule="auto"/>
        <w:ind w:left="360"/>
        <w:jc w:val="both"/>
        <w:rPr>
          <w:rFonts w:ascii="Arial" w:hAnsi="Arial" w:cs="Arial"/>
        </w:rPr>
      </w:pPr>
      <w:proofErr w:type="spellStart"/>
      <w:r w:rsidRPr="004765C5">
        <w:rPr>
          <w:rFonts w:ascii="Arial" w:hAnsi="Arial" w:cs="Arial"/>
        </w:rPr>
        <w:t>Grasselli</w:t>
      </w:r>
      <w:proofErr w:type="spellEnd"/>
      <w:r w:rsidRPr="004765C5">
        <w:rPr>
          <w:rFonts w:ascii="Arial" w:hAnsi="Arial" w:cs="Arial"/>
        </w:rPr>
        <w:t xml:space="preserve">, G. &amp; Langer, T. (2020). </w:t>
      </w:r>
      <w:r w:rsidRPr="004765C5">
        <w:rPr>
          <w:rFonts w:ascii="Arial" w:hAnsi="Arial" w:cs="Arial"/>
          <w:i/>
          <w:iCs/>
        </w:rPr>
        <w:t>Baseline characteristics and outcomes of 1591 patients infected with SARS-CoV-2 admitted to ICUs of the Lombardy Region, Italy.</w:t>
      </w:r>
      <w:r w:rsidRPr="004765C5">
        <w:rPr>
          <w:rFonts w:ascii="Arial" w:hAnsi="Arial" w:cs="Arial"/>
        </w:rPr>
        <w:t xml:space="preserve"> Jama, 323(16), 1574-1581.</w:t>
      </w:r>
    </w:p>
    <w:p w14:paraId="14A53894" w14:textId="77777777" w:rsidR="002A3AF1" w:rsidRPr="004765C5" w:rsidRDefault="002A3AF1" w:rsidP="002A3AF1">
      <w:pPr>
        <w:spacing w:line="360" w:lineRule="auto"/>
        <w:ind w:left="360"/>
        <w:jc w:val="both"/>
        <w:rPr>
          <w:rFonts w:ascii="Arial" w:hAnsi="Arial" w:cs="Arial"/>
        </w:rPr>
      </w:pPr>
      <w:r w:rsidRPr="004765C5">
        <w:rPr>
          <w:rFonts w:ascii="Arial" w:hAnsi="Arial" w:cs="Arial"/>
        </w:rPr>
        <w:t xml:space="preserve">Yancy, C. W. (2020). </w:t>
      </w:r>
      <w:r w:rsidRPr="004765C5">
        <w:rPr>
          <w:rFonts w:ascii="Arial" w:hAnsi="Arial" w:cs="Arial"/>
          <w:i/>
          <w:iCs/>
        </w:rPr>
        <w:t>COVID-19 and African Americans.</w:t>
      </w:r>
      <w:r w:rsidRPr="004765C5">
        <w:rPr>
          <w:rFonts w:ascii="Arial" w:hAnsi="Arial" w:cs="Arial"/>
        </w:rPr>
        <w:t xml:space="preserve"> Jama, 323(19), 1891-1892.</w:t>
      </w:r>
    </w:p>
    <w:p w14:paraId="21785365" w14:textId="77777777" w:rsidR="002A3AF1" w:rsidRPr="004765C5" w:rsidRDefault="002A3AF1" w:rsidP="002A3AF1">
      <w:pPr>
        <w:spacing w:line="360" w:lineRule="auto"/>
        <w:ind w:left="360"/>
        <w:jc w:val="both"/>
        <w:rPr>
          <w:rFonts w:ascii="Arial" w:hAnsi="Arial" w:cs="Arial"/>
        </w:rPr>
      </w:pPr>
      <w:r w:rsidRPr="004765C5">
        <w:rPr>
          <w:rFonts w:ascii="Arial" w:hAnsi="Arial" w:cs="Arial"/>
        </w:rPr>
        <w:t xml:space="preserve">Tanne, J. H. &amp; Rada, A. G. (2020). </w:t>
      </w:r>
      <w:r w:rsidRPr="004765C5">
        <w:rPr>
          <w:rFonts w:ascii="Arial" w:hAnsi="Arial" w:cs="Arial"/>
          <w:i/>
          <w:iCs/>
        </w:rPr>
        <w:t xml:space="preserve">Covid-19: how doctors and healthcare systems are tackling coronavirus worldwide. </w:t>
      </w:r>
      <w:r w:rsidRPr="004765C5">
        <w:rPr>
          <w:rFonts w:ascii="Arial" w:hAnsi="Arial" w:cs="Arial"/>
        </w:rPr>
        <w:t>BMJ, 368, m1090.</w:t>
      </w:r>
    </w:p>
    <w:p w14:paraId="20240410" w14:textId="77777777" w:rsidR="002A3AF1" w:rsidRPr="004765C5" w:rsidRDefault="002A3AF1" w:rsidP="002A3AF1">
      <w:pPr>
        <w:spacing w:line="360" w:lineRule="auto"/>
        <w:ind w:left="360"/>
        <w:jc w:val="both"/>
        <w:rPr>
          <w:rFonts w:ascii="Arial" w:hAnsi="Arial" w:cs="Arial"/>
        </w:rPr>
      </w:pPr>
      <w:proofErr w:type="spellStart"/>
      <w:r w:rsidRPr="004765C5">
        <w:rPr>
          <w:rFonts w:ascii="Arial" w:hAnsi="Arial" w:cs="Arial"/>
        </w:rPr>
        <w:t>Doremalen</w:t>
      </w:r>
      <w:proofErr w:type="spellEnd"/>
      <w:r w:rsidRPr="004765C5">
        <w:rPr>
          <w:rFonts w:ascii="Arial" w:hAnsi="Arial" w:cs="Arial"/>
        </w:rPr>
        <w:t xml:space="preserve">, N. &amp; Lloyd-Smith, J. O. (2020). </w:t>
      </w:r>
      <w:r w:rsidRPr="004765C5">
        <w:rPr>
          <w:rFonts w:ascii="Arial" w:hAnsi="Arial" w:cs="Arial"/>
          <w:i/>
          <w:iCs/>
        </w:rPr>
        <w:t>Aerosol and surface stability of SARS-CoV-2 as compared with SARS-CoV-1.</w:t>
      </w:r>
      <w:r w:rsidRPr="004765C5">
        <w:rPr>
          <w:rFonts w:ascii="Arial" w:hAnsi="Arial" w:cs="Arial"/>
        </w:rPr>
        <w:t xml:space="preserve"> New England Journal of Medicine, 382(16), 1564-1567.</w:t>
      </w:r>
    </w:p>
    <w:p w14:paraId="20BCA066" w14:textId="77777777" w:rsidR="002A3AF1" w:rsidRPr="004765C5" w:rsidRDefault="002A3AF1" w:rsidP="002A3AF1">
      <w:pPr>
        <w:spacing w:line="360" w:lineRule="auto"/>
        <w:ind w:left="360"/>
        <w:jc w:val="both"/>
        <w:rPr>
          <w:rFonts w:ascii="Arial" w:hAnsi="Arial" w:cs="Arial"/>
        </w:rPr>
      </w:pPr>
      <w:r w:rsidRPr="004765C5">
        <w:rPr>
          <w:rFonts w:ascii="Arial" w:hAnsi="Arial" w:cs="Arial"/>
        </w:rPr>
        <w:t xml:space="preserve">Yen, M. Y. &amp; CDC COVID-19 Response Team. (2020). </w:t>
      </w:r>
      <w:r w:rsidRPr="004765C5">
        <w:rPr>
          <w:rFonts w:ascii="Arial" w:hAnsi="Arial" w:cs="Arial"/>
          <w:i/>
          <w:iCs/>
        </w:rPr>
        <w:t>Lessons from a nursing home outbreak of COVID-19 in Taiwan.</w:t>
      </w:r>
      <w:r w:rsidRPr="004765C5">
        <w:rPr>
          <w:rFonts w:ascii="Arial" w:hAnsi="Arial" w:cs="Arial"/>
        </w:rPr>
        <w:t xml:space="preserve"> Journal of the American Geriatrics Society, 68(5), 1022-1025.</w:t>
      </w:r>
    </w:p>
    <w:p w14:paraId="7F622093" w14:textId="77777777" w:rsidR="002A3AF1" w:rsidRPr="004765C5" w:rsidRDefault="002A3AF1" w:rsidP="002A3AF1">
      <w:pPr>
        <w:spacing w:line="360" w:lineRule="auto"/>
        <w:ind w:left="360"/>
        <w:jc w:val="both"/>
        <w:rPr>
          <w:rFonts w:ascii="Arial" w:hAnsi="Arial" w:cs="Arial"/>
        </w:rPr>
      </w:pPr>
      <w:r w:rsidRPr="004765C5">
        <w:rPr>
          <w:rFonts w:ascii="Arial" w:hAnsi="Arial" w:cs="Arial"/>
        </w:rPr>
        <w:t xml:space="preserve">Grabowski, D. C. and Joynt Maddox, K. E. (2020). </w:t>
      </w:r>
      <w:proofErr w:type="spellStart"/>
      <w:r w:rsidRPr="004765C5">
        <w:rPr>
          <w:rFonts w:ascii="Arial" w:hAnsi="Arial" w:cs="Arial"/>
          <w:i/>
          <w:iCs/>
        </w:rPr>
        <w:t>Postacute</w:t>
      </w:r>
      <w:proofErr w:type="spellEnd"/>
      <w:r w:rsidRPr="004765C5">
        <w:rPr>
          <w:rFonts w:ascii="Arial" w:hAnsi="Arial" w:cs="Arial"/>
          <w:i/>
          <w:iCs/>
        </w:rPr>
        <w:t xml:space="preserve"> Care Preparedness for COVID-19: Thinking Ahead. </w:t>
      </w:r>
      <w:r w:rsidRPr="004765C5">
        <w:rPr>
          <w:rFonts w:ascii="Arial" w:hAnsi="Arial" w:cs="Arial"/>
        </w:rPr>
        <w:t>JAMA, 323(20), 2007-2008.</w:t>
      </w:r>
    </w:p>
    <w:p w14:paraId="72889817" w14:textId="77777777" w:rsidR="002A3AF1" w:rsidRPr="004765C5" w:rsidRDefault="002A3AF1" w:rsidP="002A3AF1">
      <w:pPr>
        <w:spacing w:line="360" w:lineRule="auto"/>
        <w:ind w:left="360"/>
        <w:jc w:val="both"/>
        <w:rPr>
          <w:rFonts w:ascii="Arial" w:hAnsi="Arial" w:cs="Arial"/>
        </w:rPr>
      </w:pPr>
      <w:r w:rsidRPr="004765C5">
        <w:rPr>
          <w:rFonts w:ascii="Arial" w:hAnsi="Arial" w:cs="Arial"/>
        </w:rPr>
        <w:t xml:space="preserve">Greenhalgh, T. and Husain, L. (2021). </w:t>
      </w:r>
      <w:r w:rsidRPr="004765C5">
        <w:rPr>
          <w:rFonts w:ascii="Arial" w:hAnsi="Arial" w:cs="Arial"/>
          <w:i/>
          <w:iCs/>
        </w:rPr>
        <w:t xml:space="preserve">Management of post-acute COVID-19 in primary care. </w:t>
      </w:r>
      <w:r w:rsidRPr="004765C5">
        <w:rPr>
          <w:rFonts w:ascii="Arial" w:hAnsi="Arial" w:cs="Arial"/>
        </w:rPr>
        <w:t>The BMJ, 372, n415.</w:t>
      </w:r>
    </w:p>
    <w:p w14:paraId="7D3FB1BF" w14:textId="77777777" w:rsidR="002A3AF1" w:rsidRPr="004765C5" w:rsidRDefault="002A3AF1" w:rsidP="002A3AF1">
      <w:pPr>
        <w:spacing w:line="360" w:lineRule="auto"/>
        <w:ind w:left="360"/>
        <w:jc w:val="both"/>
        <w:rPr>
          <w:rFonts w:ascii="Arial" w:hAnsi="Arial" w:cs="Arial"/>
        </w:rPr>
      </w:pPr>
      <w:r w:rsidRPr="004765C5">
        <w:rPr>
          <w:rFonts w:ascii="Arial" w:hAnsi="Arial" w:cs="Arial"/>
        </w:rPr>
        <w:t xml:space="preserve">Shiels, M. S., </w:t>
      </w:r>
      <w:proofErr w:type="spellStart"/>
      <w:r w:rsidRPr="004765C5">
        <w:rPr>
          <w:rFonts w:ascii="Arial" w:hAnsi="Arial" w:cs="Arial"/>
        </w:rPr>
        <w:t>Chernyavskiy</w:t>
      </w:r>
      <w:proofErr w:type="spellEnd"/>
      <w:r w:rsidRPr="004765C5">
        <w:rPr>
          <w:rFonts w:ascii="Arial" w:hAnsi="Arial" w:cs="Arial"/>
        </w:rPr>
        <w:t xml:space="preserve">, P. and Anderson, W. F. (2021). </w:t>
      </w:r>
      <w:r w:rsidRPr="004765C5">
        <w:rPr>
          <w:rFonts w:ascii="Arial" w:hAnsi="Arial" w:cs="Arial"/>
          <w:i/>
          <w:iCs/>
        </w:rPr>
        <w:t>Delayed Cancer Screenings and High Excess Cancer Mortality during the COVID-19 Pandemic in the United States.</w:t>
      </w:r>
      <w:r w:rsidRPr="004765C5">
        <w:rPr>
          <w:rFonts w:ascii="Arial" w:hAnsi="Arial" w:cs="Arial"/>
        </w:rPr>
        <w:t xml:space="preserve"> JAMA Oncology, 7(2), 379-384.</w:t>
      </w:r>
    </w:p>
    <w:p w14:paraId="0F92F549" w14:textId="77777777" w:rsidR="002A3AF1" w:rsidRDefault="002A3AF1" w:rsidP="002A3AF1"/>
    <w:p w14:paraId="31B92269" w14:textId="16D8AB00" w:rsidR="00727583" w:rsidRPr="00727583" w:rsidRDefault="00727583" w:rsidP="00F70E67">
      <w:pPr>
        <w:pStyle w:val="ListParagraph"/>
        <w:spacing w:line="360" w:lineRule="auto"/>
        <w:jc w:val="both"/>
        <w:rPr>
          <w:rFonts w:ascii="Arial" w:hAnsi="Arial" w:cs="Arial"/>
        </w:rPr>
      </w:pPr>
    </w:p>
    <w:sectPr w:rsidR="00727583" w:rsidRPr="0072758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095BC6" w14:textId="77777777" w:rsidR="00D254CB" w:rsidRDefault="00D254CB" w:rsidP="00436941">
      <w:pPr>
        <w:spacing w:after="0" w:line="240" w:lineRule="auto"/>
      </w:pPr>
      <w:r>
        <w:separator/>
      </w:r>
    </w:p>
  </w:endnote>
  <w:endnote w:type="continuationSeparator" w:id="0">
    <w:p w14:paraId="047E024C" w14:textId="77777777" w:rsidR="00D254CB" w:rsidRDefault="00D254CB" w:rsidP="004369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2972057"/>
      <w:docPartObj>
        <w:docPartGallery w:val="Page Numbers (Bottom of Page)"/>
        <w:docPartUnique/>
      </w:docPartObj>
    </w:sdtPr>
    <w:sdtEndPr>
      <w:rPr>
        <w:noProof/>
      </w:rPr>
    </w:sdtEndPr>
    <w:sdtContent>
      <w:p w14:paraId="699F8636" w14:textId="4A9ACD5C" w:rsidR="00436941" w:rsidRDefault="00436941">
        <w:pPr>
          <w:pStyle w:val="Footer"/>
          <w:jc w:val="right"/>
        </w:pPr>
        <w:r>
          <w:fldChar w:fldCharType="begin"/>
        </w:r>
        <w:r>
          <w:instrText xml:space="preserve"> PAGE   \* MERGEFORMAT </w:instrText>
        </w:r>
        <w:r>
          <w:fldChar w:fldCharType="separate"/>
        </w:r>
        <w:r w:rsidR="00376AA2">
          <w:rPr>
            <w:noProof/>
          </w:rPr>
          <w:t>9</w:t>
        </w:r>
        <w:r>
          <w:rPr>
            <w:noProof/>
          </w:rPr>
          <w:fldChar w:fldCharType="end"/>
        </w:r>
      </w:p>
    </w:sdtContent>
  </w:sdt>
  <w:p w14:paraId="40A0FE75" w14:textId="77777777" w:rsidR="00436941" w:rsidRDefault="004369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484195" w14:textId="77777777" w:rsidR="00D254CB" w:rsidRDefault="00D254CB" w:rsidP="00436941">
      <w:pPr>
        <w:spacing w:after="0" w:line="240" w:lineRule="auto"/>
      </w:pPr>
      <w:r>
        <w:separator/>
      </w:r>
    </w:p>
  </w:footnote>
  <w:footnote w:type="continuationSeparator" w:id="0">
    <w:p w14:paraId="37E397D1" w14:textId="77777777" w:rsidR="00D254CB" w:rsidRDefault="00D254CB" w:rsidP="004369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B0AB8"/>
    <w:multiLevelType w:val="hybridMultilevel"/>
    <w:tmpl w:val="ED405C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B0A2472"/>
    <w:multiLevelType w:val="multilevel"/>
    <w:tmpl w:val="EA10F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3D5A39"/>
    <w:multiLevelType w:val="multilevel"/>
    <w:tmpl w:val="FADC81E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BC5F21"/>
    <w:multiLevelType w:val="multilevel"/>
    <w:tmpl w:val="A522A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2390AC4"/>
    <w:multiLevelType w:val="hybridMultilevel"/>
    <w:tmpl w:val="674C53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F311959"/>
    <w:multiLevelType w:val="multilevel"/>
    <w:tmpl w:val="227C4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42597084">
    <w:abstractNumId w:val="4"/>
  </w:num>
  <w:num w:numId="2" w16cid:durableId="154802352">
    <w:abstractNumId w:val="3"/>
  </w:num>
  <w:num w:numId="3" w16cid:durableId="913322432">
    <w:abstractNumId w:val="5"/>
  </w:num>
  <w:num w:numId="4" w16cid:durableId="1287732836">
    <w:abstractNumId w:val="2"/>
  </w:num>
  <w:num w:numId="5" w16cid:durableId="244925920">
    <w:abstractNumId w:val="1"/>
  </w:num>
  <w:num w:numId="6" w16cid:durableId="13234644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3146"/>
    <w:rsid w:val="0001524B"/>
    <w:rsid w:val="00051F20"/>
    <w:rsid w:val="00056557"/>
    <w:rsid w:val="000602DF"/>
    <w:rsid w:val="00144AC5"/>
    <w:rsid w:val="001A363B"/>
    <w:rsid w:val="001E260E"/>
    <w:rsid w:val="0020791B"/>
    <w:rsid w:val="0025416E"/>
    <w:rsid w:val="00280B92"/>
    <w:rsid w:val="002914E8"/>
    <w:rsid w:val="002A3AF1"/>
    <w:rsid w:val="002D3288"/>
    <w:rsid w:val="0034449C"/>
    <w:rsid w:val="00356CFD"/>
    <w:rsid w:val="003713C0"/>
    <w:rsid w:val="00376AA2"/>
    <w:rsid w:val="003A0F91"/>
    <w:rsid w:val="003D5E09"/>
    <w:rsid w:val="00417308"/>
    <w:rsid w:val="00436941"/>
    <w:rsid w:val="00437BCA"/>
    <w:rsid w:val="00456EE7"/>
    <w:rsid w:val="004765C5"/>
    <w:rsid w:val="0049006F"/>
    <w:rsid w:val="004D01F4"/>
    <w:rsid w:val="004F2222"/>
    <w:rsid w:val="004F4992"/>
    <w:rsid w:val="0051624A"/>
    <w:rsid w:val="0055738B"/>
    <w:rsid w:val="00643D53"/>
    <w:rsid w:val="006604E5"/>
    <w:rsid w:val="006D440E"/>
    <w:rsid w:val="006D53B0"/>
    <w:rsid w:val="00727583"/>
    <w:rsid w:val="007353C0"/>
    <w:rsid w:val="00763024"/>
    <w:rsid w:val="0079174C"/>
    <w:rsid w:val="007D2FB9"/>
    <w:rsid w:val="007D5D3B"/>
    <w:rsid w:val="007D65B4"/>
    <w:rsid w:val="008518BC"/>
    <w:rsid w:val="00864A6B"/>
    <w:rsid w:val="008712A5"/>
    <w:rsid w:val="00873146"/>
    <w:rsid w:val="008B7500"/>
    <w:rsid w:val="008E2873"/>
    <w:rsid w:val="0092637D"/>
    <w:rsid w:val="00964CF9"/>
    <w:rsid w:val="00973D84"/>
    <w:rsid w:val="009F5D0D"/>
    <w:rsid w:val="00A136D4"/>
    <w:rsid w:val="00A3134E"/>
    <w:rsid w:val="00A455B7"/>
    <w:rsid w:val="00A74858"/>
    <w:rsid w:val="00A87520"/>
    <w:rsid w:val="00AA4E31"/>
    <w:rsid w:val="00AC76AD"/>
    <w:rsid w:val="00B06D11"/>
    <w:rsid w:val="00B16919"/>
    <w:rsid w:val="00B84EAC"/>
    <w:rsid w:val="00B92097"/>
    <w:rsid w:val="00BB4BEF"/>
    <w:rsid w:val="00BC7D84"/>
    <w:rsid w:val="00BD2119"/>
    <w:rsid w:val="00BD7D84"/>
    <w:rsid w:val="00C17826"/>
    <w:rsid w:val="00C52EA0"/>
    <w:rsid w:val="00CA7EEA"/>
    <w:rsid w:val="00CB6000"/>
    <w:rsid w:val="00CC3325"/>
    <w:rsid w:val="00CD2AD6"/>
    <w:rsid w:val="00D254CB"/>
    <w:rsid w:val="00D63BE0"/>
    <w:rsid w:val="00D74AE0"/>
    <w:rsid w:val="00DE72C8"/>
    <w:rsid w:val="00DF5CAB"/>
    <w:rsid w:val="00E21556"/>
    <w:rsid w:val="00E87A7A"/>
    <w:rsid w:val="00F25CF2"/>
    <w:rsid w:val="00F70E67"/>
    <w:rsid w:val="00F75E89"/>
    <w:rsid w:val="00FA19AB"/>
    <w:rsid w:val="00FB4207"/>
    <w:rsid w:val="00FF240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F2F893"/>
  <w15:docId w15:val="{3B733638-7C33-4E93-8EFA-EF0CF66EC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31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3146"/>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D63BE0"/>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63BE0"/>
    <w:rPr>
      <w:b/>
      <w:bCs/>
    </w:rPr>
  </w:style>
  <w:style w:type="paragraph" w:styleId="ListParagraph">
    <w:name w:val="List Paragraph"/>
    <w:basedOn w:val="Normal"/>
    <w:uiPriority w:val="34"/>
    <w:qFormat/>
    <w:rsid w:val="00C52EA0"/>
    <w:pPr>
      <w:ind w:left="720"/>
      <w:contextualSpacing/>
    </w:pPr>
  </w:style>
  <w:style w:type="paragraph" w:styleId="TOCHeading">
    <w:name w:val="TOC Heading"/>
    <w:basedOn w:val="Heading1"/>
    <w:next w:val="Normal"/>
    <w:uiPriority w:val="39"/>
    <w:unhideWhenUsed/>
    <w:qFormat/>
    <w:rsid w:val="00B06D11"/>
    <w:pPr>
      <w:outlineLvl w:val="9"/>
    </w:pPr>
  </w:style>
  <w:style w:type="paragraph" w:styleId="TOC1">
    <w:name w:val="toc 1"/>
    <w:basedOn w:val="Normal"/>
    <w:next w:val="Normal"/>
    <w:autoRedefine/>
    <w:uiPriority w:val="39"/>
    <w:unhideWhenUsed/>
    <w:rsid w:val="00B06D11"/>
    <w:pPr>
      <w:spacing w:after="100"/>
    </w:pPr>
  </w:style>
  <w:style w:type="character" w:styleId="Hyperlink">
    <w:name w:val="Hyperlink"/>
    <w:basedOn w:val="DefaultParagraphFont"/>
    <w:uiPriority w:val="99"/>
    <w:unhideWhenUsed/>
    <w:rsid w:val="00B06D11"/>
    <w:rPr>
      <w:color w:val="0563C1" w:themeColor="hyperlink"/>
      <w:u w:val="single"/>
    </w:rPr>
  </w:style>
  <w:style w:type="paragraph" w:styleId="Header">
    <w:name w:val="header"/>
    <w:basedOn w:val="Normal"/>
    <w:link w:val="HeaderChar"/>
    <w:uiPriority w:val="99"/>
    <w:unhideWhenUsed/>
    <w:rsid w:val="004369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6941"/>
  </w:style>
  <w:style w:type="paragraph" w:styleId="Footer">
    <w:name w:val="footer"/>
    <w:basedOn w:val="Normal"/>
    <w:link w:val="FooterChar"/>
    <w:uiPriority w:val="99"/>
    <w:unhideWhenUsed/>
    <w:rsid w:val="004369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6941"/>
  </w:style>
  <w:style w:type="paragraph" w:styleId="BalloonText">
    <w:name w:val="Balloon Text"/>
    <w:basedOn w:val="Normal"/>
    <w:link w:val="BalloonTextChar"/>
    <w:uiPriority w:val="99"/>
    <w:semiHidden/>
    <w:unhideWhenUsed/>
    <w:rsid w:val="003713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13C0"/>
    <w:rPr>
      <w:rFonts w:ascii="Tahoma" w:hAnsi="Tahoma" w:cs="Tahoma"/>
      <w:sz w:val="16"/>
      <w:szCs w:val="16"/>
    </w:rPr>
  </w:style>
  <w:style w:type="table" w:styleId="TableGrid">
    <w:name w:val="Table Grid"/>
    <w:basedOn w:val="TableNormal"/>
    <w:uiPriority w:val="39"/>
    <w:rsid w:val="00A313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9052295">
      <w:bodyDiv w:val="1"/>
      <w:marLeft w:val="0"/>
      <w:marRight w:val="0"/>
      <w:marTop w:val="0"/>
      <w:marBottom w:val="0"/>
      <w:divBdr>
        <w:top w:val="none" w:sz="0" w:space="0" w:color="auto"/>
        <w:left w:val="none" w:sz="0" w:space="0" w:color="auto"/>
        <w:bottom w:val="none" w:sz="0" w:space="0" w:color="auto"/>
        <w:right w:val="none" w:sz="0" w:space="0" w:color="auto"/>
      </w:divBdr>
    </w:div>
    <w:div w:id="735319981">
      <w:bodyDiv w:val="1"/>
      <w:marLeft w:val="0"/>
      <w:marRight w:val="0"/>
      <w:marTop w:val="0"/>
      <w:marBottom w:val="0"/>
      <w:divBdr>
        <w:top w:val="none" w:sz="0" w:space="0" w:color="auto"/>
        <w:left w:val="none" w:sz="0" w:space="0" w:color="auto"/>
        <w:bottom w:val="none" w:sz="0" w:space="0" w:color="auto"/>
        <w:right w:val="none" w:sz="0" w:space="0" w:color="auto"/>
      </w:divBdr>
    </w:div>
    <w:div w:id="826478599">
      <w:bodyDiv w:val="1"/>
      <w:marLeft w:val="0"/>
      <w:marRight w:val="0"/>
      <w:marTop w:val="0"/>
      <w:marBottom w:val="0"/>
      <w:divBdr>
        <w:top w:val="none" w:sz="0" w:space="0" w:color="auto"/>
        <w:left w:val="none" w:sz="0" w:space="0" w:color="auto"/>
        <w:bottom w:val="none" w:sz="0" w:space="0" w:color="auto"/>
        <w:right w:val="none" w:sz="0" w:space="0" w:color="auto"/>
      </w:divBdr>
    </w:div>
    <w:div w:id="834495218">
      <w:bodyDiv w:val="1"/>
      <w:marLeft w:val="0"/>
      <w:marRight w:val="0"/>
      <w:marTop w:val="0"/>
      <w:marBottom w:val="0"/>
      <w:divBdr>
        <w:top w:val="none" w:sz="0" w:space="0" w:color="auto"/>
        <w:left w:val="none" w:sz="0" w:space="0" w:color="auto"/>
        <w:bottom w:val="none" w:sz="0" w:space="0" w:color="auto"/>
        <w:right w:val="none" w:sz="0" w:space="0" w:color="auto"/>
      </w:divBdr>
    </w:div>
    <w:div w:id="1572740182">
      <w:bodyDiv w:val="1"/>
      <w:marLeft w:val="0"/>
      <w:marRight w:val="0"/>
      <w:marTop w:val="0"/>
      <w:marBottom w:val="0"/>
      <w:divBdr>
        <w:top w:val="none" w:sz="0" w:space="0" w:color="auto"/>
        <w:left w:val="none" w:sz="0" w:space="0" w:color="auto"/>
        <w:bottom w:val="none" w:sz="0" w:space="0" w:color="auto"/>
        <w:right w:val="none" w:sz="0" w:space="0" w:color="auto"/>
      </w:divBdr>
    </w:div>
    <w:div w:id="1855340918">
      <w:bodyDiv w:val="1"/>
      <w:marLeft w:val="0"/>
      <w:marRight w:val="0"/>
      <w:marTop w:val="0"/>
      <w:marBottom w:val="0"/>
      <w:divBdr>
        <w:top w:val="none" w:sz="0" w:space="0" w:color="auto"/>
        <w:left w:val="none" w:sz="0" w:space="0" w:color="auto"/>
        <w:bottom w:val="none" w:sz="0" w:space="0" w:color="auto"/>
        <w:right w:val="none" w:sz="0" w:space="0" w:color="auto"/>
      </w:divBdr>
    </w:div>
    <w:div w:id="1985888543">
      <w:bodyDiv w:val="1"/>
      <w:marLeft w:val="0"/>
      <w:marRight w:val="0"/>
      <w:marTop w:val="0"/>
      <w:marBottom w:val="0"/>
      <w:divBdr>
        <w:top w:val="none" w:sz="0" w:space="0" w:color="auto"/>
        <w:left w:val="none" w:sz="0" w:space="0" w:color="auto"/>
        <w:bottom w:val="none" w:sz="0" w:space="0" w:color="auto"/>
        <w:right w:val="none" w:sz="0" w:space="0" w:color="auto"/>
      </w:divBdr>
    </w:div>
    <w:div w:id="2009017114">
      <w:bodyDiv w:val="1"/>
      <w:marLeft w:val="0"/>
      <w:marRight w:val="0"/>
      <w:marTop w:val="0"/>
      <w:marBottom w:val="0"/>
      <w:divBdr>
        <w:top w:val="none" w:sz="0" w:space="0" w:color="auto"/>
        <w:left w:val="none" w:sz="0" w:space="0" w:color="auto"/>
        <w:bottom w:val="none" w:sz="0" w:space="0" w:color="auto"/>
        <w:right w:val="none" w:sz="0" w:space="0" w:color="auto"/>
      </w:divBdr>
    </w:div>
    <w:div w:id="2025856340">
      <w:bodyDiv w:val="1"/>
      <w:marLeft w:val="0"/>
      <w:marRight w:val="0"/>
      <w:marTop w:val="0"/>
      <w:marBottom w:val="0"/>
      <w:divBdr>
        <w:top w:val="none" w:sz="0" w:space="0" w:color="auto"/>
        <w:left w:val="none" w:sz="0" w:space="0" w:color="auto"/>
        <w:bottom w:val="none" w:sz="0" w:space="0" w:color="auto"/>
        <w:right w:val="none" w:sz="0" w:space="0" w:color="auto"/>
      </w:divBdr>
    </w:div>
    <w:div w:id="2046363501">
      <w:bodyDiv w:val="1"/>
      <w:marLeft w:val="0"/>
      <w:marRight w:val="0"/>
      <w:marTop w:val="0"/>
      <w:marBottom w:val="0"/>
      <w:divBdr>
        <w:top w:val="none" w:sz="0" w:space="0" w:color="auto"/>
        <w:left w:val="none" w:sz="0" w:space="0" w:color="auto"/>
        <w:bottom w:val="none" w:sz="0" w:space="0" w:color="auto"/>
        <w:right w:val="none" w:sz="0" w:space="0" w:color="auto"/>
      </w:divBdr>
    </w:div>
    <w:div w:id="2054772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4465DC-D9DB-4F11-8DCE-C495291964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2522</Words>
  <Characters>14381</Characters>
  <Application>Microsoft Office Word</Application>
  <DocSecurity>4</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Eliane Mukeba (Institute of Inner City Learning)</cp:lastModifiedBy>
  <cp:revision>2</cp:revision>
  <dcterms:created xsi:type="dcterms:W3CDTF">2023-04-20T10:39:00Z</dcterms:created>
  <dcterms:modified xsi:type="dcterms:W3CDTF">2023-04-20T10:39:00Z</dcterms:modified>
</cp:coreProperties>
</file>