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5DB7A" w14:textId="21BABC9C" w:rsidR="00263E72" w:rsidRDefault="0097127E">
      <w:pPr>
        <w:rPr>
          <w:rFonts w:ascii="Arial" w:hAnsi="Arial" w:cs="Arial"/>
          <w:sz w:val="28"/>
          <w:szCs w:val="28"/>
        </w:rPr>
      </w:pPr>
      <w:r w:rsidRPr="00C25CC2">
        <w:rPr>
          <w:rFonts w:ascii="Arial" w:hAnsi="Arial" w:cs="Arial"/>
          <w:sz w:val="28"/>
          <w:szCs w:val="28"/>
        </w:rPr>
        <w:t xml:space="preserve">Examine the concept of dishonesty </w:t>
      </w:r>
      <w:r w:rsidR="00D74951" w:rsidRPr="00C25CC2">
        <w:rPr>
          <w:rFonts w:ascii="Arial" w:hAnsi="Arial" w:cs="Arial"/>
          <w:sz w:val="28"/>
          <w:szCs w:val="28"/>
        </w:rPr>
        <w:t xml:space="preserve">and the role </w:t>
      </w:r>
      <w:r w:rsidR="00EA4065" w:rsidRPr="00C25CC2">
        <w:rPr>
          <w:rFonts w:ascii="Arial" w:hAnsi="Arial" w:cs="Arial"/>
          <w:sz w:val="28"/>
          <w:szCs w:val="28"/>
        </w:rPr>
        <w:t xml:space="preserve">it plays in relation to </w:t>
      </w:r>
      <w:r w:rsidR="0025550A" w:rsidRPr="00C25CC2">
        <w:rPr>
          <w:rFonts w:ascii="Arial" w:hAnsi="Arial" w:cs="Arial"/>
          <w:sz w:val="28"/>
          <w:szCs w:val="28"/>
        </w:rPr>
        <w:t xml:space="preserve">offences of theft </w:t>
      </w:r>
      <w:r w:rsidR="00C25CC2" w:rsidRPr="00C25CC2">
        <w:rPr>
          <w:rFonts w:ascii="Arial" w:hAnsi="Arial" w:cs="Arial"/>
          <w:sz w:val="28"/>
          <w:szCs w:val="28"/>
        </w:rPr>
        <w:t>in the UK</w:t>
      </w:r>
    </w:p>
    <w:p w14:paraId="35B62479" w14:textId="32BB55DB" w:rsidR="00064017" w:rsidRDefault="006573C8" w:rsidP="00280ED4">
      <w:pPr>
        <w:rPr>
          <w:rFonts w:ascii="Arial" w:hAnsi="Arial" w:cs="Arial"/>
          <w:sz w:val="24"/>
          <w:szCs w:val="24"/>
        </w:rPr>
      </w:pPr>
      <w:r>
        <w:rPr>
          <w:rFonts w:ascii="Arial" w:hAnsi="Arial" w:cs="Arial"/>
          <w:sz w:val="24"/>
          <w:szCs w:val="24"/>
        </w:rPr>
        <w:t xml:space="preserve">This study aims to investigate the common law of dishonesty and its role regarding theft offences in the UK. </w:t>
      </w:r>
      <w:r w:rsidR="00484EC7">
        <w:rPr>
          <w:rFonts w:ascii="Arial" w:hAnsi="Arial" w:cs="Arial"/>
          <w:sz w:val="24"/>
          <w:szCs w:val="24"/>
        </w:rPr>
        <w:t>First step involves explaining the concept of dishonesty</w:t>
      </w:r>
      <w:r w:rsidR="00A83FD8">
        <w:rPr>
          <w:rFonts w:ascii="Arial" w:hAnsi="Arial" w:cs="Arial"/>
          <w:sz w:val="24"/>
          <w:szCs w:val="24"/>
        </w:rPr>
        <w:t xml:space="preserve"> and its </w:t>
      </w:r>
      <w:r w:rsidR="00F11E63">
        <w:rPr>
          <w:rFonts w:ascii="Arial" w:hAnsi="Arial" w:cs="Arial"/>
          <w:sz w:val="24"/>
          <w:szCs w:val="24"/>
        </w:rPr>
        <w:t>form</w:t>
      </w:r>
      <w:r w:rsidR="00A83FD8">
        <w:rPr>
          <w:rFonts w:ascii="Arial" w:hAnsi="Arial" w:cs="Arial"/>
          <w:sz w:val="24"/>
          <w:szCs w:val="24"/>
        </w:rPr>
        <w:t>s</w:t>
      </w:r>
      <w:r w:rsidR="00F11E63">
        <w:rPr>
          <w:rFonts w:ascii="Arial" w:hAnsi="Arial" w:cs="Arial"/>
          <w:sz w:val="24"/>
          <w:szCs w:val="24"/>
        </w:rPr>
        <w:t xml:space="preserve"> of untruthful behaviour</w:t>
      </w:r>
      <w:r w:rsidR="00ED00F5">
        <w:rPr>
          <w:rFonts w:ascii="Arial" w:hAnsi="Arial" w:cs="Arial"/>
          <w:sz w:val="24"/>
          <w:szCs w:val="24"/>
        </w:rPr>
        <w:t>,</w:t>
      </w:r>
      <w:r w:rsidR="002D3450">
        <w:rPr>
          <w:rFonts w:ascii="Arial" w:hAnsi="Arial" w:cs="Arial"/>
          <w:sz w:val="24"/>
          <w:szCs w:val="24"/>
        </w:rPr>
        <w:t xml:space="preserve"> from a psychological perspective a</w:t>
      </w:r>
      <w:r w:rsidR="00A930A4">
        <w:rPr>
          <w:rFonts w:ascii="Arial" w:hAnsi="Arial" w:cs="Arial"/>
          <w:sz w:val="24"/>
          <w:szCs w:val="24"/>
        </w:rPr>
        <w:t>nd</w:t>
      </w:r>
      <w:r w:rsidR="00BD33D4">
        <w:rPr>
          <w:rFonts w:ascii="Arial" w:hAnsi="Arial" w:cs="Arial"/>
          <w:sz w:val="24"/>
          <w:szCs w:val="24"/>
        </w:rPr>
        <w:t xml:space="preserve"> </w:t>
      </w:r>
      <w:r w:rsidR="00A930A4">
        <w:rPr>
          <w:rFonts w:ascii="Arial" w:hAnsi="Arial" w:cs="Arial"/>
          <w:sz w:val="24"/>
          <w:szCs w:val="24"/>
        </w:rPr>
        <w:t xml:space="preserve">particularly </w:t>
      </w:r>
      <w:r w:rsidR="002D3450">
        <w:rPr>
          <w:rFonts w:ascii="Arial" w:hAnsi="Arial" w:cs="Arial"/>
          <w:sz w:val="24"/>
          <w:szCs w:val="24"/>
        </w:rPr>
        <w:t>from a legal perspective.</w:t>
      </w:r>
      <w:r w:rsidR="00EB788D">
        <w:rPr>
          <w:rFonts w:ascii="Arial" w:hAnsi="Arial" w:cs="Arial"/>
          <w:sz w:val="24"/>
          <w:szCs w:val="24"/>
        </w:rPr>
        <w:t xml:space="preserve"> </w:t>
      </w:r>
      <w:r w:rsidR="00E64DEF">
        <w:rPr>
          <w:rFonts w:ascii="Arial" w:hAnsi="Arial" w:cs="Arial"/>
          <w:sz w:val="24"/>
          <w:szCs w:val="24"/>
        </w:rPr>
        <w:t>Next step</w:t>
      </w:r>
      <w:r w:rsidR="00B43115">
        <w:rPr>
          <w:rFonts w:ascii="Arial" w:hAnsi="Arial" w:cs="Arial"/>
          <w:sz w:val="24"/>
          <w:szCs w:val="24"/>
        </w:rPr>
        <w:t xml:space="preserve"> analyses</w:t>
      </w:r>
      <w:r w:rsidR="00EB788D">
        <w:rPr>
          <w:rFonts w:ascii="Arial" w:hAnsi="Arial" w:cs="Arial"/>
          <w:sz w:val="24"/>
          <w:szCs w:val="24"/>
        </w:rPr>
        <w:t xml:space="preserve"> dishonesty in relation to offences of theft</w:t>
      </w:r>
      <w:r w:rsidR="000F6CD1">
        <w:rPr>
          <w:rFonts w:ascii="Arial" w:hAnsi="Arial" w:cs="Arial"/>
          <w:sz w:val="24"/>
          <w:szCs w:val="24"/>
        </w:rPr>
        <w:t xml:space="preserve">, </w:t>
      </w:r>
      <w:r w:rsidR="00815E26">
        <w:rPr>
          <w:rFonts w:ascii="Arial" w:hAnsi="Arial" w:cs="Arial"/>
          <w:sz w:val="24"/>
          <w:szCs w:val="24"/>
        </w:rPr>
        <w:t>then</w:t>
      </w:r>
      <w:r w:rsidR="000F6CD1">
        <w:rPr>
          <w:rFonts w:ascii="Arial" w:hAnsi="Arial" w:cs="Arial"/>
          <w:sz w:val="24"/>
          <w:szCs w:val="24"/>
        </w:rPr>
        <w:t xml:space="preserve"> </w:t>
      </w:r>
      <w:r w:rsidR="00970B13" w:rsidRPr="002A7D91">
        <w:rPr>
          <w:rFonts w:ascii="Arial" w:hAnsi="Arial" w:cs="Arial"/>
          <w:sz w:val="24"/>
          <w:szCs w:val="24"/>
        </w:rPr>
        <w:t>compare</w:t>
      </w:r>
      <w:r w:rsidR="00B43115">
        <w:rPr>
          <w:rFonts w:ascii="Arial" w:hAnsi="Arial" w:cs="Arial"/>
          <w:sz w:val="24"/>
          <w:szCs w:val="24"/>
        </w:rPr>
        <w:t>s</w:t>
      </w:r>
      <w:r w:rsidR="00AC7DEE" w:rsidRPr="002A7D91">
        <w:rPr>
          <w:rFonts w:ascii="Arial" w:hAnsi="Arial" w:cs="Arial"/>
          <w:sz w:val="24"/>
          <w:szCs w:val="24"/>
        </w:rPr>
        <w:t xml:space="preserve"> </w:t>
      </w:r>
      <w:r w:rsidR="00AC7DEE">
        <w:rPr>
          <w:rFonts w:ascii="Arial" w:hAnsi="Arial" w:cs="Arial"/>
          <w:sz w:val="24"/>
          <w:szCs w:val="24"/>
        </w:rPr>
        <w:t>and evaluate</w:t>
      </w:r>
      <w:r w:rsidR="00B43115">
        <w:rPr>
          <w:rFonts w:ascii="Arial" w:hAnsi="Arial" w:cs="Arial"/>
          <w:sz w:val="24"/>
          <w:szCs w:val="24"/>
        </w:rPr>
        <w:t>s</w:t>
      </w:r>
      <w:r w:rsidR="00AC7DEE">
        <w:rPr>
          <w:rFonts w:ascii="Arial" w:hAnsi="Arial" w:cs="Arial"/>
          <w:sz w:val="24"/>
          <w:szCs w:val="24"/>
        </w:rPr>
        <w:t xml:space="preserve"> the evolution of </w:t>
      </w:r>
      <w:r w:rsidR="00D2032A">
        <w:rPr>
          <w:rFonts w:ascii="Arial" w:hAnsi="Arial" w:cs="Arial"/>
          <w:sz w:val="24"/>
          <w:szCs w:val="24"/>
        </w:rPr>
        <w:t>the common law</w:t>
      </w:r>
      <w:r w:rsidR="00AC7DEE">
        <w:rPr>
          <w:rFonts w:ascii="Arial" w:hAnsi="Arial" w:cs="Arial"/>
          <w:sz w:val="24"/>
          <w:szCs w:val="24"/>
        </w:rPr>
        <w:t xml:space="preserve"> for dishonesty.</w:t>
      </w:r>
      <w:r w:rsidR="00682BC9">
        <w:rPr>
          <w:rFonts w:ascii="Arial" w:hAnsi="Arial" w:cs="Arial"/>
          <w:sz w:val="24"/>
          <w:szCs w:val="24"/>
        </w:rPr>
        <w:t xml:space="preserve"> </w:t>
      </w:r>
      <w:r w:rsidR="00C66696">
        <w:rPr>
          <w:rFonts w:ascii="Arial" w:hAnsi="Arial" w:cs="Arial"/>
          <w:sz w:val="24"/>
          <w:szCs w:val="24"/>
        </w:rPr>
        <w:t>Specifically,</w:t>
      </w:r>
      <w:r w:rsidR="002A3480">
        <w:rPr>
          <w:rFonts w:ascii="Arial" w:hAnsi="Arial" w:cs="Arial"/>
          <w:sz w:val="24"/>
          <w:szCs w:val="24"/>
        </w:rPr>
        <w:t xml:space="preserve"> the</w:t>
      </w:r>
      <w:r w:rsidR="00936454">
        <w:rPr>
          <w:rFonts w:ascii="Arial" w:hAnsi="Arial" w:cs="Arial"/>
          <w:sz w:val="24"/>
          <w:szCs w:val="24"/>
        </w:rPr>
        <w:t xml:space="preserve"> </w:t>
      </w:r>
      <w:r w:rsidR="009B7DFC">
        <w:rPr>
          <w:rFonts w:ascii="Arial" w:hAnsi="Arial" w:cs="Arial"/>
          <w:sz w:val="24"/>
          <w:szCs w:val="24"/>
        </w:rPr>
        <w:t>‘</w:t>
      </w:r>
      <w:r w:rsidR="00936454">
        <w:rPr>
          <w:rFonts w:ascii="Arial" w:hAnsi="Arial" w:cs="Arial"/>
          <w:sz w:val="24"/>
          <w:szCs w:val="24"/>
        </w:rPr>
        <w:t>R v Ghosh</w:t>
      </w:r>
      <w:r w:rsidR="009B7DFC">
        <w:rPr>
          <w:rFonts w:ascii="Arial" w:hAnsi="Arial" w:cs="Arial"/>
          <w:sz w:val="24"/>
          <w:szCs w:val="24"/>
        </w:rPr>
        <w:t>’</w:t>
      </w:r>
      <w:r w:rsidR="00936454">
        <w:rPr>
          <w:rFonts w:ascii="Arial" w:hAnsi="Arial" w:cs="Arial"/>
          <w:sz w:val="24"/>
          <w:szCs w:val="24"/>
        </w:rPr>
        <w:t xml:space="preserve"> (1982) </w:t>
      </w:r>
      <w:r w:rsidR="00862D55">
        <w:rPr>
          <w:rFonts w:ascii="Arial" w:hAnsi="Arial" w:cs="Arial"/>
          <w:sz w:val="24"/>
          <w:szCs w:val="24"/>
        </w:rPr>
        <w:t>case law that</w:t>
      </w:r>
      <w:r w:rsidR="00B05D74">
        <w:rPr>
          <w:rFonts w:ascii="Arial" w:hAnsi="Arial" w:cs="Arial"/>
          <w:sz w:val="24"/>
          <w:szCs w:val="24"/>
        </w:rPr>
        <w:t xml:space="preserve"> established the test for dishonesty</w:t>
      </w:r>
      <w:r w:rsidR="002A3480">
        <w:rPr>
          <w:rFonts w:ascii="Arial" w:hAnsi="Arial" w:cs="Arial"/>
          <w:sz w:val="24"/>
          <w:szCs w:val="24"/>
        </w:rPr>
        <w:t xml:space="preserve">, </w:t>
      </w:r>
      <w:r w:rsidR="00E73610">
        <w:rPr>
          <w:rFonts w:ascii="Arial" w:hAnsi="Arial" w:cs="Arial"/>
          <w:sz w:val="24"/>
          <w:szCs w:val="24"/>
        </w:rPr>
        <w:t>and</w:t>
      </w:r>
      <w:r w:rsidR="00D065EF">
        <w:rPr>
          <w:rFonts w:ascii="Arial" w:hAnsi="Arial" w:cs="Arial"/>
          <w:sz w:val="24"/>
          <w:szCs w:val="24"/>
        </w:rPr>
        <w:t xml:space="preserve"> the </w:t>
      </w:r>
      <w:r w:rsidR="00901A29">
        <w:rPr>
          <w:rFonts w:ascii="Arial" w:hAnsi="Arial" w:cs="Arial"/>
          <w:sz w:val="24"/>
          <w:szCs w:val="24"/>
        </w:rPr>
        <w:t>‘</w:t>
      </w:r>
      <w:r w:rsidR="00644189">
        <w:rPr>
          <w:rFonts w:ascii="Arial" w:hAnsi="Arial" w:cs="Arial"/>
          <w:sz w:val="24"/>
          <w:szCs w:val="24"/>
        </w:rPr>
        <w:t>Ivey and Genting Casinos</w:t>
      </w:r>
      <w:r w:rsidR="00901A29">
        <w:rPr>
          <w:rFonts w:ascii="Arial" w:hAnsi="Arial" w:cs="Arial"/>
          <w:sz w:val="24"/>
          <w:szCs w:val="24"/>
        </w:rPr>
        <w:t>’</w:t>
      </w:r>
      <w:r w:rsidR="00644189">
        <w:rPr>
          <w:rFonts w:ascii="Arial" w:hAnsi="Arial" w:cs="Arial"/>
          <w:sz w:val="24"/>
          <w:szCs w:val="24"/>
        </w:rPr>
        <w:t xml:space="preserve"> (2017) case law</w:t>
      </w:r>
      <w:r w:rsidR="00054EC9">
        <w:rPr>
          <w:rFonts w:ascii="Arial" w:hAnsi="Arial" w:cs="Arial"/>
          <w:sz w:val="24"/>
          <w:szCs w:val="24"/>
        </w:rPr>
        <w:t xml:space="preserve"> that</w:t>
      </w:r>
      <w:r w:rsidR="008653EF">
        <w:rPr>
          <w:rFonts w:ascii="Arial" w:hAnsi="Arial" w:cs="Arial"/>
          <w:sz w:val="24"/>
          <w:szCs w:val="24"/>
        </w:rPr>
        <w:t xml:space="preserve"> replaced the previous Gosh test</w:t>
      </w:r>
      <w:r w:rsidR="007A7284">
        <w:rPr>
          <w:rFonts w:ascii="Arial" w:hAnsi="Arial" w:cs="Arial"/>
          <w:sz w:val="24"/>
          <w:szCs w:val="24"/>
        </w:rPr>
        <w:t>,</w:t>
      </w:r>
      <w:r w:rsidR="00054EC9">
        <w:rPr>
          <w:rFonts w:ascii="Arial" w:hAnsi="Arial" w:cs="Arial"/>
          <w:sz w:val="24"/>
          <w:szCs w:val="24"/>
        </w:rPr>
        <w:t xml:space="preserve"> which </w:t>
      </w:r>
      <w:r w:rsidR="00431909">
        <w:rPr>
          <w:rFonts w:ascii="Arial" w:hAnsi="Arial" w:cs="Arial"/>
          <w:sz w:val="24"/>
          <w:szCs w:val="24"/>
        </w:rPr>
        <w:t>required subjective realization of dishonesty.</w:t>
      </w:r>
      <w:r w:rsidR="00633095">
        <w:rPr>
          <w:rFonts w:ascii="Arial" w:hAnsi="Arial" w:cs="Arial"/>
          <w:sz w:val="24"/>
          <w:szCs w:val="24"/>
        </w:rPr>
        <w:t xml:space="preserve"> </w:t>
      </w:r>
    </w:p>
    <w:p w14:paraId="767998E3" w14:textId="45539526" w:rsidR="00280ED4" w:rsidRDefault="00280ED4" w:rsidP="00280ED4">
      <w:pPr>
        <w:rPr>
          <w:rFonts w:ascii="Arial" w:hAnsi="Arial" w:cs="Arial"/>
          <w:sz w:val="24"/>
          <w:szCs w:val="24"/>
        </w:rPr>
      </w:pPr>
      <w:r>
        <w:rPr>
          <w:rFonts w:ascii="Arial" w:hAnsi="Arial" w:cs="Arial"/>
          <w:sz w:val="24"/>
          <w:szCs w:val="24"/>
        </w:rPr>
        <w:t xml:space="preserve">Defining dishonesty is challenging, from an ethical standpoint it is a nuanced concept that relates to diverse forms of deceptive behaviour, it refers to deliberately misleading or deceiving others. According to Barber (2020) “dishonesty is objectionable because it uses a morally problematic method of expressing a known falsehood”. </w:t>
      </w:r>
      <w:r w:rsidR="004B01D4">
        <w:rPr>
          <w:rFonts w:ascii="Arial" w:hAnsi="Arial" w:cs="Arial"/>
          <w:sz w:val="24"/>
          <w:szCs w:val="24"/>
        </w:rPr>
        <w:t>To put it another way</w:t>
      </w:r>
      <w:r>
        <w:rPr>
          <w:rFonts w:ascii="Arial" w:hAnsi="Arial" w:cs="Arial"/>
          <w:sz w:val="24"/>
          <w:szCs w:val="24"/>
        </w:rPr>
        <w:t xml:space="preserve">, this method </w:t>
      </w:r>
      <w:r w:rsidR="005F3037">
        <w:rPr>
          <w:rFonts w:ascii="Arial" w:hAnsi="Arial" w:cs="Arial"/>
          <w:sz w:val="24"/>
          <w:szCs w:val="24"/>
        </w:rPr>
        <w:t>disreg</w:t>
      </w:r>
      <w:r w:rsidR="004708AC">
        <w:rPr>
          <w:rFonts w:ascii="Arial" w:hAnsi="Arial" w:cs="Arial"/>
          <w:sz w:val="24"/>
          <w:szCs w:val="24"/>
        </w:rPr>
        <w:t>ards</w:t>
      </w:r>
      <w:r>
        <w:rPr>
          <w:rFonts w:ascii="Arial" w:hAnsi="Arial" w:cs="Arial"/>
          <w:sz w:val="24"/>
          <w:szCs w:val="24"/>
        </w:rPr>
        <w:t xml:space="preserve"> the norms of honest communication while intending to deceiv</w:t>
      </w:r>
      <w:r w:rsidR="007A252C">
        <w:rPr>
          <w:rFonts w:ascii="Arial" w:hAnsi="Arial" w:cs="Arial"/>
          <w:sz w:val="24"/>
          <w:szCs w:val="24"/>
        </w:rPr>
        <w:t xml:space="preserve">e. </w:t>
      </w:r>
      <w:r>
        <w:rPr>
          <w:rFonts w:ascii="Arial" w:hAnsi="Arial" w:cs="Arial"/>
          <w:sz w:val="24"/>
          <w:szCs w:val="24"/>
        </w:rPr>
        <w:t>Dishonesty is not about conveying false information; it is about doing so in a way that breaches ethical boundaries.</w:t>
      </w:r>
      <w:r w:rsidR="002C40DD">
        <w:rPr>
          <w:rFonts w:ascii="Arial" w:hAnsi="Arial" w:cs="Arial"/>
          <w:sz w:val="24"/>
          <w:szCs w:val="24"/>
        </w:rPr>
        <w:t xml:space="preserve"> F</w:t>
      </w:r>
      <w:r w:rsidR="0018060B">
        <w:rPr>
          <w:rFonts w:ascii="Arial" w:hAnsi="Arial" w:cs="Arial"/>
          <w:sz w:val="24"/>
          <w:szCs w:val="24"/>
        </w:rPr>
        <w:t>undamentally</w:t>
      </w:r>
      <w:r>
        <w:rPr>
          <w:rFonts w:ascii="Arial" w:hAnsi="Arial" w:cs="Arial"/>
          <w:sz w:val="24"/>
          <w:szCs w:val="24"/>
        </w:rPr>
        <w:t>, it refers to intentionally acting in a way that lacks integrity, fairness, or truthfulness.</w:t>
      </w:r>
    </w:p>
    <w:p w14:paraId="63F6CE87" w14:textId="27059731" w:rsidR="00B50B89" w:rsidRPr="00C81857" w:rsidRDefault="00F974D1" w:rsidP="00FB2B8D">
      <w:pPr>
        <w:rPr>
          <w:rFonts w:ascii="Arial" w:hAnsi="Arial" w:cs="Arial"/>
          <w:color w:val="003C53"/>
          <w:sz w:val="27"/>
          <w:szCs w:val="27"/>
        </w:rPr>
      </w:pPr>
      <w:r>
        <w:rPr>
          <w:rFonts w:ascii="Arial" w:hAnsi="Arial" w:cs="Arial"/>
          <w:sz w:val="24"/>
          <w:szCs w:val="24"/>
        </w:rPr>
        <w:t xml:space="preserve">Further research focuses on dishonesty in relation to theft. </w:t>
      </w:r>
      <w:r w:rsidR="006573C8">
        <w:rPr>
          <w:rFonts w:ascii="Arial" w:hAnsi="Arial" w:cs="Arial"/>
          <w:sz w:val="24"/>
          <w:szCs w:val="24"/>
        </w:rPr>
        <w:t xml:space="preserve">In criminal law dishonesty is </w:t>
      </w:r>
      <w:r w:rsidR="002F49D5">
        <w:rPr>
          <w:rFonts w:ascii="Arial" w:hAnsi="Arial" w:cs="Arial"/>
          <w:sz w:val="24"/>
          <w:szCs w:val="24"/>
        </w:rPr>
        <w:t>a</w:t>
      </w:r>
      <w:r w:rsidR="006573C8">
        <w:rPr>
          <w:rFonts w:ascii="Arial" w:hAnsi="Arial" w:cs="Arial"/>
          <w:sz w:val="24"/>
          <w:szCs w:val="24"/>
        </w:rPr>
        <w:t xml:space="preserve"> concept that plays a crucial role in various</w:t>
      </w:r>
      <w:r w:rsidR="0025361E">
        <w:rPr>
          <w:rFonts w:ascii="Arial" w:hAnsi="Arial" w:cs="Arial"/>
          <w:sz w:val="24"/>
          <w:szCs w:val="24"/>
        </w:rPr>
        <w:t xml:space="preserve"> criminal</w:t>
      </w:r>
      <w:r w:rsidR="006573C8">
        <w:rPr>
          <w:rFonts w:ascii="Arial" w:hAnsi="Arial" w:cs="Arial"/>
          <w:sz w:val="24"/>
          <w:szCs w:val="24"/>
        </w:rPr>
        <w:t xml:space="preserve"> offences</w:t>
      </w:r>
      <w:r w:rsidR="0025361E">
        <w:rPr>
          <w:rFonts w:ascii="Arial" w:hAnsi="Arial" w:cs="Arial"/>
          <w:sz w:val="24"/>
          <w:szCs w:val="24"/>
        </w:rPr>
        <w:t>, including fraud, theft, burglary and robbery</w:t>
      </w:r>
      <w:r w:rsidR="004C0199">
        <w:rPr>
          <w:rFonts w:ascii="Arial" w:hAnsi="Arial" w:cs="Arial"/>
          <w:sz w:val="24"/>
          <w:szCs w:val="24"/>
        </w:rPr>
        <w:t xml:space="preserve"> and is considered fundamental in finding criminal liability.</w:t>
      </w:r>
      <w:r w:rsidR="00AD3FAC">
        <w:rPr>
          <w:rFonts w:ascii="Arial" w:hAnsi="Arial" w:cs="Arial"/>
          <w:sz w:val="24"/>
          <w:szCs w:val="24"/>
        </w:rPr>
        <w:t xml:space="preserve"> </w:t>
      </w:r>
      <w:r w:rsidR="000E4DF0">
        <w:rPr>
          <w:rFonts w:ascii="Arial" w:hAnsi="Arial" w:cs="Arial"/>
          <w:sz w:val="24"/>
          <w:szCs w:val="24"/>
        </w:rPr>
        <w:t>According to Leggett (2020), “the statute fails to define the concept of dishonesty, leaving it to criminal courts to provide their own definition”. In other words, the concept of dishonesty is not explicitly defined in law and as a result the responsibility falls upon criminal courts to interpret and establish what constitutes dishonest behaviour. In essence, the statute does not offer a precise definition, leaving room for judicial interpretation and case by case determination of whether an action is dishonest or not. The courts must rely on legal principles, precedents and societal norms to arrive at their understanding of dishonest conduct. This flexibility allows the legal system to adapt to various scenarios while ensuring fairness and justice</w:t>
      </w:r>
      <w:r w:rsidR="00A65E74">
        <w:rPr>
          <w:rFonts w:ascii="Arial" w:hAnsi="Arial" w:cs="Arial"/>
          <w:sz w:val="24"/>
          <w:szCs w:val="24"/>
        </w:rPr>
        <w:t xml:space="preserve"> (Lewis, 2021)</w:t>
      </w:r>
      <w:r w:rsidR="000E4DF0">
        <w:rPr>
          <w:rFonts w:ascii="Arial" w:hAnsi="Arial" w:cs="Arial"/>
          <w:sz w:val="24"/>
          <w:szCs w:val="24"/>
        </w:rPr>
        <w:t>.</w:t>
      </w:r>
      <w:r w:rsidR="00C64783">
        <w:rPr>
          <w:rFonts w:ascii="Arial" w:hAnsi="Arial" w:cs="Arial"/>
          <w:sz w:val="24"/>
          <w:szCs w:val="24"/>
        </w:rPr>
        <w:t xml:space="preserve"> </w:t>
      </w:r>
    </w:p>
    <w:p w14:paraId="38064673" w14:textId="3B67CB9C" w:rsidR="002B4AC1" w:rsidRPr="00943842" w:rsidRDefault="007C2009" w:rsidP="00FB2B8D">
      <w:pPr>
        <w:rPr>
          <w:rFonts w:ascii="Arial" w:hAnsi="Arial" w:cs="Arial"/>
          <w:color w:val="003C53"/>
          <w:sz w:val="27"/>
          <w:szCs w:val="27"/>
        </w:rPr>
      </w:pPr>
      <w:r>
        <w:rPr>
          <w:rFonts w:ascii="Arial" w:hAnsi="Arial" w:cs="Arial"/>
          <w:sz w:val="24"/>
          <w:szCs w:val="24"/>
        </w:rPr>
        <w:t>The Theft Act 1968 had a significant impact on the legal system of England and Wales, particularly in how theft and related offences are prosecuted. Furthermore, the Act consolidated and simplified the law on theft and provided a legal framework for determining dishonesty, which is a key element in theft offences</w:t>
      </w:r>
      <w:r w:rsidR="00F80418">
        <w:rPr>
          <w:rFonts w:ascii="Arial" w:hAnsi="Arial" w:cs="Arial"/>
          <w:sz w:val="24"/>
          <w:szCs w:val="24"/>
        </w:rPr>
        <w:t xml:space="preserve"> </w:t>
      </w:r>
      <w:r w:rsidR="00943842">
        <w:rPr>
          <w:rFonts w:ascii="Arial" w:hAnsi="Arial" w:cs="Arial"/>
          <w:sz w:val="24"/>
          <w:szCs w:val="24"/>
        </w:rPr>
        <w:t>.</w:t>
      </w:r>
      <w:r w:rsidR="00943842">
        <w:rPr>
          <w:rFonts w:ascii="Arial" w:hAnsi="Arial" w:cs="Arial"/>
          <w:color w:val="003C53"/>
          <w:sz w:val="27"/>
          <w:szCs w:val="27"/>
        </w:rPr>
        <w:t xml:space="preserve"> </w:t>
      </w:r>
      <w:r w:rsidR="006573C8">
        <w:rPr>
          <w:rFonts w:ascii="Arial" w:hAnsi="Arial" w:cs="Arial"/>
          <w:sz w:val="24"/>
          <w:szCs w:val="24"/>
        </w:rPr>
        <w:t xml:space="preserve">Definition of dishonesty as </w:t>
      </w:r>
      <w:r w:rsidR="006013F6">
        <w:rPr>
          <w:rFonts w:ascii="Arial" w:hAnsi="Arial" w:cs="Arial"/>
          <w:sz w:val="24"/>
          <w:szCs w:val="24"/>
        </w:rPr>
        <w:t xml:space="preserve">partially </w:t>
      </w:r>
      <w:r w:rsidR="006573C8">
        <w:rPr>
          <w:rFonts w:ascii="Arial" w:hAnsi="Arial" w:cs="Arial"/>
          <w:sz w:val="24"/>
          <w:szCs w:val="24"/>
        </w:rPr>
        <w:t>revealed i</w:t>
      </w:r>
      <w:r w:rsidR="007A720A">
        <w:rPr>
          <w:rFonts w:ascii="Arial" w:hAnsi="Arial" w:cs="Arial"/>
          <w:sz w:val="24"/>
          <w:szCs w:val="24"/>
        </w:rPr>
        <w:t xml:space="preserve">n the </w:t>
      </w:r>
      <w:r w:rsidR="00685D3E">
        <w:rPr>
          <w:rFonts w:ascii="Arial" w:hAnsi="Arial" w:cs="Arial"/>
          <w:sz w:val="24"/>
          <w:szCs w:val="24"/>
        </w:rPr>
        <w:t xml:space="preserve">Section 2 of the </w:t>
      </w:r>
      <w:r w:rsidR="004F5A76">
        <w:rPr>
          <w:rFonts w:ascii="Arial" w:hAnsi="Arial" w:cs="Arial"/>
          <w:sz w:val="24"/>
          <w:szCs w:val="24"/>
        </w:rPr>
        <w:t>T</w:t>
      </w:r>
      <w:r w:rsidR="00685D3E">
        <w:rPr>
          <w:rFonts w:ascii="Arial" w:hAnsi="Arial" w:cs="Arial"/>
          <w:sz w:val="24"/>
          <w:szCs w:val="24"/>
        </w:rPr>
        <w:t xml:space="preserve">heft </w:t>
      </w:r>
      <w:r w:rsidR="004F5A76">
        <w:rPr>
          <w:rFonts w:ascii="Arial" w:hAnsi="Arial" w:cs="Arial"/>
          <w:sz w:val="24"/>
          <w:szCs w:val="24"/>
        </w:rPr>
        <w:t>A</w:t>
      </w:r>
      <w:r w:rsidR="00685D3E">
        <w:rPr>
          <w:rFonts w:ascii="Arial" w:hAnsi="Arial" w:cs="Arial"/>
          <w:sz w:val="24"/>
          <w:szCs w:val="24"/>
        </w:rPr>
        <w:t xml:space="preserve">ct 1968, </w:t>
      </w:r>
      <w:r w:rsidR="00480DEA">
        <w:rPr>
          <w:rFonts w:ascii="Arial" w:hAnsi="Arial" w:cs="Arial"/>
          <w:sz w:val="24"/>
          <w:szCs w:val="24"/>
        </w:rPr>
        <w:t xml:space="preserve">is relevant when </w:t>
      </w:r>
      <w:r w:rsidR="003763F3">
        <w:rPr>
          <w:rFonts w:ascii="Arial" w:hAnsi="Arial" w:cs="Arial"/>
          <w:sz w:val="24"/>
          <w:szCs w:val="24"/>
        </w:rPr>
        <w:t>someone “appropriates property belonging to another”</w:t>
      </w:r>
      <w:r w:rsidR="00C23BFD">
        <w:rPr>
          <w:rFonts w:ascii="Arial" w:hAnsi="Arial" w:cs="Arial"/>
          <w:sz w:val="24"/>
          <w:szCs w:val="24"/>
        </w:rPr>
        <w:t xml:space="preserve">, meaning that </w:t>
      </w:r>
      <w:r w:rsidR="00940CF8">
        <w:rPr>
          <w:rFonts w:ascii="Arial" w:hAnsi="Arial" w:cs="Arial"/>
          <w:sz w:val="24"/>
          <w:szCs w:val="24"/>
        </w:rPr>
        <w:t xml:space="preserve">someone takes control of </w:t>
      </w:r>
      <w:r w:rsidR="004917BE">
        <w:rPr>
          <w:rFonts w:ascii="Arial" w:hAnsi="Arial" w:cs="Arial"/>
          <w:sz w:val="24"/>
          <w:szCs w:val="24"/>
        </w:rPr>
        <w:t>someone else's property without their consent</w:t>
      </w:r>
      <w:r w:rsidR="0011066E">
        <w:rPr>
          <w:rFonts w:ascii="Arial" w:hAnsi="Arial" w:cs="Arial"/>
          <w:sz w:val="24"/>
          <w:szCs w:val="24"/>
        </w:rPr>
        <w:t xml:space="preserve"> (UK Government, 2023).</w:t>
      </w:r>
      <w:r w:rsidR="005D6D1D" w:rsidRPr="005D6D1D">
        <w:rPr>
          <w:rFonts w:ascii="Arial" w:hAnsi="Arial" w:cs="Arial"/>
          <w:sz w:val="24"/>
          <w:szCs w:val="24"/>
        </w:rPr>
        <w:t xml:space="preserve"> </w:t>
      </w:r>
      <w:r w:rsidR="008D7F0A">
        <w:rPr>
          <w:rFonts w:ascii="Arial" w:hAnsi="Arial" w:cs="Arial"/>
          <w:sz w:val="24"/>
          <w:szCs w:val="24"/>
        </w:rPr>
        <w:t xml:space="preserve">However, certain circumstances </w:t>
      </w:r>
      <w:r w:rsidR="00BC1C71">
        <w:rPr>
          <w:rFonts w:ascii="Arial" w:hAnsi="Arial" w:cs="Arial"/>
          <w:sz w:val="24"/>
          <w:szCs w:val="24"/>
        </w:rPr>
        <w:t xml:space="preserve">are </w:t>
      </w:r>
      <w:r w:rsidR="008D7F0A">
        <w:rPr>
          <w:rFonts w:ascii="Arial" w:hAnsi="Arial" w:cs="Arial"/>
          <w:sz w:val="24"/>
          <w:szCs w:val="24"/>
        </w:rPr>
        <w:t>not regarded as dishonest. Namely, “in the belief that he has in law the right to deprive the other of it”, “in the belief that he would have the other’s consent if the other knew”, and “in the belief that the person to whom the property belongs cannot be discovered by taking reasonable steps” (</w:t>
      </w:r>
      <w:r w:rsidR="00D91A7B">
        <w:rPr>
          <w:rFonts w:ascii="Arial" w:hAnsi="Arial" w:cs="Arial"/>
          <w:sz w:val="24"/>
          <w:szCs w:val="24"/>
        </w:rPr>
        <w:t>UK Government</w:t>
      </w:r>
      <w:r w:rsidR="008D7F0A">
        <w:rPr>
          <w:rFonts w:ascii="Arial" w:hAnsi="Arial" w:cs="Arial"/>
          <w:sz w:val="24"/>
          <w:szCs w:val="24"/>
        </w:rPr>
        <w:t>, 202</w:t>
      </w:r>
      <w:r w:rsidR="00D91A7B">
        <w:rPr>
          <w:rFonts w:ascii="Arial" w:hAnsi="Arial" w:cs="Arial"/>
          <w:sz w:val="24"/>
          <w:szCs w:val="24"/>
        </w:rPr>
        <w:t>3</w:t>
      </w:r>
      <w:r w:rsidR="008D7F0A">
        <w:rPr>
          <w:rFonts w:ascii="Arial" w:hAnsi="Arial" w:cs="Arial"/>
          <w:sz w:val="24"/>
          <w:szCs w:val="24"/>
        </w:rPr>
        <w:t>).</w:t>
      </w:r>
      <w:r w:rsidR="00033EC3">
        <w:rPr>
          <w:rFonts w:ascii="Arial" w:hAnsi="Arial" w:cs="Arial"/>
          <w:sz w:val="24"/>
          <w:szCs w:val="24"/>
        </w:rPr>
        <w:t xml:space="preserve"> </w:t>
      </w:r>
      <w:r w:rsidR="003A08CB">
        <w:rPr>
          <w:rFonts w:ascii="Arial" w:hAnsi="Arial" w:cs="Arial"/>
          <w:sz w:val="24"/>
          <w:szCs w:val="24"/>
        </w:rPr>
        <w:t xml:space="preserve">Steel argues that dishonesty “involves any subjective beliefs the </w:t>
      </w:r>
      <w:r w:rsidR="003A08CB">
        <w:rPr>
          <w:rFonts w:ascii="Arial" w:hAnsi="Arial" w:cs="Arial"/>
          <w:sz w:val="24"/>
          <w:szCs w:val="24"/>
        </w:rPr>
        <w:lastRenderedPageBreak/>
        <w:t>accused might hold as to his or her legal rights to the property appropriated” (2009, p. 113).</w:t>
      </w:r>
      <w:r w:rsidR="00E55907">
        <w:rPr>
          <w:rFonts w:ascii="Arial" w:hAnsi="Arial" w:cs="Arial"/>
          <w:sz w:val="24"/>
          <w:szCs w:val="24"/>
        </w:rPr>
        <w:t xml:space="preserve"> Meaning that the accused’s understanding of their right</w:t>
      </w:r>
      <w:r w:rsidR="00B44797">
        <w:rPr>
          <w:rFonts w:ascii="Arial" w:hAnsi="Arial" w:cs="Arial"/>
          <w:sz w:val="24"/>
          <w:szCs w:val="24"/>
        </w:rPr>
        <w:t>s plays a role in assessing the</w:t>
      </w:r>
      <w:r w:rsidR="00154F9E">
        <w:rPr>
          <w:rFonts w:ascii="Arial" w:hAnsi="Arial" w:cs="Arial"/>
          <w:sz w:val="24"/>
          <w:szCs w:val="24"/>
        </w:rPr>
        <w:t>ir intent and culpability.</w:t>
      </w:r>
      <w:r w:rsidR="00541533" w:rsidRPr="00541533">
        <w:rPr>
          <w:rFonts w:ascii="Arial" w:hAnsi="Arial" w:cs="Arial"/>
          <w:sz w:val="24"/>
          <w:szCs w:val="24"/>
        </w:rPr>
        <w:t xml:space="preserve"> </w:t>
      </w:r>
    </w:p>
    <w:p w14:paraId="41E65E60" w14:textId="3C9BA8C5" w:rsidR="00924553" w:rsidRDefault="00C31F93" w:rsidP="00EB294E">
      <w:pPr>
        <w:rPr>
          <w:rFonts w:ascii="Arial" w:hAnsi="Arial" w:cs="Arial"/>
          <w:sz w:val="24"/>
          <w:szCs w:val="24"/>
        </w:rPr>
      </w:pPr>
      <w:r>
        <w:rPr>
          <w:rFonts w:ascii="Arial" w:hAnsi="Arial" w:cs="Arial"/>
          <w:sz w:val="24"/>
          <w:szCs w:val="24"/>
        </w:rPr>
        <w:t>The Crown Prosecution Service</w:t>
      </w:r>
      <w:r w:rsidR="00C52FA0">
        <w:rPr>
          <w:rFonts w:ascii="Arial" w:hAnsi="Arial" w:cs="Arial"/>
          <w:sz w:val="24"/>
          <w:szCs w:val="24"/>
        </w:rPr>
        <w:t xml:space="preserve"> (2022)</w:t>
      </w:r>
      <w:r>
        <w:rPr>
          <w:rFonts w:ascii="Arial" w:hAnsi="Arial" w:cs="Arial"/>
          <w:sz w:val="24"/>
          <w:szCs w:val="24"/>
        </w:rPr>
        <w:t xml:space="preserve"> writes that</w:t>
      </w:r>
      <w:r w:rsidR="00BB7684">
        <w:rPr>
          <w:rFonts w:ascii="Arial" w:hAnsi="Arial" w:cs="Arial"/>
          <w:sz w:val="24"/>
          <w:szCs w:val="24"/>
        </w:rPr>
        <w:t xml:space="preserve"> c</w:t>
      </w:r>
      <w:r w:rsidR="00E74315" w:rsidRPr="00C030A3">
        <w:rPr>
          <w:rFonts w:ascii="Arial" w:hAnsi="Arial" w:cs="Arial"/>
          <w:sz w:val="24"/>
          <w:szCs w:val="24"/>
        </w:rPr>
        <w:t>ourts appl</w:t>
      </w:r>
      <w:r w:rsidR="00E929A5">
        <w:rPr>
          <w:rFonts w:ascii="Arial" w:hAnsi="Arial" w:cs="Arial"/>
          <w:sz w:val="24"/>
          <w:szCs w:val="24"/>
        </w:rPr>
        <w:t xml:space="preserve">y </w:t>
      </w:r>
      <w:r w:rsidR="00E74315" w:rsidRPr="00C030A3">
        <w:rPr>
          <w:rFonts w:ascii="Arial" w:hAnsi="Arial" w:cs="Arial"/>
          <w:sz w:val="24"/>
          <w:szCs w:val="24"/>
        </w:rPr>
        <w:t xml:space="preserve">both subjective and objective tests to determine dishonesty. </w:t>
      </w:r>
      <w:r w:rsidR="00E74315">
        <w:rPr>
          <w:rFonts w:ascii="Arial" w:hAnsi="Arial" w:cs="Arial"/>
          <w:sz w:val="24"/>
          <w:szCs w:val="24"/>
        </w:rPr>
        <w:t>The subjective test focuse</w:t>
      </w:r>
      <w:r w:rsidR="00E929A5">
        <w:rPr>
          <w:rFonts w:ascii="Arial" w:hAnsi="Arial" w:cs="Arial"/>
          <w:sz w:val="24"/>
          <w:szCs w:val="24"/>
        </w:rPr>
        <w:t>s</w:t>
      </w:r>
      <w:r w:rsidR="00E74315">
        <w:rPr>
          <w:rFonts w:ascii="Arial" w:hAnsi="Arial" w:cs="Arial"/>
          <w:sz w:val="24"/>
          <w:szCs w:val="24"/>
        </w:rPr>
        <w:t xml:space="preserve"> on the defendant’s state of mind</w:t>
      </w:r>
      <w:r w:rsidR="00850037">
        <w:rPr>
          <w:rFonts w:ascii="Arial" w:hAnsi="Arial" w:cs="Arial"/>
          <w:sz w:val="24"/>
          <w:szCs w:val="24"/>
        </w:rPr>
        <w:t xml:space="preserve"> and </w:t>
      </w:r>
      <w:r w:rsidR="00E74315">
        <w:rPr>
          <w:rFonts w:ascii="Arial" w:hAnsi="Arial" w:cs="Arial"/>
          <w:sz w:val="24"/>
          <w:szCs w:val="24"/>
        </w:rPr>
        <w:t xml:space="preserve">their knowledge of their dishonest actions, as dishonesty is closely tied to the mental element (mens rea) required for criminal liability. On the other hand, the objective test </w:t>
      </w:r>
      <w:r w:rsidR="000F0DDE">
        <w:rPr>
          <w:rFonts w:ascii="Arial" w:hAnsi="Arial" w:cs="Arial"/>
          <w:sz w:val="24"/>
          <w:szCs w:val="24"/>
        </w:rPr>
        <w:t>considers</w:t>
      </w:r>
      <w:r w:rsidR="00E74315">
        <w:rPr>
          <w:rFonts w:ascii="Arial" w:hAnsi="Arial" w:cs="Arial"/>
          <w:sz w:val="24"/>
          <w:szCs w:val="24"/>
        </w:rPr>
        <w:t xml:space="preserve"> weather a reasonable person would view the conduct as dishonest</w:t>
      </w:r>
      <w:r w:rsidR="00264746">
        <w:rPr>
          <w:rFonts w:ascii="Arial" w:hAnsi="Arial" w:cs="Arial"/>
          <w:sz w:val="24"/>
          <w:szCs w:val="24"/>
        </w:rPr>
        <w:t>.</w:t>
      </w:r>
      <w:r w:rsidR="006B70C3">
        <w:rPr>
          <w:rFonts w:ascii="Arial" w:hAnsi="Arial" w:cs="Arial"/>
          <w:sz w:val="24"/>
          <w:szCs w:val="24"/>
        </w:rPr>
        <w:t xml:space="preserve"> </w:t>
      </w:r>
      <w:r w:rsidR="003F3D11">
        <w:rPr>
          <w:rFonts w:ascii="Arial" w:hAnsi="Arial" w:cs="Arial"/>
          <w:sz w:val="24"/>
          <w:szCs w:val="24"/>
        </w:rPr>
        <w:t xml:space="preserve">This </w:t>
      </w:r>
      <w:r w:rsidR="00715F2A">
        <w:rPr>
          <w:rFonts w:ascii="Arial" w:hAnsi="Arial" w:cs="Arial"/>
          <w:sz w:val="24"/>
          <w:szCs w:val="24"/>
        </w:rPr>
        <w:t>two</w:t>
      </w:r>
      <w:r w:rsidR="00096D93">
        <w:rPr>
          <w:rFonts w:ascii="Arial" w:hAnsi="Arial" w:cs="Arial"/>
          <w:sz w:val="24"/>
          <w:szCs w:val="24"/>
        </w:rPr>
        <w:t>-</w:t>
      </w:r>
      <w:r w:rsidR="00715F2A">
        <w:rPr>
          <w:rFonts w:ascii="Arial" w:hAnsi="Arial" w:cs="Arial"/>
          <w:sz w:val="24"/>
          <w:szCs w:val="24"/>
        </w:rPr>
        <w:t xml:space="preserve">part </w:t>
      </w:r>
      <w:r w:rsidR="003F3D11">
        <w:rPr>
          <w:rFonts w:ascii="Arial" w:hAnsi="Arial" w:cs="Arial"/>
          <w:sz w:val="24"/>
          <w:szCs w:val="24"/>
        </w:rPr>
        <w:t>test</w:t>
      </w:r>
      <w:r w:rsidR="007573BF">
        <w:rPr>
          <w:rFonts w:ascii="Arial" w:hAnsi="Arial" w:cs="Arial"/>
          <w:sz w:val="24"/>
          <w:szCs w:val="24"/>
        </w:rPr>
        <w:t xml:space="preserve"> </w:t>
      </w:r>
      <w:r w:rsidR="003F3D11">
        <w:rPr>
          <w:rFonts w:ascii="Arial" w:hAnsi="Arial" w:cs="Arial"/>
          <w:sz w:val="24"/>
          <w:szCs w:val="24"/>
        </w:rPr>
        <w:t>combin</w:t>
      </w:r>
      <w:r w:rsidR="007573BF">
        <w:rPr>
          <w:rFonts w:ascii="Arial" w:hAnsi="Arial" w:cs="Arial"/>
          <w:sz w:val="24"/>
          <w:szCs w:val="24"/>
        </w:rPr>
        <w:t>es</w:t>
      </w:r>
      <w:r w:rsidR="00F147E9">
        <w:rPr>
          <w:rFonts w:ascii="Arial" w:hAnsi="Arial" w:cs="Arial"/>
          <w:sz w:val="24"/>
          <w:szCs w:val="24"/>
        </w:rPr>
        <w:t xml:space="preserve"> both</w:t>
      </w:r>
      <w:r w:rsidR="00A86FB8">
        <w:rPr>
          <w:rFonts w:ascii="Arial" w:hAnsi="Arial" w:cs="Arial"/>
          <w:sz w:val="24"/>
          <w:szCs w:val="24"/>
        </w:rPr>
        <w:t>,</w:t>
      </w:r>
      <w:r w:rsidR="00F147E9">
        <w:rPr>
          <w:rFonts w:ascii="Arial" w:hAnsi="Arial" w:cs="Arial"/>
          <w:sz w:val="24"/>
          <w:szCs w:val="24"/>
        </w:rPr>
        <w:t xml:space="preserve"> subjective and objective elements</w:t>
      </w:r>
      <w:r w:rsidR="006B41FE">
        <w:rPr>
          <w:rFonts w:ascii="Arial" w:hAnsi="Arial" w:cs="Arial"/>
          <w:sz w:val="24"/>
          <w:szCs w:val="24"/>
        </w:rPr>
        <w:t>, ensuring that the assessment of dishonesty is not solely based on societal standards but also</w:t>
      </w:r>
      <w:r w:rsidR="00CA1525">
        <w:rPr>
          <w:rFonts w:ascii="Arial" w:hAnsi="Arial" w:cs="Arial"/>
          <w:sz w:val="24"/>
          <w:szCs w:val="24"/>
        </w:rPr>
        <w:t xml:space="preserve"> takes into account the defendant’s perception of his actions</w:t>
      </w:r>
      <w:r w:rsidR="00C52FA0">
        <w:rPr>
          <w:rFonts w:ascii="Arial" w:hAnsi="Arial" w:cs="Arial"/>
          <w:sz w:val="24"/>
          <w:szCs w:val="24"/>
        </w:rPr>
        <w:t>.</w:t>
      </w:r>
    </w:p>
    <w:p w14:paraId="000BA8C6" w14:textId="16497BC2" w:rsidR="00A91FDA" w:rsidRPr="003D6E42" w:rsidRDefault="00362E31" w:rsidP="00EB294E">
      <w:pPr>
        <w:rPr>
          <w:rFonts w:ascii="Arial" w:hAnsi="Arial" w:cs="Arial"/>
          <w:sz w:val="24"/>
          <w:szCs w:val="24"/>
        </w:rPr>
      </w:pPr>
      <w:r>
        <w:rPr>
          <w:rFonts w:ascii="Arial" w:hAnsi="Arial" w:cs="Arial"/>
          <w:sz w:val="24"/>
          <w:szCs w:val="24"/>
        </w:rPr>
        <w:t>In 1982 the Gosh test for determining dishonesty under the Theft Act 1968 was established by the Court of Appeal in England and Wales</w:t>
      </w:r>
      <w:r w:rsidR="00A86FB8">
        <w:rPr>
          <w:rFonts w:ascii="Arial" w:hAnsi="Arial" w:cs="Arial"/>
          <w:sz w:val="24"/>
          <w:szCs w:val="24"/>
        </w:rPr>
        <w:t xml:space="preserve">. </w:t>
      </w:r>
      <w:r w:rsidR="000971E1">
        <w:rPr>
          <w:rFonts w:ascii="Arial" w:hAnsi="Arial" w:cs="Arial"/>
          <w:sz w:val="24"/>
          <w:szCs w:val="24"/>
        </w:rPr>
        <w:t>According to the Gosh test, a defendant’s conduct was considered dishonest if “it was dishonest by the objective standards of ordinary, reasonable people” and the defendant subjectively realized that ordinary, honest people would regard that behaviour as dishonest (CPS, 2020). For a defendant to be found guilty, the jury had to be satisfied beyond reasonable doubt that both these questions were answered affirmatively. However, the test</w:t>
      </w:r>
      <w:r w:rsidR="000971E1" w:rsidRPr="008D2BCB">
        <w:rPr>
          <w:rFonts w:ascii="Arial" w:hAnsi="Arial" w:cs="Arial"/>
          <w:sz w:val="24"/>
          <w:szCs w:val="24"/>
        </w:rPr>
        <w:t xml:space="preserve"> </w:t>
      </w:r>
      <w:r w:rsidR="000971E1">
        <w:rPr>
          <w:rFonts w:ascii="Arial" w:hAnsi="Arial" w:cs="Arial"/>
          <w:sz w:val="24"/>
          <w:szCs w:val="24"/>
        </w:rPr>
        <w:t>faced criticism for its complexity and had its challenges that</w:t>
      </w:r>
      <w:r w:rsidR="000971E1" w:rsidRPr="004B2355">
        <w:rPr>
          <w:rFonts w:ascii="Arial" w:hAnsi="Arial" w:cs="Arial"/>
          <w:sz w:val="24"/>
          <w:szCs w:val="24"/>
        </w:rPr>
        <w:t xml:space="preserve"> </w:t>
      </w:r>
      <w:r w:rsidR="000971E1">
        <w:rPr>
          <w:rFonts w:ascii="Arial" w:hAnsi="Arial" w:cs="Arial"/>
          <w:sz w:val="24"/>
          <w:szCs w:val="24"/>
        </w:rPr>
        <w:t>led to difficulties in practical application</w:t>
      </w:r>
      <w:r w:rsidR="003D6E42">
        <w:rPr>
          <w:rFonts w:ascii="Arial" w:hAnsi="Arial" w:cs="Arial"/>
          <w:sz w:val="24"/>
          <w:szCs w:val="24"/>
        </w:rPr>
        <w:t xml:space="preserve"> (Hale, 2019)</w:t>
      </w:r>
      <w:r w:rsidR="00D46857">
        <w:rPr>
          <w:rFonts w:ascii="Arial" w:hAnsi="Arial" w:cs="Arial"/>
          <w:sz w:val="24"/>
          <w:szCs w:val="24"/>
        </w:rPr>
        <w:t xml:space="preserve">, “the test was, at least in part, one of moral judgment” (Campbell, 2009). </w:t>
      </w:r>
      <w:r w:rsidR="00985678">
        <w:rPr>
          <w:rFonts w:ascii="Arial" w:hAnsi="Arial" w:cs="Arial"/>
          <w:sz w:val="24"/>
          <w:szCs w:val="24"/>
        </w:rPr>
        <w:t>In this case</w:t>
      </w:r>
      <w:r w:rsidR="00CF6F18">
        <w:rPr>
          <w:rFonts w:ascii="Arial" w:hAnsi="Arial" w:cs="Arial"/>
          <w:sz w:val="24"/>
          <w:szCs w:val="24"/>
        </w:rPr>
        <w:t xml:space="preserve"> law</w:t>
      </w:r>
      <w:r w:rsidR="00985678">
        <w:rPr>
          <w:rFonts w:ascii="Arial" w:hAnsi="Arial" w:cs="Arial"/>
          <w:sz w:val="24"/>
          <w:szCs w:val="24"/>
        </w:rPr>
        <w:t xml:space="preserve">, </w:t>
      </w:r>
      <w:r w:rsidR="0081172F">
        <w:rPr>
          <w:rFonts w:ascii="Arial" w:hAnsi="Arial" w:cs="Arial"/>
          <w:sz w:val="24"/>
          <w:szCs w:val="24"/>
        </w:rPr>
        <w:t>Doctor Gosh, an NHS surgeon</w:t>
      </w:r>
      <w:r w:rsidR="009D5789">
        <w:rPr>
          <w:rFonts w:ascii="Arial" w:hAnsi="Arial" w:cs="Arial"/>
          <w:sz w:val="24"/>
          <w:szCs w:val="24"/>
        </w:rPr>
        <w:t xml:space="preserve">, was convicted of offences under the Theft Act 1968. He attempted to obtain </w:t>
      </w:r>
      <w:r w:rsidR="00A04163">
        <w:rPr>
          <w:rFonts w:ascii="Arial" w:hAnsi="Arial" w:cs="Arial"/>
          <w:sz w:val="24"/>
          <w:szCs w:val="24"/>
        </w:rPr>
        <w:t xml:space="preserve">extra wages by </w:t>
      </w:r>
      <w:r w:rsidR="00FE46CC">
        <w:rPr>
          <w:rFonts w:ascii="Arial" w:hAnsi="Arial" w:cs="Arial"/>
          <w:sz w:val="24"/>
          <w:szCs w:val="24"/>
        </w:rPr>
        <w:t xml:space="preserve">deception, </w:t>
      </w:r>
      <w:r w:rsidR="00A04163">
        <w:rPr>
          <w:rFonts w:ascii="Arial" w:hAnsi="Arial" w:cs="Arial"/>
          <w:sz w:val="24"/>
          <w:szCs w:val="24"/>
        </w:rPr>
        <w:t xml:space="preserve">falsely claiming </w:t>
      </w:r>
      <w:r w:rsidR="002E5C4D">
        <w:rPr>
          <w:rFonts w:ascii="Arial" w:hAnsi="Arial" w:cs="Arial"/>
          <w:sz w:val="24"/>
          <w:szCs w:val="24"/>
        </w:rPr>
        <w:t>payment for a surgical procedure he did not perform</w:t>
      </w:r>
      <w:r w:rsidR="006A01B4">
        <w:rPr>
          <w:rFonts w:ascii="Arial" w:hAnsi="Arial" w:cs="Arial"/>
          <w:sz w:val="24"/>
          <w:szCs w:val="24"/>
        </w:rPr>
        <w:t>.</w:t>
      </w:r>
      <w:r w:rsidR="008C27C6">
        <w:rPr>
          <w:rFonts w:ascii="Arial" w:hAnsi="Arial" w:cs="Arial"/>
          <w:sz w:val="24"/>
          <w:szCs w:val="24"/>
        </w:rPr>
        <w:t xml:space="preserve"> </w:t>
      </w:r>
      <w:r w:rsidR="00CE7040">
        <w:rPr>
          <w:rFonts w:ascii="Arial" w:hAnsi="Arial" w:cs="Arial"/>
          <w:sz w:val="24"/>
          <w:szCs w:val="24"/>
        </w:rPr>
        <w:t>The Court of Appeal assessed if Dr Gosh “had the requisite mens rea of dishonesty under the offence of obtaining property by deception contrary to Section 15 of the Theft Act 1968” (Leggett, 2020).</w:t>
      </w:r>
      <w:r w:rsidR="00503BB4">
        <w:rPr>
          <w:rFonts w:ascii="Arial" w:hAnsi="Arial" w:cs="Arial"/>
          <w:sz w:val="24"/>
          <w:szCs w:val="24"/>
        </w:rPr>
        <w:t xml:space="preserve"> </w:t>
      </w:r>
      <w:r w:rsidR="00E10C19">
        <w:rPr>
          <w:rFonts w:ascii="Arial" w:hAnsi="Arial" w:cs="Arial"/>
          <w:sz w:val="24"/>
          <w:szCs w:val="24"/>
        </w:rPr>
        <w:t>The mai</w:t>
      </w:r>
      <w:r w:rsidR="008421EF">
        <w:rPr>
          <w:rFonts w:ascii="Arial" w:hAnsi="Arial" w:cs="Arial"/>
          <w:sz w:val="24"/>
          <w:szCs w:val="24"/>
        </w:rPr>
        <w:t xml:space="preserve">n issue </w:t>
      </w:r>
      <w:r w:rsidR="006A01B4">
        <w:rPr>
          <w:rFonts w:ascii="Arial" w:hAnsi="Arial" w:cs="Arial"/>
          <w:sz w:val="24"/>
          <w:szCs w:val="24"/>
        </w:rPr>
        <w:t xml:space="preserve">in this case </w:t>
      </w:r>
      <w:r w:rsidR="008421EF">
        <w:rPr>
          <w:rFonts w:ascii="Arial" w:hAnsi="Arial" w:cs="Arial"/>
          <w:sz w:val="24"/>
          <w:szCs w:val="24"/>
        </w:rPr>
        <w:t xml:space="preserve">was the definition of ‘dishonesty’ under the </w:t>
      </w:r>
      <w:r w:rsidR="006A01B4">
        <w:rPr>
          <w:rFonts w:ascii="Arial" w:hAnsi="Arial" w:cs="Arial"/>
          <w:sz w:val="24"/>
          <w:szCs w:val="24"/>
        </w:rPr>
        <w:t xml:space="preserve">Theft </w:t>
      </w:r>
      <w:r w:rsidR="005C1F88">
        <w:rPr>
          <w:rFonts w:ascii="Arial" w:hAnsi="Arial" w:cs="Arial"/>
          <w:sz w:val="24"/>
          <w:szCs w:val="24"/>
        </w:rPr>
        <w:t xml:space="preserve">Act </w:t>
      </w:r>
      <w:r w:rsidR="008421EF">
        <w:rPr>
          <w:rFonts w:ascii="Arial" w:hAnsi="Arial" w:cs="Arial"/>
          <w:sz w:val="24"/>
          <w:szCs w:val="24"/>
        </w:rPr>
        <w:t>1968</w:t>
      </w:r>
      <w:r w:rsidR="00BF4C96">
        <w:rPr>
          <w:rFonts w:ascii="Arial" w:hAnsi="Arial" w:cs="Arial"/>
          <w:sz w:val="24"/>
          <w:szCs w:val="24"/>
        </w:rPr>
        <w:t xml:space="preserve">, Dr Gosh argued that the trial judge </w:t>
      </w:r>
      <w:r w:rsidR="008861DF">
        <w:rPr>
          <w:rFonts w:ascii="Arial" w:hAnsi="Arial" w:cs="Arial"/>
          <w:sz w:val="24"/>
          <w:szCs w:val="24"/>
        </w:rPr>
        <w:t xml:space="preserve">incorrectly </w:t>
      </w:r>
      <w:r w:rsidR="00BF4C96">
        <w:rPr>
          <w:rFonts w:ascii="Arial" w:hAnsi="Arial" w:cs="Arial"/>
          <w:sz w:val="24"/>
          <w:szCs w:val="24"/>
        </w:rPr>
        <w:t>direct</w:t>
      </w:r>
      <w:r w:rsidR="008861DF">
        <w:rPr>
          <w:rFonts w:ascii="Arial" w:hAnsi="Arial" w:cs="Arial"/>
          <w:sz w:val="24"/>
          <w:szCs w:val="24"/>
        </w:rPr>
        <w:t>ed</w:t>
      </w:r>
      <w:r w:rsidR="00BF4C96">
        <w:rPr>
          <w:rFonts w:ascii="Arial" w:hAnsi="Arial" w:cs="Arial"/>
          <w:sz w:val="24"/>
          <w:szCs w:val="24"/>
        </w:rPr>
        <w:t xml:space="preserve"> the jury to apply </w:t>
      </w:r>
      <w:r w:rsidR="00234ED9">
        <w:rPr>
          <w:rFonts w:ascii="Arial" w:hAnsi="Arial" w:cs="Arial"/>
          <w:sz w:val="24"/>
          <w:szCs w:val="24"/>
        </w:rPr>
        <w:t>contemporary standards of honesty.</w:t>
      </w:r>
      <w:r w:rsidR="00805ED6">
        <w:rPr>
          <w:rFonts w:ascii="Arial" w:hAnsi="Arial" w:cs="Arial"/>
          <w:sz w:val="24"/>
          <w:szCs w:val="24"/>
        </w:rPr>
        <w:t xml:space="preserve"> </w:t>
      </w:r>
      <w:r w:rsidR="006A5252">
        <w:rPr>
          <w:rFonts w:ascii="Arial" w:hAnsi="Arial" w:cs="Arial"/>
          <w:sz w:val="24"/>
          <w:szCs w:val="24"/>
        </w:rPr>
        <w:t xml:space="preserve">Finally, </w:t>
      </w:r>
      <w:r w:rsidR="001A5AFA">
        <w:rPr>
          <w:rFonts w:ascii="Arial" w:hAnsi="Arial" w:cs="Arial"/>
          <w:sz w:val="24"/>
          <w:szCs w:val="24"/>
        </w:rPr>
        <w:t>T</w:t>
      </w:r>
      <w:r w:rsidR="00503BB4">
        <w:rPr>
          <w:rFonts w:ascii="Arial" w:hAnsi="Arial" w:cs="Arial"/>
          <w:sz w:val="24"/>
          <w:szCs w:val="24"/>
        </w:rPr>
        <w:t>he Court of appeal held that ‘dishonesty’ is a state of mind, not a course of conduct</w:t>
      </w:r>
      <w:r w:rsidR="00CF7B32">
        <w:rPr>
          <w:rFonts w:ascii="Arial" w:hAnsi="Arial" w:cs="Arial"/>
          <w:sz w:val="24"/>
          <w:szCs w:val="24"/>
        </w:rPr>
        <w:t xml:space="preserve"> (Steel,</w:t>
      </w:r>
      <w:r w:rsidR="00A80904">
        <w:rPr>
          <w:rFonts w:ascii="Arial" w:hAnsi="Arial" w:cs="Arial"/>
          <w:sz w:val="24"/>
          <w:szCs w:val="24"/>
        </w:rPr>
        <w:t xml:space="preserve"> 2009,</w:t>
      </w:r>
      <w:r w:rsidR="00CF7B32">
        <w:rPr>
          <w:rFonts w:ascii="Arial" w:hAnsi="Arial" w:cs="Arial"/>
          <w:sz w:val="24"/>
          <w:szCs w:val="24"/>
        </w:rPr>
        <w:t xml:space="preserve"> p.</w:t>
      </w:r>
      <w:r w:rsidR="00A80904">
        <w:rPr>
          <w:rFonts w:ascii="Arial" w:hAnsi="Arial" w:cs="Arial"/>
          <w:sz w:val="24"/>
          <w:szCs w:val="24"/>
        </w:rPr>
        <w:t xml:space="preserve"> </w:t>
      </w:r>
      <w:r w:rsidR="00CF7B32">
        <w:rPr>
          <w:rFonts w:ascii="Arial" w:hAnsi="Arial" w:cs="Arial"/>
          <w:sz w:val="24"/>
          <w:szCs w:val="24"/>
        </w:rPr>
        <w:t>115</w:t>
      </w:r>
      <w:r w:rsidR="00A80904">
        <w:rPr>
          <w:rFonts w:ascii="Arial" w:hAnsi="Arial" w:cs="Arial"/>
          <w:sz w:val="24"/>
          <w:szCs w:val="24"/>
        </w:rPr>
        <w:t>).</w:t>
      </w:r>
      <w:r w:rsidR="001A5AFA">
        <w:rPr>
          <w:rFonts w:ascii="Arial" w:hAnsi="Arial" w:cs="Arial"/>
          <w:sz w:val="24"/>
          <w:szCs w:val="24"/>
        </w:rPr>
        <w:t xml:space="preserve"> </w:t>
      </w:r>
    </w:p>
    <w:p w14:paraId="6FCE557A" w14:textId="1A7A2F35" w:rsidR="00352A04" w:rsidRDefault="006F271D" w:rsidP="00240C17">
      <w:pPr>
        <w:rPr>
          <w:rFonts w:ascii="Arial" w:hAnsi="Arial" w:cs="Arial"/>
          <w:sz w:val="24"/>
          <w:szCs w:val="24"/>
        </w:rPr>
      </w:pPr>
      <w:r>
        <w:rPr>
          <w:rFonts w:ascii="Arial" w:hAnsi="Arial" w:cs="Arial"/>
          <w:sz w:val="24"/>
          <w:szCs w:val="24"/>
        </w:rPr>
        <w:t xml:space="preserve">Recent legal </w:t>
      </w:r>
      <w:r w:rsidR="00167A8D">
        <w:rPr>
          <w:rFonts w:ascii="Arial" w:hAnsi="Arial" w:cs="Arial"/>
          <w:sz w:val="24"/>
          <w:szCs w:val="24"/>
        </w:rPr>
        <w:t xml:space="preserve">developments, such as the Ivey v Genting Casinos case, </w:t>
      </w:r>
      <w:r w:rsidR="00C30E2D">
        <w:rPr>
          <w:rFonts w:ascii="Arial" w:hAnsi="Arial" w:cs="Arial"/>
          <w:sz w:val="24"/>
          <w:szCs w:val="24"/>
        </w:rPr>
        <w:t>have shifted the focus toward the objective civil law test for dishonesty.</w:t>
      </w:r>
      <w:r w:rsidR="003F35E6">
        <w:rPr>
          <w:rFonts w:ascii="Arial" w:hAnsi="Arial" w:cs="Arial"/>
          <w:sz w:val="24"/>
          <w:szCs w:val="24"/>
        </w:rPr>
        <w:t xml:space="preserve"> </w:t>
      </w:r>
      <w:r w:rsidR="003939EF">
        <w:rPr>
          <w:rFonts w:ascii="Arial" w:hAnsi="Arial" w:cs="Arial"/>
          <w:sz w:val="24"/>
          <w:szCs w:val="24"/>
        </w:rPr>
        <w:t>I</w:t>
      </w:r>
      <w:r w:rsidR="00E81DA7">
        <w:rPr>
          <w:rFonts w:ascii="Arial" w:hAnsi="Arial" w:cs="Arial"/>
          <w:sz w:val="24"/>
          <w:szCs w:val="24"/>
        </w:rPr>
        <w:t>n 2017</w:t>
      </w:r>
      <w:r w:rsidR="00061A22">
        <w:rPr>
          <w:rFonts w:ascii="Arial" w:hAnsi="Arial" w:cs="Arial"/>
          <w:sz w:val="24"/>
          <w:szCs w:val="24"/>
        </w:rPr>
        <w:t xml:space="preserve">, the Supreme Court </w:t>
      </w:r>
      <w:r w:rsidR="007B3964">
        <w:rPr>
          <w:rFonts w:ascii="Arial" w:hAnsi="Arial" w:cs="Arial"/>
          <w:sz w:val="24"/>
          <w:szCs w:val="24"/>
        </w:rPr>
        <w:t>clarified the test for dishonesty in</w:t>
      </w:r>
      <w:r w:rsidR="00A63670">
        <w:rPr>
          <w:rFonts w:ascii="Arial" w:hAnsi="Arial" w:cs="Arial"/>
          <w:sz w:val="24"/>
          <w:szCs w:val="24"/>
        </w:rPr>
        <w:t xml:space="preserve"> the Ivey </w:t>
      </w:r>
      <w:r w:rsidR="00C21F70">
        <w:rPr>
          <w:rFonts w:ascii="Arial" w:hAnsi="Arial" w:cs="Arial"/>
          <w:sz w:val="24"/>
          <w:szCs w:val="24"/>
        </w:rPr>
        <w:t xml:space="preserve">v Genting Casinos </w:t>
      </w:r>
      <w:r w:rsidR="00EB294E">
        <w:rPr>
          <w:rFonts w:ascii="Arial" w:hAnsi="Arial" w:cs="Arial"/>
          <w:sz w:val="24"/>
          <w:szCs w:val="24"/>
        </w:rPr>
        <w:t>case</w:t>
      </w:r>
      <w:r w:rsidR="003831BA">
        <w:rPr>
          <w:rFonts w:ascii="Arial" w:hAnsi="Arial" w:cs="Arial"/>
          <w:sz w:val="24"/>
          <w:szCs w:val="24"/>
        </w:rPr>
        <w:t xml:space="preserve">, which </w:t>
      </w:r>
      <w:r w:rsidR="00FE56E4">
        <w:rPr>
          <w:rFonts w:ascii="Arial" w:hAnsi="Arial" w:cs="Arial"/>
          <w:sz w:val="24"/>
          <w:szCs w:val="24"/>
        </w:rPr>
        <w:t xml:space="preserve">replaced the Gosh test </w:t>
      </w:r>
      <w:r w:rsidR="00C24901">
        <w:rPr>
          <w:rFonts w:ascii="Arial" w:hAnsi="Arial" w:cs="Arial"/>
          <w:sz w:val="24"/>
          <w:szCs w:val="24"/>
        </w:rPr>
        <w:t xml:space="preserve">and eliminated the subjective requirement of realizing that ordinary </w:t>
      </w:r>
      <w:r w:rsidR="009D2246">
        <w:rPr>
          <w:rFonts w:ascii="Arial" w:hAnsi="Arial" w:cs="Arial"/>
          <w:sz w:val="24"/>
          <w:szCs w:val="24"/>
        </w:rPr>
        <w:t>honest people would find the behaviour dishonest.</w:t>
      </w:r>
      <w:r w:rsidR="00FC2FA4">
        <w:rPr>
          <w:rFonts w:ascii="Arial" w:hAnsi="Arial" w:cs="Arial"/>
          <w:sz w:val="24"/>
          <w:szCs w:val="24"/>
        </w:rPr>
        <w:t xml:space="preserve"> In this specific case Phil Ivey</w:t>
      </w:r>
      <w:r w:rsidR="00502CBA">
        <w:rPr>
          <w:rFonts w:ascii="Arial" w:hAnsi="Arial" w:cs="Arial"/>
          <w:sz w:val="24"/>
          <w:szCs w:val="24"/>
        </w:rPr>
        <w:t>, a professional gambler</w:t>
      </w:r>
      <w:r w:rsidR="00EA49B1">
        <w:rPr>
          <w:rFonts w:ascii="Arial" w:hAnsi="Arial" w:cs="Arial"/>
          <w:sz w:val="24"/>
          <w:szCs w:val="24"/>
        </w:rPr>
        <w:t xml:space="preserve"> and his associate</w:t>
      </w:r>
      <w:r w:rsidR="009613E5">
        <w:rPr>
          <w:rFonts w:ascii="Arial" w:hAnsi="Arial" w:cs="Arial"/>
          <w:sz w:val="24"/>
          <w:szCs w:val="24"/>
        </w:rPr>
        <w:t>, Ms Sun,</w:t>
      </w:r>
      <w:r w:rsidR="00502CBA">
        <w:rPr>
          <w:rFonts w:ascii="Arial" w:hAnsi="Arial" w:cs="Arial"/>
          <w:sz w:val="24"/>
          <w:szCs w:val="24"/>
        </w:rPr>
        <w:t xml:space="preserve"> visited a casino in London</w:t>
      </w:r>
      <w:r w:rsidR="001E5227">
        <w:rPr>
          <w:rFonts w:ascii="Arial" w:hAnsi="Arial" w:cs="Arial"/>
          <w:sz w:val="24"/>
          <w:szCs w:val="24"/>
        </w:rPr>
        <w:t>,</w:t>
      </w:r>
      <w:r w:rsidR="00955891">
        <w:rPr>
          <w:rFonts w:ascii="Arial" w:hAnsi="Arial" w:cs="Arial"/>
          <w:sz w:val="24"/>
          <w:szCs w:val="24"/>
        </w:rPr>
        <w:t xml:space="preserve"> played and won a substantial amount of money</w:t>
      </w:r>
      <w:r w:rsidR="001E5227">
        <w:rPr>
          <w:rFonts w:ascii="Arial" w:hAnsi="Arial" w:cs="Arial"/>
          <w:sz w:val="24"/>
          <w:szCs w:val="24"/>
        </w:rPr>
        <w:t xml:space="preserve">. However, the casino </w:t>
      </w:r>
      <w:r w:rsidR="000B5B8F">
        <w:rPr>
          <w:rFonts w:ascii="Arial" w:hAnsi="Arial" w:cs="Arial"/>
          <w:sz w:val="24"/>
          <w:szCs w:val="24"/>
        </w:rPr>
        <w:t>suspected that he cheated</w:t>
      </w:r>
      <w:r w:rsidR="00854932">
        <w:rPr>
          <w:rFonts w:ascii="Arial" w:hAnsi="Arial" w:cs="Arial"/>
          <w:sz w:val="24"/>
          <w:szCs w:val="24"/>
        </w:rPr>
        <w:t xml:space="preserve"> by using a technique called edge sorting</w:t>
      </w:r>
      <w:r w:rsidR="000B5B8F">
        <w:rPr>
          <w:rFonts w:ascii="Arial" w:hAnsi="Arial" w:cs="Arial"/>
          <w:sz w:val="24"/>
          <w:szCs w:val="24"/>
        </w:rPr>
        <w:t xml:space="preserve"> and </w:t>
      </w:r>
      <w:r w:rsidR="001E5227">
        <w:rPr>
          <w:rFonts w:ascii="Arial" w:hAnsi="Arial" w:cs="Arial"/>
          <w:sz w:val="24"/>
          <w:szCs w:val="24"/>
        </w:rPr>
        <w:t xml:space="preserve">refused to </w:t>
      </w:r>
      <w:r w:rsidR="000B5B8F">
        <w:rPr>
          <w:rFonts w:ascii="Arial" w:hAnsi="Arial" w:cs="Arial"/>
          <w:sz w:val="24"/>
          <w:szCs w:val="24"/>
        </w:rPr>
        <w:t>pay out his winnings</w:t>
      </w:r>
      <w:r w:rsidR="00E54FB4">
        <w:rPr>
          <w:rFonts w:ascii="Arial" w:hAnsi="Arial" w:cs="Arial"/>
          <w:sz w:val="24"/>
          <w:szCs w:val="24"/>
        </w:rPr>
        <w:t xml:space="preserve">, “because the game </w:t>
      </w:r>
      <w:r w:rsidR="00DA1440">
        <w:rPr>
          <w:rFonts w:ascii="Arial" w:hAnsi="Arial" w:cs="Arial"/>
          <w:sz w:val="24"/>
          <w:szCs w:val="24"/>
        </w:rPr>
        <w:t>had been compromised”</w:t>
      </w:r>
      <w:r w:rsidR="00333C63">
        <w:rPr>
          <w:rFonts w:ascii="Arial" w:hAnsi="Arial" w:cs="Arial"/>
          <w:sz w:val="24"/>
          <w:szCs w:val="24"/>
        </w:rPr>
        <w:t xml:space="preserve"> (The Supreme Court of United Kingdom, 2017)</w:t>
      </w:r>
      <w:r w:rsidR="00DA1440">
        <w:rPr>
          <w:rFonts w:ascii="Arial" w:hAnsi="Arial" w:cs="Arial"/>
          <w:sz w:val="24"/>
          <w:szCs w:val="24"/>
        </w:rPr>
        <w:t>.</w:t>
      </w:r>
      <w:r w:rsidR="009F4FE2">
        <w:rPr>
          <w:rFonts w:ascii="Arial" w:hAnsi="Arial" w:cs="Arial"/>
          <w:sz w:val="24"/>
          <w:szCs w:val="24"/>
        </w:rPr>
        <w:t xml:space="preserve"> Phill</w:t>
      </w:r>
      <w:r w:rsidR="009F497C">
        <w:rPr>
          <w:rFonts w:ascii="Arial" w:hAnsi="Arial" w:cs="Arial"/>
          <w:sz w:val="24"/>
          <w:szCs w:val="24"/>
        </w:rPr>
        <w:t xml:space="preserve"> Ivey then sued</w:t>
      </w:r>
      <w:r w:rsidR="009F4FE2">
        <w:rPr>
          <w:rFonts w:ascii="Arial" w:hAnsi="Arial" w:cs="Arial"/>
          <w:sz w:val="24"/>
          <w:szCs w:val="24"/>
        </w:rPr>
        <w:t xml:space="preserve"> Genting </w:t>
      </w:r>
      <w:r w:rsidR="00BC12F6">
        <w:rPr>
          <w:rFonts w:ascii="Arial" w:hAnsi="Arial" w:cs="Arial"/>
          <w:sz w:val="24"/>
          <w:szCs w:val="24"/>
        </w:rPr>
        <w:t>Casinos</w:t>
      </w:r>
      <w:r w:rsidR="00393920">
        <w:rPr>
          <w:rFonts w:ascii="Arial" w:hAnsi="Arial" w:cs="Arial"/>
          <w:sz w:val="24"/>
          <w:szCs w:val="24"/>
        </w:rPr>
        <w:t>,</w:t>
      </w:r>
      <w:r w:rsidR="0082335F">
        <w:rPr>
          <w:rFonts w:ascii="Arial" w:hAnsi="Arial" w:cs="Arial"/>
          <w:sz w:val="24"/>
          <w:szCs w:val="24"/>
        </w:rPr>
        <w:t xml:space="preserve"> </w:t>
      </w:r>
      <w:r w:rsidR="000061F6">
        <w:rPr>
          <w:rFonts w:ascii="Arial" w:hAnsi="Arial" w:cs="Arial"/>
          <w:sz w:val="24"/>
          <w:szCs w:val="24"/>
        </w:rPr>
        <w:t>but</w:t>
      </w:r>
      <w:r w:rsidR="00393920">
        <w:rPr>
          <w:rFonts w:ascii="Arial" w:hAnsi="Arial" w:cs="Arial"/>
          <w:sz w:val="24"/>
          <w:szCs w:val="24"/>
        </w:rPr>
        <w:t xml:space="preserve"> the Supreme</w:t>
      </w:r>
      <w:r w:rsidR="00054814">
        <w:rPr>
          <w:rFonts w:ascii="Arial" w:hAnsi="Arial" w:cs="Arial"/>
          <w:sz w:val="24"/>
          <w:szCs w:val="24"/>
        </w:rPr>
        <w:t xml:space="preserve"> Court</w:t>
      </w:r>
      <w:r w:rsidR="00393920">
        <w:rPr>
          <w:rFonts w:ascii="Arial" w:hAnsi="Arial" w:cs="Arial"/>
          <w:sz w:val="24"/>
          <w:szCs w:val="24"/>
        </w:rPr>
        <w:t xml:space="preserve"> unanimously held that Ivey’s actions amounted to cheating and overruled the Gosh test for dishonest</w:t>
      </w:r>
      <w:r w:rsidR="0082335F">
        <w:rPr>
          <w:rFonts w:ascii="Arial" w:hAnsi="Arial" w:cs="Arial"/>
          <w:sz w:val="24"/>
          <w:szCs w:val="24"/>
        </w:rPr>
        <w:t>y</w:t>
      </w:r>
      <w:r w:rsidR="00B90C13">
        <w:rPr>
          <w:rFonts w:ascii="Arial" w:hAnsi="Arial" w:cs="Arial"/>
          <w:sz w:val="24"/>
          <w:szCs w:val="24"/>
        </w:rPr>
        <w:t>, establishing a new</w:t>
      </w:r>
      <w:r w:rsidR="00E0777F">
        <w:rPr>
          <w:rFonts w:ascii="Arial" w:hAnsi="Arial" w:cs="Arial"/>
          <w:sz w:val="24"/>
          <w:szCs w:val="24"/>
        </w:rPr>
        <w:t>, two-step objective test</w:t>
      </w:r>
      <w:r w:rsidR="0082335F">
        <w:rPr>
          <w:rFonts w:ascii="Arial" w:hAnsi="Arial" w:cs="Arial"/>
          <w:sz w:val="24"/>
          <w:szCs w:val="24"/>
        </w:rPr>
        <w:t>.</w:t>
      </w:r>
      <w:r w:rsidR="00702969">
        <w:rPr>
          <w:rFonts w:ascii="Arial" w:hAnsi="Arial" w:cs="Arial"/>
          <w:sz w:val="24"/>
          <w:szCs w:val="24"/>
        </w:rPr>
        <w:t xml:space="preserve"> </w:t>
      </w:r>
      <w:r w:rsidR="004B67C7">
        <w:rPr>
          <w:rFonts w:ascii="Arial" w:hAnsi="Arial" w:cs="Arial"/>
          <w:sz w:val="24"/>
          <w:szCs w:val="24"/>
        </w:rPr>
        <w:t>A</w:t>
      </w:r>
      <w:r w:rsidR="00181B30">
        <w:rPr>
          <w:rFonts w:ascii="Arial" w:hAnsi="Arial" w:cs="Arial"/>
          <w:sz w:val="24"/>
          <w:szCs w:val="24"/>
        </w:rPr>
        <w:t>ccording to the UK Supreme Court “the appeal raises questions about the meaning of the concept of cheating at gambling and the relevance of dishonesty to that concept”</w:t>
      </w:r>
      <w:r w:rsidR="00D70BA6">
        <w:rPr>
          <w:rFonts w:ascii="Arial" w:hAnsi="Arial" w:cs="Arial"/>
          <w:sz w:val="24"/>
          <w:szCs w:val="24"/>
        </w:rPr>
        <w:t xml:space="preserve">, </w:t>
      </w:r>
      <w:r w:rsidR="00D70BA6">
        <w:rPr>
          <w:rFonts w:ascii="Arial" w:hAnsi="Arial" w:cs="Arial"/>
          <w:sz w:val="24"/>
          <w:szCs w:val="24"/>
        </w:rPr>
        <w:lastRenderedPageBreak/>
        <w:t>d</w:t>
      </w:r>
      <w:r w:rsidR="00E63C43">
        <w:rPr>
          <w:rFonts w:ascii="Arial" w:hAnsi="Arial" w:cs="Arial"/>
          <w:sz w:val="24"/>
          <w:szCs w:val="24"/>
        </w:rPr>
        <w:t xml:space="preserve">enoting that </w:t>
      </w:r>
      <w:r w:rsidR="0082335F">
        <w:rPr>
          <w:rFonts w:ascii="Arial" w:hAnsi="Arial" w:cs="Arial"/>
          <w:sz w:val="24"/>
          <w:szCs w:val="24"/>
        </w:rPr>
        <w:t>being knowingly dishonest was not found to be a necessary element of cheating</w:t>
      </w:r>
      <w:r w:rsidR="004B67C7">
        <w:rPr>
          <w:rFonts w:ascii="Arial" w:hAnsi="Arial" w:cs="Arial"/>
          <w:sz w:val="24"/>
          <w:szCs w:val="24"/>
        </w:rPr>
        <w:t xml:space="preserve"> in this particular case law.</w:t>
      </w:r>
    </w:p>
    <w:p w14:paraId="440FFD12" w14:textId="5B74256D" w:rsidR="00E81DA7" w:rsidRDefault="008B0897" w:rsidP="00EB294E">
      <w:pPr>
        <w:rPr>
          <w:rFonts w:ascii="Arial" w:hAnsi="Arial" w:cs="Arial"/>
          <w:sz w:val="24"/>
          <w:szCs w:val="24"/>
        </w:rPr>
      </w:pPr>
      <w:r>
        <w:rPr>
          <w:rFonts w:ascii="Arial" w:hAnsi="Arial" w:cs="Arial"/>
          <w:sz w:val="24"/>
          <w:szCs w:val="24"/>
        </w:rPr>
        <w:t>T</w:t>
      </w:r>
      <w:r w:rsidR="00762753">
        <w:rPr>
          <w:rFonts w:ascii="Arial" w:hAnsi="Arial" w:cs="Arial"/>
          <w:sz w:val="24"/>
          <w:szCs w:val="24"/>
        </w:rPr>
        <w:t>he</w:t>
      </w:r>
      <w:r w:rsidR="00762753" w:rsidRPr="00762753">
        <w:rPr>
          <w:rFonts w:ascii="Arial" w:hAnsi="Arial" w:cs="Arial"/>
          <w:sz w:val="24"/>
          <w:szCs w:val="24"/>
        </w:rPr>
        <w:t xml:space="preserve"> </w:t>
      </w:r>
      <w:r w:rsidR="00762753">
        <w:rPr>
          <w:rFonts w:ascii="Arial" w:hAnsi="Arial" w:cs="Arial"/>
          <w:sz w:val="24"/>
          <w:szCs w:val="24"/>
        </w:rPr>
        <w:t>Crown Prosecution Service</w:t>
      </w:r>
      <w:r w:rsidR="003E0C5C">
        <w:rPr>
          <w:rFonts w:ascii="Arial" w:hAnsi="Arial" w:cs="Arial"/>
          <w:sz w:val="24"/>
          <w:szCs w:val="24"/>
        </w:rPr>
        <w:t xml:space="preserve"> states that the </w:t>
      </w:r>
      <w:r w:rsidR="00A3575F">
        <w:rPr>
          <w:rFonts w:ascii="Arial" w:hAnsi="Arial" w:cs="Arial"/>
          <w:sz w:val="24"/>
          <w:szCs w:val="24"/>
        </w:rPr>
        <w:t xml:space="preserve">definition of dishonesty has been </w:t>
      </w:r>
      <w:r w:rsidR="00160EBA">
        <w:rPr>
          <w:rFonts w:ascii="Arial" w:hAnsi="Arial" w:cs="Arial"/>
          <w:sz w:val="24"/>
          <w:szCs w:val="24"/>
        </w:rPr>
        <w:t>r</w:t>
      </w:r>
      <w:r w:rsidR="00E9783F">
        <w:rPr>
          <w:rFonts w:ascii="Arial" w:hAnsi="Arial" w:cs="Arial"/>
          <w:sz w:val="24"/>
          <w:szCs w:val="24"/>
        </w:rPr>
        <w:t>e</w:t>
      </w:r>
      <w:r w:rsidR="00160EBA">
        <w:rPr>
          <w:rFonts w:ascii="Arial" w:hAnsi="Arial" w:cs="Arial"/>
          <w:sz w:val="24"/>
          <w:szCs w:val="24"/>
        </w:rPr>
        <w:t>defined</w:t>
      </w:r>
      <w:r w:rsidR="0052265F">
        <w:rPr>
          <w:rFonts w:ascii="Arial" w:hAnsi="Arial" w:cs="Arial"/>
          <w:sz w:val="24"/>
          <w:szCs w:val="24"/>
        </w:rPr>
        <w:t>, t</w:t>
      </w:r>
      <w:r w:rsidR="00EA1422">
        <w:rPr>
          <w:rFonts w:ascii="Arial" w:hAnsi="Arial" w:cs="Arial"/>
          <w:sz w:val="24"/>
          <w:szCs w:val="24"/>
        </w:rPr>
        <w:t xml:space="preserve">he juries must </w:t>
      </w:r>
      <w:r w:rsidR="00FF5B3B">
        <w:rPr>
          <w:rFonts w:ascii="Arial" w:hAnsi="Arial" w:cs="Arial"/>
          <w:sz w:val="24"/>
          <w:szCs w:val="24"/>
        </w:rPr>
        <w:t xml:space="preserve">now </w:t>
      </w:r>
      <w:r w:rsidR="0052265F">
        <w:rPr>
          <w:rFonts w:ascii="Arial" w:hAnsi="Arial" w:cs="Arial"/>
          <w:sz w:val="24"/>
          <w:szCs w:val="24"/>
        </w:rPr>
        <w:t xml:space="preserve">consider all </w:t>
      </w:r>
      <w:r w:rsidR="00125F11">
        <w:rPr>
          <w:rFonts w:ascii="Arial" w:hAnsi="Arial" w:cs="Arial"/>
          <w:sz w:val="24"/>
          <w:szCs w:val="24"/>
        </w:rPr>
        <w:t xml:space="preserve">relevant </w:t>
      </w:r>
      <w:r w:rsidR="0052265F">
        <w:rPr>
          <w:rFonts w:ascii="Arial" w:hAnsi="Arial" w:cs="Arial"/>
          <w:sz w:val="24"/>
          <w:szCs w:val="24"/>
        </w:rPr>
        <w:t>facts</w:t>
      </w:r>
      <w:r w:rsidR="00211559">
        <w:rPr>
          <w:rFonts w:ascii="Arial" w:hAnsi="Arial" w:cs="Arial"/>
          <w:sz w:val="24"/>
          <w:szCs w:val="24"/>
        </w:rPr>
        <w:t xml:space="preserve">, </w:t>
      </w:r>
      <w:r w:rsidR="00D816F8">
        <w:rPr>
          <w:rFonts w:ascii="Arial" w:hAnsi="Arial" w:cs="Arial"/>
          <w:sz w:val="24"/>
          <w:szCs w:val="24"/>
        </w:rPr>
        <w:t>“</w:t>
      </w:r>
      <w:r w:rsidR="00211559">
        <w:rPr>
          <w:rFonts w:ascii="Arial" w:hAnsi="Arial" w:cs="Arial"/>
          <w:sz w:val="24"/>
          <w:szCs w:val="24"/>
        </w:rPr>
        <w:t>including the defendant’s knowledge or belief in the fact</w:t>
      </w:r>
      <w:r w:rsidR="00563D91">
        <w:rPr>
          <w:rFonts w:ascii="Arial" w:hAnsi="Arial" w:cs="Arial"/>
          <w:sz w:val="24"/>
          <w:szCs w:val="24"/>
        </w:rPr>
        <w:t>s</w:t>
      </w:r>
      <w:r w:rsidR="00D816F8">
        <w:rPr>
          <w:rFonts w:ascii="Arial" w:hAnsi="Arial" w:cs="Arial"/>
          <w:sz w:val="24"/>
          <w:szCs w:val="24"/>
        </w:rPr>
        <w:t>”</w:t>
      </w:r>
      <w:r w:rsidR="00B258D3">
        <w:rPr>
          <w:rFonts w:ascii="Arial" w:hAnsi="Arial" w:cs="Arial"/>
          <w:sz w:val="24"/>
          <w:szCs w:val="24"/>
        </w:rPr>
        <w:t xml:space="preserve"> and ultimately </w:t>
      </w:r>
      <w:r w:rsidR="00563D91">
        <w:rPr>
          <w:rFonts w:ascii="Arial" w:hAnsi="Arial" w:cs="Arial"/>
          <w:sz w:val="24"/>
          <w:szCs w:val="24"/>
        </w:rPr>
        <w:t>assess</w:t>
      </w:r>
      <w:r w:rsidR="00B258D3">
        <w:rPr>
          <w:rFonts w:ascii="Arial" w:hAnsi="Arial" w:cs="Arial"/>
          <w:sz w:val="24"/>
          <w:szCs w:val="24"/>
        </w:rPr>
        <w:t xml:space="preserve"> </w:t>
      </w:r>
      <w:r w:rsidR="007A10CA">
        <w:rPr>
          <w:rFonts w:ascii="Arial" w:hAnsi="Arial" w:cs="Arial"/>
          <w:sz w:val="24"/>
          <w:szCs w:val="24"/>
        </w:rPr>
        <w:t>and apply the “standards of ordina</w:t>
      </w:r>
      <w:r w:rsidR="00061A23">
        <w:rPr>
          <w:rFonts w:ascii="Arial" w:hAnsi="Arial" w:cs="Arial"/>
          <w:sz w:val="24"/>
          <w:szCs w:val="24"/>
        </w:rPr>
        <w:t>r</w:t>
      </w:r>
      <w:r w:rsidR="007A10CA">
        <w:rPr>
          <w:rFonts w:ascii="Arial" w:hAnsi="Arial" w:cs="Arial"/>
          <w:sz w:val="24"/>
          <w:szCs w:val="24"/>
        </w:rPr>
        <w:t>y</w:t>
      </w:r>
      <w:r w:rsidR="00061A23">
        <w:rPr>
          <w:rFonts w:ascii="Arial" w:hAnsi="Arial" w:cs="Arial"/>
          <w:sz w:val="24"/>
          <w:szCs w:val="24"/>
        </w:rPr>
        <w:t xml:space="preserve"> reasonable</w:t>
      </w:r>
      <w:r w:rsidR="007A10CA">
        <w:rPr>
          <w:rFonts w:ascii="Arial" w:hAnsi="Arial" w:cs="Arial"/>
          <w:sz w:val="24"/>
          <w:szCs w:val="24"/>
        </w:rPr>
        <w:t xml:space="preserve"> people to </w:t>
      </w:r>
      <w:r w:rsidR="00061A23">
        <w:rPr>
          <w:rFonts w:ascii="Arial" w:hAnsi="Arial" w:cs="Arial"/>
          <w:sz w:val="24"/>
          <w:szCs w:val="24"/>
        </w:rPr>
        <w:t>judge that behaviour</w:t>
      </w:r>
      <w:r w:rsidR="00304527">
        <w:rPr>
          <w:rFonts w:ascii="Arial" w:hAnsi="Arial" w:cs="Arial"/>
          <w:sz w:val="24"/>
          <w:szCs w:val="24"/>
        </w:rPr>
        <w:t>”</w:t>
      </w:r>
      <w:r w:rsidR="00061A23">
        <w:rPr>
          <w:rFonts w:ascii="Arial" w:hAnsi="Arial" w:cs="Arial"/>
          <w:sz w:val="24"/>
          <w:szCs w:val="24"/>
        </w:rPr>
        <w:t>.</w:t>
      </w:r>
      <w:r w:rsidR="005B19E3">
        <w:rPr>
          <w:rFonts w:ascii="Arial" w:hAnsi="Arial" w:cs="Arial"/>
          <w:sz w:val="24"/>
          <w:szCs w:val="24"/>
        </w:rPr>
        <w:t xml:space="preserve"> In summary</w:t>
      </w:r>
      <w:r w:rsidR="00CD36AF">
        <w:rPr>
          <w:rFonts w:ascii="Arial" w:hAnsi="Arial" w:cs="Arial"/>
          <w:sz w:val="24"/>
          <w:szCs w:val="24"/>
        </w:rPr>
        <w:t>,</w:t>
      </w:r>
      <w:r w:rsidR="005B19E3">
        <w:rPr>
          <w:rFonts w:ascii="Arial" w:hAnsi="Arial" w:cs="Arial"/>
          <w:sz w:val="24"/>
          <w:szCs w:val="24"/>
        </w:rPr>
        <w:t xml:space="preserve"> the new test </w:t>
      </w:r>
      <w:r w:rsidR="008C17C3">
        <w:rPr>
          <w:rFonts w:ascii="Arial" w:hAnsi="Arial" w:cs="Arial"/>
          <w:sz w:val="24"/>
          <w:szCs w:val="24"/>
        </w:rPr>
        <w:t xml:space="preserve">ensures that juries take into account the defendant’s understanding and </w:t>
      </w:r>
      <w:r w:rsidR="00872A8B">
        <w:rPr>
          <w:rFonts w:ascii="Arial" w:hAnsi="Arial" w:cs="Arial"/>
          <w:sz w:val="24"/>
          <w:szCs w:val="24"/>
        </w:rPr>
        <w:t xml:space="preserve">context when assessing dishonesty. Furthermore, it </w:t>
      </w:r>
      <w:r w:rsidR="00F917CC">
        <w:rPr>
          <w:rFonts w:ascii="Arial" w:hAnsi="Arial" w:cs="Arial"/>
          <w:sz w:val="24"/>
          <w:szCs w:val="24"/>
        </w:rPr>
        <w:t>focuses</w:t>
      </w:r>
      <w:r w:rsidR="007C61D3">
        <w:rPr>
          <w:rFonts w:ascii="Arial" w:hAnsi="Arial" w:cs="Arial"/>
          <w:sz w:val="24"/>
          <w:szCs w:val="24"/>
        </w:rPr>
        <w:t xml:space="preserve"> </w:t>
      </w:r>
      <w:r w:rsidR="00F917CC">
        <w:rPr>
          <w:rFonts w:ascii="Arial" w:hAnsi="Arial" w:cs="Arial"/>
          <w:sz w:val="24"/>
          <w:szCs w:val="24"/>
        </w:rPr>
        <w:t xml:space="preserve">on the objective standards and eliminates the need for subjective realization </w:t>
      </w:r>
      <w:r w:rsidR="007C61D3">
        <w:rPr>
          <w:rFonts w:ascii="Arial" w:hAnsi="Arial" w:cs="Arial"/>
          <w:sz w:val="24"/>
          <w:szCs w:val="24"/>
        </w:rPr>
        <w:t xml:space="preserve">of dishonesty. </w:t>
      </w:r>
      <w:r w:rsidR="000C1A56">
        <w:rPr>
          <w:rFonts w:ascii="Arial" w:hAnsi="Arial" w:cs="Arial"/>
          <w:sz w:val="24"/>
          <w:szCs w:val="24"/>
        </w:rPr>
        <w:t>This change</w:t>
      </w:r>
      <w:r w:rsidR="007C61D3">
        <w:rPr>
          <w:rFonts w:ascii="Arial" w:hAnsi="Arial" w:cs="Arial"/>
          <w:sz w:val="24"/>
          <w:szCs w:val="24"/>
        </w:rPr>
        <w:t xml:space="preserve"> provides clarity and consistency in criminal cases involving dishonest conduct</w:t>
      </w:r>
      <w:r w:rsidR="009527E4">
        <w:rPr>
          <w:rFonts w:ascii="Arial" w:hAnsi="Arial" w:cs="Arial"/>
          <w:sz w:val="24"/>
          <w:szCs w:val="24"/>
        </w:rPr>
        <w:t>.</w:t>
      </w:r>
    </w:p>
    <w:p w14:paraId="285E78A9" w14:textId="67518F91" w:rsidR="00BD10A9" w:rsidRDefault="00FE3FF1" w:rsidP="00EB294E">
      <w:pPr>
        <w:rPr>
          <w:rFonts w:ascii="Arial" w:hAnsi="Arial" w:cs="Arial"/>
          <w:sz w:val="24"/>
          <w:szCs w:val="24"/>
        </w:rPr>
      </w:pPr>
      <w:r>
        <w:rPr>
          <w:rFonts w:ascii="Arial" w:hAnsi="Arial" w:cs="Arial"/>
          <w:sz w:val="24"/>
          <w:szCs w:val="24"/>
        </w:rPr>
        <w:t>The cases of R v Gosh and Ivey Genting Casinos are both significant in English law</w:t>
      </w:r>
      <w:r w:rsidR="00444002">
        <w:rPr>
          <w:rFonts w:ascii="Arial" w:hAnsi="Arial" w:cs="Arial"/>
          <w:sz w:val="24"/>
          <w:szCs w:val="24"/>
        </w:rPr>
        <w:t xml:space="preserve"> for their exploration of the concept of dishonesty.</w:t>
      </w:r>
      <w:r w:rsidR="002E01CD">
        <w:rPr>
          <w:rFonts w:ascii="Arial" w:hAnsi="Arial" w:cs="Arial"/>
          <w:sz w:val="24"/>
          <w:szCs w:val="24"/>
        </w:rPr>
        <w:t xml:space="preserve"> The key difference between </w:t>
      </w:r>
      <w:r w:rsidR="0020468E">
        <w:rPr>
          <w:rFonts w:ascii="Arial" w:hAnsi="Arial" w:cs="Arial"/>
          <w:sz w:val="24"/>
          <w:szCs w:val="24"/>
        </w:rPr>
        <w:t xml:space="preserve">the two cases is </w:t>
      </w:r>
      <w:r w:rsidR="00BD10A9">
        <w:rPr>
          <w:rFonts w:ascii="Arial" w:hAnsi="Arial" w:cs="Arial"/>
          <w:sz w:val="24"/>
          <w:szCs w:val="24"/>
        </w:rPr>
        <w:t>t</w:t>
      </w:r>
      <w:r w:rsidR="0020468E">
        <w:rPr>
          <w:rFonts w:ascii="Arial" w:hAnsi="Arial" w:cs="Arial"/>
          <w:sz w:val="24"/>
          <w:szCs w:val="24"/>
        </w:rPr>
        <w:t>he removal of the subjective lim</w:t>
      </w:r>
      <w:r w:rsidR="00CE3F95">
        <w:rPr>
          <w:rFonts w:ascii="Arial" w:hAnsi="Arial" w:cs="Arial"/>
          <w:sz w:val="24"/>
          <w:szCs w:val="24"/>
        </w:rPr>
        <w:t>b of the Gosh test in Ivey, which means that the focus is now more on societal stan</w:t>
      </w:r>
      <w:r w:rsidR="006776AE">
        <w:rPr>
          <w:rFonts w:ascii="Arial" w:hAnsi="Arial" w:cs="Arial"/>
          <w:sz w:val="24"/>
          <w:szCs w:val="24"/>
        </w:rPr>
        <w:t xml:space="preserve">dards rather than the defendant’s </w:t>
      </w:r>
      <w:r w:rsidR="009675D8">
        <w:rPr>
          <w:rFonts w:ascii="Arial" w:hAnsi="Arial" w:cs="Arial"/>
          <w:sz w:val="24"/>
          <w:szCs w:val="24"/>
        </w:rPr>
        <w:t>own</w:t>
      </w:r>
      <w:r w:rsidR="006776AE">
        <w:rPr>
          <w:rFonts w:ascii="Arial" w:hAnsi="Arial" w:cs="Arial"/>
          <w:sz w:val="24"/>
          <w:szCs w:val="24"/>
        </w:rPr>
        <w:t xml:space="preserve"> perception of dishonesty. </w:t>
      </w:r>
      <w:r w:rsidR="00561E64">
        <w:rPr>
          <w:rFonts w:ascii="Arial" w:hAnsi="Arial" w:cs="Arial"/>
          <w:sz w:val="24"/>
          <w:szCs w:val="24"/>
        </w:rPr>
        <w:t>Considering Ivey’s case, he did not “invent a new test for dishonesty, but just brought back the objective test before Gosh”</w:t>
      </w:r>
      <w:r w:rsidR="00561E64" w:rsidRPr="000547C0">
        <w:rPr>
          <w:rFonts w:ascii="Arial" w:hAnsi="Arial" w:cs="Arial"/>
          <w:sz w:val="24"/>
          <w:szCs w:val="24"/>
        </w:rPr>
        <w:t xml:space="preserve"> </w:t>
      </w:r>
      <w:r w:rsidR="00561E64">
        <w:rPr>
          <w:rFonts w:ascii="Arial" w:hAnsi="Arial" w:cs="Arial"/>
          <w:sz w:val="24"/>
          <w:szCs w:val="24"/>
        </w:rPr>
        <w:t xml:space="preserve">(Wang, 2021). </w:t>
      </w:r>
      <w:r w:rsidR="00B91F4F">
        <w:rPr>
          <w:rFonts w:ascii="Arial" w:hAnsi="Arial" w:cs="Arial"/>
          <w:sz w:val="24"/>
          <w:szCs w:val="24"/>
        </w:rPr>
        <w:t>The Ivey test focuses on objective standards of honesty</w:t>
      </w:r>
      <w:r w:rsidR="009337A6">
        <w:rPr>
          <w:rFonts w:ascii="Arial" w:hAnsi="Arial" w:cs="Arial"/>
          <w:sz w:val="24"/>
          <w:szCs w:val="24"/>
        </w:rPr>
        <w:t>, making it more practical in criminal cases.</w:t>
      </w:r>
      <w:r w:rsidR="00C64229" w:rsidRPr="00C64229">
        <w:rPr>
          <w:rFonts w:ascii="Arial" w:hAnsi="Arial" w:cs="Arial"/>
          <w:sz w:val="24"/>
          <w:szCs w:val="24"/>
        </w:rPr>
        <w:t xml:space="preserve"> </w:t>
      </w:r>
      <w:r w:rsidR="00C64229">
        <w:rPr>
          <w:rFonts w:ascii="Arial" w:hAnsi="Arial" w:cs="Arial"/>
          <w:sz w:val="24"/>
          <w:szCs w:val="24"/>
        </w:rPr>
        <w:t>This has implications for the assessment of dishonesty across various areas of English Law.</w:t>
      </w:r>
    </w:p>
    <w:p w14:paraId="0B237462" w14:textId="1F6047D0" w:rsidR="00A62510" w:rsidRPr="00C24855" w:rsidRDefault="00C92969" w:rsidP="00C24855">
      <w:pPr>
        <w:rPr>
          <w:rFonts w:ascii="Arial" w:hAnsi="Arial" w:cs="Arial"/>
          <w:sz w:val="24"/>
          <w:szCs w:val="24"/>
        </w:rPr>
      </w:pPr>
      <w:r>
        <w:rPr>
          <w:rFonts w:ascii="Arial" w:hAnsi="Arial" w:cs="Arial"/>
          <w:sz w:val="24"/>
          <w:szCs w:val="24"/>
        </w:rPr>
        <w:t xml:space="preserve">In summary, dishonesty is a critical factor in determining guilt or innocence in criminal proceedings. It reflects a breach of trust and undermines the foundations of justice. </w:t>
      </w:r>
      <w:r w:rsidR="00FD5D9E">
        <w:rPr>
          <w:rFonts w:ascii="Arial" w:hAnsi="Arial" w:cs="Arial"/>
          <w:sz w:val="24"/>
          <w:szCs w:val="24"/>
        </w:rPr>
        <w:t xml:space="preserve">It </w:t>
      </w:r>
      <w:r w:rsidR="00682580">
        <w:rPr>
          <w:rFonts w:ascii="Arial" w:hAnsi="Arial" w:cs="Arial"/>
          <w:sz w:val="24"/>
          <w:szCs w:val="24"/>
        </w:rPr>
        <w:t xml:space="preserve">involves actions that are contrary to honesty, truthfulness or integrity, leading to wrongful gain or causing loss to others. </w:t>
      </w:r>
      <w:r w:rsidR="000B4BCD">
        <w:rPr>
          <w:rFonts w:ascii="Arial" w:hAnsi="Arial" w:cs="Arial"/>
          <w:sz w:val="24"/>
          <w:szCs w:val="24"/>
        </w:rPr>
        <w:t xml:space="preserve">Dishonesty is a key element in </w:t>
      </w:r>
      <w:r w:rsidR="006460BF">
        <w:rPr>
          <w:rFonts w:ascii="Arial" w:hAnsi="Arial" w:cs="Arial"/>
          <w:sz w:val="24"/>
          <w:szCs w:val="24"/>
        </w:rPr>
        <w:t>the</w:t>
      </w:r>
      <w:r w:rsidR="000B4BCD">
        <w:rPr>
          <w:rFonts w:ascii="Arial" w:hAnsi="Arial" w:cs="Arial"/>
          <w:sz w:val="24"/>
          <w:szCs w:val="24"/>
        </w:rPr>
        <w:t xml:space="preserve"> offences </w:t>
      </w:r>
      <w:r w:rsidR="006460BF">
        <w:rPr>
          <w:rFonts w:ascii="Arial" w:hAnsi="Arial" w:cs="Arial"/>
          <w:sz w:val="24"/>
          <w:szCs w:val="24"/>
        </w:rPr>
        <w:t xml:space="preserve">of theft as it constitutes the </w:t>
      </w:r>
      <w:r w:rsidR="00236D1C">
        <w:rPr>
          <w:rFonts w:ascii="Arial" w:hAnsi="Arial" w:cs="Arial"/>
          <w:sz w:val="24"/>
          <w:szCs w:val="24"/>
        </w:rPr>
        <w:t>u</w:t>
      </w:r>
      <w:r w:rsidR="00730E82">
        <w:rPr>
          <w:rFonts w:ascii="Arial" w:hAnsi="Arial" w:cs="Arial"/>
          <w:sz w:val="24"/>
          <w:szCs w:val="24"/>
        </w:rPr>
        <w:t>nauthorised taking of someone else’s property with the intent to permanently deprive them of it</w:t>
      </w:r>
      <w:r w:rsidR="00FC3770">
        <w:rPr>
          <w:rFonts w:ascii="Arial" w:hAnsi="Arial" w:cs="Arial"/>
          <w:sz w:val="24"/>
          <w:szCs w:val="24"/>
        </w:rPr>
        <w:t>.</w:t>
      </w:r>
      <w:r w:rsidR="00236D1C">
        <w:rPr>
          <w:rFonts w:ascii="Arial" w:hAnsi="Arial" w:cs="Arial"/>
          <w:sz w:val="24"/>
          <w:szCs w:val="24"/>
        </w:rPr>
        <w:t xml:space="preserve"> </w:t>
      </w:r>
      <w:r w:rsidR="00EC1786">
        <w:rPr>
          <w:rFonts w:ascii="Arial" w:hAnsi="Arial" w:cs="Arial"/>
          <w:sz w:val="24"/>
          <w:szCs w:val="24"/>
        </w:rPr>
        <w:t>Ultimately, dishonest appropriation of someone else's property constitutes theft, and the Theft Act 1968 provides a framework for assessing dishonesty in cases of property appropriation, considering various beliefs and circumstances.</w:t>
      </w:r>
      <w:r w:rsidR="002875AC">
        <w:rPr>
          <w:rFonts w:ascii="Arial" w:hAnsi="Arial" w:cs="Arial"/>
          <w:sz w:val="24"/>
          <w:szCs w:val="24"/>
        </w:rPr>
        <w:t xml:space="preserve"> The evolution from Gosh to Ivey has refined the test for dishonesty</w:t>
      </w:r>
      <w:r w:rsidR="00434C0F">
        <w:rPr>
          <w:rFonts w:ascii="Arial" w:hAnsi="Arial" w:cs="Arial"/>
          <w:sz w:val="24"/>
          <w:szCs w:val="24"/>
        </w:rPr>
        <w:t>, emphasizing objective standards while considering the defendant’s state of mind.</w:t>
      </w:r>
      <w:r w:rsidR="00A62510">
        <w:rPr>
          <w:rFonts w:ascii="Arial" w:hAnsi="Arial" w:cs="Arial"/>
          <w:color w:val="003C53"/>
          <w:sz w:val="27"/>
          <w:szCs w:val="27"/>
        </w:rPr>
        <w:t> </w:t>
      </w:r>
    </w:p>
    <w:p w14:paraId="2DE7268D" w14:textId="77777777" w:rsidR="00472DBD" w:rsidRDefault="00472DBD" w:rsidP="00472DBD">
      <w:pPr>
        <w:rPr>
          <w:rFonts w:ascii="Arial" w:hAnsi="Arial" w:cs="Arial"/>
          <w:sz w:val="28"/>
          <w:szCs w:val="28"/>
        </w:rPr>
      </w:pPr>
    </w:p>
    <w:p w14:paraId="56ABB47A" w14:textId="77777777" w:rsidR="003F385F" w:rsidRDefault="003F385F" w:rsidP="002F3C9F">
      <w:pPr>
        <w:rPr>
          <w:rFonts w:ascii="Arial" w:hAnsi="Arial" w:cs="Arial"/>
          <w:sz w:val="28"/>
          <w:szCs w:val="28"/>
        </w:rPr>
      </w:pPr>
    </w:p>
    <w:p w14:paraId="03746594" w14:textId="77777777" w:rsidR="00811588" w:rsidRDefault="00811588" w:rsidP="002F3C9F">
      <w:pPr>
        <w:rPr>
          <w:rFonts w:ascii="Arial" w:hAnsi="Arial" w:cs="Arial"/>
          <w:sz w:val="28"/>
          <w:szCs w:val="28"/>
        </w:rPr>
      </w:pPr>
    </w:p>
    <w:p w14:paraId="22759935" w14:textId="77777777" w:rsidR="00811588" w:rsidRDefault="00811588" w:rsidP="002F3C9F">
      <w:pPr>
        <w:rPr>
          <w:rFonts w:ascii="Arial" w:hAnsi="Arial" w:cs="Arial"/>
          <w:sz w:val="28"/>
          <w:szCs w:val="28"/>
        </w:rPr>
      </w:pPr>
    </w:p>
    <w:p w14:paraId="0DC57902" w14:textId="77777777" w:rsidR="00811588" w:rsidRDefault="00811588" w:rsidP="002F3C9F">
      <w:pPr>
        <w:rPr>
          <w:rFonts w:ascii="Arial" w:hAnsi="Arial" w:cs="Arial"/>
          <w:sz w:val="28"/>
          <w:szCs w:val="28"/>
        </w:rPr>
      </w:pPr>
    </w:p>
    <w:p w14:paraId="4BE94F70" w14:textId="77777777" w:rsidR="00981985" w:rsidRDefault="00981985" w:rsidP="002F3C9F">
      <w:pPr>
        <w:rPr>
          <w:rFonts w:ascii="Arial" w:hAnsi="Arial" w:cs="Arial"/>
          <w:sz w:val="28"/>
          <w:szCs w:val="28"/>
        </w:rPr>
      </w:pPr>
    </w:p>
    <w:p w14:paraId="39A2B400" w14:textId="77777777" w:rsidR="00024473" w:rsidRDefault="00024473" w:rsidP="002F3C9F">
      <w:pPr>
        <w:rPr>
          <w:rFonts w:ascii="Arial" w:hAnsi="Arial" w:cs="Arial"/>
          <w:sz w:val="28"/>
          <w:szCs w:val="28"/>
        </w:rPr>
      </w:pPr>
    </w:p>
    <w:p w14:paraId="000AD14D" w14:textId="77777777" w:rsidR="00024473" w:rsidRDefault="00024473" w:rsidP="002F3C9F">
      <w:pPr>
        <w:rPr>
          <w:rFonts w:ascii="Arial" w:hAnsi="Arial" w:cs="Arial"/>
          <w:sz w:val="28"/>
          <w:szCs w:val="28"/>
        </w:rPr>
      </w:pPr>
    </w:p>
    <w:p w14:paraId="6D04248B" w14:textId="31E02C28" w:rsidR="00CF7C24" w:rsidRDefault="00CF7C24" w:rsidP="002F3C9F">
      <w:pPr>
        <w:rPr>
          <w:rFonts w:ascii="Arial" w:hAnsi="Arial" w:cs="Arial"/>
          <w:sz w:val="28"/>
          <w:szCs w:val="28"/>
        </w:rPr>
      </w:pPr>
      <w:r w:rsidRPr="00F1540D">
        <w:rPr>
          <w:rFonts w:ascii="Arial" w:hAnsi="Arial" w:cs="Arial"/>
          <w:sz w:val="28"/>
          <w:szCs w:val="28"/>
        </w:rPr>
        <w:lastRenderedPageBreak/>
        <w:t>References</w:t>
      </w:r>
      <w:r w:rsidR="00F1540D">
        <w:rPr>
          <w:rFonts w:ascii="Arial" w:hAnsi="Arial" w:cs="Arial"/>
          <w:sz w:val="28"/>
          <w:szCs w:val="28"/>
        </w:rPr>
        <w:t>:</w:t>
      </w:r>
    </w:p>
    <w:p w14:paraId="7E7A2FAA" w14:textId="01B978F4" w:rsidR="004D7EB2" w:rsidRPr="00981985" w:rsidRDefault="009B40C7" w:rsidP="009B40C7">
      <w:pPr>
        <w:rPr>
          <w:rFonts w:ascii="Merriweather Sans" w:hAnsi="Merriweather Sans"/>
          <w:color w:val="222222"/>
          <w:sz w:val="24"/>
          <w:szCs w:val="24"/>
          <w:shd w:val="clear" w:color="auto" w:fill="FFFFFF"/>
        </w:rPr>
      </w:pPr>
      <w:r w:rsidRPr="00981985">
        <w:rPr>
          <w:rFonts w:ascii="Arial" w:hAnsi="Arial" w:cs="Arial"/>
          <w:sz w:val="24"/>
          <w:szCs w:val="24"/>
        </w:rPr>
        <w:t>Barber</w:t>
      </w:r>
      <w:r w:rsidR="007D013C" w:rsidRPr="00981985">
        <w:rPr>
          <w:rFonts w:ascii="Arial" w:hAnsi="Arial" w:cs="Arial"/>
          <w:sz w:val="24"/>
          <w:szCs w:val="24"/>
        </w:rPr>
        <w:t>, A.</w:t>
      </w:r>
      <w:r w:rsidR="0024017C" w:rsidRPr="00981985">
        <w:rPr>
          <w:rFonts w:ascii="Arial" w:hAnsi="Arial" w:cs="Arial"/>
          <w:sz w:val="24"/>
          <w:szCs w:val="24"/>
        </w:rPr>
        <w:t xml:space="preserve"> (2020) Lying, Misleading and, Dishonesty</w:t>
      </w:r>
      <w:r w:rsidR="00F95FB6" w:rsidRPr="00981985">
        <w:rPr>
          <w:rFonts w:ascii="Arial" w:hAnsi="Arial" w:cs="Arial"/>
          <w:sz w:val="24"/>
          <w:szCs w:val="24"/>
        </w:rPr>
        <w:t xml:space="preserve">, </w:t>
      </w:r>
      <w:r w:rsidR="00F95FB6" w:rsidRPr="00981985">
        <w:rPr>
          <w:rFonts w:ascii="Arial" w:hAnsi="Arial" w:cs="Arial"/>
          <w:i/>
          <w:iCs/>
          <w:sz w:val="24"/>
          <w:szCs w:val="24"/>
        </w:rPr>
        <w:t>The Journal of Ethic</w:t>
      </w:r>
      <w:r w:rsidR="00D04E90" w:rsidRPr="00981985">
        <w:rPr>
          <w:rFonts w:ascii="Arial" w:hAnsi="Arial" w:cs="Arial"/>
          <w:i/>
          <w:iCs/>
          <w:sz w:val="24"/>
          <w:szCs w:val="24"/>
        </w:rPr>
        <w:t>s</w:t>
      </w:r>
      <w:r w:rsidR="00F95FB6" w:rsidRPr="00981985">
        <w:rPr>
          <w:rFonts w:ascii="Arial" w:hAnsi="Arial" w:cs="Arial"/>
          <w:sz w:val="24"/>
          <w:szCs w:val="24"/>
        </w:rPr>
        <w:t xml:space="preserve"> </w:t>
      </w:r>
      <w:r w:rsidR="00AC02CB" w:rsidRPr="00981985">
        <w:rPr>
          <w:rFonts w:ascii="Arial" w:hAnsi="Arial" w:cs="Arial"/>
          <w:sz w:val="24"/>
          <w:szCs w:val="24"/>
        </w:rPr>
        <w:t>24</w:t>
      </w:r>
      <w:r w:rsidR="00D04E90" w:rsidRPr="00981985">
        <w:rPr>
          <w:rFonts w:ascii="Arial" w:hAnsi="Arial" w:cs="Arial"/>
          <w:sz w:val="24"/>
          <w:szCs w:val="24"/>
        </w:rPr>
        <w:t>, 141-164. Available at:</w:t>
      </w:r>
      <w:r w:rsidR="0041349D" w:rsidRPr="00981985">
        <w:rPr>
          <w:rFonts w:ascii="Merriweather Sans" w:hAnsi="Merriweather Sans"/>
          <w:color w:val="222222"/>
          <w:sz w:val="24"/>
          <w:szCs w:val="24"/>
          <w:shd w:val="clear" w:color="auto" w:fill="FFFFFF"/>
        </w:rPr>
        <w:t xml:space="preserve"> </w:t>
      </w:r>
      <w:hyperlink r:id="rId5" w:history="1">
        <w:r w:rsidR="00250BFD" w:rsidRPr="00981985">
          <w:rPr>
            <w:rStyle w:val="Hyperlink"/>
            <w:rFonts w:ascii="Merriweather Sans" w:hAnsi="Merriweather Sans"/>
            <w:sz w:val="24"/>
            <w:szCs w:val="24"/>
            <w:shd w:val="clear" w:color="auto" w:fill="FFFFFF"/>
          </w:rPr>
          <w:t>https://doi.org/10.1007/s10892-019-09314-1</w:t>
        </w:r>
      </w:hyperlink>
      <w:r w:rsidR="00024473">
        <w:rPr>
          <w:rStyle w:val="Hyperlink"/>
          <w:rFonts w:ascii="Merriweather Sans" w:hAnsi="Merriweather Sans"/>
          <w:sz w:val="24"/>
          <w:szCs w:val="24"/>
          <w:shd w:val="clear" w:color="auto" w:fill="FFFFFF"/>
        </w:rPr>
        <w:t xml:space="preserve"> </w:t>
      </w:r>
      <w:r w:rsidR="00024473" w:rsidRPr="00981985">
        <w:rPr>
          <w:rFonts w:ascii="Arial" w:hAnsi="Arial" w:cs="Arial"/>
          <w:sz w:val="24"/>
          <w:szCs w:val="24"/>
        </w:rPr>
        <w:t>(Accessed: 04 April 2024)</w:t>
      </w:r>
    </w:p>
    <w:p w14:paraId="46C2F7F1" w14:textId="7F165FB2" w:rsidR="00DD0E89" w:rsidRPr="00981985" w:rsidRDefault="00DD0E89" w:rsidP="00DD0E89">
      <w:pPr>
        <w:rPr>
          <w:rFonts w:ascii="Arial" w:hAnsi="Arial" w:cs="Arial"/>
          <w:sz w:val="24"/>
          <w:szCs w:val="24"/>
        </w:rPr>
      </w:pPr>
      <w:r w:rsidRPr="00981985">
        <w:rPr>
          <w:rFonts w:ascii="Arial" w:hAnsi="Arial" w:cs="Arial"/>
          <w:sz w:val="24"/>
          <w:szCs w:val="24"/>
        </w:rPr>
        <w:t xml:space="preserve">‘Ivey v Genting Casinos’ (2017) EWCA Civ 1093, </w:t>
      </w:r>
      <w:r w:rsidRPr="00981985">
        <w:rPr>
          <w:rFonts w:ascii="Arial" w:hAnsi="Arial" w:cs="Arial"/>
          <w:i/>
          <w:iCs/>
          <w:sz w:val="24"/>
          <w:szCs w:val="24"/>
        </w:rPr>
        <w:t>The Supreme Court</w:t>
      </w:r>
      <w:r w:rsidR="00C85419" w:rsidRPr="00981985">
        <w:rPr>
          <w:rFonts w:ascii="Arial" w:hAnsi="Arial" w:cs="Arial"/>
          <w:i/>
          <w:iCs/>
          <w:sz w:val="24"/>
          <w:szCs w:val="24"/>
        </w:rPr>
        <w:t xml:space="preserve">. </w:t>
      </w:r>
      <w:r w:rsidR="00C85419" w:rsidRPr="00981985">
        <w:rPr>
          <w:rFonts w:ascii="Arial" w:hAnsi="Arial" w:cs="Arial"/>
          <w:sz w:val="24"/>
          <w:szCs w:val="24"/>
        </w:rPr>
        <w:t>Available at:</w:t>
      </w:r>
      <w:r w:rsidR="001156A4" w:rsidRPr="00981985">
        <w:rPr>
          <w:sz w:val="24"/>
          <w:szCs w:val="24"/>
        </w:rPr>
        <w:t xml:space="preserve"> </w:t>
      </w:r>
      <w:hyperlink r:id="rId6" w:history="1">
        <w:r w:rsidR="001156A4" w:rsidRPr="00981985">
          <w:rPr>
            <w:rStyle w:val="Hyperlink"/>
            <w:sz w:val="24"/>
            <w:szCs w:val="24"/>
          </w:rPr>
          <w:t>Ivey (Appellant) v Genting Casinos (UK) Ltd t/a Crockfords (Respondent) (supremecourt.uk)</w:t>
        </w:r>
      </w:hyperlink>
      <w:r w:rsidR="001156A4" w:rsidRPr="00981985">
        <w:rPr>
          <w:sz w:val="24"/>
          <w:szCs w:val="24"/>
        </w:rPr>
        <w:t xml:space="preserve"> </w:t>
      </w:r>
      <w:r w:rsidR="001156A4" w:rsidRPr="00981985">
        <w:rPr>
          <w:rFonts w:ascii="Arial" w:hAnsi="Arial" w:cs="Arial"/>
          <w:sz w:val="24"/>
          <w:szCs w:val="24"/>
        </w:rPr>
        <w:t>(Accessed: 04 April 2024)</w:t>
      </w:r>
    </w:p>
    <w:p w14:paraId="4B9C5057" w14:textId="3F0B39C1" w:rsidR="00DD0E89" w:rsidRPr="00981985" w:rsidRDefault="00DD0E89" w:rsidP="009B40C7">
      <w:pPr>
        <w:rPr>
          <w:rFonts w:ascii="Arial" w:hAnsi="Arial" w:cs="Arial"/>
          <w:sz w:val="24"/>
          <w:szCs w:val="24"/>
        </w:rPr>
      </w:pPr>
      <w:r w:rsidRPr="00981985">
        <w:rPr>
          <w:rFonts w:ascii="Arial" w:hAnsi="Arial" w:cs="Arial"/>
          <w:sz w:val="24"/>
          <w:szCs w:val="24"/>
        </w:rPr>
        <w:t xml:space="preserve">Leggett, Z. (2020) </w:t>
      </w:r>
      <w:r w:rsidRPr="00981985">
        <w:rPr>
          <w:rFonts w:ascii="Arial" w:hAnsi="Arial" w:cs="Arial"/>
          <w:i/>
          <w:iCs/>
          <w:sz w:val="24"/>
          <w:szCs w:val="24"/>
        </w:rPr>
        <w:t>The New Test for Dishonesty in Criminal Law – Lessons from the Courts of Equity?</w:t>
      </w:r>
      <w:r w:rsidRPr="00981985">
        <w:rPr>
          <w:rFonts w:ascii="Arial" w:hAnsi="Arial" w:cs="Arial"/>
          <w:sz w:val="24"/>
          <w:szCs w:val="24"/>
        </w:rPr>
        <w:t xml:space="preserve"> 84(1), 37-48. Available at: </w:t>
      </w:r>
      <w:hyperlink r:id="rId7" w:history="1">
        <w:r w:rsidRPr="00981985">
          <w:rPr>
            <w:rStyle w:val="Hyperlink"/>
            <w:rFonts w:ascii="Open Sans" w:hAnsi="Open Sans" w:cs="Open Sans"/>
            <w:sz w:val="24"/>
            <w:szCs w:val="24"/>
            <w:shd w:val="clear" w:color="auto" w:fill="FFFFFF"/>
          </w:rPr>
          <w:t>https://doi.org/10.1177/0022018319879847</w:t>
        </w:r>
      </w:hyperlink>
      <w:r w:rsidRPr="00981985">
        <w:rPr>
          <w:rFonts w:ascii="Open Sans" w:hAnsi="Open Sans" w:cs="Open Sans"/>
          <w:sz w:val="24"/>
          <w:szCs w:val="24"/>
          <w:shd w:val="clear" w:color="auto" w:fill="FFFFFF"/>
        </w:rPr>
        <w:t xml:space="preserve"> </w:t>
      </w:r>
      <w:r w:rsidRPr="00981985">
        <w:rPr>
          <w:rFonts w:ascii="Arial" w:hAnsi="Arial" w:cs="Arial"/>
          <w:sz w:val="24"/>
          <w:szCs w:val="24"/>
        </w:rPr>
        <w:t>(Accessed: 04 April 2024)</w:t>
      </w:r>
    </w:p>
    <w:p w14:paraId="44D2789A" w14:textId="3DCE6B13" w:rsidR="00BB59F2" w:rsidRDefault="00BB59F2" w:rsidP="009B40C7">
      <w:pPr>
        <w:rPr>
          <w:rFonts w:ascii="Arial" w:hAnsi="Arial" w:cs="Arial"/>
          <w:sz w:val="24"/>
          <w:szCs w:val="24"/>
        </w:rPr>
      </w:pPr>
      <w:r>
        <w:rPr>
          <w:rFonts w:ascii="Arial" w:hAnsi="Arial" w:cs="Arial"/>
          <w:sz w:val="24"/>
          <w:szCs w:val="24"/>
        </w:rPr>
        <w:t xml:space="preserve">Lewis, S. (2019) </w:t>
      </w:r>
      <w:r w:rsidR="00D040DE">
        <w:rPr>
          <w:rFonts w:ascii="Arial" w:hAnsi="Arial" w:cs="Arial"/>
          <w:sz w:val="24"/>
          <w:szCs w:val="24"/>
        </w:rPr>
        <w:t xml:space="preserve">Precedent and the Rule of Law, Oxford Journal of Legal Studies, </w:t>
      </w:r>
      <w:r w:rsidR="00004A18">
        <w:rPr>
          <w:rFonts w:ascii="Arial" w:hAnsi="Arial" w:cs="Arial"/>
          <w:sz w:val="24"/>
          <w:szCs w:val="24"/>
        </w:rPr>
        <w:t>41 (4)</w:t>
      </w:r>
      <w:r w:rsidR="001D7C1E">
        <w:rPr>
          <w:rFonts w:ascii="Arial" w:hAnsi="Arial" w:cs="Arial"/>
          <w:sz w:val="24"/>
          <w:szCs w:val="24"/>
        </w:rPr>
        <w:t xml:space="preserve"> pp. 873-898 Available at:</w:t>
      </w:r>
      <w:r w:rsidR="003D14C4">
        <w:rPr>
          <w:rFonts w:ascii="Arial" w:hAnsi="Arial" w:cs="Arial"/>
          <w:sz w:val="24"/>
          <w:szCs w:val="24"/>
        </w:rPr>
        <w:t xml:space="preserve"> </w:t>
      </w:r>
      <w:hyperlink r:id="rId8" w:history="1">
        <w:r w:rsidR="003D14C4">
          <w:rPr>
            <w:rStyle w:val="Hyperlink"/>
            <w:rFonts w:ascii="Source Sans Pro" w:hAnsi="Source Sans Pro"/>
            <w:color w:val="006FB7"/>
            <w:sz w:val="26"/>
            <w:szCs w:val="26"/>
            <w:bdr w:val="none" w:sz="0" w:space="0" w:color="auto" w:frame="1"/>
            <w:shd w:val="clear" w:color="auto" w:fill="FFFFFF"/>
          </w:rPr>
          <w:t>https://doi.org/10.1093/ojls/gqab007</w:t>
        </w:r>
      </w:hyperlink>
      <w:r w:rsidR="003D14C4">
        <w:t xml:space="preserve"> </w:t>
      </w:r>
      <w:r w:rsidR="00F96A4A" w:rsidRPr="00981985">
        <w:rPr>
          <w:rFonts w:ascii="Arial" w:hAnsi="Arial" w:cs="Arial"/>
          <w:sz w:val="24"/>
          <w:szCs w:val="24"/>
        </w:rPr>
        <w:t>(Accessed: 0</w:t>
      </w:r>
      <w:r w:rsidR="00F96A4A">
        <w:rPr>
          <w:rFonts w:ascii="Arial" w:hAnsi="Arial" w:cs="Arial"/>
          <w:sz w:val="24"/>
          <w:szCs w:val="24"/>
        </w:rPr>
        <w:t xml:space="preserve">9 </w:t>
      </w:r>
      <w:r w:rsidR="00F96A4A" w:rsidRPr="00981985">
        <w:rPr>
          <w:rFonts w:ascii="Arial" w:hAnsi="Arial" w:cs="Arial"/>
          <w:sz w:val="24"/>
          <w:szCs w:val="24"/>
        </w:rPr>
        <w:t>April 2024)</w:t>
      </w:r>
    </w:p>
    <w:p w14:paraId="51640C5F" w14:textId="32D334BB" w:rsidR="009B4277" w:rsidRPr="00981985" w:rsidRDefault="009B4277" w:rsidP="009B40C7">
      <w:pPr>
        <w:rPr>
          <w:rFonts w:ascii="Arial" w:hAnsi="Arial" w:cs="Arial"/>
          <w:sz w:val="24"/>
          <w:szCs w:val="24"/>
        </w:rPr>
      </w:pPr>
      <w:r w:rsidRPr="00981985">
        <w:rPr>
          <w:rFonts w:ascii="Arial" w:hAnsi="Arial" w:cs="Arial"/>
          <w:sz w:val="24"/>
          <w:szCs w:val="24"/>
        </w:rPr>
        <w:t>‘R v Gosh’ (</w:t>
      </w:r>
      <w:r w:rsidR="00CD71DE" w:rsidRPr="00981985">
        <w:rPr>
          <w:rFonts w:ascii="Arial" w:hAnsi="Arial" w:cs="Arial"/>
          <w:sz w:val="24"/>
          <w:szCs w:val="24"/>
        </w:rPr>
        <w:t xml:space="preserve">1982) </w:t>
      </w:r>
      <w:r w:rsidR="00CF1254" w:rsidRPr="00981985">
        <w:rPr>
          <w:rFonts w:ascii="Arial" w:hAnsi="Arial" w:cs="Arial"/>
          <w:sz w:val="24"/>
          <w:szCs w:val="24"/>
        </w:rPr>
        <w:t xml:space="preserve">Q. B. </w:t>
      </w:r>
      <w:r w:rsidR="00D205DF" w:rsidRPr="00981985">
        <w:rPr>
          <w:rFonts w:ascii="Arial" w:hAnsi="Arial" w:cs="Arial"/>
          <w:sz w:val="24"/>
          <w:szCs w:val="24"/>
        </w:rPr>
        <w:t>1053,</w:t>
      </w:r>
      <w:r w:rsidR="00CF2C6D" w:rsidRPr="00981985">
        <w:rPr>
          <w:rFonts w:ascii="Arial" w:hAnsi="Arial" w:cs="Arial"/>
          <w:sz w:val="24"/>
          <w:szCs w:val="24"/>
        </w:rPr>
        <w:t xml:space="preserve"> </w:t>
      </w:r>
      <w:r w:rsidR="00652A42" w:rsidRPr="00981985">
        <w:rPr>
          <w:rFonts w:ascii="Arial" w:hAnsi="Arial" w:cs="Arial"/>
          <w:sz w:val="24"/>
          <w:szCs w:val="24"/>
        </w:rPr>
        <w:t>C</w:t>
      </w:r>
      <w:r w:rsidR="00CF2C6D" w:rsidRPr="00981985">
        <w:rPr>
          <w:rFonts w:ascii="Arial" w:hAnsi="Arial" w:cs="Arial"/>
          <w:sz w:val="24"/>
          <w:szCs w:val="24"/>
        </w:rPr>
        <w:t>ampbell, K. (2009)</w:t>
      </w:r>
      <w:r w:rsidR="00D205DF" w:rsidRPr="00981985">
        <w:rPr>
          <w:rFonts w:ascii="Arial" w:hAnsi="Arial" w:cs="Arial"/>
          <w:sz w:val="24"/>
          <w:szCs w:val="24"/>
        </w:rPr>
        <w:t xml:space="preserve"> </w:t>
      </w:r>
      <w:r w:rsidR="00CD71DE" w:rsidRPr="00981985">
        <w:rPr>
          <w:rFonts w:ascii="Arial" w:hAnsi="Arial" w:cs="Arial"/>
          <w:sz w:val="24"/>
          <w:szCs w:val="24"/>
        </w:rPr>
        <w:t>The Test of Dishonesty in R. v. Gosh</w:t>
      </w:r>
      <w:r w:rsidR="006F3CA3" w:rsidRPr="00981985">
        <w:rPr>
          <w:rFonts w:ascii="Arial" w:hAnsi="Arial" w:cs="Arial"/>
          <w:sz w:val="24"/>
          <w:szCs w:val="24"/>
        </w:rPr>
        <w:t xml:space="preserve">, </w:t>
      </w:r>
      <w:r w:rsidR="006F3CA3" w:rsidRPr="00981985">
        <w:rPr>
          <w:rFonts w:ascii="Arial" w:hAnsi="Arial" w:cs="Arial"/>
          <w:i/>
          <w:iCs/>
          <w:sz w:val="24"/>
          <w:szCs w:val="24"/>
        </w:rPr>
        <w:t>The Cambridge Law Journal</w:t>
      </w:r>
      <w:r w:rsidR="00D526BB" w:rsidRPr="00981985">
        <w:rPr>
          <w:rFonts w:ascii="Arial" w:hAnsi="Arial" w:cs="Arial"/>
          <w:sz w:val="24"/>
          <w:szCs w:val="24"/>
        </w:rPr>
        <w:t>, 43(2)</w:t>
      </w:r>
      <w:r w:rsidR="00D205DF" w:rsidRPr="00981985">
        <w:rPr>
          <w:rFonts w:ascii="Arial" w:hAnsi="Arial" w:cs="Arial"/>
          <w:sz w:val="24"/>
          <w:szCs w:val="24"/>
        </w:rPr>
        <w:t xml:space="preserve"> Available at:</w:t>
      </w:r>
      <w:r w:rsidR="0004055B" w:rsidRPr="00981985">
        <w:rPr>
          <w:sz w:val="24"/>
          <w:szCs w:val="24"/>
        </w:rPr>
        <w:t xml:space="preserve"> </w:t>
      </w:r>
      <w:hyperlink r:id="rId9" w:tgtFrame="_blank" w:history="1">
        <w:r w:rsidR="0004055B" w:rsidRPr="00981985">
          <w:rPr>
            <w:rStyle w:val="text"/>
            <w:rFonts w:ascii="inherit" w:hAnsi="inherit" w:cs="Noto Sans"/>
            <w:color w:val="006FCA"/>
            <w:sz w:val="24"/>
            <w:szCs w:val="24"/>
            <w:u w:val="single"/>
            <w:bdr w:val="none" w:sz="0" w:space="0" w:color="auto" w:frame="1"/>
            <w:shd w:val="clear" w:color="auto" w:fill="F3F3F3"/>
          </w:rPr>
          <w:t>https://doi.org/10.1017/S0008197300112632</w:t>
        </w:r>
      </w:hyperlink>
      <w:r w:rsidR="008A3A2F" w:rsidRPr="00981985">
        <w:rPr>
          <w:sz w:val="24"/>
          <w:szCs w:val="24"/>
        </w:rPr>
        <w:t xml:space="preserve"> </w:t>
      </w:r>
      <w:r w:rsidR="00024473" w:rsidRPr="00981985">
        <w:rPr>
          <w:rFonts w:ascii="Arial" w:hAnsi="Arial" w:cs="Arial"/>
          <w:sz w:val="24"/>
          <w:szCs w:val="24"/>
        </w:rPr>
        <w:t>(Accessed: 04 April 2024)</w:t>
      </w:r>
    </w:p>
    <w:p w14:paraId="4E5F252B" w14:textId="1F3F798F" w:rsidR="004745CB" w:rsidRPr="00981985" w:rsidRDefault="00317D5F" w:rsidP="009B40C7">
      <w:pPr>
        <w:rPr>
          <w:sz w:val="24"/>
          <w:szCs w:val="24"/>
        </w:rPr>
      </w:pPr>
      <w:r w:rsidRPr="00981985">
        <w:rPr>
          <w:rFonts w:ascii="Arial" w:hAnsi="Arial" w:cs="Arial"/>
          <w:sz w:val="24"/>
          <w:szCs w:val="24"/>
        </w:rPr>
        <w:t xml:space="preserve">Steel, A. (2009) The Meaning of Dishonesty in Theft. </w:t>
      </w:r>
      <w:r w:rsidRPr="00981985">
        <w:rPr>
          <w:rFonts w:ascii="Arial" w:hAnsi="Arial" w:cs="Arial"/>
          <w:i/>
          <w:iCs/>
          <w:sz w:val="24"/>
          <w:szCs w:val="24"/>
        </w:rPr>
        <w:t>Common Law World Review,</w:t>
      </w:r>
      <w:r w:rsidRPr="00981985">
        <w:rPr>
          <w:rFonts w:ascii="Arial" w:hAnsi="Arial" w:cs="Arial"/>
          <w:sz w:val="24"/>
          <w:szCs w:val="24"/>
        </w:rPr>
        <w:t xml:space="preserve"> 38(2) Available at: </w:t>
      </w:r>
      <w:hyperlink r:id="rId10" w:history="1">
        <w:r w:rsidRPr="00981985">
          <w:rPr>
            <w:rStyle w:val="Hyperlink"/>
            <w:rFonts w:ascii="Open Sans" w:hAnsi="Open Sans" w:cs="Open Sans"/>
            <w:sz w:val="24"/>
            <w:szCs w:val="24"/>
            <w:shd w:val="clear" w:color="auto" w:fill="FFFFFF"/>
          </w:rPr>
          <w:t>https://doi.org/10.1350/clwr.2009.38.2.0183</w:t>
        </w:r>
      </w:hyperlink>
      <w:r w:rsidRPr="00981985">
        <w:rPr>
          <w:sz w:val="24"/>
          <w:szCs w:val="24"/>
        </w:rPr>
        <w:t xml:space="preserve"> </w:t>
      </w:r>
    </w:p>
    <w:p w14:paraId="126C5AAB" w14:textId="297B20CB" w:rsidR="004745CB" w:rsidRPr="00981985" w:rsidRDefault="004745CB" w:rsidP="009B40C7">
      <w:pPr>
        <w:rPr>
          <w:rFonts w:ascii="Arial" w:hAnsi="Arial" w:cs="Arial"/>
          <w:sz w:val="24"/>
          <w:szCs w:val="24"/>
        </w:rPr>
      </w:pPr>
      <w:r w:rsidRPr="00981985">
        <w:rPr>
          <w:rFonts w:ascii="Arial" w:hAnsi="Arial" w:cs="Arial"/>
          <w:sz w:val="24"/>
          <w:szCs w:val="24"/>
        </w:rPr>
        <w:t>The Baroness Hale of Richmond</w:t>
      </w:r>
      <w:r w:rsidR="001A65AC" w:rsidRPr="00981985">
        <w:rPr>
          <w:rFonts w:ascii="Arial" w:hAnsi="Arial" w:cs="Arial"/>
          <w:sz w:val="24"/>
          <w:szCs w:val="24"/>
        </w:rPr>
        <w:t xml:space="preserve"> (2019) Dishonesty. Common Law</w:t>
      </w:r>
      <w:r w:rsidR="00437ADC" w:rsidRPr="00981985">
        <w:rPr>
          <w:rFonts w:ascii="Arial" w:hAnsi="Arial" w:cs="Arial"/>
          <w:sz w:val="24"/>
          <w:szCs w:val="24"/>
        </w:rPr>
        <w:t xml:space="preserve"> World Review, 48 (1-2</w:t>
      </w:r>
      <w:r w:rsidR="00E747D4" w:rsidRPr="00981985">
        <w:rPr>
          <w:rFonts w:ascii="Arial" w:hAnsi="Arial" w:cs="Arial"/>
          <w:sz w:val="24"/>
          <w:szCs w:val="24"/>
        </w:rPr>
        <w:t>)</w:t>
      </w:r>
      <w:r w:rsidR="00437ADC" w:rsidRPr="00981985">
        <w:rPr>
          <w:rFonts w:ascii="Arial" w:hAnsi="Arial" w:cs="Arial"/>
          <w:sz w:val="24"/>
          <w:szCs w:val="24"/>
        </w:rPr>
        <w:t>. Available at:</w:t>
      </w:r>
      <w:r w:rsidR="00437ADC" w:rsidRPr="00981985">
        <w:rPr>
          <w:sz w:val="24"/>
          <w:szCs w:val="24"/>
        </w:rPr>
        <w:t xml:space="preserve"> </w:t>
      </w:r>
      <w:hyperlink r:id="rId11" w:history="1">
        <w:r w:rsidR="00437ADC" w:rsidRPr="00981985">
          <w:rPr>
            <w:rStyle w:val="Hyperlink"/>
            <w:rFonts w:ascii="Open Sans" w:hAnsi="Open Sans" w:cs="Open Sans"/>
            <w:color w:val="006ACC"/>
            <w:sz w:val="24"/>
            <w:szCs w:val="24"/>
            <w:shd w:val="clear" w:color="auto" w:fill="FFFFFF"/>
          </w:rPr>
          <w:t>https://doi-org.ezproxy.uwtsd.ac.uk/10.1177/1473779519834851</w:t>
        </w:r>
      </w:hyperlink>
      <w:r w:rsidR="00024473">
        <w:rPr>
          <w:rStyle w:val="Hyperlink"/>
          <w:rFonts w:ascii="Open Sans" w:hAnsi="Open Sans" w:cs="Open Sans"/>
          <w:color w:val="006ACC"/>
          <w:sz w:val="24"/>
          <w:szCs w:val="24"/>
          <w:shd w:val="clear" w:color="auto" w:fill="FFFFFF"/>
        </w:rPr>
        <w:t xml:space="preserve"> </w:t>
      </w:r>
      <w:r w:rsidR="00024473" w:rsidRPr="00981985">
        <w:rPr>
          <w:rFonts w:ascii="Arial" w:hAnsi="Arial" w:cs="Arial"/>
          <w:sz w:val="24"/>
          <w:szCs w:val="24"/>
        </w:rPr>
        <w:t>(Accessed: 0</w:t>
      </w:r>
      <w:r w:rsidR="00024473">
        <w:rPr>
          <w:rFonts w:ascii="Arial" w:hAnsi="Arial" w:cs="Arial"/>
          <w:sz w:val="24"/>
          <w:szCs w:val="24"/>
        </w:rPr>
        <w:t>9</w:t>
      </w:r>
      <w:r w:rsidR="00024473" w:rsidRPr="00981985">
        <w:rPr>
          <w:rFonts w:ascii="Arial" w:hAnsi="Arial" w:cs="Arial"/>
          <w:sz w:val="24"/>
          <w:szCs w:val="24"/>
        </w:rPr>
        <w:t xml:space="preserve"> April 2024)</w:t>
      </w:r>
    </w:p>
    <w:p w14:paraId="2FC139EF" w14:textId="70589C2D" w:rsidR="009B40C7" w:rsidRPr="00981985" w:rsidRDefault="009B40C7" w:rsidP="009B40C7">
      <w:pPr>
        <w:rPr>
          <w:rFonts w:ascii="Arial" w:hAnsi="Arial" w:cs="Arial"/>
          <w:sz w:val="24"/>
          <w:szCs w:val="24"/>
        </w:rPr>
      </w:pPr>
      <w:r w:rsidRPr="00981985">
        <w:rPr>
          <w:rFonts w:ascii="Arial" w:hAnsi="Arial" w:cs="Arial"/>
          <w:sz w:val="24"/>
          <w:szCs w:val="24"/>
        </w:rPr>
        <w:t xml:space="preserve">The Crown Prosecution Service (2020) </w:t>
      </w:r>
      <w:r w:rsidRPr="00981985">
        <w:rPr>
          <w:rFonts w:ascii="Arial" w:hAnsi="Arial" w:cs="Arial"/>
          <w:i/>
          <w:iCs/>
          <w:sz w:val="24"/>
          <w:szCs w:val="24"/>
        </w:rPr>
        <w:t>Update: CPS case redefines the legal test for ‘dishonesty’ in criminal law.</w:t>
      </w:r>
      <w:r w:rsidRPr="00981985">
        <w:rPr>
          <w:rFonts w:ascii="Arial" w:hAnsi="Arial" w:cs="Arial"/>
          <w:sz w:val="24"/>
          <w:szCs w:val="24"/>
        </w:rPr>
        <w:t xml:space="preserve"> Available at: </w:t>
      </w:r>
      <w:hyperlink r:id="rId12" w:history="1">
        <w:r w:rsidRPr="00981985">
          <w:rPr>
            <w:rStyle w:val="Hyperlink"/>
            <w:sz w:val="24"/>
            <w:szCs w:val="24"/>
          </w:rPr>
          <w:t>Update: CPS case redefines the legal test for ‘dishonesty’ in criminal law | The Crown Prosecution Service</w:t>
        </w:r>
      </w:hyperlink>
      <w:r w:rsidRPr="00981985">
        <w:rPr>
          <w:sz w:val="24"/>
          <w:szCs w:val="24"/>
        </w:rPr>
        <w:t xml:space="preserve"> </w:t>
      </w:r>
      <w:r w:rsidRPr="00981985">
        <w:rPr>
          <w:rFonts w:ascii="Arial" w:hAnsi="Arial" w:cs="Arial"/>
          <w:sz w:val="24"/>
          <w:szCs w:val="24"/>
        </w:rPr>
        <w:t>(Accessed: 29 March 2024)</w:t>
      </w:r>
    </w:p>
    <w:p w14:paraId="0B701659" w14:textId="45417549" w:rsidR="00F04198" w:rsidRPr="00981985" w:rsidRDefault="00F04198" w:rsidP="009B40C7">
      <w:pPr>
        <w:rPr>
          <w:rFonts w:ascii="Arial" w:hAnsi="Arial" w:cs="Arial"/>
          <w:sz w:val="24"/>
          <w:szCs w:val="24"/>
        </w:rPr>
      </w:pPr>
      <w:r w:rsidRPr="00981985">
        <w:rPr>
          <w:rFonts w:ascii="Arial" w:hAnsi="Arial" w:cs="Arial"/>
          <w:sz w:val="24"/>
          <w:szCs w:val="24"/>
        </w:rPr>
        <w:t>The Crown Prosecution Service (202</w:t>
      </w:r>
      <w:r w:rsidR="00D452AD" w:rsidRPr="00981985">
        <w:rPr>
          <w:rFonts w:ascii="Arial" w:hAnsi="Arial" w:cs="Arial"/>
          <w:sz w:val="24"/>
          <w:szCs w:val="24"/>
        </w:rPr>
        <w:t>2)</w:t>
      </w:r>
      <w:r w:rsidR="00575C16" w:rsidRPr="00981985">
        <w:rPr>
          <w:rFonts w:ascii="Arial" w:hAnsi="Arial" w:cs="Arial"/>
          <w:sz w:val="24"/>
          <w:szCs w:val="24"/>
        </w:rPr>
        <w:t xml:space="preserve"> </w:t>
      </w:r>
      <w:r w:rsidR="00575C16" w:rsidRPr="00981985">
        <w:rPr>
          <w:rFonts w:ascii="Arial" w:hAnsi="Arial" w:cs="Arial"/>
          <w:i/>
          <w:iCs/>
          <w:sz w:val="24"/>
          <w:szCs w:val="24"/>
        </w:rPr>
        <w:t>Theft Act Offences.</w:t>
      </w:r>
      <w:r w:rsidR="00D452AD" w:rsidRPr="00981985">
        <w:rPr>
          <w:rFonts w:ascii="Arial" w:hAnsi="Arial" w:cs="Arial"/>
          <w:sz w:val="24"/>
          <w:szCs w:val="24"/>
        </w:rPr>
        <w:t xml:space="preserve"> Available at: </w:t>
      </w:r>
      <w:hyperlink r:id="rId13" w:history="1">
        <w:r w:rsidRPr="00981985">
          <w:rPr>
            <w:rStyle w:val="Hyperlink"/>
            <w:sz w:val="24"/>
            <w:szCs w:val="24"/>
          </w:rPr>
          <w:t>Theft Act Offences | The Crown Prosecution Service (cps.gov.uk)</w:t>
        </w:r>
      </w:hyperlink>
      <w:r w:rsidR="00575C16" w:rsidRPr="00981985">
        <w:rPr>
          <w:rFonts w:ascii="Arial" w:hAnsi="Arial" w:cs="Arial"/>
          <w:sz w:val="24"/>
          <w:szCs w:val="24"/>
        </w:rPr>
        <w:t xml:space="preserve"> (Accessed: 04 April 2024)</w:t>
      </w:r>
    </w:p>
    <w:p w14:paraId="7E7AAA81" w14:textId="77777777" w:rsidR="005E7E03" w:rsidRPr="00981985" w:rsidRDefault="00CF7C24">
      <w:pPr>
        <w:rPr>
          <w:rFonts w:ascii="Arial" w:hAnsi="Arial" w:cs="Arial"/>
          <w:sz w:val="24"/>
          <w:szCs w:val="24"/>
        </w:rPr>
      </w:pPr>
      <w:r w:rsidRPr="00981985">
        <w:rPr>
          <w:rFonts w:ascii="Arial" w:hAnsi="Arial" w:cs="Arial"/>
          <w:sz w:val="24"/>
          <w:szCs w:val="24"/>
        </w:rPr>
        <w:t>UK Government</w:t>
      </w:r>
      <w:r w:rsidR="00F464CC" w:rsidRPr="00981985">
        <w:rPr>
          <w:rFonts w:ascii="Arial" w:hAnsi="Arial" w:cs="Arial"/>
          <w:sz w:val="24"/>
          <w:szCs w:val="24"/>
        </w:rPr>
        <w:t xml:space="preserve"> (2023)</w:t>
      </w:r>
      <w:r w:rsidR="00456148" w:rsidRPr="00981985">
        <w:rPr>
          <w:rFonts w:ascii="Arial" w:hAnsi="Arial" w:cs="Arial"/>
          <w:sz w:val="24"/>
          <w:szCs w:val="24"/>
        </w:rPr>
        <w:t xml:space="preserve"> </w:t>
      </w:r>
      <w:r w:rsidR="00456148" w:rsidRPr="00981985">
        <w:rPr>
          <w:rFonts w:ascii="Arial" w:hAnsi="Arial" w:cs="Arial"/>
          <w:i/>
          <w:iCs/>
          <w:sz w:val="24"/>
          <w:szCs w:val="24"/>
        </w:rPr>
        <w:t>Theft Act 1968</w:t>
      </w:r>
      <w:r w:rsidR="005864EF" w:rsidRPr="00981985">
        <w:rPr>
          <w:rFonts w:ascii="Arial" w:hAnsi="Arial" w:cs="Arial"/>
          <w:sz w:val="24"/>
          <w:szCs w:val="24"/>
        </w:rPr>
        <w:t xml:space="preserve">. </w:t>
      </w:r>
      <w:r w:rsidR="00506598" w:rsidRPr="00981985">
        <w:rPr>
          <w:rFonts w:ascii="Arial" w:hAnsi="Arial" w:cs="Arial"/>
          <w:sz w:val="24"/>
          <w:szCs w:val="24"/>
        </w:rPr>
        <w:t xml:space="preserve">Available at: </w:t>
      </w:r>
      <w:hyperlink r:id="rId14" w:history="1">
        <w:r w:rsidR="00506598" w:rsidRPr="00981985">
          <w:rPr>
            <w:rStyle w:val="Hyperlink"/>
            <w:sz w:val="24"/>
            <w:szCs w:val="24"/>
          </w:rPr>
          <w:t>Theft Act 1968 (legislation.gov.uk)</w:t>
        </w:r>
      </w:hyperlink>
      <w:r w:rsidRPr="00981985">
        <w:rPr>
          <w:rFonts w:ascii="Arial" w:hAnsi="Arial" w:cs="Arial"/>
          <w:sz w:val="24"/>
          <w:szCs w:val="24"/>
        </w:rPr>
        <w:t xml:space="preserve"> </w:t>
      </w:r>
      <w:r w:rsidR="003D5A2A" w:rsidRPr="00981985">
        <w:rPr>
          <w:rFonts w:ascii="Arial" w:hAnsi="Arial" w:cs="Arial"/>
          <w:sz w:val="24"/>
          <w:szCs w:val="24"/>
        </w:rPr>
        <w:t>(</w:t>
      </w:r>
      <w:r w:rsidR="00506598" w:rsidRPr="00981985">
        <w:rPr>
          <w:rFonts w:ascii="Arial" w:hAnsi="Arial" w:cs="Arial"/>
          <w:sz w:val="24"/>
          <w:szCs w:val="24"/>
        </w:rPr>
        <w:t>Accessed:</w:t>
      </w:r>
      <w:r w:rsidR="003D5A2A" w:rsidRPr="00981985">
        <w:rPr>
          <w:rFonts w:ascii="Arial" w:hAnsi="Arial" w:cs="Arial"/>
          <w:sz w:val="24"/>
          <w:szCs w:val="24"/>
        </w:rPr>
        <w:t xml:space="preserve"> 29 March 2024)</w:t>
      </w:r>
      <w:r w:rsidR="005E7E03" w:rsidRPr="00981985">
        <w:rPr>
          <w:rFonts w:ascii="Arial" w:hAnsi="Arial" w:cs="Arial"/>
          <w:sz w:val="24"/>
          <w:szCs w:val="24"/>
        </w:rPr>
        <w:t xml:space="preserve"> </w:t>
      </w:r>
    </w:p>
    <w:p w14:paraId="3A042F66" w14:textId="0C52D3CB" w:rsidR="0043597B" w:rsidRPr="00981985" w:rsidRDefault="005E7E03" w:rsidP="0043597B">
      <w:pPr>
        <w:rPr>
          <w:rFonts w:ascii="Arial" w:hAnsi="Arial" w:cs="Arial"/>
          <w:sz w:val="24"/>
          <w:szCs w:val="24"/>
        </w:rPr>
      </w:pPr>
      <w:r w:rsidRPr="00981985">
        <w:rPr>
          <w:rFonts w:ascii="Arial" w:hAnsi="Arial" w:cs="Arial"/>
          <w:sz w:val="24"/>
          <w:szCs w:val="24"/>
        </w:rPr>
        <w:t>Wang, B.</w:t>
      </w:r>
      <w:r w:rsidR="0034014F" w:rsidRPr="00981985">
        <w:rPr>
          <w:rFonts w:ascii="Arial" w:hAnsi="Arial" w:cs="Arial"/>
          <w:sz w:val="24"/>
          <w:szCs w:val="24"/>
        </w:rPr>
        <w:t xml:space="preserve"> (2022) Mistaking theft: Dishonesty </w:t>
      </w:r>
      <w:r w:rsidR="002B7581" w:rsidRPr="00981985">
        <w:rPr>
          <w:rFonts w:ascii="Arial" w:hAnsi="Arial" w:cs="Arial"/>
          <w:sz w:val="24"/>
          <w:szCs w:val="24"/>
        </w:rPr>
        <w:t>‘</w:t>
      </w:r>
      <w:r w:rsidR="0034014F" w:rsidRPr="00981985">
        <w:rPr>
          <w:rFonts w:ascii="Arial" w:hAnsi="Arial" w:cs="Arial"/>
          <w:sz w:val="24"/>
          <w:szCs w:val="24"/>
        </w:rPr>
        <w:t>turns over</w:t>
      </w:r>
      <w:r w:rsidR="002B7581" w:rsidRPr="00981985">
        <w:rPr>
          <w:rFonts w:ascii="Arial" w:hAnsi="Arial" w:cs="Arial"/>
          <w:sz w:val="24"/>
          <w:szCs w:val="24"/>
        </w:rPr>
        <w:t xml:space="preserve"> a new leaf’</w:t>
      </w:r>
      <w:r w:rsidR="00A247E6" w:rsidRPr="00981985">
        <w:rPr>
          <w:rFonts w:ascii="Arial" w:hAnsi="Arial" w:cs="Arial"/>
          <w:sz w:val="24"/>
          <w:szCs w:val="24"/>
        </w:rPr>
        <w:t xml:space="preserve">. </w:t>
      </w:r>
      <w:r w:rsidR="00A247E6" w:rsidRPr="00981985">
        <w:rPr>
          <w:rFonts w:ascii="Arial" w:hAnsi="Arial" w:cs="Arial"/>
          <w:i/>
          <w:iCs/>
          <w:sz w:val="24"/>
          <w:szCs w:val="24"/>
        </w:rPr>
        <w:t>The J</w:t>
      </w:r>
      <w:r w:rsidR="0043597B" w:rsidRPr="00981985">
        <w:rPr>
          <w:rFonts w:ascii="Arial" w:hAnsi="Arial" w:cs="Arial"/>
          <w:i/>
          <w:iCs/>
          <w:sz w:val="24"/>
          <w:szCs w:val="24"/>
        </w:rPr>
        <w:t>o</w:t>
      </w:r>
      <w:r w:rsidR="00A247E6" w:rsidRPr="00981985">
        <w:rPr>
          <w:rFonts w:ascii="Arial" w:hAnsi="Arial" w:cs="Arial"/>
          <w:i/>
          <w:iCs/>
          <w:sz w:val="24"/>
          <w:szCs w:val="24"/>
        </w:rPr>
        <w:t>urnal of Criminal Law</w:t>
      </w:r>
      <w:r w:rsidR="0043597B" w:rsidRPr="00981985">
        <w:rPr>
          <w:rFonts w:ascii="Arial" w:hAnsi="Arial" w:cs="Arial"/>
          <w:sz w:val="24"/>
          <w:szCs w:val="24"/>
        </w:rPr>
        <w:t>, 86(1), 3-17. Available at:</w:t>
      </w:r>
      <w:r w:rsidR="000B70D6">
        <w:rPr>
          <w:rFonts w:ascii="Arial" w:hAnsi="Arial" w:cs="Arial"/>
          <w:sz w:val="24"/>
          <w:szCs w:val="24"/>
        </w:rPr>
        <w:t xml:space="preserve"> </w:t>
      </w:r>
      <w:hyperlink r:id="rId15" w:history="1">
        <w:r w:rsidR="000B70D6" w:rsidRPr="003E6F09">
          <w:rPr>
            <w:rStyle w:val="Hyperlink"/>
            <w:rFonts w:ascii="Open Sans" w:hAnsi="Open Sans" w:cs="Open Sans"/>
            <w:sz w:val="24"/>
            <w:szCs w:val="24"/>
            <w:shd w:val="clear" w:color="auto" w:fill="FFFFFF"/>
          </w:rPr>
          <w:t>https://doi-org.ezproxy.uwtsd.ac.uk/10.1177/00220183211028702</w:t>
        </w:r>
      </w:hyperlink>
      <w:r w:rsidR="00817B49" w:rsidRPr="00981985">
        <w:rPr>
          <w:sz w:val="24"/>
          <w:szCs w:val="24"/>
        </w:rPr>
        <w:t xml:space="preserve"> </w:t>
      </w:r>
      <w:r w:rsidR="0043597B" w:rsidRPr="00981985">
        <w:rPr>
          <w:sz w:val="24"/>
          <w:szCs w:val="24"/>
        </w:rPr>
        <w:t xml:space="preserve"> </w:t>
      </w:r>
      <w:r w:rsidR="0043597B" w:rsidRPr="00981985">
        <w:rPr>
          <w:rFonts w:ascii="Arial" w:hAnsi="Arial" w:cs="Arial"/>
          <w:sz w:val="24"/>
          <w:szCs w:val="24"/>
        </w:rPr>
        <w:t>(Accessed: 04 April 2024)</w:t>
      </w:r>
    </w:p>
    <w:p w14:paraId="127B061E" w14:textId="4D9B23E9" w:rsidR="00817B49" w:rsidRDefault="00817B49" w:rsidP="00817B49">
      <w:pPr>
        <w:rPr>
          <w:rFonts w:ascii="Arial" w:hAnsi="Arial" w:cs="Arial"/>
          <w:sz w:val="24"/>
          <w:szCs w:val="24"/>
        </w:rPr>
      </w:pPr>
    </w:p>
    <w:p w14:paraId="6F079F66" w14:textId="612720EA" w:rsidR="00817B49" w:rsidRDefault="00817B49">
      <w:pPr>
        <w:rPr>
          <w:rFonts w:ascii="Arial" w:hAnsi="Arial" w:cs="Arial"/>
          <w:sz w:val="24"/>
          <w:szCs w:val="24"/>
        </w:rPr>
      </w:pPr>
    </w:p>
    <w:sectPr w:rsidR="00817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erriweather Sans">
    <w:charset w:val="00"/>
    <w:family w:val="auto"/>
    <w:pitch w:val="variable"/>
    <w:sig w:usb0="A00004FF" w:usb1="4000207B" w:usb2="00000000" w:usb3="00000000" w:csb0="00000193"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4248"/>
    <w:multiLevelType w:val="multilevel"/>
    <w:tmpl w:val="0E8C4C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02238"/>
    <w:multiLevelType w:val="multilevel"/>
    <w:tmpl w:val="CAC8C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C0AD0"/>
    <w:multiLevelType w:val="hybridMultilevel"/>
    <w:tmpl w:val="D910EC76"/>
    <w:lvl w:ilvl="0" w:tplc="0DD623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F5272"/>
    <w:multiLevelType w:val="multilevel"/>
    <w:tmpl w:val="63A88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74469A"/>
    <w:multiLevelType w:val="multilevel"/>
    <w:tmpl w:val="6A34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F436C4"/>
    <w:multiLevelType w:val="multilevel"/>
    <w:tmpl w:val="543E2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9B5CEE"/>
    <w:multiLevelType w:val="multilevel"/>
    <w:tmpl w:val="CB96BC5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092459"/>
    <w:multiLevelType w:val="multilevel"/>
    <w:tmpl w:val="2708B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EC20D2"/>
    <w:multiLevelType w:val="multilevel"/>
    <w:tmpl w:val="BB789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9E74CA"/>
    <w:multiLevelType w:val="multilevel"/>
    <w:tmpl w:val="5818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8D328B"/>
    <w:multiLevelType w:val="multilevel"/>
    <w:tmpl w:val="9CDC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DD647A"/>
    <w:multiLevelType w:val="multilevel"/>
    <w:tmpl w:val="D3C0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6B359E"/>
    <w:multiLevelType w:val="multilevel"/>
    <w:tmpl w:val="3B5E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2D375F"/>
    <w:multiLevelType w:val="multilevel"/>
    <w:tmpl w:val="05C25F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9647323">
    <w:abstractNumId w:val="1"/>
  </w:num>
  <w:num w:numId="2" w16cid:durableId="972174790">
    <w:abstractNumId w:val="4"/>
  </w:num>
  <w:num w:numId="3" w16cid:durableId="405617911">
    <w:abstractNumId w:val="2"/>
  </w:num>
  <w:num w:numId="4" w16cid:durableId="1736395103">
    <w:abstractNumId w:val="6"/>
  </w:num>
  <w:num w:numId="5" w16cid:durableId="1931549704">
    <w:abstractNumId w:val="6"/>
    <w:lvlOverride w:ilvl="1">
      <w:lvl w:ilvl="1">
        <w:numFmt w:val="bullet"/>
        <w:lvlText w:val="o"/>
        <w:lvlJc w:val="left"/>
        <w:pPr>
          <w:tabs>
            <w:tab w:val="num" w:pos="1440"/>
          </w:tabs>
          <w:ind w:left="1440" w:hanging="360"/>
        </w:pPr>
        <w:rPr>
          <w:rFonts w:ascii="Courier New" w:hAnsi="Courier New" w:hint="default"/>
          <w:sz w:val="20"/>
        </w:rPr>
      </w:lvl>
    </w:lvlOverride>
  </w:num>
  <w:num w:numId="6" w16cid:durableId="1933316168">
    <w:abstractNumId w:val="5"/>
  </w:num>
  <w:num w:numId="7" w16cid:durableId="318507074">
    <w:abstractNumId w:val="0"/>
  </w:num>
  <w:num w:numId="8" w16cid:durableId="1937981212">
    <w:abstractNumId w:val="7"/>
  </w:num>
  <w:num w:numId="9" w16cid:durableId="10493145">
    <w:abstractNumId w:val="9"/>
  </w:num>
  <w:num w:numId="10" w16cid:durableId="654182479">
    <w:abstractNumId w:val="3"/>
  </w:num>
  <w:num w:numId="11" w16cid:durableId="1513379575">
    <w:abstractNumId w:val="13"/>
  </w:num>
  <w:num w:numId="12" w16cid:durableId="2067026826">
    <w:abstractNumId w:val="11"/>
  </w:num>
  <w:num w:numId="13" w16cid:durableId="756287944">
    <w:abstractNumId w:val="12"/>
  </w:num>
  <w:num w:numId="14" w16cid:durableId="488255070">
    <w:abstractNumId w:val="10"/>
  </w:num>
  <w:num w:numId="15" w16cid:durableId="642153001">
    <w:abstractNumId w:val="8"/>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C0C"/>
    <w:rsid w:val="00004A18"/>
    <w:rsid w:val="00004D53"/>
    <w:rsid w:val="000061F6"/>
    <w:rsid w:val="00006B08"/>
    <w:rsid w:val="00007E60"/>
    <w:rsid w:val="000108BE"/>
    <w:rsid w:val="000125BE"/>
    <w:rsid w:val="0001284F"/>
    <w:rsid w:val="00014F86"/>
    <w:rsid w:val="000152A5"/>
    <w:rsid w:val="00016708"/>
    <w:rsid w:val="0002437B"/>
    <w:rsid w:val="00024473"/>
    <w:rsid w:val="00026552"/>
    <w:rsid w:val="000302C0"/>
    <w:rsid w:val="000305D5"/>
    <w:rsid w:val="00030A25"/>
    <w:rsid w:val="00031EC4"/>
    <w:rsid w:val="00033EC3"/>
    <w:rsid w:val="0003547C"/>
    <w:rsid w:val="00037252"/>
    <w:rsid w:val="0004055B"/>
    <w:rsid w:val="000405F1"/>
    <w:rsid w:val="0004074A"/>
    <w:rsid w:val="00041655"/>
    <w:rsid w:val="0004538D"/>
    <w:rsid w:val="00047E85"/>
    <w:rsid w:val="000547C0"/>
    <w:rsid w:val="00054814"/>
    <w:rsid w:val="00054EC9"/>
    <w:rsid w:val="000558C1"/>
    <w:rsid w:val="0006123B"/>
    <w:rsid w:val="00061A22"/>
    <w:rsid w:val="00061A23"/>
    <w:rsid w:val="00064017"/>
    <w:rsid w:val="000659CB"/>
    <w:rsid w:val="00081C4D"/>
    <w:rsid w:val="00083C86"/>
    <w:rsid w:val="00086436"/>
    <w:rsid w:val="00092A4B"/>
    <w:rsid w:val="000940A0"/>
    <w:rsid w:val="00094FD0"/>
    <w:rsid w:val="00096B0E"/>
    <w:rsid w:val="00096D93"/>
    <w:rsid w:val="000971E1"/>
    <w:rsid w:val="000A6C05"/>
    <w:rsid w:val="000B4BCD"/>
    <w:rsid w:val="000B5B8F"/>
    <w:rsid w:val="000B61A3"/>
    <w:rsid w:val="000B70D6"/>
    <w:rsid w:val="000C1A56"/>
    <w:rsid w:val="000D39FA"/>
    <w:rsid w:val="000D5D46"/>
    <w:rsid w:val="000E4DF0"/>
    <w:rsid w:val="000F0DDE"/>
    <w:rsid w:val="000F2A59"/>
    <w:rsid w:val="000F6CD1"/>
    <w:rsid w:val="00100BAA"/>
    <w:rsid w:val="0011066E"/>
    <w:rsid w:val="001119C4"/>
    <w:rsid w:val="0011217F"/>
    <w:rsid w:val="001130B0"/>
    <w:rsid w:val="001156A4"/>
    <w:rsid w:val="00116A1F"/>
    <w:rsid w:val="00125F11"/>
    <w:rsid w:val="00133E81"/>
    <w:rsid w:val="001432A5"/>
    <w:rsid w:val="001443FE"/>
    <w:rsid w:val="0014498D"/>
    <w:rsid w:val="00146653"/>
    <w:rsid w:val="0014677C"/>
    <w:rsid w:val="00150AF0"/>
    <w:rsid w:val="00150B4F"/>
    <w:rsid w:val="001543BC"/>
    <w:rsid w:val="00154F9E"/>
    <w:rsid w:val="0016036D"/>
    <w:rsid w:val="00160EBA"/>
    <w:rsid w:val="00161B65"/>
    <w:rsid w:val="001620CA"/>
    <w:rsid w:val="00163E88"/>
    <w:rsid w:val="00167A8D"/>
    <w:rsid w:val="0018060B"/>
    <w:rsid w:val="00181B30"/>
    <w:rsid w:val="00182249"/>
    <w:rsid w:val="0018225D"/>
    <w:rsid w:val="001A0B70"/>
    <w:rsid w:val="001A2526"/>
    <w:rsid w:val="001A4A8B"/>
    <w:rsid w:val="001A5410"/>
    <w:rsid w:val="001A5AFA"/>
    <w:rsid w:val="001A65AC"/>
    <w:rsid w:val="001A7CFD"/>
    <w:rsid w:val="001B2801"/>
    <w:rsid w:val="001B43E1"/>
    <w:rsid w:val="001B5DBA"/>
    <w:rsid w:val="001C224D"/>
    <w:rsid w:val="001C319F"/>
    <w:rsid w:val="001D552F"/>
    <w:rsid w:val="001D7C1E"/>
    <w:rsid w:val="001E1DB2"/>
    <w:rsid w:val="001E5227"/>
    <w:rsid w:val="001E7AE9"/>
    <w:rsid w:val="001F6B2C"/>
    <w:rsid w:val="0020468E"/>
    <w:rsid w:val="00211559"/>
    <w:rsid w:val="00213839"/>
    <w:rsid w:val="002149E4"/>
    <w:rsid w:val="002173C3"/>
    <w:rsid w:val="00222A57"/>
    <w:rsid w:val="0022798D"/>
    <w:rsid w:val="00230187"/>
    <w:rsid w:val="00234ED9"/>
    <w:rsid w:val="00234F81"/>
    <w:rsid w:val="00236D1C"/>
    <w:rsid w:val="0024017C"/>
    <w:rsid w:val="00240C17"/>
    <w:rsid w:val="00243EC6"/>
    <w:rsid w:val="002451C4"/>
    <w:rsid w:val="0024688F"/>
    <w:rsid w:val="00247024"/>
    <w:rsid w:val="0025022E"/>
    <w:rsid w:val="00250BFD"/>
    <w:rsid w:val="00252A8A"/>
    <w:rsid w:val="002530C3"/>
    <w:rsid w:val="0025339F"/>
    <w:rsid w:val="0025361E"/>
    <w:rsid w:val="00254A09"/>
    <w:rsid w:val="0025550A"/>
    <w:rsid w:val="002578D7"/>
    <w:rsid w:val="00257FC8"/>
    <w:rsid w:val="00263E72"/>
    <w:rsid w:val="00264746"/>
    <w:rsid w:val="00266980"/>
    <w:rsid w:val="00270DD5"/>
    <w:rsid w:val="002734EB"/>
    <w:rsid w:val="00277F8D"/>
    <w:rsid w:val="00280ED4"/>
    <w:rsid w:val="00282C1B"/>
    <w:rsid w:val="002875AC"/>
    <w:rsid w:val="00292D7B"/>
    <w:rsid w:val="002A157B"/>
    <w:rsid w:val="002A3480"/>
    <w:rsid w:val="002A3C48"/>
    <w:rsid w:val="002A6318"/>
    <w:rsid w:val="002A7D91"/>
    <w:rsid w:val="002B2C6D"/>
    <w:rsid w:val="002B3314"/>
    <w:rsid w:val="002B3D78"/>
    <w:rsid w:val="002B3EC1"/>
    <w:rsid w:val="002B4A12"/>
    <w:rsid w:val="002B4AC1"/>
    <w:rsid w:val="002B7581"/>
    <w:rsid w:val="002B7DC0"/>
    <w:rsid w:val="002C03B5"/>
    <w:rsid w:val="002C40DD"/>
    <w:rsid w:val="002C4B0D"/>
    <w:rsid w:val="002D3450"/>
    <w:rsid w:val="002E01CD"/>
    <w:rsid w:val="002E2A08"/>
    <w:rsid w:val="002E38FB"/>
    <w:rsid w:val="002E4D22"/>
    <w:rsid w:val="002E5C4D"/>
    <w:rsid w:val="002E72F5"/>
    <w:rsid w:val="002F0B1B"/>
    <w:rsid w:val="002F3C9F"/>
    <w:rsid w:val="002F49D5"/>
    <w:rsid w:val="002F4FBD"/>
    <w:rsid w:val="002F66E3"/>
    <w:rsid w:val="002F69DE"/>
    <w:rsid w:val="00303C71"/>
    <w:rsid w:val="00304527"/>
    <w:rsid w:val="0031365A"/>
    <w:rsid w:val="00316C1D"/>
    <w:rsid w:val="0031717A"/>
    <w:rsid w:val="00317D5F"/>
    <w:rsid w:val="00322EA3"/>
    <w:rsid w:val="00323D92"/>
    <w:rsid w:val="0032443C"/>
    <w:rsid w:val="00333C63"/>
    <w:rsid w:val="00337466"/>
    <w:rsid w:val="00337C4F"/>
    <w:rsid w:val="0034014F"/>
    <w:rsid w:val="0034038A"/>
    <w:rsid w:val="003515B6"/>
    <w:rsid w:val="00351DD4"/>
    <w:rsid w:val="00352A04"/>
    <w:rsid w:val="00354A66"/>
    <w:rsid w:val="003559E6"/>
    <w:rsid w:val="00362E31"/>
    <w:rsid w:val="003670A6"/>
    <w:rsid w:val="00374D0E"/>
    <w:rsid w:val="003763F3"/>
    <w:rsid w:val="00377D9E"/>
    <w:rsid w:val="003831BA"/>
    <w:rsid w:val="00386238"/>
    <w:rsid w:val="00393920"/>
    <w:rsid w:val="003939EF"/>
    <w:rsid w:val="003A08CB"/>
    <w:rsid w:val="003A7ECB"/>
    <w:rsid w:val="003B4F19"/>
    <w:rsid w:val="003C4C2F"/>
    <w:rsid w:val="003C591C"/>
    <w:rsid w:val="003D14C4"/>
    <w:rsid w:val="003D4974"/>
    <w:rsid w:val="003D4E77"/>
    <w:rsid w:val="003D5A2A"/>
    <w:rsid w:val="003D6E42"/>
    <w:rsid w:val="003D7743"/>
    <w:rsid w:val="003E0C5C"/>
    <w:rsid w:val="003E242D"/>
    <w:rsid w:val="003E4830"/>
    <w:rsid w:val="003E572F"/>
    <w:rsid w:val="003E6938"/>
    <w:rsid w:val="003F35E6"/>
    <w:rsid w:val="003F385F"/>
    <w:rsid w:val="003F3D11"/>
    <w:rsid w:val="003F42C2"/>
    <w:rsid w:val="003F44CD"/>
    <w:rsid w:val="003F60EE"/>
    <w:rsid w:val="0041165C"/>
    <w:rsid w:val="004119DF"/>
    <w:rsid w:val="0041349D"/>
    <w:rsid w:val="004137EF"/>
    <w:rsid w:val="004159E0"/>
    <w:rsid w:val="00421135"/>
    <w:rsid w:val="004227C0"/>
    <w:rsid w:val="00423EC6"/>
    <w:rsid w:val="00424213"/>
    <w:rsid w:val="00426E58"/>
    <w:rsid w:val="00431909"/>
    <w:rsid w:val="00434AB9"/>
    <w:rsid w:val="00434C0F"/>
    <w:rsid w:val="0043597B"/>
    <w:rsid w:val="00437ADC"/>
    <w:rsid w:val="00444002"/>
    <w:rsid w:val="00444919"/>
    <w:rsid w:val="00445034"/>
    <w:rsid w:val="004456ED"/>
    <w:rsid w:val="00453BDE"/>
    <w:rsid w:val="00453CCD"/>
    <w:rsid w:val="00453F36"/>
    <w:rsid w:val="00454FC1"/>
    <w:rsid w:val="00455E53"/>
    <w:rsid w:val="00456148"/>
    <w:rsid w:val="0046098D"/>
    <w:rsid w:val="004708AC"/>
    <w:rsid w:val="00472DBD"/>
    <w:rsid w:val="004745CB"/>
    <w:rsid w:val="004748D1"/>
    <w:rsid w:val="00476205"/>
    <w:rsid w:val="00480DEA"/>
    <w:rsid w:val="0048283D"/>
    <w:rsid w:val="00484EC7"/>
    <w:rsid w:val="004917BE"/>
    <w:rsid w:val="004968F0"/>
    <w:rsid w:val="004A4284"/>
    <w:rsid w:val="004A59D1"/>
    <w:rsid w:val="004B01D4"/>
    <w:rsid w:val="004B2355"/>
    <w:rsid w:val="004B67C7"/>
    <w:rsid w:val="004B6A85"/>
    <w:rsid w:val="004B73E4"/>
    <w:rsid w:val="004C0199"/>
    <w:rsid w:val="004C228C"/>
    <w:rsid w:val="004D2E2B"/>
    <w:rsid w:val="004D32EC"/>
    <w:rsid w:val="004D3470"/>
    <w:rsid w:val="004D7A14"/>
    <w:rsid w:val="004D7EB2"/>
    <w:rsid w:val="004E3AC6"/>
    <w:rsid w:val="004F147D"/>
    <w:rsid w:val="004F173F"/>
    <w:rsid w:val="004F5192"/>
    <w:rsid w:val="004F5A76"/>
    <w:rsid w:val="00502CBA"/>
    <w:rsid w:val="00503BB4"/>
    <w:rsid w:val="00503EFE"/>
    <w:rsid w:val="00506598"/>
    <w:rsid w:val="00517ABA"/>
    <w:rsid w:val="0052170F"/>
    <w:rsid w:val="0052265F"/>
    <w:rsid w:val="005264C9"/>
    <w:rsid w:val="00526D56"/>
    <w:rsid w:val="00535D4F"/>
    <w:rsid w:val="00540292"/>
    <w:rsid w:val="00541533"/>
    <w:rsid w:val="00542C46"/>
    <w:rsid w:val="00545E1D"/>
    <w:rsid w:val="0054736E"/>
    <w:rsid w:val="00561E64"/>
    <w:rsid w:val="00562914"/>
    <w:rsid w:val="00562D5A"/>
    <w:rsid w:val="00563D91"/>
    <w:rsid w:val="00564403"/>
    <w:rsid w:val="00566A20"/>
    <w:rsid w:val="00575C16"/>
    <w:rsid w:val="005861EE"/>
    <w:rsid w:val="005864EF"/>
    <w:rsid w:val="0059224A"/>
    <w:rsid w:val="0059385A"/>
    <w:rsid w:val="00593FF0"/>
    <w:rsid w:val="005A3CFF"/>
    <w:rsid w:val="005A4B33"/>
    <w:rsid w:val="005A5825"/>
    <w:rsid w:val="005A6B0B"/>
    <w:rsid w:val="005B00AF"/>
    <w:rsid w:val="005B16EB"/>
    <w:rsid w:val="005B19E3"/>
    <w:rsid w:val="005B2FEB"/>
    <w:rsid w:val="005B5B21"/>
    <w:rsid w:val="005C1F88"/>
    <w:rsid w:val="005C3577"/>
    <w:rsid w:val="005C40B5"/>
    <w:rsid w:val="005C66FF"/>
    <w:rsid w:val="005D0604"/>
    <w:rsid w:val="005D0B3B"/>
    <w:rsid w:val="005D5844"/>
    <w:rsid w:val="005D6D1D"/>
    <w:rsid w:val="005D7745"/>
    <w:rsid w:val="005E7E03"/>
    <w:rsid w:val="005F0166"/>
    <w:rsid w:val="005F1BBD"/>
    <w:rsid w:val="005F3037"/>
    <w:rsid w:val="005F58AE"/>
    <w:rsid w:val="00600225"/>
    <w:rsid w:val="006013F6"/>
    <w:rsid w:val="006040A3"/>
    <w:rsid w:val="00614240"/>
    <w:rsid w:val="006146B4"/>
    <w:rsid w:val="00615351"/>
    <w:rsid w:val="00615FFA"/>
    <w:rsid w:val="0062035D"/>
    <w:rsid w:val="00625A16"/>
    <w:rsid w:val="00633095"/>
    <w:rsid w:val="00635850"/>
    <w:rsid w:val="00636F45"/>
    <w:rsid w:val="00641D23"/>
    <w:rsid w:val="00642F33"/>
    <w:rsid w:val="00644189"/>
    <w:rsid w:val="006460BF"/>
    <w:rsid w:val="00652A42"/>
    <w:rsid w:val="00654C3D"/>
    <w:rsid w:val="00655E56"/>
    <w:rsid w:val="006573C8"/>
    <w:rsid w:val="0067003B"/>
    <w:rsid w:val="006776AE"/>
    <w:rsid w:val="00677F87"/>
    <w:rsid w:val="006806B2"/>
    <w:rsid w:val="00682580"/>
    <w:rsid w:val="00682BC9"/>
    <w:rsid w:val="006857EF"/>
    <w:rsid w:val="00685D3E"/>
    <w:rsid w:val="006A01B4"/>
    <w:rsid w:val="006A5252"/>
    <w:rsid w:val="006A7933"/>
    <w:rsid w:val="006B3187"/>
    <w:rsid w:val="006B41FE"/>
    <w:rsid w:val="006B70C3"/>
    <w:rsid w:val="006C3CBD"/>
    <w:rsid w:val="006C78CF"/>
    <w:rsid w:val="006D1D6D"/>
    <w:rsid w:val="006D6DD4"/>
    <w:rsid w:val="006D799E"/>
    <w:rsid w:val="006E48E3"/>
    <w:rsid w:val="006E7627"/>
    <w:rsid w:val="006F271D"/>
    <w:rsid w:val="006F3CA3"/>
    <w:rsid w:val="006F6D65"/>
    <w:rsid w:val="007015EF"/>
    <w:rsid w:val="00702969"/>
    <w:rsid w:val="00705385"/>
    <w:rsid w:val="00715F2A"/>
    <w:rsid w:val="00723D92"/>
    <w:rsid w:val="00730E0E"/>
    <w:rsid w:val="00730E82"/>
    <w:rsid w:val="00732895"/>
    <w:rsid w:val="00735310"/>
    <w:rsid w:val="007362A0"/>
    <w:rsid w:val="00745BA9"/>
    <w:rsid w:val="007573BF"/>
    <w:rsid w:val="00762753"/>
    <w:rsid w:val="00763EDC"/>
    <w:rsid w:val="0078333D"/>
    <w:rsid w:val="007903FE"/>
    <w:rsid w:val="00793AFA"/>
    <w:rsid w:val="00796F13"/>
    <w:rsid w:val="007A10CA"/>
    <w:rsid w:val="007A252C"/>
    <w:rsid w:val="007A3DDF"/>
    <w:rsid w:val="007A458A"/>
    <w:rsid w:val="007A720A"/>
    <w:rsid w:val="007A7284"/>
    <w:rsid w:val="007B17A3"/>
    <w:rsid w:val="007B3964"/>
    <w:rsid w:val="007B5AFC"/>
    <w:rsid w:val="007C19BD"/>
    <w:rsid w:val="007C2009"/>
    <w:rsid w:val="007C3451"/>
    <w:rsid w:val="007C5690"/>
    <w:rsid w:val="007C61D3"/>
    <w:rsid w:val="007C663C"/>
    <w:rsid w:val="007D013C"/>
    <w:rsid w:val="007D1DCD"/>
    <w:rsid w:val="007E66E5"/>
    <w:rsid w:val="007F5C5D"/>
    <w:rsid w:val="0080107E"/>
    <w:rsid w:val="00805ED6"/>
    <w:rsid w:val="00811588"/>
    <w:rsid w:val="0081172F"/>
    <w:rsid w:val="00815E26"/>
    <w:rsid w:val="00817B49"/>
    <w:rsid w:val="0082335F"/>
    <w:rsid w:val="00825DB0"/>
    <w:rsid w:val="0083091E"/>
    <w:rsid w:val="008309CD"/>
    <w:rsid w:val="0083232C"/>
    <w:rsid w:val="008326C0"/>
    <w:rsid w:val="00833F21"/>
    <w:rsid w:val="008341FD"/>
    <w:rsid w:val="00836B59"/>
    <w:rsid w:val="008421EF"/>
    <w:rsid w:val="0084421B"/>
    <w:rsid w:val="00845A2D"/>
    <w:rsid w:val="00850037"/>
    <w:rsid w:val="00854932"/>
    <w:rsid w:val="00856327"/>
    <w:rsid w:val="00856D00"/>
    <w:rsid w:val="008617A9"/>
    <w:rsid w:val="00862D55"/>
    <w:rsid w:val="008653EF"/>
    <w:rsid w:val="00870BBA"/>
    <w:rsid w:val="00872596"/>
    <w:rsid w:val="00872A8B"/>
    <w:rsid w:val="008755D2"/>
    <w:rsid w:val="0088094F"/>
    <w:rsid w:val="00881E35"/>
    <w:rsid w:val="00882849"/>
    <w:rsid w:val="00883626"/>
    <w:rsid w:val="00883D2C"/>
    <w:rsid w:val="00885338"/>
    <w:rsid w:val="008861DF"/>
    <w:rsid w:val="00886D8C"/>
    <w:rsid w:val="00887D97"/>
    <w:rsid w:val="00895C37"/>
    <w:rsid w:val="008A0F8E"/>
    <w:rsid w:val="008A2806"/>
    <w:rsid w:val="008A3A2F"/>
    <w:rsid w:val="008A6DA1"/>
    <w:rsid w:val="008B0897"/>
    <w:rsid w:val="008B552E"/>
    <w:rsid w:val="008C17C3"/>
    <w:rsid w:val="008C2536"/>
    <w:rsid w:val="008C27C6"/>
    <w:rsid w:val="008C2C4D"/>
    <w:rsid w:val="008D2BCB"/>
    <w:rsid w:val="008D7F0A"/>
    <w:rsid w:val="008E0DCE"/>
    <w:rsid w:val="008E47D6"/>
    <w:rsid w:val="008F51FC"/>
    <w:rsid w:val="009000DA"/>
    <w:rsid w:val="00901A29"/>
    <w:rsid w:val="00901FB7"/>
    <w:rsid w:val="0090272E"/>
    <w:rsid w:val="00906937"/>
    <w:rsid w:val="00913795"/>
    <w:rsid w:val="00920EAE"/>
    <w:rsid w:val="00924553"/>
    <w:rsid w:val="0092564A"/>
    <w:rsid w:val="009337A6"/>
    <w:rsid w:val="00936454"/>
    <w:rsid w:val="00936532"/>
    <w:rsid w:val="00940CF8"/>
    <w:rsid w:val="00943842"/>
    <w:rsid w:val="00943A58"/>
    <w:rsid w:val="009523B2"/>
    <w:rsid w:val="00952754"/>
    <w:rsid w:val="009527E4"/>
    <w:rsid w:val="00952C54"/>
    <w:rsid w:val="00953B4E"/>
    <w:rsid w:val="00955891"/>
    <w:rsid w:val="00955CDD"/>
    <w:rsid w:val="00956165"/>
    <w:rsid w:val="00957A69"/>
    <w:rsid w:val="009613E5"/>
    <w:rsid w:val="009626DA"/>
    <w:rsid w:val="009638F0"/>
    <w:rsid w:val="00963DAC"/>
    <w:rsid w:val="009675D8"/>
    <w:rsid w:val="00970B13"/>
    <w:rsid w:val="0097127E"/>
    <w:rsid w:val="009743C1"/>
    <w:rsid w:val="00974684"/>
    <w:rsid w:val="00975F2E"/>
    <w:rsid w:val="00976AD7"/>
    <w:rsid w:val="0098006A"/>
    <w:rsid w:val="00981985"/>
    <w:rsid w:val="009819FA"/>
    <w:rsid w:val="009834E5"/>
    <w:rsid w:val="00985678"/>
    <w:rsid w:val="00985DC0"/>
    <w:rsid w:val="009937A3"/>
    <w:rsid w:val="0099518A"/>
    <w:rsid w:val="009956F3"/>
    <w:rsid w:val="009A455C"/>
    <w:rsid w:val="009A56DB"/>
    <w:rsid w:val="009B40C7"/>
    <w:rsid w:val="009B4277"/>
    <w:rsid w:val="009B5C87"/>
    <w:rsid w:val="009B603C"/>
    <w:rsid w:val="009B7DFC"/>
    <w:rsid w:val="009C08E5"/>
    <w:rsid w:val="009C1C79"/>
    <w:rsid w:val="009C4626"/>
    <w:rsid w:val="009C6C10"/>
    <w:rsid w:val="009D0302"/>
    <w:rsid w:val="009D2246"/>
    <w:rsid w:val="009D5789"/>
    <w:rsid w:val="009E219E"/>
    <w:rsid w:val="009E3E9D"/>
    <w:rsid w:val="009F09F3"/>
    <w:rsid w:val="009F497C"/>
    <w:rsid w:val="009F4FE2"/>
    <w:rsid w:val="009F7D3F"/>
    <w:rsid w:val="00A0231C"/>
    <w:rsid w:val="00A04149"/>
    <w:rsid w:val="00A04163"/>
    <w:rsid w:val="00A046D8"/>
    <w:rsid w:val="00A06287"/>
    <w:rsid w:val="00A06A1C"/>
    <w:rsid w:val="00A123B5"/>
    <w:rsid w:val="00A1534D"/>
    <w:rsid w:val="00A158D9"/>
    <w:rsid w:val="00A247E6"/>
    <w:rsid w:val="00A24E70"/>
    <w:rsid w:val="00A30C36"/>
    <w:rsid w:val="00A3205F"/>
    <w:rsid w:val="00A3575F"/>
    <w:rsid w:val="00A422FC"/>
    <w:rsid w:val="00A43C60"/>
    <w:rsid w:val="00A469AB"/>
    <w:rsid w:val="00A50458"/>
    <w:rsid w:val="00A515CF"/>
    <w:rsid w:val="00A52B9B"/>
    <w:rsid w:val="00A62510"/>
    <w:rsid w:val="00A63670"/>
    <w:rsid w:val="00A63A54"/>
    <w:rsid w:val="00A63EB4"/>
    <w:rsid w:val="00A65E74"/>
    <w:rsid w:val="00A70C43"/>
    <w:rsid w:val="00A74112"/>
    <w:rsid w:val="00A80904"/>
    <w:rsid w:val="00A83FD8"/>
    <w:rsid w:val="00A86FB8"/>
    <w:rsid w:val="00A91FDA"/>
    <w:rsid w:val="00A930A4"/>
    <w:rsid w:val="00AA17E2"/>
    <w:rsid w:val="00AA2808"/>
    <w:rsid w:val="00AA2C74"/>
    <w:rsid w:val="00AC02CB"/>
    <w:rsid w:val="00AC42DB"/>
    <w:rsid w:val="00AC4AA5"/>
    <w:rsid w:val="00AC7DEE"/>
    <w:rsid w:val="00AD3FAC"/>
    <w:rsid w:val="00AD733B"/>
    <w:rsid w:val="00AF42C4"/>
    <w:rsid w:val="00AF5720"/>
    <w:rsid w:val="00B00C79"/>
    <w:rsid w:val="00B05D74"/>
    <w:rsid w:val="00B108D1"/>
    <w:rsid w:val="00B12F20"/>
    <w:rsid w:val="00B144A3"/>
    <w:rsid w:val="00B1749D"/>
    <w:rsid w:val="00B23CAE"/>
    <w:rsid w:val="00B258D3"/>
    <w:rsid w:val="00B32708"/>
    <w:rsid w:val="00B328E2"/>
    <w:rsid w:val="00B32CA0"/>
    <w:rsid w:val="00B34B98"/>
    <w:rsid w:val="00B373C8"/>
    <w:rsid w:val="00B43115"/>
    <w:rsid w:val="00B44797"/>
    <w:rsid w:val="00B44B01"/>
    <w:rsid w:val="00B50B89"/>
    <w:rsid w:val="00B5669D"/>
    <w:rsid w:val="00B60830"/>
    <w:rsid w:val="00B63776"/>
    <w:rsid w:val="00B67F02"/>
    <w:rsid w:val="00B71723"/>
    <w:rsid w:val="00B72DF6"/>
    <w:rsid w:val="00B7419D"/>
    <w:rsid w:val="00B765EA"/>
    <w:rsid w:val="00B80ECD"/>
    <w:rsid w:val="00B82F2F"/>
    <w:rsid w:val="00B8342F"/>
    <w:rsid w:val="00B84D22"/>
    <w:rsid w:val="00B856EF"/>
    <w:rsid w:val="00B878B8"/>
    <w:rsid w:val="00B90C13"/>
    <w:rsid w:val="00B91F4F"/>
    <w:rsid w:val="00B9308A"/>
    <w:rsid w:val="00B9471D"/>
    <w:rsid w:val="00B96409"/>
    <w:rsid w:val="00BA395A"/>
    <w:rsid w:val="00BA454E"/>
    <w:rsid w:val="00BB2707"/>
    <w:rsid w:val="00BB59F2"/>
    <w:rsid w:val="00BB7684"/>
    <w:rsid w:val="00BC12F6"/>
    <w:rsid w:val="00BC1C71"/>
    <w:rsid w:val="00BC55F3"/>
    <w:rsid w:val="00BC622E"/>
    <w:rsid w:val="00BC6A39"/>
    <w:rsid w:val="00BD10A9"/>
    <w:rsid w:val="00BD33D4"/>
    <w:rsid w:val="00BE3A39"/>
    <w:rsid w:val="00BE47CF"/>
    <w:rsid w:val="00BE4EA6"/>
    <w:rsid w:val="00BE756A"/>
    <w:rsid w:val="00BE77C9"/>
    <w:rsid w:val="00BF054F"/>
    <w:rsid w:val="00BF350F"/>
    <w:rsid w:val="00BF4C96"/>
    <w:rsid w:val="00BF54BE"/>
    <w:rsid w:val="00BF7C2B"/>
    <w:rsid w:val="00C030A3"/>
    <w:rsid w:val="00C10A73"/>
    <w:rsid w:val="00C15AE7"/>
    <w:rsid w:val="00C21C2D"/>
    <w:rsid w:val="00C21F70"/>
    <w:rsid w:val="00C23BFD"/>
    <w:rsid w:val="00C23C80"/>
    <w:rsid w:val="00C23D37"/>
    <w:rsid w:val="00C24855"/>
    <w:rsid w:val="00C24901"/>
    <w:rsid w:val="00C25CC2"/>
    <w:rsid w:val="00C26C96"/>
    <w:rsid w:val="00C3017D"/>
    <w:rsid w:val="00C30403"/>
    <w:rsid w:val="00C30E2D"/>
    <w:rsid w:val="00C3148E"/>
    <w:rsid w:val="00C31F93"/>
    <w:rsid w:val="00C33DAD"/>
    <w:rsid w:val="00C427BC"/>
    <w:rsid w:val="00C4622C"/>
    <w:rsid w:val="00C46C0C"/>
    <w:rsid w:val="00C5268F"/>
    <w:rsid w:val="00C52FA0"/>
    <w:rsid w:val="00C53F43"/>
    <w:rsid w:val="00C60D5A"/>
    <w:rsid w:val="00C61996"/>
    <w:rsid w:val="00C62F0F"/>
    <w:rsid w:val="00C633EE"/>
    <w:rsid w:val="00C63F1C"/>
    <w:rsid w:val="00C64229"/>
    <w:rsid w:val="00C64783"/>
    <w:rsid w:val="00C665E8"/>
    <w:rsid w:val="00C66696"/>
    <w:rsid w:val="00C66A2E"/>
    <w:rsid w:val="00C714DC"/>
    <w:rsid w:val="00C75D83"/>
    <w:rsid w:val="00C81857"/>
    <w:rsid w:val="00C83540"/>
    <w:rsid w:val="00C84879"/>
    <w:rsid w:val="00C85419"/>
    <w:rsid w:val="00C87EF3"/>
    <w:rsid w:val="00C90C91"/>
    <w:rsid w:val="00C90E78"/>
    <w:rsid w:val="00C91D43"/>
    <w:rsid w:val="00C92969"/>
    <w:rsid w:val="00C92F50"/>
    <w:rsid w:val="00C93F87"/>
    <w:rsid w:val="00CA0A24"/>
    <w:rsid w:val="00CA1525"/>
    <w:rsid w:val="00CA1D2F"/>
    <w:rsid w:val="00CA36C9"/>
    <w:rsid w:val="00CA53AA"/>
    <w:rsid w:val="00CA6441"/>
    <w:rsid w:val="00CA7C06"/>
    <w:rsid w:val="00CB1C1A"/>
    <w:rsid w:val="00CB609A"/>
    <w:rsid w:val="00CC25F0"/>
    <w:rsid w:val="00CC31B2"/>
    <w:rsid w:val="00CC5B31"/>
    <w:rsid w:val="00CD36AF"/>
    <w:rsid w:val="00CD71DE"/>
    <w:rsid w:val="00CD74E2"/>
    <w:rsid w:val="00CE3776"/>
    <w:rsid w:val="00CE3F95"/>
    <w:rsid w:val="00CE6B99"/>
    <w:rsid w:val="00CE7040"/>
    <w:rsid w:val="00CE7B88"/>
    <w:rsid w:val="00CF0FD6"/>
    <w:rsid w:val="00CF1254"/>
    <w:rsid w:val="00CF2C6D"/>
    <w:rsid w:val="00CF6F18"/>
    <w:rsid w:val="00CF7B32"/>
    <w:rsid w:val="00CF7C24"/>
    <w:rsid w:val="00D040DE"/>
    <w:rsid w:val="00D04E90"/>
    <w:rsid w:val="00D065EF"/>
    <w:rsid w:val="00D07A24"/>
    <w:rsid w:val="00D125B1"/>
    <w:rsid w:val="00D12913"/>
    <w:rsid w:val="00D129B7"/>
    <w:rsid w:val="00D13A9E"/>
    <w:rsid w:val="00D20027"/>
    <w:rsid w:val="00D2032A"/>
    <w:rsid w:val="00D205DF"/>
    <w:rsid w:val="00D3144D"/>
    <w:rsid w:val="00D336DA"/>
    <w:rsid w:val="00D41A5F"/>
    <w:rsid w:val="00D41C03"/>
    <w:rsid w:val="00D452AD"/>
    <w:rsid w:val="00D454FB"/>
    <w:rsid w:val="00D46857"/>
    <w:rsid w:val="00D50A10"/>
    <w:rsid w:val="00D526BB"/>
    <w:rsid w:val="00D5374F"/>
    <w:rsid w:val="00D53BD8"/>
    <w:rsid w:val="00D67A0D"/>
    <w:rsid w:val="00D70BA6"/>
    <w:rsid w:val="00D7261B"/>
    <w:rsid w:val="00D746F8"/>
    <w:rsid w:val="00D74951"/>
    <w:rsid w:val="00D76CCE"/>
    <w:rsid w:val="00D816F8"/>
    <w:rsid w:val="00D825BB"/>
    <w:rsid w:val="00D85E4D"/>
    <w:rsid w:val="00D872A1"/>
    <w:rsid w:val="00D91A7B"/>
    <w:rsid w:val="00DA1440"/>
    <w:rsid w:val="00DA3ADC"/>
    <w:rsid w:val="00DA632A"/>
    <w:rsid w:val="00DB2333"/>
    <w:rsid w:val="00DB7CCE"/>
    <w:rsid w:val="00DC5358"/>
    <w:rsid w:val="00DC6887"/>
    <w:rsid w:val="00DC7CB8"/>
    <w:rsid w:val="00DD06B2"/>
    <w:rsid w:val="00DD0E89"/>
    <w:rsid w:val="00DD226D"/>
    <w:rsid w:val="00DD3677"/>
    <w:rsid w:val="00DD4FB8"/>
    <w:rsid w:val="00DD5CD6"/>
    <w:rsid w:val="00DD5D02"/>
    <w:rsid w:val="00DD7DC0"/>
    <w:rsid w:val="00DE40D1"/>
    <w:rsid w:val="00DF30E8"/>
    <w:rsid w:val="00E01F1F"/>
    <w:rsid w:val="00E047F7"/>
    <w:rsid w:val="00E061E2"/>
    <w:rsid w:val="00E06CE7"/>
    <w:rsid w:val="00E0777F"/>
    <w:rsid w:val="00E10C19"/>
    <w:rsid w:val="00E114B0"/>
    <w:rsid w:val="00E1516B"/>
    <w:rsid w:val="00E16131"/>
    <w:rsid w:val="00E21940"/>
    <w:rsid w:val="00E22C73"/>
    <w:rsid w:val="00E25185"/>
    <w:rsid w:val="00E2561E"/>
    <w:rsid w:val="00E318CB"/>
    <w:rsid w:val="00E330B6"/>
    <w:rsid w:val="00E4249B"/>
    <w:rsid w:val="00E434E1"/>
    <w:rsid w:val="00E46ACD"/>
    <w:rsid w:val="00E521D3"/>
    <w:rsid w:val="00E523FB"/>
    <w:rsid w:val="00E5291B"/>
    <w:rsid w:val="00E543C3"/>
    <w:rsid w:val="00E54FB4"/>
    <w:rsid w:val="00E55907"/>
    <w:rsid w:val="00E57DEC"/>
    <w:rsid w:val="00E60E50"/>
    <w:rsid w:val="00E636D4"/>
    <w:rsid w:val="00E63C43"/>
    <w:rsid w:val="00E64DEF"/>
    <w:rsid w:val="00E73610"/>
    <w:rsid w:val="00E74315"/>
    <w:rsid w:val="00E747D4"/>
    <w:rsid w:val="00E74E23"/>
    <w:rsid w:val="00E80BB1"/>
    <w:rsid w:val="00E817F2"/>
    <w:rsid w:val="00E81DA7"/>
    <w:rsid w:val="00E82486"/>
    <w:rsid w:val="00E84BA4"/>
    <w:rsid w:val="00E85772"/>
    <w:rsid w:val="00E87522"/>
    <w:rsid w:val="00E876A9"/>
    <w:rsid w:val="00E908CD"/>
    <w:rsid w:val="00E929A5"/>
    <w:rsid w:val="00E937B3"/>
    <w:rsid w:val="00E94549"/>
    <w:rsid w:val="00E9783F"/>
    <w:rsid w:val="00EA0BE9"/>
    <w:rsid w:val="00EA1422"/>
    <w:rsid w:val="00EA3897"/>
    <w:rsid w:val="00EA4065"/>
    <w:rsid w:val="00EA4231"/>
    <w:rsid w:val="00EA49B1"/>
    <w:rsid w:val="00EB077D"/>
    <w:rsid w:val="00EB294E"/>
    <w:rsid w:val="00EB788D"/>
    <w:rsid w:val="00EC1457"/>
    <w:rsid w:val="00EC1786"/>
    <w:rsid w:val="00EC347E"/>
    <w:rsid w:val="00EC4110"/>
    <w:rsid w:val="00EC637A"/>
    <w:rsid w:val="00ED00F5"/>
    <w:rsid w:val="00ED2393"/>
    <w:rsid w:val="00EF6C21"/>
    <w:rsid w:val="00F04198"/>
    <w:rsid w:val="00F05754"/>
    <w:rsid w:val="00F071BA"/>
    <w:rsid w:val="00F10ADE"/>
    <w:rsid w:val="00F11E63"/>
    <w:rsid w:val="00F13D13"/>
    <w:rsid w:val="00F14337"/>
    <w:rsid w:val="00F144CB"/>
    <w:rsid w:val="00F147E9"/>
    <w:rsid w:val="00F1540D"/>
    <w:rsid w:val="00F20222"/>
    <w:rsid w:val="00F2024F"/>
    <w:rsid w:val="00F330E9"/>
    <w:rsid w:val="00F464CC"/>
    <w:rsid w:val="00F60A4F"/>
    <w:rsid w:val="00F63780"/>
    <w:rsid w:val="00F72C0E"/>
    <w:rsid w:val="00F76816"/>
    <w:rsid w:val="00F80418"/>
    <w:rsid w:val="00F83574"/>
    <w:rsid w:val="00F9143A"/>
    <w:rsid w:val="00F917CC"/>
    <w:rsid w:val="00F95FB6"/>
    <w:rsid w:val="00F96A4A"/>
    <w:rsid w:val="00F974D1"/>
    <w:rsid w:val="00F97BE7"/>
    <w:rsid w:val="00FA040A"/>
    <w:rsid w:val="00FA374C"/>
    <w:rsid w:val="00FB2B14"/>
    <w:rsid w:val="00FB2B8D"/>
    <w:rsid w:val="00FB646B"/>
    <w:rsid w:val="00FB7C81"/>
    <w:rsid w:val="00FC297B"/>
    <w:rsid w:val="00FC2FA4"/>
    <w:rsid w:val="00FC3770"/>
    <w:rsid w:val="00FC4D7A"/>
    <w:rsid w:val="00FC7755"/>
    <w:rsid w:val="00FD5734"/>
    <w:rsid w:val="00FD5D9E"/>
    <w:rsid w:val="00FD657B"/>
    <w:rsid w:val="00FE25A0"/>
    <w:rsid w:val="00FE3FF1"/>
    <w:rsid w:val="00FE46CC"/>
    <w:rsid w:val="00FE56E4"/>
    <w:rsid w:val="00FF2D14"/>
    <w:rsid w:val="00FF5B3B"/>
    <w:rsid w:val="00FF5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D87F"/>
  <w15:chartTrackingRefBased/>
  <w15:docId w15:val="{B063EC79-2DFA-4808-98B8-40A3AE0D0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189"/>
  </w:style>
  <w:style w:type="paragraph" w:styleId="Heading1">
    <w:name w:val="heading 1"/>
    <w:basedOn w:val="Normal"/>
    <w:next w:val="Normal"/>
    <w:link w:val="Heading1Char"/>
    <w:uiPriority w:val="9"/>
    <w:qFormat/>
    <w:rsid w:val="00C46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C0C"/>
    <w:rPr>
      <w:rFonts w:eastAsiaTheme="majorEastAsia" w:cstheme="majorBidi"/>
      <w:color w:val="272727" w:themeColor="text1" w:themeTint="D8"/>
    </w:rPr>
  </w:style>
  <w:style w:type="paragraph" w:styleId="Title">
    <w:name w:val="Title"/>
    <w:basedOn w:val="Normal"/>
    <w:next w:val="Normal"/>
    <w:link w:val="TitleChar"/>
    <w:uiPriority w:val="10"/>
    <w:qFormat/>
    <w:rsid w:val="00C46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C0C"/>
    <w:pPr>
      <w:spacing w:before="160"/>
      <w:jc w:val="center"/>
    </w:pPr>
    <w:rPr>
      <w:i/>
      <w:iCs/>
      <w:color w:val="404040" w:themeColor="text1" w:themeTint="BF"/>
    </w:rPr>
  </w:style>
  <w:style w:type="character" w:customStyle="1" w:styleId="QuoteChar">
    <w:name w:val="Quote Char"/>
    <w:basedOn w:val="DefaultParagraphFont"/>
    <w:link w:val="Quote"/>
    <w:uiPriority w:val="29"/>
    <w:rsid w:val="00C46C0C"/>
    <w:rPr>
      <w:i/>
      <w:iCs/>
      <w:color w:val="404040" w:themeColor="text1" w:themeTint="BF"/>
    </w:rPr>
  </w:style>
  <w:style w:type="paragraph" w:styleId="ListParagraph">
    <w:name w:val="List Paragraph"/>
    <w:basedOn w:val="Normal"/>
    <w:uiPriority w:val="34"/>
    <w:qFormat/>
    <w:rsid w:val="00C46C0C"/>
    <w:pPr>
      <w:ind w:left="720"/>
      <w:contextualSpacing/>
    </w:pPr>
  </w:style>
  <w:style w:type="character" w:styleId="IntenseEmphasis">
    <w:name w:val="Intense Emphasis"/>
    <w:basedOn w:val="DefaultParagraphFont"/>
    <w:uiPriority w:val="21"/>
    <w:qFormat/>
    <w:rsid w:val="00C46C0C"/>
    <w:rPr>
      <w:i/>
      <w:iCs/>
      <w:color w:val="0F4761" w:themeColor="accent1" w:themeShade="BF"/>
    </w:rPr>
  </w:style>
  <w:style w:type="paragraph" w:styleId="IntenseQuote">
    <w:name w:val="Intense Quote"/>
    <w:basedOn w:val="Normal"/>
    <w:next w:val="Normal"/>
    <w:link w:val="IntenseQuoteChar"/>
    <w:uiPriority w:val="30"/>
    <w:qFormat/>
    <w:rsid w:val="00C46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C0C"/>
    <w:rPr>
      <w:i/>
      <w:iCs/>
      <w:color w:val="0F4761" w:themeColor="accent1" w:themeShade="BF"/>
    </w:rPr>
  </w:style>
  <w:style w:type="character" w:styleId="IntenseReference">
    <w:name w:val="Intense Reference"/>
    <w:basedOn w:val="DefaultParagraphFont"/>
    <w:uiPriority w:val="32"/>
    <w:qFormat/>
    <w:rsid w:val="00C46C0C"/>
    <w:rPr>
      <w:b/>
      <w:bCs/>
      <w:smallCaps/>
      <w:color w:val="0F4761" w:themeColor="accent1" w:themeShade="BF"/>
      <w:spacing w:val="5"/>
    </w:rPr>
  </w:style>
  <w:style w:type="character" w:styleId="Strong">
    <w:name w:val="Strong"/>
    <w:basedOn w:val="DefaultParagraphFont"/>
    <w:uiPriority w:val="22"/>
    <w:qFormat/>
    <w:rsid w:val="00975F2E"/>
    <w:rPr>
      <w:b/>
      <w:bCs/>
    </w:rPr>
  </w:style>
  <w:style w:type="character" w:styleId="Hyperlink">
    <w:name w:val="Hyperlink"/>
    <w:basedOn w:val="DefaultParagraphFont"/>
    <w:uiPriority w:val="99"/>
    <w:unhideWhenUsed/>
    <w:rsid w:val="007C5690"/>
    <w:rPr>
      <w:color w:val="0000FF"/>
      <w:u w:val="single"/>
    </w:rPr>
  </w:style>
  <w:style w:type="character" w:styleId="FollowedHyperlink">
    <w:name w:val="FollowedHyperlink"/>
    <w:basedOn w:val="DefaultParagraphFont"/>
    <w:uiPriority w:val="99"/>
    <w:semiHidden/>
    <w:unhideWhenUsed/>
    <w:rsid w:val="002530C3"/>
    <w:rPr>
      <w:color w:val="96607D" w:themeColor="followedHyperlink"/>
      <w:u w:val="single"/>
    </w:rPr>
  </w:style>
  <w:style w:type="paragraph" w:styleId="NormalWeb">
    <w:name w:val="Normal (Web)"/>
    <w:basedOn w:val="Normal"/>
    <w:uiPriority w:val="99"/>
    <w:semiHidden/>
    <w:unhideWhenUsed/>
    <w:rsid w:val="002279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50BFD"/>
    <w:rPr>
      <w:color w:val="605E5C"/>
      <w:shd w:val="clear" w:color="auto" w:fill="E1DFDD"/>
    </w:rPr>
  </w:style>
  <w:style w:type="character" w:customStyle="1" w:styleId="text">
    <w:name w:val="text"/>
    <w:basedOn w:val="DefaultParagraphFont"/>
    <w:rsid w:val="00040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803604">
      <w:bodyDiv w:val="1"/>
      <w:marLeft w:val="0"/>
      <w:marRight w:val="0"/>
      <w:marTop w:val="0"/>
      <w:marBottom w:val="0"/>
      <w:divBdr>
        <w:top w:val="none" w:sz="0" w:space="0" w:color="auto"/>
        <w:left w:val="none" w:sz="0" w:space="0" w:color="auto"/>
        <w:bottom w:val="none" w:sz="0" w:space="0" w:color="auto"/>
        <w:right w:val="none" w:sz="0" w:space="0" w:color="auto"/>
      </w:divBdr>
    </w:div>
    <w:div w:id="254827717">
      <w:bodyDiv w:val="1"/>
      <w:marLeft w:val="0"/>
      <w:marRight w:val="0"/>
      <w:marTop w:val="0"/>
      <w:marBottom w:val="0"/>
      <w:divBdr>
        <w:top w:val="none" w:sz="0" w:space="0" w:color="auto"/>
        <w:left w:val="none" w:sz="0" w:space="0" w:color="auto"/>
        <w:bottom w:val="none" w:sz="0" w:space="0" w:color="auto"/>
        <w:right w:val="none" w:sz="0" w:space="0" w:color="auto"/>
      </w:divBdr>
    </w:div>
    <w:div w:id="301037583">
      <w:bodyDiv w:val="1"/>
      <w:marLeft w:val="0"/>
      <w:marRight w:val="0"/>
      <w:marTop w:val="0"/>
      <w:marBottom w:val="0"/>
      <w:divBdr>
        <w:top w:val="none" w:sz="0" w:space="0" w:color="auto"/>
        <w:left w:val="none" w:sz="0" w:space="0" w:color="auto"/>
        <w:bottom w:val="none" w:sz="0" w:space="0" w:color="auto"/>
        <w:right w:val="none" w:sz="0" w:space="0" w:color="auto"/>
      </w:divBdr>
    </w:div>
    <w:div w:id="322510391">
      <w:bodyDiv w:val="1"/>
      <w:marLeft w:val="0"/>
      <w:marRight w:val="0"/>
      <w:marTop w:val="0"/>
      <w:marBottom w:val="0"/>
      <w:divBdr>
        <w:top w:val="none" w:sz="0" w:space="0" w:color="auto"/>
        <w:left w:val="none" w:sz="0" w:space="0" w:color="auto"/>
        <w:bottom w:val="none" w:sz="0" w:space="0" w:color="auto"/>
        <w:right w:val="none" w:sz="0" w:space="0" w:color="auto"/>
      </w:divBdr>
    </w:div>
    <w:div w:id="372654603">
      <w:bodyDiv w:val="1"/>
      <w:marLeft w:val="0"/>
      <w:marRight w:val="0"/>
      <w:marTop w:val="0"/>
      <w:marBottom w:val="0"/>
      <w:divBdr>
        <w:top w:val="none" w:sz="0" w:space="0" w:color="auto"/>
        <w:left w:val="none" w:sz="0" w:space="0" w:color="auto"/>
        <w:bottom w:val="none" w:sz="0" w:space="0" w:color="auto"/>
        <w:right w:val="none" w:sz="0" w:space="0" w:color="auto"/>
      </w:divBdr>
    </w:div>
    <w:div w:id="394620550">
      <w:bodyDiv w:val="1"/>
      <w:marLeft w:val="0"/>
      <w:marRight w:val="0"/>
      <w:marTop w:val="0"/>
      <w:marBottom w:val="0"/>
      <w:divBdr>
        <w:top w:val="none" w:sz="0" w:space="0" w:color="auto"/>
        <w:left w:val="none" w:sz="0" w:space="0" w:color="auto"/>
        <w:bottom w:val="none" w:sz="0" w:space="0" w:color="auto"/>
        <w:right w:val="none" w:sz="0" w:space="0" w:color="auto"/>
      </w:divBdr>
    </w:div>
    <w:div w:id="444815906">
      <w:bodyDiv w:val="1"/>
      <w:marLeft w:val="0"/>
      <w:marRight w:val="0"/>
      <w:marTop w:val="0"/>
      <w:marBottom w:val="0"/>
      <w:divBdr>
        <w:top w:val="none" w:sz="0" w:space="0" w:color="auto"/>
        <w:left w:val="none" w:sz="0" w:space="0" w:color="auto"/>
        <w:bottom w:val="none" w:sz="0" w:space="0" w:color="auto"/>
        <w:right w:val="none" w:sz="0" w:space="0" w:color="auto"/>
      </w:divBdr>
    </w:div>
    <w:div w:id="876551003">
      <w:bodyDiv w:val="1"/>
      <w:marLeft w:val="0"/>
      <w:marRight w:val="0"/>
      <w:marTop w:val="0"/>
      <w:marBottom w:val="0"/>
      <w:divBdr>
        <w:top w:val="none" w:sz="0" w:space="0" w:color="auto"/>
        <w:left w:val="none" w:sz="0" w:space="0" w:color="auto"/>
        <w:bottom w:val="none" w:sz="0" w:space="0" w:color="auto"/>
        <w:right w:val="none" w:sz="0" w:space="0" w:color="auto"/>
      </w:divBdr>
    </w:div>
    <w:div w:id="948439066">
      <w:bodyDiv w:val="1"/>
      <w:marLeft w:val="0"/>
      <w:marRight w:val="0"/>
      <w:marTop w:val="0"/>
      <w:marBottom w:val="0"/>
      <w:divBdr>
        <w:top w:val="none" w:sz="0" w:space="0" w:color="auto"/>
        <w:left w:val="none" w:sz="0" w:space="0" w:color="auto"/>
        <w:bottom w:val="none" w:sz="0" w:space="0" w:color="auto"/>
        <w:right w:val="none" w:sz="0" w:space="0" w:color="auto"/>
      </w:divBdr>
    </w:div>
    <w:div w:id="992559617">
      <w:bodyDiv w:val="1"/>
      <w:marLeft w:val="0"/>
      <w:marRight w:val="0"/>
      <w:marTop w:val="0"/>
      <w:marBottom w:val="0"/>
      <w:divBdr>
        <w:top w:val="none" w:sz="0" w:space="0" w:color="auto"/>
        <w:left w:val="none" w:sz="0" w:space="0" w:color="auto"/>
        <w:bottom w:val="none" w:sz="0" w:space="0" w:color="auto"/>
        <w:right w:val="none" w:sz="0" w:space="0" w:color="auto"/>
      </w:divBdr>
    </w:div>
    <w:div w:id="1252424734">
      <w:bodyDiv w:val="1"/>
      <w:marLeft w:val="0"/>
      <w:marRight w:val="0"/>
      <w:marTop w:val="0"/>
      <w:marBottom w:val="0"/>
      <w:divBdr>
        <w:top w:val="none" w:sz="0" w:space="0" w:color="auto"/>
        <w:left w:val="none" w:sz="0" w:space="0" w:color="auto"/>
        <w:bottom w:val="none" w:sz="0" w:space="0" w:color="auto"/>
        <w:right w:val="none" w:sz="0" w:space="0" w:color="auto"/>
      </w:divBdr>
    </w:div>
    <w:div w:id="1512917032">
      <w:bodyDiv w:val="1"/>
      <w:marLeft w:val="0"/>
      <w:marRight w:val="0"/>
      <w:marTop w:val="0"/>
      <w:marBottom w:val="0"/>
      <w:divBdr>
        <w:top w:val="none" w:sz="0" w:space="0" w:color="auto"/>
        <w:left w:val="none" w:sz="0" w:space="0" w:color="auto"/>
        <w:bottom w:val="none" w:sz="0" w:space="0" w:color="auto"/>
        <w:right w:val="none" w:sz="0" w:space="0" w:color="auto"/>
      </w:divBdr>
    </w:div>
    <w:div w:id="1592082037">
      <w:bodyDiv w:val="1"/>
      <w:marLeft w:val="0"/>
      <w:marRight w:val="0"/>
      <w:marTop w:val="0"/>
      <w:marBottom w:val="0"/>
      <w:divBdr>
        <w:top w:val="none" w:sz="0" w:space="0" w:color="auto"/>
        <w:left w:val="none" w:sz="0" w:space="0" w:color="auto"/>
        <w:bottom w:val="none" w:sz="0" w:space="0" w:color="auto"/>
        <w:right w:val="none" w:sz="0" w:space="0" w:color="auto"/>
      </w:divBdr>
    </w:div>
    <w:div w:id="1654412726">
      <w:bodyDiv w:val="1"/>
      <w:marLeft w:val="0"/>
      <w:marRight w:val="0"/>
      <w:marTop w:val="0"/>
      <w:marBottom w:val="0"/>
      <w:divBdr>
        <w:top w:val="none" w:sz="0" w:space="0" w:color="auto"/>
        <w:left w:val="none" w:sz="0" w:space="0" w:color="auto"/>
        <w:bottom w:val="none" w:sz="0" w:space="0" w:color="auto"/>
        <w:right w:val="none" w:sz="0" w:space="0" w:color="auto"/>
      </w:divBdr>
    </w:div>
    <w:div w:id="1817186780">
      <w:bodyDiv w:val="1"/>
      <w:marLeft w:val="0"/>
      <w:marRight w:val="0"/>
      <w:marTop w:val="0"/>
      <w:marBottom w:val="0"/>
      <w:divBdr>
        <w:top w:val="none" w:sz="0" w:space="0" w:color="auto"/>
        <w:left w:val="none" w:sz="0" w:space="0" w:color="auto"/>
        <w:bottom w:val="none" w:sz="0" w:space="0" w:color="auto"/>
        <w:right w:val="none" w:sz="0" w:space="0" w:color="auto"/>
      </w:divBdr>
    </w:div>
    <w:div w:id="1898473625">
      <w:bodyDiv w:val="1"/>
      <w:marLeft w:val="0"/>
      <w:marRight w:val="0"/>
      <w:marTop w:val="0"/>
      <w:marBottom w:val="0"/>
      <w:divBdr>
        <w:top w:val="none" w:sz="0" w:space="0" w:color="auto"/>
        <w:left w:val="none" w:sz="0" w:space="0" w:color="auto"/>
        <w:bottom w:val="none" w:sz="0" w:space="0" w:color="auto"/>
        <w:right w:val="none" w:sz="0" w:space="0" w:color="auto"/>
      </w:divBdr>
    </w:div>
    <w:div w:id="2027172201">
      <w:bodyDiv w:val="1"/>
      <w:marLeft w:val="0"/>
      <w:marRight w:val="0"/>
      <w:marTop w:val="0"/>
      <w:marBottom w:val="0"/>
      <w:divBdr>
        <w:top w:val="none" w:sz="0" w:space="0" w:color="auto"/>
        <w:left w:val="none" w:sz="0" w:space="0" w:color="auto"/>
        <w:bottom w:val="none" w:sz="0" w:space="0" w:color="auto"/>
        <w:right w:val="none" w:sz="0" w:space="0" w:color="auto"/>
      </w:divBdr>
    </w:div>
    <w:div w:id="212789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jls/gqab007" TargetMode="External"/><Relationship Id="rId13" Type="http://schemas.openxmlformats.org/officeDocument/2006/relationships/hyperlink" Target="https://www.cps.gov.uk/legal-guidance/theft-act-offences" TargetMode="External"/><Relationship Id="rId3" Type="http://schemas.openxmlformats.org/officeDocument/2006/relationships/settings" Target="settings.xml"/><Relationship Id="rId7" Type="http://schemas.openxmlformats.org/officeDocument/2006/relationships/hyperlink" Target="https://doi.org/10.1177/0022018319879847" TargetMode="External"/><Relationship Id="rId12" Type="http://schemas.openxmlformats.org/officeDocument/2006/relationships/hyperlink" Target="https://www.cps.gov.uk/cps/news/update-cps-case-redefines-legal-test-dishonesty-criminal-law"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upremecourt.uk/cases/docs/uksc-2016-0213-press-summary.pdf" TargetMode="External"/><Relationship Id="rId11" Type="http://schemas.openxmlformats.org/officeDocument/2006/relationships/hyperlink" Target="https://doi-org.ezproxy.uwtsd.ac.uk/10.1177/1473779519834851" TargetMode="External"/><Relationship Id="rId5" Type="http://schemas.openxmlformats.org/officeDocument/2006/relationships/hyperlink" Target="https://doi.org/10.1007/s10892-019-09314-1" TargetMode="External"/><Relationship Id="rId15" Type="http://schemas.openxmlformats.org/officeDocument/2006/relationships/hyperlink" Target="https://doi-org.ezproxy.uwtsd.ac.uk/10.1177/00220183211028702" TargetMode="External"/><Relationship Id="rId10" Type="http://schemas.openxmlformats.org/officeDocument/2006/relationships/hyperlink" Target="https://doi.org/10.1350/clwr.2009.38.2.0183" TargetMode="External"/><Relationship Id="rId4" Type="http://schemas.openxmlformats.org/officeDocument/2006/relationships/webSettings" Target="webSettings.xml"/><Relationship Id="rId9" Type="http://schemas.openxmlformats.org/officeDocument/2006/relationships/hyperlink" Target="https://doi.org/10.1017/S0008197300112632" TargetMode="External"/><Relationship Id="rId14" Type="http://schemas.openxmlformats.org/officeDocument/2006/relationships/hyperlink" Target="https://www.legislation.gov.uk/ukpga/1968/60/section/2/dat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1073</TotalTime>
  <Pages>4</Pages>
  <Words>1809</Words>
  <Characters>10314</Characters>
  <Application>Microsoft Office Word</Application>
  <DocSecurity>0</DocSecurity>
  <Lines>85</Lines>
  <Paragraphs>24</Paragraphs>
  <ScaleCrop>false</ScaleCrop>
  <Company/>
  <LinksUpToDate>false</LinksUpToDate>
  <CharactersWithSpaces>12099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860</cp:revision>
  <dcterms:created xsi:type="dcterms:W3CDTF">2024-03-15T12:12:00Z</dcterms:created>
  <dcterms:modified xsi:type="dcterms:W3CDTF">2024-04-11T14:04:00Z</dcterms:modified>
</cp:coreProperties>
</file>