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32"/>
          <w:shd w:fill="auto" w:val="clear"/>
        </w:rPr>
      </w:pPr>
      <w:r>
        <w:object w:dxaOrig="3516" w:dyaOrig="1728">
          <v:rect xmlns:o="urn:schemas-microsoft-com:office:office" xmlns:v="urn:schemas-microsoft-com:vml" id="rectole0000000000" style="width:175.800000pt;height:86.4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276"/>
        <w:ind w:right="0" w:left="0" w:firstLine="0"/>
        <w:jc w:val="center"/>
        <w:rPr>
          <w:rFonts w:ascii="Times New Roman" w:hAnsi="Times New Roman" w:cs="Times New Roman" w:eastAsia="Times New Roman"/>
          <w:b/>
          <w:color w:val="auto"/>
          <w:spacing w:val="0"/>
          <w:position w:val="0"/>
          <w:sz w:val="4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60"/>
          <w:shd w:fill="auto" w:val="clear"/>
        </w:rPr>
      </w:pPr>
      <w:r>
        <w:rPr>
          <w:rFonts w:ascii="Times New Roman" w:hAnsi="Times New Roman" w:cs="Times New Roman" w:eastAsia="Times New Roman"/>
          <w:b/>
          <w:color w:val="auto"/>
          <w:spacing w:val="0"/>
          <w:position w:val="0"/>
          <w:sz w:val="60"/>
          <w:shd w:fill="auto" w:val="clear"/>
        </w:rPr>
        <w:t xml:space="preserve">Certificate of Higher Education in Employability Skills </w:t>
      </w:r>
    </w:p>
    <w:p>
      <w:pPr>
        <w:spacing w:before="0" w:after="200" w:line="276"/>
        <w:ind w:right="0" w:left="0" w:firstLine="0"/>
        <w:jc w:val="center"/>
        <w:rPr>
          <w:rFonts w:ascii="Times New Roman" w:hAnsi="Times New Roman" w:cs="Times New Roman" w:eastAsia="Times New Roman"/>
          <w:b/>
          <w:color w:val="auto"/>
          <w:spacing w:val="0"/>
          <w:position w:val="0"/>
          <w:sz w:val="60"/>
          <w:shd w:fill="auto" w:val="clear"/>
        </w:rPr>
      </w:pPr>
    </w:p>
    <w:p>
      <w:pPr>
        <w:spacing w:before="0" w:after="200" w:line="276"/>
        <w:ind w:right="0" w:left="0" w:firstLine="0"/>
        <w:jc w:val="center"/>
        <w:rPr>
          <w:rFonts w:ascii="Times New Roman" w:hAnsi="Times New Roman" w:cs="Times New Roman" w:eastAsia="Times New Roman"/>
          <w:b/>
          <w:i/>
          <w:color w:val="auto"/>
          <w:spacing w:val="0"/>
          <w:position w:val="0"/>
          <w:sz w:val="36"/>
          <w:u w:val="single"/>
          <w:shd w:fill="auto" w:val="clear"/>
        </w:rPr>
      </w:pPr>
      <w:r>
        <w:rPr>
          <w:rFonts w:ascii="Times New Roman" w:hAnsi="Times New Roman" w:cs="Times New Roman" w:eastAsia="Times New Roman"/>
          <w:b/>
          <w:i/>
          <w:color w:val="auto"/>
          <w:spacing w:val="0"/>
          <w:position w:val="0"/>
          <w:sz w:val="36"/>
          <w:u w:val="single"/>
          <w:shd w:fill="auto" w:val="clear"/>
        </w:rPr>
        <w:t xml:space="preserve">BMSW4012 </w:t>
      </w:r>
    </w:p>
    <w:p>
      <w:pPr>
        <w:spacing w:before="0" w:after="200" w:line="276"/>
        <w:ind w:right="0" w:left="0" w:firstLine="0"/>
        <w:jc w:val="center"/>
        <w:rPr>
          <w:rFonts w:ascii="Times New Roman" w:hAnsi="Times New Roman" w:cs="Times New Roman" w:eastAsia="Times New Roman"/>
          <w:b/>
          <w:i/>
          <w:color w:val="auto"/>
          <w:spacing w:val="0"/>
          <w:position w:val="0"/>
          <w:sz w:val="36"/>
          <w:u w:val="single"/>
          <w:shd w:fill="auto" w:val="clear"/>
        </w:rPr>
      </w:pPr>
      <w:r>
        <w:rPr>
          <w:rFonts w:ascii="Times New Roman" w:hAnsi="Times New Roman" w:cs="Times New Roman" w:eastAsia="Times New Roman"/>
          <w:b/>
          <w:i/>
          <w:color w:val="auto"/>
          <w:spacing w:val="0"/>
          <w:position w:val="0"/>
          <w:sz w:val="36"/>
          <w:u w:val="single"/>
          <w:shd w:fill="auto" w:val="clear"/>
        </w:rPr>
        <w:t xml:space="preserve">Professional Career Development (PART A- ESSAY)</w:t>
      </w:r>
    </w:p>
    <w:p>
      <w:pPr>
        <w:spacing w:before="0" w:after="200" w:line="276"/>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Student Name: Karel Gorol</w:t>
      </w:r>
    </w:p>
    <w:p>
      <w:pPr>
        <w:spacing w:before="0" w:after="200" w:line="276"/>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32"/>
          <w:shd w:fill="auto" w:val="clear"/>
        </w:rPr>
        <w:t xml:space="preserve">Student ID:</w:t>
      </w:r>
      <w:r>
        <w:rPr>
          <w:rFonts w:ascii="Times New Roman" w:hAnsi="Times New Roman" w:cs="Times New Roman" w:eastAsia="Times New Roman"/>
          <w:color w:val="auto"/>
          <w:spacing w:val="0"/>
          <w:position w:val="0"/>
          <w:sz w:val="32"/>
          <w:shd w:fill="auto" w:val="clear"/>
        </w:rPr>
        <w:t xml:space="preserve"> 2020052</w:t>
      </w: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Throughout the course, I have honed my skills in professional Career Development, focusing on learning activities and work experience that contribute to future career development. This journey has not only enhanced my core capabilities but also led to significant growth in other areas such as career advancement, job satisfaction, and adaptability. Regular lectures and active participation in various activities have been instrumental in improving my professional problem-solving and communication skills.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Description</w:t>
      </w:r>
      <w:r>
        <w:rPr>
          <w:rFonts w:ascii="Times New Roman" w:hAnsi="Times New Roman" w:cs="Times New Roman" w:eastAsia="Times New Roman"/>
          <w:color w:val="auto"/>
          <w:spacing w:val="0"/>
          <w:position w:val="0"/>
          <w:sz w:val="24"/>
          <w:shd w:fill="auto" w:val="clear"/>
        </w:rPr>
        <w:t xml:space="preserve">- In order to polish my skills or to gain some new, I have worked on myself by taking regular lectures and working on self-improvement. To track my improvement, I took a few tests, and even when I scored less in those, I pushed myself to do better (</w:t>
      </w:r>
      <w:r>
        <w:rPr>
          <w:rFonts w:ascii="Times New Roman" w:hAnsi="Times New Roman" w:cs="Times New Roman" w:eastAsia="Times New Roman"/>
          <w:color w:val="222222"/>
          <w:spacing w:val="0"/>
          <w:position w:val="0"/>
          <w:sz w:val="24"/>
          <w:shd w:fill="FFFFFF" w:val="clear"/>
        </w:rPr>
        <w:t xml:space="preserve">Adeani et. al., 2020</w:t>
      </w:r>
      <w:r>
        <w:rPr>
          <w:rFonts w:ascii="Times New Roman" w:hAnsi="Times New Roman" w:cs="Times New Roman" w:eastAsia="Times New Roman"/>
          <w:color w:val="auto"/>
          <w:spacing w:val="0"/>
          <w:position w:val="0"/>
          <w:sz w:val="24"/>
          <w:shd w:fill="auto" w:val="clear"/>
        </w:rPr>
        <w:t xml:space="preserve">).  I have good communication and negotiation skills, which helps me prepare for a job interview in week 1. However, one of my weaknesses is that I am not resilient enough. I cannot bounce back from a failure or a negative situation, which I had worked on in week 2 by calming myself in such situations and seeing it positively (Cassamo, M., 2024b). In week 3, in-class lectures, it was discussed how we could track our improvement by some framework such as the Myers Briggs type indicator, SMART goal, and Personal Development Plan (PDP) (Cassamo, M., 2024c). By implementing this in my career development plan, I have been able to work on my weaknesses with proper guidance. With the help of my professor and my teammates, and with my zeal to achieve the goal, I learned and completed the task. By the end of week 4, I can say that my personality had changed, and I became more confident for a job interview.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Feelings</w:t>
      </w:r>
      <w:r>
        <w:rPr>
          <w:rFonts w:ascii="Times New Roman" w:hAnsi="Times New Roman" w:cs="Times New Roman" w:eastAsia="Times New Roman"/>
          <w:color w:val="auto"/>
          <w:spacing w:val="0"/>
          <w:position w:val="0"/>
          <w:sz w:val="24"/>
          <w:shd w:fill="auto" w:val="clear"/>
        </w:rPr>
        <w:t xml:space="preserve">- The skills I learned gave me valuable insights into my personality, and I experienced a rollercoaster ride throughout the journey. Some days I felt confident about some skills related to team building and leadership development as I have good negotiation and convincing power. However, I felt a little too low on days when I was dealing with increasing my resilience power and adaptability skills.  I have worked on those with the help of different frameworks and development plans. I had a lack of expertise and knowledge in the areas of professional career development and I was so low on confidence before the start of week 1 (Cassamo, 2024a). I gained experience by developing new skills and implementing or practising those skills on a daily basis. With the help of my fellow colleagues, I practised my job interview questions and worked on my mistakes, and that is how I enhanced my communication skills. I felt relaxed when my teammates helped me with my projects, and calms me whenever I get panicked in specking on a platform. They encouraged me to speak confidently, without fear and hesitation. With various highs and lows in my 4-weeks journey, I felt that my personal growth and I had become a better personal brand. I also felt a little more confident and became more self-aware.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Evaluation</w:t>
      </w:r>
      <w:r>
        <w:rPr>
          <w:rFonts w:ascii="Times New Roman" w:hAnsi="Times New Roman" w:cs="Times New Roman" w:eastAsia="Times New Roman"/>
          <w:color w:val="auto"/>
          <w:spacing w:val="0"/>
          <w:position w:val="0"/>
          <w:sz w:val="24"/>
          <w:shd w:fill="auto" w:val="clear"/>
        </w:rPr>
        <w:t xml:space="preserve">- I evaluated that it was good to obtain skills that help you in personal growth as it also taught us about career development. I analysed and worked on developing my skills through the content of the lectures and observed, experienced, and experimented with help those skills with the help of my seniors and colleagues. This program allowed me to learn from practical examples, theories, and real-life experiences of professionals (Cassamo, 2024d). By collaborating with other people, I have experienced and gained insightful knowledge about the behaviour, needs, and requirements of customers. While learning about the CV building, I learned that building skills is as important as gaining a degree in a particular field. Thus, to evaluate my personal development, I used a few tools such as SWOT Analysis, SMART goals analysis, etc., through which I focused more on development strengths than my weaknesses (</w:t>
      </w:r>
      <w:r>
        <w:rPr>
          <w:rFonts w:ascii="Times New Roman" w:hAnsi="Times New Roman" w:cs="Times New Roman" w:eastAsia="Times New Roman"/>
          <w:color w:val="222222"/>
          <w:spacing w:val="0"/>
          <w:position w:val="0"/>
          <w:sz w:val="24"/>
          <w:shd w:fill="FFFFFF" w:val="clear"/>
        </w:rPr>
        <w:t xml:space="preserve">Puyt, Lie, and Wilderom, 2023)</w:t>
      </w:r>
      <w:r>
        <w:rPr>
          <w:rFonts w:ascii="Times New Roman" w:hAnsi="Times New Roman" w:cs="Times New Roman" w:eastAsia="Times New Roman"/>
          <w:color w:val="auto"/>
          <w:spacing w:val="0"/>
          <w:position w:val="0"/>
          <w:sz w:val="24"/>
          <w:shd w:fill="auto" w:val="clear"/>
        </w:rPr>
        <w:t xml:space="preserve">. I have been able to interact with so many people with different perspectives on life and learn something new from each of them. This way of gaining knowledge and experience allowed and cheered me up to conduct practical jobs in life and, side by side, enhanced my career and resume.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Analysis</w:t>
      </w:r>
      <w:r>
        <w:rPr>
          <w:rFonts w:ascii="Times New Roman" w:hAnsi="Times New Roman" w:cs="Times New Roman" w:eastAsia="Times New Roman"/>
          <w:color w:val="auto"/>
          <w:spacing w:val="0"/>
          <w:position w:val="0"/>
          <w:sz w:val="24"/>
          <w:shd w:fill="auto" w:val="clear"/>
        </w:rPr>
        <w:t xml:space="preserve">: It is analysed that Professional career development is crucial due to networking, personal growth, increased job satisfaction, leadership development, career advancement, skill enhancement, networking, adaptability and better personal brand. I analysed that the knowledge that I obtain from this course would not be obtained from just books or theoretical content. It could only be obtained by me from my professional experiences. I found that various concepts are described to me about professional career development. Furthermore, I learnt about Gibb’s Reflective cycle, which has six stages and is a cyclical model of reflection that assists in systematising reflections and isolating thoughts and feelings (Li et al., 2020). It was given by Professor Graham Gibbs in 1988. Moreover, I got to know about career exploration, which helped me to understand the skills and knowledge that are required to build my career in a particular field (</w:t>
      </w:r>
      <w:r>
        <w:rPr>
          <w:rFonts w:ascii="Times New Roman" w:hAnsi="Times New Roman" w:cs="Times New Roman" w:eastAsia="Times New Roman"/>
          <w:color w:val="222222"/>
          <w:spacing w:val="0"/>
          <w:position w:val="0"/>
          <w:sz w:val="24"/>
          <w:shd w:fill="FFFFFF" w:val="clear"/>
        </w:rPr>
        <w:t xml:space="preserve">Bassot, 2024)</w:t>
      </w:r>
      <w:r>
        <w:rPr>
          <w:rFonts w:ascii="Times New Roman" w:hAnsi="Times New Roman" w:cs="Times New Roman" w:eastAsia="Times New Roman"/>
          <w:color w:val="auto"/>
          <w:spacing w:val="0"/>
          <w:position w:val="0"/>
          <w:sz w:val="24"/>
          <w:shd w:fill="auto" w:val="clear"/>
        </w:rPr>
        <w:t xml:space="preserve">. I understand how to build a CV with appropriate sectioning. I was not aware of any sort of networking events. Meanwhile I found that three good questions can be asked at networking events. Furthermore, I knew about job applications, interview preparations and job offer negotiations. I also analysed that various types of mindsets are people's beliefs about themselves and their core qualities (Cassamo, 2024b). There are two types of mindsets, i.e. fixed mindset and growth mindset. Moreover, I learned to develop a mindset and resilience.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r>
        <w:rPr>
          <w:rFonts w:ascii="Times New Roman" w:hAnsi="Times New Roman" w:cs="Times New Roman" w:eastAsia="Times New Roman"/>
          <w:color w:val="auto"/>
          <w:spacing w:val="0"/>
          <w:position w:val="0"/>
          <w:sz w:val="24"/>
          <w:shd w:fill="auto" w:val="clear"/>
        </w:rPr>
        <w:t xml:space="preserve">: I can conclude that every student of business management is required to attend these types of programmes to improve their skills of employability. The SWOT analysis can help me to work on my strengths, weaknesses, opportunities and threats. I would discuss my strengths (</w:t>
      </w:r>
      <w:r>
        <w:rPr>
          <w:rFonts w:ascii="Times New Roman" w:hAnsi="Times New Roman" w:cs="Times New Roman" w:eastAsia="Times New Roman"/>
          <w:color w:val="222222"/>
          <w:spacing w:val="0"/>
          <w:position w:val="0"/>
          <w:sz w:val="24"/>
          <w:shd w:fill="FFFFFF" w:val="clear"/>
        </w:rPr>
        <w:t xml:space="preserve">Awuzie, et. al., 2021)</w:t>
      </w:r>
      <w:r>
        <w:rPr>
          <w:rFonts w:ascii="Times New Roman" w:hAnsi="Times New Roman" w:cs="Times New Roman" w:eastAsia="Times New Roman"/>
          <w:color w:val="auto"/>
          <w:spacing w:val="0"/>
          <w:position w:val="0"/>
          <w:sz w:val="24"/>
          <w:shd w:fill="auto" w:val="clear"/>
        </w:rPr>
        <w:t xml:space="preserve">. I am good in communication as I have been through several types of job roles which have helped me gain the skills of engagement and interaction with customers. However, my weakness is that I have an issue that I am highly impatient which makes me feel irritating and angry at some points. I get overexcited at certain points. I have worked in the marketing sector before, so I am a good communicator. I have an opportunity to pursue a good career in the marketing field in future. Meanwhile, I am not good at balancing my professional and personal life. It might threaten me in the future in my professional career. I need to work on my threats and weaknesses to gain better professional opportunities. Moreover, I concluded that I need to make some SMART objectives for myself which can help me in attaining professional goals. Furthermore, I can use the Johari Window framework for the betterment of my self-awareness as well as self-understanding. I can make a PDP (personal development plan) for self-assessment, goal setting, action plan, timeline, resources and monitoring my professional growth (Cassamo, 2024c). Furthermore, the Personal Brand Framework can help me better understand my professional career needs and growth (</w:t>
      </w:r>
      <w:r>
        <w:rPr>
          <w:rFonts w:ascii="Times New Roman" w:hAnsi="Times New Roman" w:cs="Times New Roman" w:eastAsia="Times New Roman"/>
          <w:color w:val="222222"/>
          <w:spacing w:val="0"/>
          <w:position w:val="0"/>
          <w:sz w:val="24"/>
          <w:shd w:fill="FFFFFF" w:val="clear"/>
        </w:rPr>
        <w:t xml:space="preserve">Lowes, 2020)</w:t>
      </w:r>
      <w:r>
        <w:rPr>
          <w:rFonts w:ascii="Times New Roman" w:hAnsi="Times New Roman" w:cs="Times New Roman" w:eastAsia="Times New Roman"/>
          <w:color w:val="auto"/>
          <w:spacing w:val="0"/>
          <w:position w:val="0"/>
          <w:sz w:val="24"/>
          <w:shd w:fill="auto" w:val="clear"/>
        </w:rPr>
        <w:t xml:space="preserv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Action Plan</w:t>
      </w:r>
      <w:r>
        <w:rPr>
          <w:rFonts w:ascii="Times New Roman" w:hAnsi="Times New Roman" w:cs="Times New Roman" w:eastAsia="Times New Roman"/>
          <w:color w:val="auto"/>
          <w:spacing w:val="0"/>
          <w:position w:val="0"/>
          <w:sz w:val="24"/>
          <w:shd w:fill="auto" w:val="clear"/>
        </w:rPr>
        <w:t xml:space="preserve">: I will make a structured and detailed action plan to enhance the knowledge and expertise that are obtained from this programme of professional course. The plan would assist me inappropriately carrying out my professional career and overcoming any issues that I might be face during my professional path. I will make SMART goals and a PDP to help me understand my present state, where I stand, and where I want to reach in my professional career. This would also help me in getting a better understanding of myself and my needs and capabilities. A personal brand framework would assist me in deciding on my aims, core values, strengths, skills, credibility and brand elements. I would try to understand and evaluate my self-awareness in the workplace, such as coping with stress and pressure, properly managing time, developing leadership skill in professional settings, etc. Maslow’s Hierarchy of needs can also assist me through five levels such as physiological, safety, love/self-belonging, self-esteem and self-actualisation needs (Cassamo, 2024). Through these levels, I would be able to feel satisfied in both my professional and personal life settings. Moreover, the concept of Ikigai would help me to motivate myself to find the things that truly matter to me and to live a life which would be filled with joy and purpose. I can also make a matrix of conscious competence to help me understand my actual competence in the professional and personal framework.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numPr>
          <w:ilvl w:val="0"/>
          <w:numId w:val="3"/>
        </w:numPr>
        <w:spacing w:before="0" w:after="200" w:line="360"/>
        <w:ind w:right="0" w:left="720" w:hanging="360"/>
        <w:jc w:val="both"/>
        <w:rPr>
          <w:rFonts w:ascii="Times New Roman" w:hAnsi="Times New Roman" w:cs="Times New Roman" w:eastAsia="Times New Roman"/>
          <w:color w:val="auto"/>
          <w:spacing w:val="0"/>
          <w:position w:val="0"/>
          <w:sz w:val="24"/>
          <w:u w:val="single"/>
          <w:shd w:fill="auto" w:val="clear"/>
        </w:rPr>
      </w:pPr>
      <w:r>
        <w:rPr>
          <w:rFonts w:ascii="Times New Roman" w:hAnsi="Times New Roman" w:cs="Times New Roman" w:eastAsia="Times New Roman"/>
          <w:color w:val="auto"/>
          <w:spacing w:val="0"/>
          <w:position w:val="0"/>
          <w:sz w:val="24"/>
          <w:shd w:fill="FFFFFF" w:val="clear"/>
        </w:rPr>
        <w:t xml:space="preserve">Adeani, I.S., Febriani, R.B. and Syafryadin, S., 2020. I am using GIBBS’reflective cycle in making reflections of literary analysis. </w:t>
      </w:r>
      <w:r>
        <w:rPr>
          <w:rFonts w:ascii="Times New Roman" w:hAnsi="Times New Roman" w:cs="Times New Roman" w:eastAsia="Times New Roman"/>
          <w:i/>
          <w:color w:val="auto"/>
          <w:spacing w:val="0"/>
          <w:position w:val="0"/>
          <w:sz w:val="24"/>
          <w:shd w:fill="FFFFFF" w:val="clear"/>
        </w:rPr>
        <w:t xml:space="preserve">Indonesian EFL Journal</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w:t>
      </w:r>
      <w:r>
        <w:rPr>
          <w:rFonts w:ascii="Times New Roman" w:hAnsi="Times New Roman" w:cs="Times New Roman" w:eastAsia="Times New Roman"/>
          <w:color w:val="auto"/>
          <w:spacing w:val="0"/>
          <w:position w:val="0"/>
          <w:sz w:val="24"/>
          <w:shd w:fill="FFFFFF" w:val="clear"/>
        </w:rPr>
        <w:t xml:space="preserve">(2), pp.139-148.</w:t>
      </w:r>
      <w:r>
        <w:rPr>
          <w:rFonts w:ascii="Times New Roman" w:hAnsi="Times New Roman" w:cs="Times New Roman" w:eastAsia="Times New Roman"/>
          <w:color w:val="auto"/>
          <w:spacing w:val="0"/>
          <w:position w:val="0"/>
          <w:sz w:val="24"/>
          <w:shd w:fill="FFFFFF" w:val="clear"/>
        </w:rPr>
        <w:t xml:space="preserve">https://journal.uniku.ac.id/index.php/IEFLJ/article/download/3382/2034</w:t>
      </w:r>
    </w:p>
    <w:p>
      <w:pPr>
        <w:numPr>
          <w:ilvl w:val="0"/>
          <w:numId w:val="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Awuzie, B., Ngowi, A.B., Omotayo, T., Obi, L. and Akotia, J., 2021. Facilitating successful smart campus transitions: A systems thinking-SWOT analysis approach. </w:t>
      </w:r>
      <w:r>
        <w:rPr>
          <w:rFonts w:ascii="Times New Roman" w:hAnsi="Times New Roman" w:cs="Times New Roman" w:eastAsia="Times New Roman"/>
          <w:i/>
          <w:color w:val="auto"/>
          <w:spacing w:val="0"/>
          <w:position w:val="0"/>
          <w:sz w:val="24"/>
          <w:shd w:fill="FFFFFF" w:val="clear"/>
        </w:rPr>
        <w:t xml:space="preserve">Applied Sciences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11</w:t>
      </w:r>
      <w:r>
        <w:rPr>
          <w:rFonts w:ascii="Times New Roman" w:hAnsi="Times New Roman" w:cs="Times New Roman" w:eastAsia="Times New Roman"/>
          <w:color w:val="auto"/>
          <w:spacing w:val="0"/>
          <w:position w:val="0"/>
          <w:sz w:val="24"/>
          <w:shd w:fill="FFFFFF" w:val="clear"/>
        </w:rPr>
        <w:t xml:space="preserve">(5), p.2044.https://www.mdpi.com/2076-3417/11/5/2044/pdf</w:t>
      </w:r>
    </w:p>
    <w:p>
      <w:pPr>
        <w:numPr>
          <w:ilvl w:val="0"/>
          <w:numId w:val="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Bassot, B., 2024. </w:t>
      </w:r>
      <w:r>
        <w:rPr>
          <w:rFonts w:ascii="Times New Roman" w:hAnsi="Times New Roman" w:cs="Times New Roman" w:eastAsia="Times New Roman"/>
          <w:i/>
          <w:color w:val="auto"/>
          <w:spacing w:val="0"/>
          <w:position w:val="0"/>
          <w:sz w:val="24"/>
          <w:shd w:fill="FFFFFF" w:val="clear"/>
        </w:rPr>
        <w:t xml:space="preserve">The reflective journal</w:t>
      </w:r>
      <w:r>
        <w:rPr>
          <w:rFonts w:ascii="Times New Roman" w:hAnsi="Times New Roman" w:cs="Times New Roman" w:eastAsia="Times New Roman"/>
          <w:color w:val="auto"/>
          <w:spacing w:val="0"/>
          <w:position w:val="0"/>
          <w:sz w:val="24"/>
          <w:shd w:fill="FFFFFF" w:val="clear"/>
        </w:rPr>
        <w:t xml:space="preserve">. Bloomsbury Publishing.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FFFFFF" w:val="clear"/>
          </w:rPr>
          <w:t xml:space="preserve">https://books.google.com/books?hl=en&amp;lr=&amp;id=FkgHEQAAQBAJ&amp;oi=fnd&amp;pg=PP1&amp;dq=Gibbs+Reflective+cycle&amp;ots=a_OQXA-iM-&amp;sig=Q6oPKMci_wF2UifHqjdVWmkrm14</w:t>
        </w:r>
      </w:hyperlink>
    </w:p>
    <w:p>
      <w:pPr>
        <w:numPr>
          <w:ilvl w:val="0"/>
          <w:numId w:val="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Cassamo, M. 2024c. Week 3 Professional Career Development BMSW4012. (Online) </w:t>
      </w:r>
      <w:r>
        <w:rPr>
          <w:rFonts w:ascii="Times New Roman" w:hAnsi="Times New Roman" w:cs="Times New Roman" w:eastAsia="Times New Roman"/>
          <w:i/>
          <w:color w:val="auto"/>
          <w:spacing w:val="0"/>
          <w:position w:val="0"/>
          <w:sz w:val="24"/>
          <w:shd w:fill="auto" w:val="clear"/>
        </w:rPr>
        <w:t xml:space="preserve">University of Wales</w:t>
      </w:r>
      <w:r>
        <w:rPr>
          <w:rFonts w:ascii="Times New Roman" w:hAnsi="Times New Roman" w:cs="Times New Roman" w:eastAsia="Times New Roman"/>
          <w:color w:val="auto"/>
          <w:spacing w:val="0"/>
          <w:position w:val="0"/>
          <w:sz w:val="24"/>
          <w:shd w:fill="auto" w:val="clear"/>
        </w:rPr>
        <w:t xml:space="preserve">. (Accessed: 25 October 2024)</w:t>
      </w:r>
    </w:p>
    <w:p>
      <w:pPr>
        <w:numPr>
          <w:ilvl w:val="0"/>
          <w:numId w:val="3"/>
        </w:numPr>
        <w:spacing w:before="0" w:after="160" w:line="360"/>
        <w:ind w:right="0" w:left="720" w:hanging="36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Cassamo, M., 2024a. Week 1. [Online]. </w:t>
      </w:r>
      <w:r>
        <w:rPr>
          <w:rFonts w:ascii="Times New Roman" w:hAnsi="Times New Roman" w:cs="Times New Roman" w:eastAsia="Times New Roman"/>
          <w:i/>
          <w:color w:val="auto"/>
          <w:spacing w:val="0"/>
          <w:position w:val="0"/>
          <w:sz w:val="24"/>
          <w:shd w:fill="auto" w:val="clear"/>
        </w:rPr>
        <w:t xml:space="preserve">University of Wales. (Accessed: 25 October 2024)</w:t>
      </w:r>
    </w:p>
    <w:p>
      <w:pPr>
        <w:numPr>
          <w:ilvl w:val="0"/>
          <w:numId w:val="3"/>
        </w:numPr>
        <w:spacing w:before="0" w:after="160" w:line="360"/>
        <w:ind w:right="0" w:left="720" w:hanging="36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Cassamo, M., 2024b. Week 2. [Online]. </w:t>
      </w:r>
      <w:r>
        <w:rPr>
          <w:rFonts w:ascii="Times New Roman" w:hAnsi="Times New Roman" w:cs="Times New Roman" w:eastAsia="Times New Roman"/>
          <w:i/>
          <w:color w:val="auto"/>
          <w:spacing w:val="0"/>
          <w:position w:val="0"/>
          <w:sz w:val="24"/>
          <w:shd w:fill="auto" w:val="clear"/>
        </w:rPr>
        <w:t xml:space="preserve">University of Wales. (Accessed: 25 October 2024)</w:t>
      </w:r>
    </w:p>
    <w:p>
      <w:pPr>
        <w:numPr>
          <w:ilvl w:val="0"/>
          <w:numId w:val="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Cassamo, M., 2024d. Week 4. (Online) </w:t>
      </w:r>
      <w:r>
        <w:rPr>
          <w:rFonts w:ascii="Times New Roman" w:hAnsi="Times New Roman" w:cs="Times New Roman" w:eastAsia="Times New Roman"/>
          <w:i/>
          <w:color w:val="auto"/>
          <w:spacing w:val="0"/>
          <w:position w:val="0"/>
          <w:sz w:val="24"/>
          <w:shd w:fill="auto" w:val="clear"/>
        </w:rPr>
        <w:t xml:space="preserve">University of Wales</w:t>
      </w:r>
      <w:r>
        <w:rPr>
          <w:rFonts w:ascii="Times New Roman" w:hAnsi="Times New Roman" w:cs="Times New Roman" w:eastAsia="Times New Roman"/>
          <w:color w:val="auto"/>
          <w:spacing w:val="0"/>
          <w:position w:val="0"/>
          <w:sz w:val="24"/>
          <w:shd w:fill="auto" w:val="clear"/>
        </w:rPr>
        <w:t xml:space="preserve">. (Accessed: 25 October 2024)</w:t>
      </w:r>
    </w:p>
    <w:p>
      <w:pPr>
        <w:numPr>
          <w:ilvl w:val="0"/>
          <w:numId w:val="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Li, Y., Chen, W., Liu, C. and Deng, M., 2020. Nurses’ psychological feelings about the application of Gibbs reflective cycle of adverse events. </w:t>
      </w:r>
      <w:r>
        <w:rPr>
          <w:rFonts w:ascii="Times New Roman" w:hAnsi="Times New Roman" w:cs="Times New Roman" w:eastAsia="Times New Roman"/>
          <w:i/>
          <w:color w:val="auto"/>
          <w:spacing w:val="0"/>
          <w:position w:val="0"/>
          <w:sz w:val="24"/>
          <w:shd w:fill="FFFFFF" w:val="clear"/>
        </w:rPr>
        <w:t xml:space="preserve">American Journal of Nursing</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9</w:t>
      </w:r>
      <w:r>
        <w:rPr>
          <w:rFonts w:ascii="Times New Roman" w:hAnsi="Times New Roman" w:cs="Times New Roman" w:eastAsia="Times New Roman"/>
          <w:color w:val="auto"/>
          <w:spacing w:val="0"/>
          <w:position w:val="0"/>
          <w:sz w:val="24"/>
          <w:shd w:fill="FFFFFF" w:val="clear"/>
        </w:rPr>
        <w:t xml:space="preserve">(2), pp.74-78.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FFFFFF" w:val="clear"/>
          </w:rPr>
          <w:t xml:space="preserve">https://www.semanticscholar.org/paper/Nurses%E2%80%99-Psychological-Feelings-About-the-of-Gibbs-Li-Chen/deb586a11508fe8b5cc51f490596d98f7659bdcd?p2df</w:t>
        </w:r>
      </w:hyperlink>
      <w:r>
        <w:rPr>
          <w:rFonts w:ascii="Times New Roman" w:hAnsi="Times New Roman" w:cs="Times New Roman" w:eastAsia="Times New Roman"/>
          <w:color w:val="auto"/>
          <w:spacing w:val="0"/>
          <w:position w:val="0"/>
          <w:sz w:val="24"/>
          <w:shd w:fill="auto" w:val="clear"/>
        </w:rPr>
        <w:t xml:space="preserve"> </w:t>
      </w:r>
    </w:p>
    <w:p>
      <w:pPr>
        <w:numPr>
          <w:ilvl w:val="0"/>
          <w:numId w:val="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Lowes, R., 2020, July. Knowing you: Personal tutoring, learning analytics and the Johari Window. In </w:t>
      </w:r>
      <w:r>
        <w:rPr>
          <w:rFonts w:ascii="Times New Roman" w:hAnsi="Times New Roman" w:cs="Times New Roman" w:eastAsia="Times New Roman"/>
          <w:i/>
          <w:color w:val="auto"/>
          <w:spacing w:val="0"/>
          <w:position w:val="0"/>
          <w:sz w:val="24"/>
          <w:shd w:fill="FFFFFF" w:val="clear"/>
        </w:rPr>
        <w:t xml:space="preserve">Frontiers in Education</w:t>
      </w:r>
      <w:r>
        <w:rPr>
          <w:rFonts w:ascii="Times New Roman" w:hAnsi="Times New Roman" w:cs="Times New Roman" w:eastAsia="Times New Roman"/>
          <w:color w:val="auto"/>
          <w:spacing w:val="0"/>
          <w:position w:val="0"/>
          <w:sz w:val="24"/>
          <w:shd w:fill="FFFFFF" w:val="clear"/>
        </w:rPr>
        <w:t xml:space="preserve"> (Vol. 5, p. 101). Frontiers Media SA.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FFFFFF" w:val="clear"/>
          </w:rPr>
          <w:t xml:space="preserve">https://www.frontiersin.org/articles/10.3389/feduc.2020.00101/pdf</w:t>
        </w:r>
      </w:hyperlink>
    </w:p>
    <w:p>
      <w:pPr>
        <w:numPr>
          <w:ilvl w:val="0"/>
          <w:numId w:val="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Puyt, R.W., Lie, F.B. and Wilderom, C.P., 2023. The origins of SWOT analysis. </w:t>
      </w:r>
      <w:r>
        <w:rPr>
          <w:rFonts w:ascii="Times New Roman" w:hAnsi="Times New Roman" w:cs="Times New Roman" w:eastAsia="Times New Roman"/>
          <w:i/>
          <w:color w:val="auto"/>
          <w:spacing w:val="0"/>
          <w:position w:val="0"/>
          <w:sz w:val="24"/>
          <w:shd w:fill="FFFFFF" w:val="clear"/>
        </w:rPr>
        <w:t xml:space="preserve">Long Range Planning</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56</w:t>
      </w:r>
      <w:r>
        <w:rPr>
          <w:rFonts w:ascii="Times New Roman" w:hAnsi="Times New Roman" w:cs="Times New Roman" w:eastAsia="Times New Roman"/>
          <w:color w:val="auto"/>
          <w:spacing w:val="0"/>
          <w:position w:val="0"/>
          <w:sz w:val="24"/>
          <w:shd w:fill="FFFFFF" w:val="clear"/>
        </w:rPr>
        <w:t xml:space="preserve">(3), p.102304.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FFFFFF" w:val="clear"/>
          </w:rPr>
          <w:t xml:space="preserve">https://www.sciencedirect.com/science/article/pii/S0024630123000110</w:t>
        </w:r>
      </w:hyperlink>
    </w:p>
  </w:body>
</w:document>
</file>

<file path=word/numbering.xml><?xml version="1.0" encoding="utf-8"?>
<w:numbering xmlns:w="http://schemas.openxmlformats.org/wordprocessingml/2006/main">
  <w:abstractNum w:abstractNumId="0">
    <w:lvl w:ilvl="0">
      <w:start w:val="1"/>
      <w:numFmt w:val="bullet"/>
      <w:lvlText w:val="•"/>
    </w:lvl>
  </w:abstractNum>
  <w:num w:numId="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ode="External" Target="https://www.semanticscholar.org/paper/Nurses%E2%80%99-Psychological-Feelings-About-the-of-Gibbs-Li-Chen/deb586a11508fe8b5cc51f490596d98f7659bdcd?p2df" Id="docRId3" Type="http://schemas.openxmlformats.org/officeDocument/2006/relationships/hyperlink" /><Relationship TargetMode="External" Target="https://www.sciencedirect.com/science/article/pii/S0024630123000110" Id="docRId5" Type="http://schemas.openxmlformats.org/officeDocument/2006/relationships/hyperlink" /><Relationship Target="styles.xml" Id="docRId7" Type="http://schemas.openxmlformats.org/officeDocument/2006/relationships/styles" /><Relationship Target="embeddings/oleObject0.bin" Id="docRId0" Type="http://schemas.openxmlformats.org/officeDocument/2006/relationships/oleObject" /><Relationship TargetMode="External" Target="https://books.google.com/books?hl=en&amp;lr=&amp;id=FkgHEQAAQBAJ&amp;oi=fnd&amp;pg=PP1&amp;dq=Gibbs+Reflective+cycle&amp;ots=a_OQXA-iM-&amp;sig=Q6oPKMci_wF2UifHqjdVWmkrm14" Id="docRId2" Type="http://schemas.openxmlformats.org/officeDocument/2006/relationships/hyperlink" /><Relationship TargetMode="External" Target="https://www.frontiersin.org/articles/10.3389/feduc.2020.00101/pdf" Id="docRId4" Type="http://schemas.openxmlformats.org/officeDocument/2006/relationships/hyperlink" /><Relationship Target="numbering.xml" Id="docRId6" Type="http://schemas.openxmlformats.org/officeDocument/2006/relationships/numbering" /></Relationships>
</file>