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424771294"/>
        <w:docPartObj>
          <w:docPartGallery w:val="Cover Pages"/>
          <w:docPartUnique/>
        </w:docPartObj>
      </w:sdtPr>
      <w:sdtEndPr/>
      <w:sdtContent>
        <w:p w14:paraId="6FA22344" w14:textId="77777777" w:rsidR="009B6DFA" w:rsidRDefault="009B6DFA"/>
        <w:tbl>
          <w:tblPr>
            <w:tblpPr w:leftFromText="187" w:rightFromText="187" w:horzAnchor="margin" w:tblpXSpec="center" w:tblpY="288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209"/>
          </w:tblGrid>
          <w:tr w:rsidR="009B6DFA" w14:paraId="5714ECBD" w14:textId="77777777">
            <w:tc>
              <w:tcPr>
                <w:tcW w:w="7672" w:type="dxa"/>
                <w:tcMar>
                  <w:top w:w="216" w:type="dxa"/>
                  <w:left w:w="115" w:type="dxa"/>
                  <w:bottom w:w="216" w:type="dxa"/>
                  <w:right w:w="115" w:type="dxa"/>
                </w:tcMar>
              </w:tcPr>
              <w:p w14:paraId="3A2FCE95" w14:textId="77777777" w:rsidR="009B6DFA" w:rsidRDefault="009B6DFA" w:rsidP="009B6DFA">
                <w:pPr>
                  <w:pStyle w:val="NoSpacing"/>
                  <w:rPr>
                    <w:color w:val="2E74B5" w:themeColor="accent1" w:themeShade="BF"/>
                    <w:sz w:val="24"/>
                  </w:rPr>
                </w:pPr>
              </w:p>
            </w:tc>
          </w:tr>
          <w:tr w:rsidR="009B6DFA" w:rsidRPr="009B6DFA" w14:paraId="7E06887C" w14:textId="77777777">
            <w:tc>
              <w:tcPr>
                <w:tcW w:w="7672" w:type="dxa"/>
              </w:tcPr>
              <w:sdt>
                <w:sdtPr>
                  <w:rPr>
                    <w:rFonts w:asciiTheme="majorHAnsi" w:eastAsiaTheme="majorEastAsia" w:hAnsiTheme="majorHAnsi" w:cstheme="majorBidi"/>
                    <w:color w:val="000000" w:themeColor="text1"/>
                    <w:sz w:val="88"/>
                    <w:szCs w:val="88"/>
                  </w:rPr>
                  <w:alias w:val="Title"/>
                  <w:id w:val="13406919"/>
                  <w:placeholder>
                    <w:docPart w:val="F2F8CB5947EF497F98C1158BF961E1B0"/>
                  </w:placeholder>
                  <w:dataBinding w:prefixMappings="xmlns:ns0='http://schemas.openxmlformats.org/package/2006/metadata/core-properties' xmlns:ns1='http://purl.org/dc/elements/1.1/'" w:xpath="/ns0:coreProperties[1]/ns1:title[1]" w:storeItemID="{6C3C8BC8-F283-45AE-878A-BAB7291924A1}"/>
                  <w:text/>
                </w:sdtPr>
                <w:sdtEndPr/>
                <w:sdtContent>
                  <w:p w14:paraId="58CAFADB" w14:textId="5B369485" w:rsidR="009B6DFA" w:rsidRPr="009B6DFA" w:rsidRDefault="0026471C" w:rsidP="00390B23">
                    <w:pPr>
                      <w:pStyle w:val="NoSpacing"/>
                      <w:spacing w:line="216" w:lineRule="auto"/>
                      <w:rPr>
                        <w:rFonts w:asciiTheme="majorHAnsi" w:eastAsiaTheme="majorEastAsia" w:hAnsiTheme="majorHAnsi" w:cstheme="majorBidi"/>
                        <w:color w:val="000000" w:themeColor="text1"/>
                        <w:sz w:val="88"/>
                        <w:szCs w:val="88"/>
                      </w:rPr>
                    </w:pPr>
                    <w:r>
                      <w:rPr>
                        <w:rFonts w:asciiTheme="majorHAnsi" w:eastAsiaTheme="majorEastAsia" w:hAnsiTheme="majorHAnsi" w:cstheme="majorBidi"/>
                        <w:color w:val="000000" w:themeColor="text1"/>
                        <w:sz w:val="88"/>
                        <w:szCs w:val="88"/>
                      </w:rPr>
                      <w:t>Individual Report</w:t>
                    </w:r>
                  </w:p>
                </w:sdtContent>
              </w:sdt>
            </w:tc>
          </w:tr>
          <w:tr w:rsidR="009B6DFA" w:rsidRPr="009B6DFA" w14:paraId="615087ED" w14:textId="77777777">
            <w:sdt>
              <w:sdtPr>
                <w:rPr>
                  <w:color w:val="000000" w:themeColor="text1"/>
                  <w:sz w:val="24"/>
                  <w:szCs w:val="24"/>
                </w:rPr>
                <w:alias w:val="Subtitle"/>
                <w:id w:val="13406923"/>
                <w:placeholder>
                  <w:docPart w:val="DAFD664D9D4046F7AEA4A74A3B04DF12"/>
                </w:placeholder>
                <w:dataBinding w:prefixMappings="xmlns:ns0='http://schemas.openxmlformats.org/package/2006/metadata/core-properties' xmlns:ns1='http://purl.org/dc/elements/1.1/'" w:xpath="/ns0:coreProperties[1]/ns1:subject[1]" w:storeItemID="{6C3C8BC8-F283-45AE-878A-BAB7291924A1}"/>
                <w:text/>
              </w:sdtPr>
              <w:sdtEndPr/>
              <w:sdtContent>
                <w:tc>
                  <w:tcPr>
                    <w:tcW w:w="7672" w:type="dxa"/>
                    <w:tcMar>
                      <w:top w:w="216" w:type="dxa"/>
                      <w:left w:w="115" w:type="dxa"/>
                      <w:bottom w:w="216" w:type="dxa"/>
                      <w:right w:w="115" w:type="dxa"/>
                    </w:tcMar>
                  </w:tcPr>
                  <w:p w14:paraId="5BAEF096" w14:textId="54D257A0" w:rsidR="009B6DFA" w:rsidRPr="009B6DFA" w:rsidRDefault="0026471C" w:rsidP="009B6DFA">
                    <w:pPr>
                      <w:pStyle w:val="NoSpacing"/>
                      <w:rPr>
                        <w:color w:val="000000" w:themeColor="text1"/>
                        <w:sz w:val="24"/>
                      </w:rPr>
                    </w:pPr>
                    <w:r>
                      <w:rPr>
                        <w:color w:val="000000" w:themeColor="text1"/>
                        <w:sz w:val="24"/>
                        <w:szCs w:val="24"/>
                      </w:rPr>
                      <w:t>Entrepreneurship</w:t>
                    </w:r>
                  </w:p>
                </w:tc>
              </w:sdtContent>
            </w:sdt>
          </w:tr>
        </w:tbl>
        <w:tbl>
          <w:tblPr>
            <w:tblpPr w:leftFromText="187" w:rightFromText="187" w:horzAnchor="margin" w:tblpXSpec="center" w:tblpYSpec="bottom"/>
            <w:tblW w:w="3857" w:type="pct"/>
            <w:tblLook w:val="04A0" w:firstRow="1" w:lastRow="0" w:firstColumn="1" w:lastColumn="0" w:noHBand="0" w:noVBand="1"/>
          </w:tblPr>
          <w:tblGrid>
            <w:gridCol w:w="6963"/>
          </w:tblGrid>
          <w:tr w:rsidR="009B6DFA" w:rsidRPr="009B6DFA" w14:paraId="508042FE" w14:textId="77777777">
            <w:tc>
              <w:tcPr>
                <w:tcW w:w="7221" w:type="dxa"/>
                <w:tcMar>
                  <w:top w:w="216" w:type="dxa"/>
                  <w:left w:w="115" w:type="dxa"/>
                  <w:bottom w:w="216" w:type="dxa"/>
                  <w:right w:w="115" w:type="dxa"/>
                </w:tcMar>
              </w:tcPr>
              <w:sdt>
                <w:sdtPr>
                  <w:rPr>
                    <w:color w:val="000000" w:themeColor="text1"/>
                    <w:sz w:val="48"/>
                    <w:szCs w:val="28"/>
                  </w:rPr>
                  <w:alias w:val="Author"/>
                  <w:id w:val="13406928"/>
                  <w:placeholder>
                    <w:docPart w:val="E6D984C5FCDB49CF814880833A1E52E4"/>
                  </w:placeholder>
                  <w:dataBinding w:prefixMappings="xmlns:ns0='http://schemas.openxmlformats.org/package/2006/metadata/core-properties' xmlns:ns1='http://purl.org/dc/elements/1.1/'" w:xpath="/ns0:coreProperties[1]/ns1:creator[1]" w:storeItemID="{6C3C8BC8-F283-45AE-878A-BAB7291924A1}"/>
                  <w:text/>
                </w:sdtPr>
                <w:sdtEndPr/>
                <w:sdtContent>
                  <w:p w14:paraId="697B7C57" w14:textId="77777777" w:rsidR="009B6DFA" w:rsidRPr="009B6DFA" w:rsidRDefault="009B6DFA">
                    <w:pPr>
                      <w:pStyle w:val="NoSpacing"/>
                      <w:rPr>
                        <w:color w:val="000000" w:themeColor="text1"/>
                        <w:sz w:val="40"/>
                        <w:szCs w:val="28"/>
                      </w:rPr>
                    </w:pPr>
                    <w:r w:rsidRPr="009B6DFA">
                      <w:rPr>
                        <w:color w:val="000000" w:themeColor="text1"/>
                        <w:sz w:val="48"/>
                        <w:szCs w:val="28"/>
                        <w:lang w:val="en-GB"/>
                      </w:rPr>
                      <w:t>Adam Head</w:t>
                    </w:r>
                  </w:p>
                </w:sdtContent>
              </w:sdt>
              <w:p w14:paraId="415E0F5D" w14:textId="77777777" w:rsidR="009B6DFA" w:rsidRPr="009B6DFA" w:rsidRDefault="009B6DFA" w:rsidP="009B6DFA">
                <w:pPr>
                  <w:pStyle w:val="NoSpacing"/>
                  <w:rPr>
                    <w:color w:val="000000" w:themeColor="text1"/>
                  </w:rPr>
                </w:pPr>
              </w:p>
            </w:tc>
          </w:tr>
        </w:tbl>
        <w:p w14:paraId="6396ECCD" w14:textId="77777777" w:rsidR="009B6DFA" w:rsidRDefault="009B6DFA">
          <w:r w:rsidRPr="009B6DFA">
            <w:rPr>
              <w:color w:val="000000" w:themeColor="text1"/>
            </w:rPr>
            <w:br w:type="page"/>
          </w:r>
        </w:p>
      </w:sdtContent>
    </w:sdt>
    <w:p w14:paraId="30076F35" w14:textId="77777777" w:rsidR="00BF3D92" w:rsidRDefault="00291409"/>
    <w:p w14:paraId="28420BF6" w14:textId="77777777" w:rsidR="00390B23" w:rsidRDefault="00390B23"/>
    <w:p w14:paraId="08D1AFB1" w14:textId="77777777" w:rsidR="00390B23" w:rsidRDefault="00390B23"/>
    <w:p w14:paraId="6F4DCC2D" w14:textId="77777777" w:rsidR="00390B23" w:rsidRDefault="00390B23"/>
    <w:p w14:paraId="169EC101" w14:textId="77777777" w:rsidR="00390B23" w:rsidRDefault="00390B23"/>
    <w:p w14:paraId="635EF125" w14:textId="77777777" w:rsidR="00390B23" w:rsidRDefault="00390B23"/>
    <w:p w14:paraId="4C55F19B" w14:textId="77777777" w:rsidR="00390B23" w:rsidRDefault="00390B23"/>
    <w:p w14:paraId="1822A6FF" w14:textId="77777777" w:rsidR="00390B23" w:rsidRDefault="00390B23"/>
    <w:p w14:paraId="046D3665" w14:textId="77777777" w:rsidR="00390B23" w:rsidRDefault="00390B23"/>
    <w:p w14:paraId="6CCC652E" w14:textId="77777777" w:rsidR="00390B23" w:rsidRDefault="00390B23"/>
    <w:p w14:paraId="78528128" w14:textId="77777777" w:rsidR="00390B23" w:rsidRDefault="00390B23"/>
    <w:p w14:paraId="1031C7A8" w14:textId="77777777" w:rsidR="00390B23" w:rsidRDefault="00390B23"/>
    <w:p w14:paraId="60C52FB4" w14:textId="77777777" w:rsidR="00390B23" w:rsidRDefault="00390B23"/>
    <w:p w14:paraId="07C3E4A9" w14:textId="77777777" w:rsidR="00390B23" w:rsidRDefault="00390B23"/>
    <w:p w14:paraId="0127D9D3" w14:textId="77777777" w:rsidR="00390B23" w:rsidRDefault="00390B23"/>
    <w:p w14:paraId="70DC307E" w14:textId="77777777" w:rsidR="00390B23" w:rsidRDefault="00390B23"/>
    <w:p w14:paraId="4A3D3E7F" w14:textId="77777777" w:rsidR="00390B23" w:rsidRDefault="00390B23"/>
    <w:p w14:paraId="2A9362BB" w14:textId="77777777" w:rsidR="00390B23" w:rsidRDefault="00390B23"/>
    <w:p w14:paraId="733F7C8B" w14:textId="77777777" w:rsidR="00390B23" w:rsidRDefault="00390B23"/>
    <w:p w14:paraId="6599CDD1" w14:textId="77777777" w:rsidR="00390B23" w:rsidRDefault="00390B23"/>
    <w:p w14:paraId="5879A55D" w14:textId="77777777" w:rsidR="00390B23" w:rsidRDefault="00390B23"/>
    <w:p w14:paraId="4DC9C3D7" w14:textId="77777777" w:rsidR="00390B23" w:rsidRDefault="00390B23"/>
    <w:p w14:paraId="506AEDE4" w14:textId="77777777" w:rsidR="00390B23" w:rsidRDefault="00390B23"/>
    <w:p w14:paraId="3135150D" w14:textId="77777777" w:rsidR="00390B23" w:rsidRDefault="00390B23"/>
    <w:p w14:paraId="5C7569AA" w14:textId="77777777" w:rsidR="00390B23" w:rsidRDefault="00390B23"/>
    <w:p w14:paraId="1F6385B6" w14:textId="77777777" w:rsidR="00390B23" w:rsidRDefault="00390B23"/>
    <w:p w14:paraId="480D609F" w14:textId="77777777" w:rsidR="00390B23" w:rsidRDefault="00390B23"/>
    <w:p w14:paraId="444094DE" w14:textId="77777777" w:rsidR="00390B23" w:rsidRDefault="00390B23"/>
    <w:p w14:paraId="7C9BF212" w14:textId="77777777" w:rsidR="00390B23" w:rsidRDefault="00390B23"/>
    <w:p w14:paraId="05A28C30" w14:textId="77777777" w:rsidR="00390B23" w:rsidRDefault="00390B23"/>
    <w:p w14:paraId="3B4E5F6B" w14:textId="77777777" w:rsidR="00C11BD8" w:rsidRDefault="00C11BD8"/>
    <w:p w14:paraId="42A0449B" w14:textId="5E1C7ECA" w:rsidR="00F733CD" w:rsidRDefault="00D728FF" w:rsidP="00D728FF">
      <w:pPr>
        <w:rPr>
          <w:sz w:val="24"/>
        </w:rPr>
      </w:pPr>
      <w:r>
        <w:rPr>
          <w:sz w:val="24"/>
        </w:rPr>
        <w:lastRenderedPageBreak/>
        <w:tab/>
        <w:t>Art and controversy have never been far apart and in some cases are mutually exclusive.  This can lead to censorship of many art forms and leads to either artists developing pieces in a similar vein or leads to a stifling of freedom of speech and expression.  Of all the mainstream art forms, it is video games that warrant the largest demand for censorship in modern society.  Comparisons can be drawn between video games and other examples from more passive art forms to identify possible arguments for and against censorship within video games and whether such an action by society towards established culture would be justified.</w:t>
      </w:r>
    </w:p>
    <w:p w14:paraId="0638E141" w14:textId="538CA2F7" w:rsidR="00D728FF" w:rsidRDefault="00D728FF" w:rsidP="00D728FF">
      <w:pPr>
        <w:rPr>
          <w:sz w:val="24"/>
        </w:rPr>
      </w:pPr>
    </w:p>
    <w:p w14:paraId="5554CAAD" w14:textId="7466CAD6" w:rsidR="00D728FF" w:rsidRDefault="00D728FF" w:rsidP="00D728FF">
      <w:pPr>
        <w:rPr>
          <w:b/>
          <w:sz w:val="24"/>
          <w:u w:val="single"/>
        </w:rPr>
      </w:pPr>
      <w:r>
        <w:rPr>
          <w:b/>
          <w:sz w:val="24"/>
          <w:u w:val="single"/>
        </w:rPr>
        <w:t>Keyword 1: Controversy</w:t>
      </w:r>
    </w:p>
    <w:p w14:paraId="03BD554C" w14:textId="1C15C4DB" w:rsidR="00D728FF" w:rsidRDefault="00D728FF" w:rsidP="00D728FF">
      <w:pPr>
        <w:rPr>
          <w:sz w:val="24"/>
        </w:rPr>
      </w:pPr>
      <w:r>
        <w:rPr>
          <w:sz w:val="24"/>
        </w:rPr>
        <w:tab/>
        <w:t>Throughout history, artists have endeavoured to push the boundaries of what is acceptable in culture and society as a whole by creating works that depict taboo or forbidden subjects.  This has in turn moved art to new, previously unknown frontiers with the advent of film, photography, animation and ultimately video games; allowing for potentially hyper-realistic depictions of topics such as violence, sex, crime and drug abuse.</w:t>
      </w:r>
    </w:p>
    <w:p w14:paraId="0A2DD1C4" w14:textId="46BFA51E" w:rsidR="00694052" w:rsidRDefault="00694052" w:rsidP="00D728FF">
      <w:pPr>
        <w:rPr>
          <w:sz w:val="24"/>
        </w:rPr>
      </w:pPr>
      <w:r>
        <w:rPr>
          <w:sz w:val="24"/>
        </w:rPr>
        <w:tab/>
        <w:t>Video games have always been paired with controversy from their inception</w:t>
      </w:r>
      <w:r w:rsidR="000C00A0">
        <w:rPr>
          <w:sz w:val="24"/>
        </w:rPr>
        <w:t>, giving people the ability to simulate any action imaginable at the press of a button; blurring the lines between reality and creation.  As technology improved, so too did the possible actions and lives players could undertake in these virtual worlds</w:t>
      </w:r>
      <w:r w:rsidR="00BF6E88">
        <w:rPr>
          <w:sz w:val="24"/>
        </w:rPr>
        <w:t xml:space="preserve"> allowing for more </w:t>
      </w:r>
      <w:r w:rsidR="007B3306">
        <w:rPr>
          <w:sz w:val="24"/>
        </w:rPr>
        <w:t>in-depth, believable displays of the aforementioned taboo subjects.  This has lead to a culture of reactionary articles and stories from the media, branding video games controversial; being directly attributed to causing real world crimes and illegal activities from robbery, assaults to even school shootings.</w:t>
      </w:r>
      <w:r w:rsidR="006B6BA2">
        <w:rPr>
          <w:sz w:val="24"/>
        </w:rPr>
        <w:t xml:space="preserve"> (Anderson, 2003)</w:t>
      </w:r>
    </w:p>
    <w:p w14:paraId="3F856557" w14:textId="7FB76433" w:rsidR="007B3306" w:rsidRDefault="007B3306" w:rsidP="00D728FF">
      <w:pPr>
        <w:rPr>
          <w:sz w:val="24"/>
        </w:rPr>
      </w:pPr>
    </w:p>
    <w:p w14:paraId="3C65DED9" w14:textId="7CD6728C" w:rsidR="0003687F" w:rsidRPr="0003687F" w:rsidRDefault="0003687F" w:rsidP="0003687F">
      <w:pPr>
        <w:jc w:val="center"/>
        <w:rPr>
          <w:b/>
          <w:sz w:val="24"/>
        </w:rPr>
      </w:pPr>
      <w:r w:rsidRPr="0003687F">
        <w:rPr>
          <w:b/>
          <w:sz w:val="24"/>
        </w:rPr>
        <w:t>“I am continually fascinated at the difficulty intelligent people have in distinguishing what is controversial from what is merely offensive.”</w:t>
      </w:r>
    </w:p>
    <w:p w14:paraId="6530860C" w14:textId="52DC6075" w:rsidR="007B3306" w:rsidRPr="0003687F" w:rsidRDefault="0003687F" w:rsidP="0003687F">
      <w:pPr>
        <w:jc w:val="center"/>
        <w:rPr>
          <w:b/>
          <w:sz w:val="24"/>
        </w:rPr>
      </w:pPr>
      <w:r w:rsidRPr="0003687F">
        <w:rPr>
          <w:b/>
          <w:sz w:val="24"/>
        </w:rPr>
        <w:t xml:space="preserve"> – </w:t>
      </w:r>
      <w:r>
        <w:rPr>
          <w:b/>
          <w:sz w:val="24"/>
        </w:rPr>
        <w:t>Nora Ephron (1976)</w:t>
      </w:r>
    </w:p>
    <w:p w14:paraId="7EF82870" w14:textId="68745E9F" w:rsidR="007B3306" w:rsidRPr="00D728FF" w:rsidRDefault="007B3306" w:rsidP="00D728FF">
      <w:pPr>
        <w:rPr>
          <w:sz w:val="24"/>
        </w:rPr>
      </w:pPr>
    </w:p>
    <w:p w14:paraId="67B35F65" w14:textId="0B7DA46A" w:rsidR="00CB31AC" w:rsidRDefault="007B3306" w:rsidP="005C5597">
      <w:pPr>
        <w:ind w:firstLine="720"/>
        <w:rPr>
          <w:sz w:val="24"/>
        </w:rPr>
      </w:pPr>
      <w:r>
        <w:rPr>
          <w:sz w:val="24"/>
        </w:rPr>
        <w:t xml:space="preserve">Controversy in art is not only exclusive to its portrayal of violent, immoral or illegal acts but also to its portrayals of race, religion and political sentiments.  The effect of a piece of </w:t>
      </w:r>
      <w:r w:rsidR="00D37173">
        <w:rPr>
          <w:sz w:val="24"/>
        </w:rPr>
        <w:t xml:space="preserve">traditional </w:t>
      </w:r>
      <w:r>
        <w:rPr>
          <w:sz w:val="24"/>
        </w:rPr>
        <w:t xml:space="preserve">art deemed controversial was evidenced in </w:t>
      </w:r>
      <w:r w:rsidR="00D37173">
        <w:rPr>
          <w:sz w:val="24"/>
        </w:rPr>
        <w:t xml:space="preserve">2017 when American artist Dana Schutz displayed her work “Open Casket” in the Whitney Biennial, which displayed the artists impression of a photograph taken of 14-year-old Emmet Till who was savagely beaten to death during a race fuelled attack in 1955.  The work clearly displays a generally clear </w:t>
      </w:r>
      <w:bookmarkStart w:id="0" w:name="_GoBack"/>
      <w:bookmarkEnd w:id="0"/>
      <w:r w:rsidR="00D37173">
        <w:rPr>
          <w:sz w:val="24"/>
        </w:rPr>
        <w:t xml:space="preserve">depiction of </w:t>
      </w:r>
      <w:proofErr w:type="gramStart"/>
      <w:r w:rsidR="00D37173">
        <w:rPr>
          <w:sz w:val="24"/>
        </w:rPr>
        <w:t>Till’s</w:t>
      </w:r>
      <w:proofErr w:type="gramEnd"/>
      <w:r w:rsidR="00D37173">
        <w:rPr>
          <w:sz w:val="24"/>
        </w:rPr>
        <w:t xml:space="preserve"> clothes and surrounding casket but with a distorted and illegible face, symbolising the horrific condition of the body in which the original photograph this art work is inspired by displays.</w:t>
      </w:r>
      <w:r w:rsidR="006B6BA2">
        <w:rPr>
          <w:sz w:val="24"/>
        </w:rPr>
        <w:t xml:space="preserve"> (Speidel, 2017)</w:t>
      </w:r>
    </w:p>
    <w:p w14:paraId="67DFEE3C" w14:textId="6E689293" w:rsidR="004140E6" w:rsidRPr="004140E6" w:rsidRDefault="004140E6" w:rsidP="004140E6">
      <w:pPr>
        <w:ind w:left="2160" w:firstLine="720"/>
        <w:rPr>
          <w:sz w:val="20"/>
        </w:rPr>
      </w:pPr>
      <w:r>
        <w:rPr>
          <w:noProof/>
        </w:rPr>
        <w:lastRenderedPageBreak/>
        <w:drawing>
          <wp:anchor distT="0" distB="0" distL="114300" distR="114300" simplePos="0" relativeHeight="251658240" behindDoc="0" locked="0" layoutInCell="1" allowOverlap="1" wp14:anchorId="12397D7E" wp14:editId="1D095B2E">
            <wp:simplePos x="0" y="0"/>
            <wp:positionH relativeFrom="margin">
              <wp:align>right</wp:align>
            </wp:positionH>
            <wp:positionV relativeFrom="paragraph">
              <wp:posOffset>0</wp:posOffset>
            </wp:positionV>
            <wp:extent cx="5731510" cy="4191000"/>
            <wp:effectExtent l="0" t="0" r="2540" b="0"/>
            <wp:wrapTopAndBottom/>
            <wp:docPr id="5" name="Picture 5" descr="https://www.spikeartmagazine.com/sites/default/files/styles/full_width/public/styles/full_width/public/users/shared/articles/images/dana_schutz_open_cascet.jpg?itok=lGNMjs1o&amp;width=auto&amp;height=au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ttps://www.spikeartmagazine.com/sites/default/files/styles/full_width/public/styles/full_width/public/users/shared/articles/images/dana_schutz_open_cascet.jpg?itok=lGNMjs1o&amp;width=auto&amp;height=auto"/>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4191000"/>
                    </a:xfrm>
                    <a:prstGeom prst="rect">
                      <a:avLst/>
                    </a:prstGeom>
                    <a:noFill/>
                    <a:ln>
                      <a:noFill/>
                    </a:ln>
                  </pic:spPr>
                </pic:pic>
              </a:graphicData>
            </a:graphic>
          </wp:anchor>
        </w:drawing>
      </w:r>
      <w:r>
        <w:rPr>
          <w:sz w:val="20"/>
        </w:rPr>
        <w:t xml:space="preserve">- Dana Schutz, </w:t>
      </w:r>
      <w:r w:rsidRPr="004140E6">
        <w:rPr>
          <w:i/>
          <w:sz w:val="20"/>
        </w:rPr>
        <w:t>Open Casket</w:t>
      </w:r>
      <w:r>
        <w:rPr>
          <w:sz w:val="20"/>
        </w:rPr>
        <w:t xml:space="preserve"> (2016).</w:t>
      </w:r>
    </w:p>
    <w:p w14:paraId="28689FA2" w14:textId="2FD26EBD" w:rsidR="004140E6" w:rsidRDefault="004140E6" w:rsidP="004140E6">
      <w:pPr>
        <w:rPr>
          <w:sz w:val="24"/>
        </w:rPr>
      </w:pPr>
      <w:r>
        <w:rPr>
          <w:sz w:val="24"/>
        </w:rPr>
        <w:tab/>
        <w:t>Upon its unveiling, “Open Casket” received heavy criticism and c</w:t>
      </w:r>
      <w:r w:rsidR="00114C95">
        <w:rPr>
          <w:sz w:val="24"/>
        </w:rPr>
        <w:t>aused an uproar in the black community with calls for the artwork to be taken down and removed from the gallery after Schutz was openly accused of ‘cultural appropriation’.  Due to its racial undertones, this piece attracted heated debates regarding the use of another races cultural history as a means to create art as it was seen that the artist, who is white, took not only a key moment in the history of the black rights movement; but a horrific incident that resulted in the death of a teenager and used it to “transmute black suffering into profit and fun”. [Speidel, 2017]</w:t>
      </w:r>
    </w:p>
    <w:p w14:paraId="36EF2220" w14:textId="0EFCFAD2" w:rsidR="00D32BD1" w:rsidRDefault="00D32BD1" w:rsidP="004140E6">
      <w:pPr>
        <w:rPr>
          <w:sz w:val="24"/>
        </w:rPr>
      </w:pPr>
    </w:p>
    <w:p w14:paraId="6FE5214A" w14:textId="77777777" w:rsidR="00D32BD1" w:rsidRPr="00D32BD1" w:rsidRDefault="00D32BD1" w:rsidP="00D32BD1">
      <w:pPr>
        <w:jc w:val="center"/>
        <w:rPr>
          <w:b/>
          <w:sz w:val="24"/>
        </w:rPr>
      </w:pPr>
      <w:r w:rsidRPr="00D32BD1">
        <w:rPr>
          <w:b/>
          <w:sz w:val="24"/>
        </w:rPr>
        <w:t>“Within any important issue, there are always aspects no one wishes to discuss.”</w:t>
      </w:r>
    </w:p>
    <w:p w14:paraId="1A2F11EC" w14:textId="25932EF3" w:rsidR="00D32BD1" w:rsidRDefault="00D32BD1" w:rsidP="00D32BD1">
      <w:pPr>
        <w:jc w:val="center"/>
        <w:rPr>
          <w:b/>
          <w:sz w:val="24"/>
        </w:rPr>
      </w:pPr>
      <w:r w:rsidRPr="00D32BD1">
        <w:rPr>
          <w:b/>
          <w:sz w:val="24"/>
        </w:rPr>
        <w:t xml:space="preserve"> – George Orwell</w:t>
      </w:r>
    </w:p>
    <w:p w14:paraId="34B79349" w14:textId="019A2DC4" w:rsidR="00D32BD1" w:rsidRDefault="00D32BD1" w:rsidP="00D32BD1">
      <w:pPr>
        <w:jc w:val="center"/>
        <w:rPr>
          <w:b/>
          <w:sz w:val="24"/>
        </w:rPr>
      </w:pPr>
    </w:p>
    <w:p w14:paraId="4480DDFE" w14:textId="5D5DA8CC" w:rsidR="003D2242" w:rsidRPr="00D32BD1" w:rsidRDefault="00D32BD1" w:rsidP="003D2242">
      <w:pPr>
        <w:rPr>
          <w:sz w:val="24"/>
        </w:rPr>
      </w:pPr>
      <w:r>
        <w:rPr>
          <w:sz w:val="24"/>
        </w:rPr>
        <w:tab/>
        <w:t xml:space="preserve">While it is clear that this piece contains material that can provoke a certain race/culture </w:t>
      </w:r>
      <w:r w:rsidR="003D2242">
        <w:rPr>
          <w:sz w:val="24"/>
        </w:rPr>
        <w:t xml:space="preserve">it could be argued that Dana Schutz is presenting this piece not to be intentionally offensive for her own gain, but to represent a fracture in modern society in which </w:t>
      </w:r>
      <w:r w:rsidR="00D905BD">
        <w:rPr>
          <w:sz w:val="24"/>
        </w:rPr>
        <w:t>one’s</w:t>
      </w:r>
      <w:r w:rsidR="003D2242">
        <w:rPr>
          <w:sz w:val="24"/>
        </w:rPr>
        <w:t xml:space="preserve"> opinion is disallowed if it does not meet </w:t>
      </w:r>
      <w:r w:rsidR="00D905BD">
        <w:rPr>
          <w:sz w:val="24"/>
        </w:rPr>
        <w:t>a certain criterion</w:t>
      </w:r>
      <w:r w:rsidR="003D2242">
        <w:rPr>
          <w:sz w:val="24"/>
        </w:rPr>
        <w:t xml:space="preserve">.  By creating this artwork, Schutz has brought the imagery it represents to the forefront </w:t>
      </w:r>
      <w:r w:rsidR="00D905BD">
        <w:rPr>
          <w:sz w:val="24"/>
        </w:rPr>
        <w:t xml:space="preserve">of everyday conversation; showing that personal interpretation of previously taboo subjects becomes </w:t>
      </w:r>
      <w:r w:rsidR="00D905BD">
        <w:rPr>
          <w:sz w:val="24"/>
        </w:rPr>
        <w:lastRenderedPageBreak/>
        <w:t>normalised if allowed to thrive openly in society, while works depicting such topics that are censored hamper artistic freedoms along with the right to speech and expression.</w:t>
      </w:r>
    </w:p>
    <w:p w14:paraId="0DA22D4A" w14:textId="6D449667" w:rsidR="00D905BD" w:rsidRDefault="00D905BD" w:rsidP="00D905BD">
      <w:pPr>
        <w:rPr>
          <w:sz w:val="24"/>
        </w:rPr>
      </w:pPr>
    </w:p>
    <w:p w14:paraId="7FF03387" w14:textId="6E100BB8" w:rsidR="00D905BD" w:rsidRDefault="00D905BD" w:rsidP="00D905BD">
      <w:pPr>
        <w:rPr>
          <w:b/>
          <w:sz w:val="24"/>
          <w:u w:val="single"/>
        </w:rPr>
      </w:pPr>
      <w:r>
        <w:rPr>
          <w:b/>
          <w:sz w:val="24"/>
          <w:u w:val="single"/>
        </w:rPr>
        <w:t>Keyword 2: Comparison</w:t>
      </w:r>
    </w:p>
    <w:p w14:paraId="7B4ACEE5" w14:textId="1F5C0A86" w:rsidR="00D905BD" w:rsidRDefault="00D905BD" w:rsidP="00D905BD">
      <w:pPr>
        <w:rPr>
          <w:sz w:val="24"/>
        </w:rPr>
      </w:pPr>
      <w:r>
        <w:rPr>
          <w:sz w:val="24"/>
        </w:rPr>
        <w:tab/>
        <w:t>While it is evident how traditional forms of art can be controversial (as well as more modern disciplines such as; film, photography and animation), the public and media reaction to controversy from these practices are limited in comparison to the historical outcry and stigma that has been attached to the Video Game industry since its inception.</w:t>
      </w:r>
    </w:p>
    <w:p w14:paraId="11041134" w14:textId="2346B8C1" w:rsidR="00D905BD" w:rsidRDefault="00D905BD" w:rsidP="00D905BD">
      <w:pPr>
        <w:rPr>
          <w:sz w:val="24"/>
        </w:rPr>
      </w:pPr>
      <w:r>
        <w:rPr>
          <w:sz w:val="24"/>
        </w:rPr>
        <w:tab/>
        <w:t>Video games are typically played through the medium of a set of controls (usually operated by hand) used in order to influence the actions of a character controlled by the player as they traverse an environment/world and interact with things around them.</w:t>
      </w:r>
      <w:r w:rsidR="00BA251F">
        <w:rPr>
          <w:sz w:val="24"/>
        </w:rPr>
        <w:t xml:space="preserve">  Video games also come in many different genres akin to film or animations and can transport the player to a world themed around anything from racing to firing weaponry, to even piloting a space craft – the main aspect of video games as an art form that separates the experience in comparison to the medium of i.e. film, is that the action of the player physically triggering a response, on command, from a character on screen instantly transcends the experience from being a passive one to an active one.</w:t>
      </w:r>
    </w:p>
    <w:p w14:paraId="242973D4" w14:textId="07D25E67" w:rsidR="008E558A" w:rsidRDefault="00D713E7" w:rsidP="00D905BD">
      <w:pPr>
        <w:rPr>
          <w:sz w:val="24"/>
        </w:rPr>
      </w:pPr>
      <w:r>
        <w:rPr>
          <w:sz w:val="24"/>
        </w:rPr>
        <w:tab/>
        <w:t>There has been no other game that has attracted more controversy than Manhu</w:t>
      </w:r>
      <w:r w:rsidR="00685AF6">
        <w:rPr>
          <w:sz w:val="24"/>
        </w:rPr>
        <w:t xml:space="preserve">nt 2, released in 2007.  This stealth focused horror game involves the players character (a mental patient with amnesia) attempting to escape a maze of traps and enemies in a bid to retrieve his lost memories.  The game features violent scenes in which players can control the character to perform what the game calls “stealth executions” to brutally dispatch any opposing force that stands between them and their ultimate objective.  The game was refused by the British Board of </w:t>
      </w:r>
      <w:r w:rsidR="008E558A">
        <w:rPr>
          <w:sz w:val="24"/>
        </w:rPr>
        <w:t>Film Classification after being linked to the killing of teenager Stefan Pakeerah in 2004, which was partly blamed by the media on the release of the original Manhunt in 2003.</w:t>
      </w:r>
      <w:r w:rsidR="00B27162">
        <w:rPr>
          <w:sz w:val="24"/>
        </w:rPr>
        <w:t xml:space="preserve"> (</w:t>
      </w:r>
      <w:proofErr w:type="spellStart"/>
      <w:r w:rsidR="00B27162">
        <w:rPr>
          <w:sz w:val="24"/>
        </w:rPr>
        <w:t>Polman</w:t>
      </w:r>
      <w:proofErr w:type="spellEnd"/>
      <w:r w:rsidR="00B27162">
        <w:rPr>
          <w:sz w:val="24"/>
        </w:rPr>
        <w:t>, 2007.)</w:t>
      </w:r>
    </w:p>
    <w:p w14:paraId="4807573E" w14:textId="2C7C479F" w:rsidR="006B6BA2" w:rsidRDefault="006B6BA2" w:rsidP="00D905BD">
      <w:pPr>
        <w:rPr>
          <w:sz w:val="24"/>
        </w:rPr>
      </w:pPr>
      <w:r>
        <w:rPr>
          <w:noProof/>
        </w:rPr>
        <w:drawing>
          <wp:anchor distT="0" distB="0" distL="114300" distR="114300" simplePos="0" relativeHeight="251660288" behindDoc="0" locked="0" layoutInCell="1" allowOverlap="1" wp14:anchorId="2D8503D8" wp14:editId="36D46D10">
            <wp:simplePos x="0" y="0"/>
            <wp:positionH relativeFrom="margin">
              <wp:align>center</wp:align>
            </wp:positionH>
            <wp:positionV relativeFrom="paragraph">
              <wp:posOffset>257175</wp:posOffset>
            </wp:positionV>
            <wp:extent cx="3028315" cy="2266950"/>
            <wp:effectExtent l="0" t="0" r="635" b="0"/>
            <wp:wrapTopAndBottom/>
            <wp:docPr id="2" name="Picture 2" descr="Image result for manhunt 2 screensho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manhunt 2 screensho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8315" cy="2266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4E48358" w14:textId="77777777" w:rsidR="006B6BA2" w:rsidRDefault="006B6BA2" w:rsidP="006B6BA2">
      <w:pPr>
        <w:jc w:val="center"/>
        <w:rPr>
          <w:sz w:val="20"/>
        </w:rPr>
      </w:pPr>
      <w:r w:rsidRPr="006B6BA2">
        <w:rPr>
          <w:sz w:val="20"/>
        </w:rPr>
        <w:t xml:space="preserve">- Scene from </w:t>
      </w:r>
      <w:r w:rsidRPr="006B6BA2">
        <w:rPr>
          <w:i/>
          <w:sz w:val="20"/>
        </w:rPr>
        <w:t>Manhunt 2</w:t>
      </w:r>
      <w:r w:rsidRPr="006B6BA2">
        <w:rPr>
          <w:sz w:val="20"/>
        </w:rPr>
        <w:t xml:space="preserve"> (Rockstar, 2007), depicting a violent scene that is triggered by the player.</w:t>
      </w:r>
    </w:p>
    <w:p w14:paraId="042E4440" w14:textId="02C32EBC" w:rsidR="00B27162" w:rsidRPr="006B6BA2" w:rsidRDefault="008E558A" w:rsidP="006B6BA2">
      <w:pPr>
        <w:ind w:firstLine="720"/>
        <w:rPr>
          <w:sz w:val="20"/>
        </w:rPr>
      </w:pPr>
      <w:r>
        <w:rPr>
          <w:sz w:val="24"/>
        </w:rPr>
        <w:lastRenderedPageBreak/>
        <w:t xml:space="preserve">While violent and graphic video game experiences such as Manhunt 2 were denied classification in the UK, art forms commonly associated with video games, such as film were not as harshly censored.  A notable example of this occurrence can be seen with the “Saw” series of films, which portrays groups of people getting violently and brutally killed </w:t>
      </w:r>
      <w:r w:rsidR="001A736C">
        <w:rPr>
          <w:sz w:val="24"/>
        </w:rPr>
        <w:t>in different ways while trying to navigate a maze filled with inventive traps to ultimately gain their freedom.  While four films of the “Saw” franchise were created by the time Manhunt 2 was released, it can be argued that both share a lot in common with their unsettling portrayals of violence and death; although they differ one key point.</w:t>
      </w:r>
      <w:r w:rsidR="00B27162">
        <w:rPr>
          <w:sz w:val="24"/>
        </w:rPr>
        <w:t xml:space="preserve"> (</w:t>
      </w:r>
      <w:proofErr w:type="spellStart"/>
      <w:r w:rsidR="00B27162">
        <w:rPr>
          <w:sz w:val="24"/>
        </w:rPr>
        <w:t>Polman</w:t>
      </w:r>
      <w:proofErr w:type="spellEnd"/>
      <w:r w:rsidR="00B27162">
        <w:rPr>
          <w:sz w:val="24"/>
        </w:rPr>
        <w:t>, 2007)</w:t>
      </w:r>
    </w:p>
    <w:p w14:paraId="757738E0" w14:textId="79CDE3A8" w:rsidR="0094671B" w:rsidRDefault="0094671B" w:rsidP="00D905BD">
      <w:pPr>
        <w:rPr>
          <w:sz w:val="24"/>
        </w:rPr>
      </w:pPr>
    </w:p>
    <w:p w14:paraId="59C5283A" w14:textId="025A2B74" w:rsidR="0094671B" w:rsidRPr="00D32BD1" w:rsidRDefault="0094671B" w:rsidP="0094671B">
      <w:pPr>
        <w:jc w:val="center"/>
        <w:rPr>
          <w:b/>
          <w:sz w:val="24"/>
        </w:rPr>
      </w:pPr>
      <w:r w:rsidRPr="00D32BD1">
        <w:rPr>
          <w:b/>
          <w:sz w:val="24"/>
        </w:rPr>
        <w:t>“</w:t>
      </w:r>
      <w:r w:rsidRPr="0094671B">
        <w:rPr>
          <w:b/>
          <w:sz w:val="24"/>
        </w:rPr>
        <w:t>Gaming is our cultural bogeyman - we blame it for everything from child obesity to violence to short attention spans. But any explanation that fits every situation ultimately explains nothing.</w:t>
      </w:r>
      <w:r>
        <w:rPr>
          <w:b/>
          <w:sz w:val="24"/>
        </w:rPr>
        <w:t>”</w:t>
      </w:r>
    </w:p>
    <w:p w14:paraId="55C7E128" w14:textId="77777777" w:rsidR="0094671B" w:rsidRDefault="0094671B" w:rsidP="0094671B">
      <w:pPr>
        <w:jc w:val="center"/>
        <w:rPr>
          <w:b/>
          <w:sz w:val="24"/>
        </w:rPr>
      </w:pPr>
      <w:r w:rsidRPr="00D32BD1">
        <w:rPr>
          <w:b/>
          <w:sz w:val="24"/>
        </w:rPr>
        <w:t xml:space="preserve"> – </w:t>
      </w:r>
      <w:r>
        <w:rPr>
          <w:b/>
          <w:sz w:val="24"/>
        </w:rPr>
        <w:t>Naomi Alderman</w:t>
      </w:r>
    </w:p>
    <w:p w14:paraId="09216D93" w14:textId="33A02187" w:rsidR="001A736C" w:rsidRPr="00B27162" w:rsidRDefault="001A736C" w:rsidP="00B27162">
      <w:pPr>
        <w:ind w:firstLine="720"/>
        <w:rPr>
          <w:sz w:val="24"/>
        </w:rPr>
      </w:pPr>
      <w:r>
        <w:rPr>
          <w:sz w:val="24"/>
        </w:rPr>
        <w:t xml:space="preserve">The </w:t>
      </w:r>
      <w:r w:rsidR="00D0192F">
        <w:rPr>
          <w:sz w:val="24"/>
        </w:rPr>
        <w:t xml:space="preserve">entries to the “Saw” franchise </w:t>
      </w:r>
      <w:r>
        <w:rPr>
          <w:sz w:val="24"/>
        </w:rPr>
        <w:t>are all films, making them a passive experience; meaning that anyone watching said films can do nothing to influence any of the actions taking place on screen, leaving responsibility for both the plot and wellbeing of characters to the director/production team.</w:t>
      </w:r>
      <w:r w:rsidR="00D0192F">
        <w:rPr>
          <w:sz w:val="24"/>
        </w:rPr>
        <w:t xml:space="preserve">  On the other hand, video game experiences such as Manhunt 2 for example, involve the player directly influencing on-screen actions giving them the ultimate power to potentially inflict life and death decisions at the expense of characters at the press of a button.  While this disconnect between fantasy and reality caused by the press of a button is argued as being the main reason for controversy when regarding video games, it could also be seen as a counter argument; given that any action that occurs during a video game experience is purely at the players discretion – unlike the passivity of the occurrence of onscreen events seen in media like film/animation.</w:t>
      </w:r>
      <w:r w:rsidR="00B27162">
        <w:rPr>
          <w:sz w:val="24"/>
        </w:rPr>
        <w:t xml:space="preserve"> (Ferguson, 2007)</w:t>
      </w:r>
    </w:p>
    <w:p w14:paraId="597E320A" w14:textId="59529441" w:rsidR="00D0192F" w:rsidRDefault="00D0192F" w:rsidP="00D905BD">
      <w:pPr>
        <w:rPr>
          <w:sz w:val="24"/>
        </w:rPr>
      </w:pPr>
    </w:p>
    <w:p w14:paraId="27AA96DB" w14:textId="744AECC4" w:rsidR="007334E4" w:rsidRDefault="00D0192F" w:rsidP="00D0192F">
      <w:pPr>
        <w:rPr>
          <w:b/>
          <w:sz w:val="24"/>
          <w:u w:val="single"/>
        </w:rPr>
      </w:pPr>
      <w:r>
        <w:rPr>
          <w:b/>
          <w:sz w:val="24"/>
          <w:u w:val="single"/>
        </w:rPr>
        <w:t xml:space="preserve">Keyword </w:t>
      </w:r>
      <w:r w:rsidR="007334E4">
        <w:rPr>
          <w:b/>
          <w:sz w:val="24"/>
          <w:u w:val="single"/>
        </w:rPr>
        <w:t>3</w:t>
      </w:r>
      <w:r>
        <w:rPr>
          <w:b/>
          <w:sz w:val="24"/>
          <w:u w:val="single"/>
        </w:rPr>
        <w:t>: Justification</w:t>
      </w:r>
    </w:p>
    <w:p w14:paraId="796A0393" w14:textId="743DC4EF" w:rsidR="007334E4" w:rsidRDefault="007334E4" w:rsidP="00D0192F">
      <w:pPr>
        <w:rPr>
          <w:sz w:val="24"/>
        </w:rPr>
      </w:pPr>
      <w:r>
        <w:rPr>
          <w:sz w:val="24"/>
        </w:rPr>
        <w:tab/>
        <w:t>When society is to consider the justification for the censorship of video games,</w:t>
      </w:r>
      <w:r w:rsidR="00F80D52">
        <w:rPr>
          <w:sz w:val="24"/>
        </w:rPr>
        <w:t xml:space="preserve"> arguments must be presented for whether game developers are responsible for facilitating real world violence and illegal activities by allowing players to experience such actions in a video game world; or in retrospect, does the very act of interacting and experiencing such activities in a safe, fictional environment actually reduce the risk of such occurrences transcending into the real world.</w:t>
      </w:r>
    </w:p>
    <w:p w14:paraId="139CFA96" w14:textId="308223FE" w:rsidR="00B27162" w:rsidRPr="005D3E06" w:rsidRDefault="00861318" w:rsidP="00D0192F">
      <w:pPr>
        <w:rPr>
          <w:sz w:val="24"/>
          <w:szCs w:val="24"/>
        </w:rPr>
      </w:pPr>
      <w:r>
        <w:rPr>
          <w:sz w:val="24"/>
        </w:rPr>
        <w:tab/>
      </w:r>
      <w:r w:rsidRPr="00861318">
        <w:rPr>
          <w:sz w:val="24"/>
        </w:rPr>
        <w:t xml:space="preserve">Examples of this can be found from cases such as the school shooting </w:t>
      </w:r>
      <w:r>
        <w:rPr>
          <w:sz w:val="24"/>
        </w:rPr>
        <w:t>at</w:t>
      </w:r>
      <w:r w:rsidRPr="00861318">
        <w:rPr>
          <w:sz w:val="24"/>
        </w:rPr>
        <w:t xml:space="preserve"> Sandy Hook elementary </w:t>
      </w:r>
      <w:r>
        <w:rPr>
          <w:sz w:val="24"/>
        </w:rPr>
        <w:t xml:space="preserve">school in the United States; </w:t>
      </w:r>
      <w:r w:rsidRPr="00861318">
        <w:rPr>
          <w:sz w:val="24"/>
        </w:rPr>
        <w:t xml:space="preserve">where the perpetrator, </w:t>
      </w:r>
      <w:r>
        <w:rPr>
          <w:sz w:val="24"/>
        </w:rPr>
        <w:t>Adam Lanza</w:t>
      </w:r>
      <w:r w:rsidRPr="00861318">
        <w:rPr>
          <w:sz w:val="24"/>
        </w:rPr>
        <w:t xml:space="preserve">, was an avid </w:t>
      </w:r>
      <w:r>
        <w:rPr>
          <w:sz w:val="24"/>
        </w:rPr>
        <w:t xml:space="preserve">player of </w:t>
      </w:r>
      <w:r w:rsidRPr="00861318">
        <w:rPr>
          <w:sz w:val="24"/>
        </w:rPr>
        <w:t>video game</w:t>
      </w:r>
      <w:r>
        <w:rPr>
          <w:sz w:val="24"/>
        </w:rPr>
        <w:t>s</w:t>
      </w:r>
      <w:r w:rsidRPr="00861318">
        <w:rPr>
          <w:sz w:val="24"/>
        </w:rPr>
        <w:t xml:space="preserve"> and because if this the media demonized the industry for his crime</w:t>
      </w:r>
      <w:r w:rsidR="005D3E06">
        <w:rPr>
          <w:sz w:val="24"/>
        </w:rPr>
        <w:t xml:space="preserve"> stating that </w:t>
      </w:r>
      <w:r w:rsidR="005D3E06" w:rsidRPr="005D3E06">
        <w:rPr>
          <w:sz w:val="24"/>
          <w:szCs w:val="24"/>
        </w:rPr>
        <w:t>“</w:t>
      </w:r>
      <w:r w:rsidR="005D3E06" w:rsidRPr="005D3E06">
        <w:rPr>
          <w:sz w:val="24"/>
          <w:szCs w:val="24"/>
        </w:rPr>
        <w:t>the games break down their impediments to killing</w:t>
      </w:r>
      <w:r w:rsidR="005D3E06" w:rsidRPr="005D3E06">
        <w:rPr>
          <w:sz w:val="24"/>
          <w:szCs w:val="24"/>
        </w:rPr>
        <w:t>”</w:t>
      </w:r>
      <w:r w:rsidR="005D3E06">
        <w:rPr>
          <w:sz w:val="24"/>
          <w:szCs w:val="24"/>
        </w:rPr>
        <w:t xml:space="preserve">.  While the media insist that video games are the cause of such events, with other relevant possible causes for such acts such as the state of mental health or any aggravations suffered are rarely blamed, </w:t>
      </w:r>
      <w:r w:rsidR="005D3E06">
        <w:rPr>
          <w:sz w:val="24"/>
          <w:szCs w:val="24"/>
        </w:rPr>
        <w:lastRenderedPageBreak/>
        <w:t xml:space="preserve">purely focusing on the use of the Video Games industry as a scapegoat for violent behaviour. </w:t>
      </w:r>
      <w:r w:rsidR="00B27162">
        <w:rPr>
          <w:sz w:val="24"/>
          <w:szCs w:val="24"/>
        </w:rPr>
        <w:t>(</w:t>
      </w:r>
      <w:r w:rsidR="005D3E06">
        <w:rPr>
          <w:sz w:val="24"/>
          <w:szCs w:val="24"/>
        </w:rPr>
        <w:t>Yin Poole, 2012</w:t>
      </w:r>
      <w:r w:rsidR="00B27162">
        <w:rPr>
          <w:sz w:val="24"/>
          <w:szCs w:val="24"/>
        </w:rPr>
        <w:t>)</w:t>
      </w:r>
    </w:p>
    <w:p w14:paraId="6CA41087" w14:textId="1105CBBD" w:rsidR="00861318" w:rsidRPr="007334E4" w:rsidRDefault="005D3E06" w:rsidP="00D0192F">
      <w:pPr>
        <w:rPr>
          <w:sz w:val="24"/>
        </w:rPr>
      </w:pPr>
      <w:r>
        <w:rPr>
          <w:noProof/>
        </w:rPr>
        <w:drawing>
          <wp:anchor distT="0" distB="0" distL="114300" distR="114300" simplePos="0" relativeHeight="251659264" behindDoc="0" locked="0" layoutInCell="1" allowOverlap="1" wp14:anchorId="2718492A" wp14:editId="2B36C7DE">
            <wp:simplePos x="0" y="0"/>
            <wp:positionH relativeFrom="margin">
              <wp:align>center</wp:align>
            </wp:positionH>
            <wp:positionV relativeFrom="paragraph">
              <wp:posOffset>243840</wp:posOffset>
            </wp:positionV>
            <wp:extent cx="2319655" cy="2409825"/>
            <wp:effectExtent l="0" t="0" r="4445" b="9525"/>
            <wp:wrapThrough wrapText="bothSides">
              <wp:wrapPolygon edited="0">
                <wp:start x="0" y="0"/>
                <wp:lineTo x="0" y="21515"/>
                <wp:lineTo x="21464" y="21515"/>
                <wp:lineTo x="21464" y="0"/>
                <wp:lineTo x="0" y="0"/>
              </wp:wrapPolygon>
            </wp:wrapThrough>
            <wp:docPr id="1" name="Picture 1" descr="https://cdn.gamer-network.net/2012/articles/1/5/3/6/8/4/9/13558225643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cdn.gamer-network.net/2012/articles/1/5/3/6/8/4/9/135582256434.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12195" t="29879" r="3659" b="4574"/>
                    <a:stretch/>
                  </pic:blipFill>
                  <pic:spPr bwMode="auto">
                    <a:xfrm>
                      <a:off x="0" y="0"/>
                      <a:ext cx="2319655" cy="24098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A80214F" w14:textId="795373A8" w:rsidR="00D0192F" w:rsidRDefault="00D0192F" w:rsidP="00D0192F">
      <w:pPr>
        <w:rPr>
          <w:b/>
          <w:sz w:val="24"/>
          <w:u w:val="single"/>
        </w:rPr>
      </w:pPr>
    </w:p>
    <w:p w14:paraId="18146A8C" w14:textId="5223959B" w:rsidR="005D3E06" w:rsidRDefault="005D3E06" w:rsidP="00D905BD">
      <w:pPr>
        <w:rPr>
          <w:noProof/>
        </w:rPr>
      </w:pPr>
    </w:p>
    <w:p w14:paraId="500E6DA9" w14:textId="32834DD8" w:rsidR="005D3E06" w:rsidRDefault="005D3E06" w:rsidP="00D905BD">
      <w:pPr>
        <w:rPr>
          <w:sz w:val="24"/>
        </w:rPr>
      </w:pPr>
    </w:p>
    <w:p w14:paraId="0D9FC91B" w14:textId="77777777" w:rsidR="005D3E06" w:rsidRPr="005D3E06" w:rsidRDefault="005D3E06" w:rsidP="005D3E06">
      <w:pPr>
        <w:rPr>
          <w:sz w:val="24"/>
        </w:rPr>
      </w:pPr>
    </w:p>
    <w:p w14:paraId="0F1302AB" w14:textId="77777777" w:rsidR="005D3E06" w:rsidRPr="005D3E06" w:rsidRDefault="005D3E06" w:rsidP="005D3E06">
      <w:pPr>
        <w:rPr>
          <w:sz w:val="24"/>
        </w:rPr>
      </w:pPr>
    </w:p>
    <w:p w14:paraId="037267A6" w14:textId="77777777" w:rsidR="005D3E06" w:rsidRPr="005D3E06" w:rsidRDefault="005D3E06" w:rsidP="005D3E06">
      <w:pPr>
        <w:rPr>
          <w:sz w:val="24"/>
        </w:rPr>
      </w:pPr>
    </w:p>
    <w:p w14:paraId="403400CD" w14:textId="3F270D70" w:rsidR="005D3E06" w:rsidRDefault="005D3E06" w:rsidP="005D3E06">
      <w:pPr>
        <w:rPr>
          <w:sz w:val="24"/>
        </w:rPr>
      </w:pPr>
    </w:p>
    <w:p w14:paraId="1679EC53" w14:textId="77777777" w:rsidR="005D3E06" w:rsidRDefault="005D3E06" w:rsidP="005D3E06">
      <w:pPr>
        <w:jc w:val="center"/>
        <w:rPr>
          <w:sz w:val="24"/>
        </w:rPr>
      </w:pPr>
    </w:p>
    <w:p w14:paraId="34A628DE" w14:textId="657AA1D7" w:rsidR="006B6BA2" w:rsidRPr="006B6BA2" w:rsidRDefault="005D3E06" w:rsidP="006B6BA2">
      <w:pPr>
        <w:jc w:val="center"/>
        <w:rPr>
          <w:sz w:val="20"/>
        </w:rPr>
      </w:pPr>
      <w:r w:rsidRPr="006B6BA2">
        <w:rPr>
          <w:sz w:val="20"/>
        </w:rPr>
        <w:t>- Front page from an issue of the Sun Newspaper</w:t>
      </w:r>
      <w:r w:rsidR="006B6BA2">
        <w:rPr>
          <w:sz w:val="20"/>
        </w:rPr>
        <w:t>,</w:t>
      </w:r>
      <w:r w:rsidRPr="006B6BA2">
        <w:rPr>
          <w:sz w:val="20"/>
        </w:rPr>
        <w:t xml:space="preserve"> </w:t>
      </w:r>
      <w:r w:rsidR="006B6BA2">
        <w:rPr>
          <w:sz w:val="20"/>
        </w:rPr>
        <w:t xml:space="preserve">4 days after the Sandy Hook school </w:t>
      </w:r>
      <w:proofErr w:type="gramStart"/>
      <w:r w:rsidR="006B6BA2">
        <w:rPr>
          <w:sz w:val="20"/>
        </w:rPr>
        <w:t>shooting.</w:t>
      </w:r>
      <w:r w:rsidRPr="006B6BA2">
        <w:rPr>
          <w:sz w:val="20"/>
        </w:rPr>
        <w:t>[</w:t>
      </w:r>
      <w:proofErr w:type="gramEnd"/>
      <w:r w:rsidRPr="006B6BA2">
        <w:rPr>
          <w:sz w:val="20"/>
        </w:rPr>
        <w:t>18/12/2012]</w:t>
      </w:r>
    </w:p>
    <w:p w14:paraId="05A43E47" w14:textId="77499110" w:rsidR="005D3E06" w:rsidRPr="006B6BA2" w:rsidRDefault="005D3E06" w:rsidP="005D3E06">
      <w:pPr>
        <w:rPr>
          <w:sz w:val="24"/>
          <w:szCs w:val="24"/>
        </w:rPr>
      </w:pPr>
      <w:r>
        <w:rPr>
          <w:sz w:val="24"/>
        </w:rPr>
        <w:tab/>
      </w:r>
      <w:r w:rsidRPr="006B6BA2">
        <w:rPr>
          <w:sz w:val="24"/>
          <w:szCs w:val="24"/>
        </w:rPr>
        <w:t>While video games are regularly covered in the media as being a bad influence for modern society, it is o</w:t>
      </w:r>
      <w:r w:rsidR="00405DE6" w:rsidRPr="006B6BA2">
        <w:rPr>
          <w:sz w:val="24"/>
          <w:szCs w:val="24"/>
        </w:rPr>
        <w:t>ften dogmatic in it’s portrayal of the industry; neglecting to display positive intentions the majority of released games present.  Video games are receiving an increasingly wide exposure over the last decade in fields other than purely for entertainment purposes, with the advent of educational games being used in schools as part of the recognised curriculum, the use of video games enrich the lives of the physical disabled through the use of intuitive controls that utilise the movement of the eyes as input and even the use of video games as a recovery aid after amputation procedures; using the new frontier of virtual reality technology as a tool to aid in rehabilitation process.</w:t>
      </w:r>
    </w:p>
    <w:p w14:paraId="5B9B48A6" w14:textId="063F5EC1" w:rsidR="00836F1E" w:rsidRPr="006B6BA2" w:rsidRDefault="00836F1E" w:rsidP="00836F1E">
      <w:pPr>
        <w:rPr>
          <w:sz w:val="24"/>
          <w:szCs w:val="24"/>
        </w:rPr>
      </w:pPr>
      <w:r w:rsidRPr="006B6BA2">
        <w:rPr>
          <w:sz w:val="24"/>
          <w:szCs w:val="24"/>
        </w:rPr>
        <w:tab/>
      </w:r>
      <w:r w:rsidRPr="006B6BA2">
        <w:rPr>
          <w:sz w:val="24"/>
          <w:szCs w:val="24"/>
        </w:rPr>
        <w:t xml:space="preserve">Research has found no correlation between those who play violent video games and real world re-enactments (Ferguson, 2007) with the supreme court in The United States going as far as placing video games under protective status, much like other forms of art, and as such are protected under freedom of expression and speech (SUPREME COURT OF THE UNITED STATES, BROWN, GOVERNOR OF CALIFORNIA, et al. </w:t>
      </w:r>
      <w:r w:rsidR="00B27162" w:rsidRPr="006B6BA2">
        <w:rPr>
          <w:sz w:val="24"/>
          <w:szCs w:val="24"/>
        </w:rPr>
        <w:t>v.</w:t>
      </w:r>
      <w:r w:rsidRPr="006B6BA2">
        <w:rPr>
          <w:sz w:val="24"/>
          <w:szCs w:val="24"/>
        </w:rPr>
        <w:t xml:space="preserve"> 2011) while declaring that the links between violence in a video game and real-world violence are mythical at best and at worst fabricated and sensationalized by the media (Ferguson, 2018). Video games are just the latest in a long line of pop culture references to be demonized by the media for being corrupting to those who participate in such actions (Ferguson, 2018) for instance, during the 1940s and 1950s, the newly developed medium of comic books </w:t>
      </w:r>
      <w:r w:rsidR="00B27162" w:rsidRPr="006B6BA2">
        <w:rPr>
          <w:sz w:val="24"/>
          <w:szCs w:val="24"/>
        </w:rPr>
        <w:t>was</w:t>
      </w:r>
      <w:r w:rsidRPr="006B6BA2">
        <w:rPr>
          <w:sz w:val="24"/>
          <w:szCs w:val="24"/>
        </w:rPr>
        <w:t xml:space="preserve"> blamed for juvenile delinquency (</w:t>
      </w:r>
      <w:proofErr w:type="spellStart"/>
      <w:r w:rsidRPr="006B6BA2">
        <w:rPr>
          <w:sz w:val="24"/>
          <w:szCs w:val="24"/>
        </w:rPr>
        <w:t>Springhall</w:t>
      </w:r>
      <w:proofErr w:type="spellEnd"/>
      <w:r w:rsidRPr="006B6BA2">
        <w:rPr>
          <w:sz w:val="24"/>
          <w:szCs w:val="24"/>
        </w:rPr>
        <w:t xml:space="preserve">, 1998) leading to a moral panic during a particularly tense time in American history with the cold war just beginning.  </w:t>
      </w:r>
    </w:p>
    <w:p w14:paraId="6F3EEDAE" w14:textId="6D9E9962" w:rsidR="00836F1E" w:rsidRDefault="00836F1E" w:rsidP="00836F1E">
      <w:pPr>
        <w:rPr>
          <w:sz w:val="24"/>
          <w:szCs w:val="24"/>
        </w:rPr>
      </w:pPr>
      <w:r w:rsidRPr="006B6BA2">
        <w:rPr>
          <w:sz w:val="24"/>
          <w:szCs w:val="24"/>
        </w:rPr>
        <w:tab/>
        <w:t xml:space="preserve">It would not be fair to assume that video games, and other mediums of art, are to be completely blamed for the actions of the players who choose to participate. </w:t>
      </w:r>
      <w:r w:rsidR="00B27162" w:rsidRPr="006B6BA2">
        <w:rPr>
          <w:sz w:val="24"/>
          <w:szCs w:val="24"/>
        </w:rPr>
        <w:t>However,</w:t>
      </w:r>
      <w:r w:rsidRPr="006B6BA2">
        <w:rPr>
          <w:sz w:val="24"/>
          <w:szCs w:val="24"/>
        </w:rPr>
        <w:t xml:space="preserve"> to say that there is no culpability on the part of the developers is simply not true (Gentile et al, 2003) as those with diagnosed mental health conditions ranging from depression and </w:t>
      </w:r>
      <w:r w:rsidRPr="006B6BA2">
        <w:rPr>
          <w:sz w:val="24"/>
          <w:szCs w:val="24"/>
        </w:rPr>
        <w:lastRenderedPageBreak/>
        <w:t xml:space="preserve">anxiety to schizophrenia could experience breaks from reality (Byrne, 2007) and as such could re-enact violent and anti-social scenes from a video game or act impulsively and aggressively in situations that would have little to no effect on an individual without these conditions. Which would lead to questions as to whether these games should portray or allow the player to experience certain activities such as murder and rape which would normalize and incentivise such actions (Gentile et al, 2003). With games such as ‘Grand Theft Auto V’ allowing the player to murder whomever they chose, to participant in other anti-social behaviour such as drug taking and binge drinking it is not surprising that the content led this game to be controversial and has been linked to real world violence such as the Navy Yard shooting in 2013 where a lone gunman and avid player of the ‘Grand Theft Auto’ series of games killed twelve people and injured another three (Brook, 2014). </w:t>
      </w:r>
    </w:p>
    <w:p w14:paraId="786F2987" w14:textId="5B9913A8" w:rsidR="00002203" w:rsidRDefault="00002203" w:rsidP="00836F1E">
      <w:pPr>
        <w:rPr>
          <w:sz w:val="24"/>
          <w:szCs w:val="24"/>
        </w:rPr>
      </w:pPr>
    </w:p>
    <w:p w14:paraId="1A93F85D" w14:textId="25B3F75B" w:rsidR="00002203" w:rsidRDefault="00002203" w:rsidP="00836F1E">
      <w:pPr>
        <w:rPr>
          <w:sz w:val="24"/>
          <w:szCs w:val="24"/>
        </w:rPr>
      </w:pPr>
      <w:r>
        <w:rPr>
          <w:sz w:val="24"/>
          <w:szCs w:val="24"/>
        </w:rPr>
        <w:tab/>
        <w:t>This early research into the topic of censorship has led to the contextualisation of this information into the form of a question that will be researched upon and ultimately answered next year:</w:t>
      </w:r>
    </w:p>
    <w:p w14:paraId="0425379A" w14:textId="2820C80E" w:rsidR="00002203" w:rsidRPr="00002203" w:rsidRDefault="00002203" w:rsidP="00002203">
      <w:pPr>
        <w:jc w:val="center"/>
        <w:rPr>
          <w:b/>
          <w:sz w:val="24"/>
          <w:szCs w:val="24"/>
        </w:rPr>
      </w:pPr>
      <w:r>
        <w:rPr>
          <w:b/>
          <w:sz w:val="24"/>
          <w:szCs w:val="24"/>
        </w:rPr>
        <w:t>“Is the push for censorship in the games industry justified when compared to other forms of art and to what extent should society have the power to influence culture?”</w:t>
      </w:r>
    </w:p>
    <w:p w14:paraId="000ED759" w14:textId="546811C6" w:rsidR="00B27162" w:rsidRDefault="00B27162" w:rsidP="00836F1E"/>
    <w:p w14:paraId="377ECBB9" w14:textId="77777777" w:rsidR="00B27162" w:rsidRDefault="00B27162" w:rsidP="00836F1E"/>
    <w:p w14:paraId="32A50601" w14:textId="7FE41FE3" w:rsidR="00B27162" w:rsidRDefault="00B27162" w:rsidP="00836F1E"/>
    <w:p w14:paraId="6DA84B43" w14:textId="6C5C36A8" w:rsidR="00B27162" w:rsidRDefault="00B27162" w:rsidP="00836F1E"/>
    <w:p w14:paraId="1BE41DFF" w14:textId="412E3E6C" w:rsidR="00B27162" w:rsidRDefault="00B27162" w:rsidP="00836F1E"/>
    <w:p w14:paraId="261D9CDD" w14:textId="77777777" w:rsidR="006B6BA2" w:rsidRDefault="006B6BA2" w:rsidP="00836F1E"/>
    <w:sdt>
      <w:sdtPr>
        <w:rPr>
          <w:rFonts w:asciiTheme="majorHAnsi" w:eastAsiaTheme="majorEastAsia" w:hAnsiTheme="majorHAnsi" w:cstheme="majorBidi"/>
          <w:color w:val="2E74B5" w:themeColor="accent1" w:themeShade="BF"/>
          <w:sz w:val="32"/>
          <w:szCs w:val="32"/>
          <w:lang w:val="en-US"/>
        </w:rPr>
        <w:id w:val="1086196850"/>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C312332" w14:textId="77777777" w:rsidR="00836F1E" w:rsidRDefault="00836F1E" w:rsidP="00836F1E">
          <w:pPr>
            <w:rPr>
              <w:lang w:val="en-US"/>
            </w:rPr>
          </w:pPr>
          <w:r>
            <w:rPr>
              <w:rFonts w:asciiTheme="majorHAnsi" w:eastAsiaTheme="majorEastAsia" w:hAnsiTheme="majorHAnsi" w:cstheme="majorBidi"/>
              <w:color w:val="2E74B5" w:themeColor="accent1" w:themeShade="BF"/>
              <w:sz w:val="32"/>
              <w:szCs w:val="32"/>
              <w:lang w:val="en-US"/>
            </w:rPr>
            <w:t xml:space="preserve">References </w:t>
          </w:r>
        </w:p>
        <w:p w14:paraId="64202016" w14:textId="77777777" w:rsidR="00836F1E" w:rsidRPr="00002203" w:rsidRDefault="00836F1E" w:rsidP="00836F1E">
          <w:pPr>
            <w:rPr>
              <w:rFonts w:ascii="Calibri" w:hAnsi="Calibri" w:cs="Calibri"/>
            </w:rPr>
          </w:pPr>
          <w:r w:rsidRPr="00002203">
            <w:rPr>
              <w:rFonts w:ascii="Calibri" w:hAnsi="Calibri" w:cs="Calibri"/>
            </w:rPr>
            <w:t>Brook, T. (2014). Report: Concerns about Navy Yard shooter never reported. </w:t>
          </w:r>
          <w:r w:rsidRPr="00002203">
            <w:rPr>
              <w:rFonts w:ascii="Calibri" w:hAnsi="Calibri" w:cs="Calibri"/>
              <w:i/>
              <w:iCs/>
            </w:rPr>
            <w:t>USA Today</w:t>
          </w:r>
          <w:r w:rsidRPr="00002203">
            <w:rPr>
              <w:rFonts w:ascii="Calibri" w:hAnsi="Calibri" w:cs="Calibri"/>
            </w:rPr>
            <w:t>. [online] Available at: https://www.usatoday.com/story/news/nation/2014/03/18/navy-yard-shooter-called-insider-threat/6558373/ [Accessed 9 May 2018].</w:t>
          </w:r>
        </w:p>
        <w:p w14:paraId="3F7BCD8D" w14:textId="77777777" w:rsidR="00836F1E" w:rsidRPr="00002203" w:rsidRDefault="00836F1E" w:rsidP="00836F1E">
          <w:pPr>
            <w:rPr>
              <w:rFonts w:ascii="Calibri" w:hAnsi="Calibri" w:cs="Calibri"/>
            </w:rPr>
          </w:pPr>
          <w:r w:rsidRPr="00002203">
            <w:rPr>
              <w:rFonts w:ascii="Calibri" w:hAnsi="Calibri" w:cs="Calibri"/>
              <w:i/>
              <w:iCs/>
            </w:rPr>
            <w:t>BROWN v. ENTERTAINMENT MERCHANTS ASSN.</w:t>
          </w:r>
          <w:r w:rsidRPr="00002203">
            <w:rPr>
              <w:rFonts w:ascii="Calibri" w:hAnsi="Calibri" w:cs="Calibri"/>
            </w:rPr>
            <w:t> [2011]556 F. 3d 950 No. 08-1448 (Supreme Court of The United States), p.2.</w:t>
          </w:r>
        </w:p>
        <w:p w14:paraId="0B8960BC" w14:textId="77777777" w:rsidR="00836F1E" w:rsidRPr="00002203" w:rsidRDefault="00836F1E" w:rsidP="00836F1E">
          <w:pPr>
            <w:rPr>
              <w:rFonts w:ascii="Calibri" w:hAnsi="Calibri" w:cs="Calibri"/>
            </w:rPr>
          </w:pPr>
          <w:r w:rsidRPr="00002203">
            <w:rPr>
              <w:rFonts w:ascii="Calibri" w:hAnsi="Calibri" w:cs="Calibri"/>
            </w:rPr>
            <w:t>Byrne, P. (2007). Managing the acute psychotic episode. </w:t>
          </w:r>
          <w:r w:rsidRPr="00002203">
            <w:rPr>
              <w:rFonts w:ascii="Calibri" w:hAnsi="Calibri" w:cs="Calibri"/>
              <w:i/>
              <w:iCs/>
            </w:rPr>
            <w:t>BMJ</w:t>
          </w:r>
          <w:r w:rsidRPr="00002203">
            <w:rPr>
              <w:rFonts w:ascii="Calibri" w:hAnsi="Calibri" w:cs="Calibri"/>
            </w:rPr>
            <w:t>, 334(7595), pp.686-692.</w:t>
          </w:r>
        </w:p>
        <w:p w14:paraId="3050BCDA" w14:textId="77777777" w:rsidR="00836F1E" w:rsidRPr="00002203" w:rsidRDefault="00836F1E" w:rsidP="00836F1E">
          <w:pPr>
            <w:rPr>
              <w:rFonts w:ascii="Calibri" w:hAnsi="Calibri" w:cs="Calibri"/>
            </w:rPr>
          </w:pPr>
          <w:proofErr w:type="spellStart"/>
          <w:r w:rsidRPr="00002203">
            <w:rPr>
              <w:rFonts w:ascii="Calibri" w:hAnsi="Calibri" w:cs="Calibri"/>
            </w:rPr>
            <w:t>Carnagey</w:t>
          </w:r>
          <w:proofErr w:type="spellEnd"/>
          <w:r w:rsidRPr="00002203">
            <w:rPr>
              <w:rFonts w:ascii="Calibri" w:hAnsi="Calibri" w:cs="Calibri"/>
            </w:rPr>
            <w:t>, N., Anderson, C. and Bushman, B. (2007). Erratum to “The effect of video game violence on physiological desensitization to real-life violence” [J. Exp. Social Psychol. 43 (2007) 489–496]. </w:t>
          </w:r>
          <w:r w:rsidRPr="00002203">
            <w:rPr>
              <w:rFonts w:ascii="Calibri" w:hAnsi="Calibri" w:cs="Calibri"/>
              <w:i/>
              <w:iCs/>
            </w:rPr>
            <w:t>Journal of Experimental Social Psychology</w:t>
          </w:r>
          <w:r w:rsidRPr="00002203">
            <w:rPr>
              <w:rFonts w:ascii="Calibri" w:hAnsi="Calibri" w:cs="Calibri"/>
            </w:rPr>
            <w:t>, 43(4), p.684.</w:t>
          </w:r>
        </w:p>
        <w:p w14:paraId="2469C5A6" w14:textId="77777777" w:rsidR="00836F1E" w:rsidRPr="00002203" w:rsidRDefault="00836F1E" w:rsidP="00836F1E">
          <w:pPr>
            <w:rPr>
              <w:rFonts w:ascii="Calibri" w:hAnsi="Calibri" w:cs="Calibri"/>
            </w:rPr>
          </w:pPr>
          <w:r w:rsidRPr="00002203">
            <w:rPr>
              <w:rFonts w:ascii="Calibri" w:hAnsi="Calibri" w:cs="Calibri"/>
            </w:rPr>
            <w:t xml:space="preserve">Cunningham, S., </w:t>
          </w:r>
          <w:proofErr w:type="spellStart"/>
          <w:r w:rsidRPr="00002203">
            <w:rPr>
              <w:rFonts w:ascii="Calibri" w:hAnsi="Calibri" w:cs="Calibri"/>
            </w:rPr>
            <w:t>Engelstätter</w:t>
          </w:r>
          <w:proofErr w:type="spellEnd"/>
          <w:r w:rsidRPr="00002203">
            <w:rPr>
              <w:rFonts w:ascii="Calibri" w:hAnsi="Calibri" w:cs="Calibri"/>
            </w:rPr>
            <w:t>, B. and Ward, M. (2011). Understanding the Effects of Violent Video Games on Violent Crime. </w:t>
          </w:r>
          <w:r w:rsidRPr="00002203">
            <w:rPr>
              <w:rFonts w:ascii="Calibri" w:hAnsi="Calibri" w:cs="Calibri"/>
              <w:i/>
              <w:iCs/>
            </w:rPr>
            <w:t>SSRN Electronic Journal</w:t>
          </w:r>
          <w:r w:rsidRPr="00002203">
            <w:rPr>
              <w:rFonts w:ascii="Calibri" w:hAnsi="Calibri" w:cs="Calibri"/>
            </w:rPr>
            <w:t>.</w:t>
          </w:r>
        </w:p>
        <w:p w14:paraId="08D02B9A" w14:textId="77777777" w:rsidR="00836F1E" w:rsidRPr="00002203" w:rsidRDefault="00836F1E" w:rsidP="00836F1E">
          <w:pPr>
            <w:rPr>
              <w:rFonts w:ascii="Calibri" w:hAnsi="Calibri" w:cs="Calibri"/>
            </w:rPr>
          </w:pPr>
          <w:r w:rsidRPr="00002203">
            <w:rPr>
              <w:rFonts w:ascii="Calibri" w:hAnsi="Calibri" w:cs="Calibri"/>
            </w:rPr>
            <w:t>Ferguson, C. (2007). Evidence for publication bias in video game violence effects literature: A meta-analytic review. </w:t>
          </w:r>
          <w:r w:rsidRPr="00002203">
            <w:rPr>
              <w:rFonts w:ascii="Calibri" w:hAnsi="Calibri" w:cs="Calibri"/>
              <w:i/>
              <w:iCs/>
            </w:rPr>
            <w:t xml:space="preserve">Aggression and Violent </w:t>
          </w:r>
          <w:proofErr w:type="spellStart"/>
          <w:r w:rsidRPr="00002203">
            <w:rPr>
              <w:rFonts w:ascii="Calibri" w:hAnsi="Calibri" w:cs="Calibri"/>
              <w:i/>
              <w:iCs/>
            </w:rPr>
            <w:t>Behavior</w:t>
          </w:r>
          <w:proofErr w:type="spellEnd"/>
          <w:r w:rsidRPr="00002203">
            <w:rPr>
              <w:rFonts w:ascii="Calibri" w:hAnsi="Calibri" w:cs="Calibri"/>
            </w:rPr>
            <w:t>, 12(4), pp.470-482.</w:t>
          </w:r>
        </w:p>
        <w:p w14:paraId="3525728F" w14:textId="77777777" w:rsidR="00836F1E" w:rsidRPr="00002203" w:rsidRDefault="00836F1E" w:rsidP="00836F1E">
          <w:pPr>
            <w:rPr>
              <w:rFonts w:ascii="Calibri" w:hAnsi="Calibri" w:cs="Calibri"/>
            </w:rPr>
          </w:pPr>
          <w:r w:rsidRPr="00002203">
            <w:rPr>
              <w:rFonts w:ascii="Calibri" w:hAnsi="Calibri" w:cs="Calibri"/>
            </w:rPr>
            <w:lastRenderedPageBreak/>
            <w:t>Ferguson, C. (2014). Does Media Violence Predict Societal Violence? It Depends on What You Look at and When. </w:t>
          </w:r>
          <w:r w:rsidRPr="00002203">
            <w:rPr>
              <w:rFonts w:ascii="Calibri" w:hAnsi="Calibri" w:cs="Calibri"/>
              <w:i/>
              <w:iCs/>
            </w:rPr>
            <w:t>Journal of Communication</w:t>
          </w:r>
          <w:r w:rsidRPr="00002203">
            <w:rPr>
              <w:rFonts w:ascii="Calibri" w:hAnsi="Calibri" w:cs="Calibri"/>
            </w:rPr>
            <w:t xml:space="preserve">, [online] 65(1), </w:t>
          </w:r>
          <w:proofErr w:type="gramStart"/>
          <w:r w:rsidRPr="00002203">
            <w:rPr>
              <w:rFonts w:ascii="Calibri" w:hAnsi="Calibri" w:cs="Calibri"/>
            </w:rPr>
            <w:t>pp.E</w:t>
          </w:r>
          <w:proofErr w:type="gramEnd"/>
          <w:r w:rsidRPr="00002203">
            <w:rPr>
              <w:rFonts w:ascii="Calibri" w:hAnsi="Calibri" w:cs="Calibri"/>
            </w:rPr>
            <w:t>1-E22. Available at: https://academic.oup.com/joc/article-abstract/65/1/E1/4082340?redirectedFrom=fulltext.</w:t>
          </w:r>
        </w:p>
        <w:p w14:paraId="78A8B9F4" w14:textId="77777777" w:rsidR="00836F1E" w:rsidRPr="00002203" w:rsidRDefault="00836F1E" w:rsidP="00836F1E">
          <w:pPr>
            <w:rPr>
              <w:rFonts w:ascii="Calibri" w:hAnsi="Calibri" w:cs="Calibri"/>
            </w:rPr>
          </w:pPr>
          <w:r w:rsidRPr="00002203">
            <w:rPr>
              <w:rFonts w:ascii="Calibri" w:hAnsi="Calibri" w:cs="Calibri"/>
            </w:rPr>
            <w:t>Ferguson, C. (2018). It’s time to end the debate about video games and violence. </w:t>
          </w:r>
          <w:r w:rsidRPr="00002203">
            <w:rPr>
              <w:rFonts w:ascii="Calibri" w:hAnsi="Calibri" w:cs="Calibri"/>
              <w:i/>
              <w:iCs/>
            </w:rPr>
            <w:t>The Conversation</w:t>
          </w:r>
          <w:r w:rsidRPr="00002203">
            <w:rPr>
              <w:rFonts w:ascii="Calibri" w:hAnsi="Calibri" w:cs="Calibri"/>
            </w:rPr>
            <w:t>. [online] Available at: https://theconversation.com/its-time-to-end-the-debate-about-video-games-and-violence-91607 [Accessed 9 May 2018].</w:t>
          </w:r>
        </w:p>
        <w:p w14:paraId="7BF2B5F4" w14:textId="77777777" w:rsidR="00836F1E" w:rsidRPr="00002203" w:rsidRDefault="00836F1E" w:rsidP="00836F1E">
          <w:pPr>
            <w:rPr>
              <w:rFonts w:ascii="Calibri" w:hAnsi="Calibri" w:cs="Calibri"/>
              <w:lang w:val="en-US"/>
            </w:rPr>
          </w:pPr>
          <w:r w:rsidRPr="00002203">
            <w:rPr>
              <w:rFonts w:ascii="Calibri" w:hAnsi="Calibri" w:cs="Calibri"/>
              <w:lang w:val="en-US"/>
            </w:rPr>
            <w:t>Ferguson, C. J., &amp; Kilburn, J. (2010). Much ado about nothing: The misestimation and overinterpretation of violent video game effects in Eastern and Western nations: Comment on Anderson et al. (2010). Psychological Bulletin, 136(2), 174-178.</w:t>
          </w:r>
        </w:p>
        <w:p w14:paraId="293B5CA2" w14:textId="77777777" w:rsidR="00836F1E" w:rsidRPr="00002203" w:rsidRDefault="00836F1E" w:rsidP="00836F1E">
          <w:pPr>
            <w:rPr>
              <w:rFonts w:ascii="Calibri" w:hAnsi="Calibri" w:cs="Calibri"/>
            </w:rPr>
          </w:pPr>
          <w:r w:rsidRPr="00002203">
            <w:rPr>
              <w:rFonts w:ascii="Calibri" w:hAnsi="Calibri" w:cs="Calibri"/>
            </w:rPr>
            <w:t xml:space="preserve">Fox, J. and </w:t>
          </w:r>
          <w:proofErr w:type="spellStart"/>
          <w:r w:rsidRPr="00002203">
            <w:rPr>
              <w:rFonts w:ascii="Calibri" w:hAnsi="Calibri" w:cs="Calibri"/>
            </w:rPr>
            <w:t>DeLateur</w:t>
          </w:r>
          <w:proofErr w:type="spellEnd"/>
          <w:r w:rsidRPr="00002203">
            <w:rPr>
              <w:rFonts w:ascii="Calibri" w:hAnsi="Calibri" w:cs="Calibri"/>
            </w:rPr>
            <w:t>, M. (2013). Mass Shootings in America. </w:t>
          </w:r>
          <w:r w:rsidRPr="00002203">
            <w:rPr>
              <w:rFonts w:ascii="Calibri" w:hAnsi="Calibri" w:cs="Calibri"/>
              <w:i/>
              <w:iCs/>
            </w:rPr>
            <w:t>Homicide Studies</w:t>
          </w:r>
          <w:r w:rsidRPr="00002203">
            <w:rPr>
              <w:rFonts w:ascii="Calibri" w:hAnsi="Calibri" w:cs="Calibri"/>
            </w:rPr>
            <w:t>, [online] 18(1), pp.125-145. Available at: http://journals.sagepub.com/doi/10.1177/1088767913510297.</w:t>
          </w:r>
        </w:p>
        <w:p w14:paraId="655D8A97" w14:textId="77777777" w:rsidR="00836F1E" w:rsidRPr="00002203" w:rsidRDefault="00836F1E" w:rsidP="00836F1E">
          <w:pPr>
            <w:rPr>
              <w:rFonts w:ascii="Calibri" w:hAnsi="Calibri" w:cs="Calibri"/>
            </w:rPr>
          </w:pPr>
          <w:r w:rsidRPr="00002203">
            <w:rPr>
              <w:rFonts w:ascii="Calibri" w:hAnsi="Calibri" w:cs="Calibri"/>
            </w:rPr>
            <w:t>Gentile, D. (2011). The Multiple Dimensions of Video Game Effects. </w:t>
          </w:r>
          <w:r w:rsidRPr="00002203">
            <w:rPr>
              <w:rFonts w:ascii="Calibri" w:hAnsi="Calibri" w:cs="Calibri"/>
              <w:i/>
              <w:iCs/>
            </w:rPr>
            <w:t>Child Development Perspectives</w:t>
          </w:r>
          <w:r w:rsidRPr="00002203">
            <w:rPr>
              <w:rFonts w:ascii="Calibri" w:hAnsi="Calibri" w:cs="Calibri"/>
            </w:rPr>
            <w:t>, 5(2), pp.75-81.</w:t>
          </w:r>
        </w:p>
        <w:p w14:paraId="509AB798" w14:textId="77777777" w:rsidR="00836F1E" w:rsidRPr="00002203" w:rsidRDefault="00836F1E" w:rsidP="00836F1E">
          <w:pPr>
            <w:rPr>
              <w:rFonts w:ascii="Calibri" w:hAnsi="Calibri" w:cs="Calibri"/>
            </w:rPr>
          </w:pPr>
          <w:r w:rsidRPr="00002203">
            <w:rPr>
              <w:rFonts w:ascii="Calibri" w:hAnsi="Calibri" w:cs="Calibri"/>
            </w:rPr>
            <w:t>Markey, P., Markey, C. and French, J. (2015). Violent video games and real-world violence: Rhetoric versus data. </w:t>
          </w:r>
          <w:r w:rsidRPr="00002203">
            <w:rPr>
              <w:rFonts w:ascii="Calibri" w:hAnsi="Calibri" w:cs="Calibri"/>
              <w:i/>
              <w:iCs/>
            </w:rPr>
            <w:t>Psychology of Popular Media Culture</w:t>
          </w:r>
          <w:r w:rsidRPr="00002203">
            <w:rPr>
              <w:rFonts w:ascii="Calibri" w:hAnsi="Calibri" w:cs="Calibri"/>
            </w:rPr>
            <w:t>, [online] 4(4), pp.277-295. Available at: http://psycnet.apa.org/doiLanding?doi=10.1037%2Fppm0000030.</w:t>
          </w:r>
        </w:p>
        <w:p w14:paraId="5A046A22" w14:textId="77777777" w:rsidR="00002203" w:rsidRPr="00002203" w:rsidRDefault="00836F1E" w:rsidP="00836F1E">
          <w:pPr>
            <w:rPr>
              <w:rFonts w:ascii="Calibri" w:hAnsi="Calibri" w:cs="Calibri"/>
              <w:lang w:val="en-US"/>
            </w:rPr>
          </w:pPr>
          <w:proofErr w:type="spellStart"/>
          <w:r w:rsidRPr="00002203">
            <w:rPr>
              <w:rFonts w:ascii="Calibri" w:hAnsi="Calibri" w:cs="Calibri"/>
              <w:lang w:val="en-US"/>
            </w:rPr>
            <w:t>Springhall</w:t>
          </w:r>
          <w:proofErr w:type="spellEnd"/>
          <w:r w:rsidRPr="00002203">
            <w:rPr>
              <w:rFonts w:ascii="Calibri" w:hAnsi="Calibri" w:cs="Calibri"/>
              <w:lang w:val="en-US"/>
            </w:rPr>
            <w:t xml:space="preserve"> J. (1998) ‘Horror Comic’ Panic: Campaigning against Comic Books in the 1940s and 1950s. In: Youth, Popular Culture and Moral Panics. Palgrave, London</w:t>
          </w:r>
        </w:p>
        <w:p w14:paraId="5367B6BC" w14:textId="77777777" w:rsidR="00002203" w:rsidRPr="00002203" w:rsidRDefault="00002203" w:rsidP="00002203">
          <w:pPr>
            <w:pStyle w:val="NormalWeb"/>
            <w:rPr>
              <w:rFonts w:ascii="Calibri" w:hAnsi="Calibri" w:cs="Calibri"/>
            </w:rPr>
          </w:pPr>
          <w:r w:rsidRPr="00002203">
            <w:rPr>
              <w:rFonts w:ascii="Calibri" w:hAnsi="Calibri" w:cs="Calibri"/>
            </w:rPr>
            <w:t>Anderson, C. (2003). [online] Apa.org. Available at: http://www.apa.org/science/about/psa/2003/10/anderson.aspx [Accessed 7 Apr. 2018].</w:t>
          </w:r>
        </w:p>
        <w:p w14:paraId="4CDA3153" w14:textId="77777777" w:rsidR="00002203" w:rsidRPr="00002203" w:rsidRDefault="00002203" w:rsidP="00002203">
          <w:pPr>
            <w:pStyle w:val="NormalWeb"/>
            <w:rPr>
              <w:rFonts w:ascii="Calibri" w:hAnsi="Calibri" w:cs="Calibri"/>
            </w:rPr>
          </w:pPr>
          <w:r w:rsidRPr="00002203">
            <w:rPr>
              <w:rFonts w:ascii="Calibri" w:hAnsi="Calibri" w:cs="Calibri"/>
            </w:rPr>
            <w:t xml:space="preserve">Anderson, C. and Bushman, B. (2001). Effects of Violent Video Games on Aggressive </w:t>
          </w:r>
          <w:proofErr w:type="spellStart"/>
          <w:r w:rsidRPr="00002203">
            <w:rPr>
              <w:rFonts w:ascii="Calibri" w:hAnsi="Calibri" w:cs="Calibri"/>
            </w:rPr>
            <w:t>Behavior</w:t>
          </w:r>
          <w:proofErr w:type="spellEnd"/>
          <w:r w:rsidRPr="00002203">
            <w:rPr>
              <w:rFonts w:ascii="Calibri" w:hAnsi="Calibri" w:cs="Calibri"/>
            </w:rPr>
            <w:t xml:space="preserve">, Aggressive Cognition, Aggressive Affect, Physiological Arousal, and Prosocial </w:t>
          </w:r>
          <w:proofErr w:type="spellStart"/>
          <w:r w:rsidRPr="00002203">
            <w:rPr>
              <w:rFonts w:ascii="Calibri" w:hAnsi="Calibri" w:cs="Calibri"/>
            </w:rPr>
            <w:t>Behavior</w:t>
          </w:r>
          <w:proofErr w:type="spellEnd"/>
          <w:r w:rsidRPr="00002203">
            <w:rPr>
              <w:rFonts w:ascii="Calibri" w:hAnsi="Calibri" w:cs="Calibri"/>
            </w:rPr>
            <w:t xml:space="preserve">: A Meta-Analytic Review of the Scientific Literature. </w:t>
          </w:r>
          <w:r w:rsidRPr="00002203">
            <w:rPr>
              <w:rFonts w:ascii="Calibri" w:hAnsi="Calibri" w:cs="Calibri"/>
              <w:i/>
              <w:iCs/>
            </w:rPr>
            <w:t>Psychological Science</w:t>
          </w:r>
          <w:r w:rsidRPr="00002203">
            <w:rPr>
              <w:rFonts w:ascii="Calibri" w:hAnsi="Calibri" w:cs="Calibri"/>
            </w:rPr>
            <w:t>, 12(5), pp.353-359.</w:t>
          </w:r>
        </w:p>
        <w:p w14:paraId="69A30DA0" w14:textId="77777777" w:rsidR="00002203" w:rsidRPr="00002203" w:rsidRDefault="00002203" w:rsidP="00002203">
          <w:pPr>
            <w:pStyle w:val="NormalWeb"/>
            <w:rPr>
              <w:rFonts w:ascii="Calibri" w:hAnsi="Calibri" w:cs="Calibri"/>
            </w:rPr>
          </w:pPr>
          <w:r w:rsidRPr="00002203">
            <w:rPr>
              <w:rFonts w:ascii="Calibri" w:hAnsi="Calibri" w:cs="Calibri"/>
            </w:rPr>
            <w:t xml:space="preserve">Ferguson., C. and Markey., P. (2017). </w:t>
          </w:r>
          <w:r w:rsidRPr="00002203">
            <w:rPr>
              <w:rFonts w:ascii="Calibri" w:hAnsi="Calibri" w:cs="Calibri"/>
              <w:i/>
              <w:iCs/>
            </w:rPr>
            <w:t>Moral Combat: Why the War on Violent Video Games Is Wrong</w:t>
          </w:r>
          <w:r w:rsidRPr="00002203">
            <w:rPr>
              <w:rFonts w:ascii="Calibri" w:hAnsi="Calibri" w:cs="Calibri"/>
            </w:rPr>
            <w:t xml:space="preserve">. </w:t>
          </w:r>
          <w:proofErr w:type="spellStart"/>
          <w:r w:rsidRPr="00002203">
            <w:rPr>
              <w:rFonts w:ascii="Calibri" w:hAnsi="Calibri" w:cs="Calibri"/>
            </w:rPr>
            <w:t>Benbella</w:t>
          </w:r>
          <w:proofErr w:type="spellEnd"/>
          <w:r w:rsidRPr="00002203">
            <w:rPr>
              <w:rFonts w:ascii="Calibri" w:hAnsi="Calibri" w:cs="Calibri"/>
            </w:rPr>
            <w:t xml:space="preserve"> Books.</w:t>
          </w:r>
        </w:p>
        <w:p w14:paraId="2F4E901D" w14:textId="77777777" w:rsidR="00002203" w:rsidRPr="00002203" w:rsidRDefault="00002203" w:rsidP="00002203">
          <w:pPr>
            <w:pStyle w:val="NormalWeb"/>
            <w:rPr>
              <w:rFonts w:ascii="Calibri" w:hAnsi="Calibri" w:cs="Calibri"/>
            </w:rPr>
          </w:pPr>
          <w:r w:rsidRPr="00002203">
            <w:rPr>
              <w:rFonts w:ascii="Calibri" w:hAnsi="Calibri" w:cs="Calibri"/>
            </w:rPr>
            <w:t xml:space="preserve">Kutner, L. and Olson, C. (2008). </w:t>
          </w:r>
          <w:r w:rsidRPr="00002203">
            <w:rPr>
              <w:rFonts w:ascii="Calibri" w:hAnsi="Calibri" w:cs="Calibri"/>
              <w:i/>
              <w:iCs/>
            </w:rPr>
            <w:t>Grand theft childhood</w:t>
          </w:r>
          <w:r w:rsidRPr="00002203">
            <w:rPr>
              <w:rFonts w:ascii="Calibri" w:hAnsi="Calibri" w:cs="Calibri"/>
            </w:rPr>
            <w:t>. [</w:t>
          </w:r>
          <w:proofErr w:type="spellStart"/>
          <w:r w:rsidRPr="00002203">
            <w:rPr>
              <w:rFonts w:ascii="Calibri" w:hAnsi="Calibri" w:cs="Calibri"/>
            </w:rPr>
            <w:t>Erscheinungsort</w:t>
          </w:r>
          <w:proofErr w:type="spellEnd"/>
          <w:r w:rsidRPr="00002203">
            <w:rPr>
              <w:rFonts w:ascii="Calibri" w:hAnsi="Calibri" w:cs="Calibri"/>
            </w:rPr>
            <w:t xml:space="preserve"> </w:t>
          </w:r>
          <w:proofErr w:type="spellStart"/>
          <w:r w:rsidRPr="00002203">
            <w:rPr>
              <w:rFonts w:ascii="Calibri" w:hAnsi="Calibri" w:cs="Calibri"/>
            </w:rPr>
            <w:t>nicht</w:t>
          </w:r>
          <w:proofErr w:type="spellEnd"/>
          <w:r w:rsidRPr="00002203">
            <w:rPr>
              <w:rFonts w:ascii="Calibri" w:hAnsi="Calibri" w:cs="Calibri"/>
            </w:rPr>
            <w:t xml:space="preserve"> </w:t>
          </w:r>
          <w:proofErr w:type="spellStart"/>
          <w:r w:rsidRPr="00002203">
            <w:rPr>
              <w:rFonts w:ascii="Calibri" w:hAnsi="Calibri" w:cs="Calibri"/>
            </w:rPr>
            <w:t>ermittelbar</w:t>
          </w:r>
          <w:proofErr w:type="spellEnd"/>
          <w:r w:rsidRPr="00002203">
            <w:rPr>
              <w:rFonts w:ascii="Calibri" w:hAnsi="Calibri" w:cs="Calibri"/>
            </w:rPr>
            <w:t>]: Simon &amp; Schuster.</w:t>
          </w:r>
        </w:p>
        <w:p w14:paraId="73FB6BF8" w14:textId="77777777" w:rsidR="00002203" w:rsidRPr="00002203" w:rsidRDefault="00002203" w:rsidP="00002203">
          <w:pPr>
            <w:pStyle w:val="NormalWeb"/>
            <w:rPr>
              <w:rFonts w:ascii="Calibri" w:hAnsi="Calibri" w:cs="Calibri"/>
            </w:rPr>
          </w:pPr>
          <w:proofErr w:type="spellStart"/>
          <w:r w:rsidRPr="00002203">
            <w:rPr>
              <w:rFonts w:ascii="Calibri" w:hAnsi="Calibri" w:cs="Calibri"/>
            </w:rPr>
            <w:t>Polman</w:t>
          </w:r>
          <w:proofErr w:type="spellEnd"/>
          <w:r w:rsidRPr="00002203">
            <w:rPr>
              <w:rFonts w:ascii="Calibri" w:hAnsi="Calibri" w:cs="Calibri"/>
            </w:rPr>
            <w:t xml:space="preserve">, H. (2007). Experimental study of the differential effects of playing versus watching violent video games on children's aggressive </w:t>
          </w:r>
          <w:proofErr w:type="spellStart"/>
          <w:r w:rsidRPr="00002203">
            <w:rPr>
              <w:rFonts w:ascii="Calibri" w:hAnsi="Calibri" w:cs="Calibri"/>
            </w:rPr>
            <w:t>behavior</w:t>
          </w:r>
          <w:proofErr w:type="spellEnd"/>
          <w:r w:rsidRPr="00002203">
            <w:rPr>
              <w:rFonts w:ascii="Calibri" w:hAnsi="Calibri" w:cs="Calibri"/>
            </w:rPr>
            <w:t xml:space="preserve">. </w:t>
          </w:r>
          <w:r w:rsidRPr="00002203">
            <w:rPr>
              <w:rFonts w:ascii="Calibri" w:hAnsi="Calibri" w:cs="Calibri"/>
              <w:i/>
              <w:iCs/>
            </w:rPr>
            <w:t xml:space="preserve">Aggressive </w:t>
          </w:r>
          <w:proofErr w:type="spellStart"/>
          <w:r w:rsidRPr="00002203">
            <w:rPr>
              <w:rFonts w:ascii="Calibri" w:hAnsi="Calibri" w:cs="Calibri"/>
              <w:i/>
              <w:iCs/>
            </w:rPr>
            <w:t>Behavior</w:t>
          </w:r>
          <w:proofErr w:type="spellEnd"/>
          <w:r w:rsidRPr="00002203">
            <w:rPr>
              <w:rFonts w:ascii="Calibri" w:hAnsi="Calibri" w:cs="Calibri"/>
            </w:rPr>
            <w:t>, 34(3), pp.256-264.</w:t>
          </w:r>
        </w:p>
        <w:p w14:paraId="0F69F538" w14:textId="77777777" w:rsidR="00002203" w:rsidRPr="00002203" w:rsidRDefault="00002203" w:rsidP="00002203">
          <w:pPr>
            <w:pStyle w:val="NormalWeb"/>
            <w:rPr>
              <w:rFonts w:ascii="Calibri" w:hAnsi="Calibri" w:cs="Calibri"/>
            </w:rPr>
          </w:pPr>
          <w:r w:rsidRPr="00002203">
            <w:rPr>
              <w:rFonts w:ascii="Calibri" w:hAnsi="Calibri" w:cs="Calibri"/>
            </w:rPr>
            <w:t xml:space="preserve">Rockstar (2007). </w:t>
          </w:r>
          <w:r w:rsidRPr="00002203">
            <w:rPr>
              <w:rFonts w:ascii="Calibri" w:hAnsi="Calibri" w:cs="Calibri"/>
              <w:i/>
              <w:iCs/>
            </w:rPr>
            <w:t>Manhunt 2</w:t>
          </w:r>
          <w:r w:rsidRPr="00002203">
            <w:rPr>
              <w:rFonts w:ascii="Calibri" w:hAnsi="Calibri" w:cs="Calibri"/>
            </w:rPr>
            <w:t>. [image] Available at: http://images.nintendolife.com/screenshots/13746/full.jpg [Accessed 13 Apr. 2018].</w:t>
          </w:r>
        </w:p>
        <w:p w14:paraId="6EF11D03" w14:textId="77777777" w:rsidR="00002203" w:rsidRPr="00002203" w:rsidRDefault="00002203" w:rsidP="00002203">
          <w:pPr>
            <w:pStyle w:val="NormalWeb"/>
            <w:rPr>
              <w:rFonts w:ascii="Calibri" w:hAnsi="Calibri" w:cs="Calibri"/>
            </w:rPr>
          </w:pPr>
          <w:r w:rsidRPr="00002203">
            <w:rPr>
              <w:rFonts w:ascii="Calibri" w:hAnsi="Calibri" w:cs="Calibri"/>
            </w:rPr>
            <w:t xml:space="preserve">Smith, R. (2017). </w:t>
          </w:r>
          <w:r w:rsidRPr="00002203">
            <w:rPr>
              <w:rFonts w:ascii="Calibri" w:hAnsi="Calibri" w:cs="Calibri"/>
              <w:i/>
              <w:iCs/>
            </w:rPr>
            <w:t xml:space="preserve">Should Art That Infuriates Be </w:t>
          </w:r>
          <w:proofErr w:type="gramStart"/>
          <w:r w:rsidRPr="00002203">
            <w:rPr>
              <w:rFonts w:ascii="Calibri" w:hAnsi="Calibri" w:cs="Calibri"/>
              <w:i/>
              <w:iCs/>
            </w:rPr>
            <w:t>Removed?</w:t>
          </w:r>
          <w:r w:rsidRPr="00002203">
            <w:rPr>
              <w:rFonts w:ascii="Calibri" w:hAnsi="Calibri" w:cs="Calibri"/>
            </w:rPr>
            <w:t>.</w:t>
          </w:r>
          <w:proofErr w:type="gramEnd"/>
          <w:r w:rsidRPr="00002203">
            <w:rPr>
              <w:rFonts w:ascii="Calibri" w:hAnsi="Calibri" w:cs="Calibri"/>
            </w:rPr>
            <w:t xml:space="preserve"> [online] Nytimes.com. Available at: https://www.nytimes.com/2017/03/27/arts/design/emmett-till-whitney-biennial-schutz.html [Accessed 12 Apr. 2018].</w:t>
          </w:r>
        </w:p>
        <w:p w14:paraId="32F2FAB8" w14:textId="77777777" w:rsidR="00002203" w:rsidRPr="00002203" w:rsidRDefault="00002203" w:rsidP="00002203">
          <w:pPr>
            <w:pStyle w:val="NormalWeb"/>
            <w:rPr>
              <w:rFonts w:ascii="Calibri" w:hAnsi="Calibri" w:cs="Calibri"/>
            </w:rPr>
          </w:pPr>
          <w:r w:rsidRPr="00002203">
            <w:rPr>
              <w:rFonts w:ascii="Calibri" w:hAnsi="Calibri" w:cs="Calibri"/>
            </w:rPr>
            <w:lastRenderedPageBreak/>
            <w:t xml:space="preserve">Speidel, K. (2017). </w:t>
          </w:r>
          <w:r w:rsidRPr="00002203">
            <w:rPr>
              <w:rFonts w:ascii="Calibri" w:hAnsi="Calibri" w:cs="Calibri"/>
              <w:i/>
              <w:iCs/>
            </w:rPr>
            <w:t>Dana Schutz’s “Open Casket”: A Controversy around a Painting as a Symptom of an Art World Malady</w:t>
          </w:r>
          <w:r w:rsidRPr="00002203">
            <w:rPr>
              <w:rFonts w:ascii="Calibri" w:hAnsi="Calibri" w:cs="Calibri"/>
            </w:rPr>
            <w:t>. [online] Spike Art Magazine. Available at: https://www.spikeartmagazine.com/en/articles/dana-schutzs-open-casket-controversy-around-painting-symptom-art-world-malady [Accessed 12 Apr. 2018].</w:t>
          </w:r>
        </w:p>
        <w:p w14:paraId="2E893DC9" w14:textId="77777777" w:rsidR="00002203" w:rsidRPr="00002203" w:rsidRDefault="00002203" w:rsidP="00002203">
          <w:pPr>
            <w:pStyle w:val="NormalWeb"/>
            <w:rPr>
              <w:rFonts w:ascii="Calibri" w:hAnsi="Calibri" w:cs="Calibri"/>
            </w:rPr>
          </w:pPr>
          <w:r w:rsidRPr="00002203">
            <w:rPr>
              <w:rFonts w:ascii="Calibri" w:hAnsi="Calibri" w:cs="Calibri"/>
            </w:rPr>
            <w:t xml:space="preserve">Spike Art Magazine (2017). </w:t>
          </w:r>
          <w:r w:rsidRPr="00002203">
            <w:rPr>
              <w:rFonts w:ascii="Calibri" w:hAnsi="Calibri" w:cs="Calibri"/>
              <w:i/>
              <w:iCs/>
            </w:rPr>
            <w:t>Open Casket</w:t>
          </w:r>
          <w:r w:rsidRPr="00002203">
            <w:rPr>
              <w:rFonts w:ascii="Calibri" w:hAnsi="Calibri" w:cs="Calibri"/>
            </w:rPr>
            <w:t>. [image] Available at: https://www.spikeartmagazine.com/en/sites/default/files/styles/full_width_fix/public/users/shared/articles/images/dana_schutz_open_cascet.jpg?itok=DYdR2mh7 [Accessed 11 Apr. 2018].</w:t>
          </w:r>
        </w:p>
        <w:p w14:paraId="621412CC" w14:textId="77777777" w:rsidR="00002203" w:rsidRPr="00002203" w:rsidRDefault="00002203" w:rsidP="00002203">
          <w:pPr>
            <w:pStyle w:val="NormalWeb"/>
            <w:rPr>
              <w:rFonts w:ascii="Calibri" w:hAnsi="Calibri" w:cs="Calibri"/>
            </w:rPr>
          </w:pPr>
          <w:r w:rsidRPr="00002203">
            <w:rPr>
              <w:rFonts w:ascii="Calibri" w:hAnsi="Calibri" w:cs="Calibri"/>
            </w:rPr>
            <w:t xml:space="preserve">Sun Newspaper (2012). </w:t>
          </w:r>
          <w:r w:rsidRPr="00002203">
            <w:rPr>
              <w:rFonts w:ascii="Calibri" w:hAnsi="Calibri" w:cs="Calibri"/>
              <w:i/>
              <w:iCs/>
            </w:rPr>
            <w:t>Sun Newspaper Front Page - 18/12/2012</w:t>
          </w:r>
          <w:r w:rsidRPr="00002203">
            <w:rPr>
              <w:rFonts w:ascii="Calibri" w:hAnsi="Calibri" w:cs="Calibri"/>
            </w:rPr>
            <w:t>. [image] Available at: https://cdn.gamer-network.net/2012/articles/1/5/3/6/8/4/9/135582256434.jpg/EG11/resize/300x-1/quality/75/format/jpg [Accessed 14 Apr. 2018].</w:t>
          </w:r>
        </w:p>
        <w:p w14:paraId="5A821BE8" w14:textId="0AB19742" w:rsidR="00836F1E" w:rsidRPr="00A1087E" w:rsidRDefault="00836F1E" w:rsidP="00836F1E">
          <w:pPr>
            <w:rPr>
              <w:lang w:val="en-US"/>
            </w:rPr>
          </w:pPr>
        </w:p>
      </w:sdtContent>
    </w:sdt>
    <w:p w14:paraId="5C4F084C" w14:textId="5EFE449E" w:rsidR="00836F1E" w:rsidRPr="005D3E06" w:rsidRDefault="00836F1E" w:rsidP="005D3E06">
      <w:pPr>
        <w:rPr>
          <w:sz w:val="24"/>
        </w:rPr>
      </w:pPr>
    </w:p>
    <w:sectPr w:rsidR="00836F1E" w:rsidRPr="005D3E06" w:rsidSect="009B6DFA">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EC6F2B" w14:textId="77777777" w:rsidR="00291409" w:rsidRDefault="00291409" w:rsidP="003D2242">
      <w:pPr>
        <w:spacing w:after="0" w:line="240" w:lineRule="auto"/>
      </w:pPr>
      <w:r>
        <w:separator/>
      </w:r>
    </w:p>
  </w:endnote>
  <w:endnote w:type="continuationSeparator" w:id="0">
    <w:p w14:paraId="5EE25FB3" w14:textId="77777777" w:rsidR="00291409" w:rsidRDefault="00291409" w:rsidP="003D2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002E9CA" w14:textId="77777777" w:rsidR="00291409" w:rsidRDefault="00291409" w:rsidP="003D2242">
      <w:pPr>
        <w:spacing w:after="0" w:line="240" w:lineRule="auto"/>
      </w:pPr>
      <w:r>
        <w:separator/>
      </w:r>
    </w:p>
  </w:footnote>
  <w:footnote w:type="continuationSeparator" w:id="0">
    <w:p w14:paraId="40E981E5" w14:textId="77777777" w:rsidR="00291409" w:rsidRDefault="00291409" w:rsidP="003D22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CE4D90"/>
    <w:multiLevelType w:val="hybridMultilevel"/>
    <w:tmpl w:val="89F88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61452A"/>
    <w:multiLevelType w:val="hybridMultilevel"/>
    <w:tmpl w:val="488A4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6DFA"/>
    <w:rsid w:val="00002203"/>
    <w:rsid w:val="00004566"/>
    <w:rsid w:val="00011DD5"/>
    <w:rsid w:val="00014935"/>
    <w:rsid w:val="0001680E"/>
    <w:rsid w:val="00017304"/>
    <w:rsid w:val="000243F3"/>
    <w:rsid w:val="00027A51"/>
    <w:rsid w:val="0003687F"/>
    <w:rsid w:val="00043F60"/>
    <w:rsid w:val="00054A84"/>
    <w:rsid w:val="00056181"/>
    <w:rsid w:val="00065436"/>
    <w:rsid w:val="00071780"/>
    <w:rsid w:val="00076AAA"/>
    <w:rsid w:val="0008602E"/>
    <w:rsid w:val="00086314"/>
    <w:rsid w:val="000912A4"/>
    <w:rsid w:val="00094510"/>
    <w:rsid w:val="00094714"/>
    <w:rsid w:val="000A4B49"/>
    <w:rsid w:val="000B5CEF"/>
    <w:rsid w:val="000B6F30"/>
    <w:rsid w:val="000C00A0"/>
    <w:rsid w:val="000C6806"/>
    <w:rsid w:val="000C7647"/>
    <w:rsid w:val="000D01D6"/>
    <w:rsid w:val="000D52C0"/>
    <w:rsid w:val="000E29F9"/>
    <w:rsid w:val="000E3FCB"/>
    <w:rsid w:val="000F0B32"/>
    <w:rsid w:val="000F0C55"/>
    <w:rsid w:val="000F66FA"/>
    <w:rsid w:val="0010530B"/>
    <w:rsid w:val="001067EF"/>
    <w:rsid w:val="00110C3C"/>
    <w:rsid w:val="00112D78"/>
    <w:rsid w:val="00114C95"/>
    <w:rsid w:val="00117457"/>
    <w:rsid w:val="00134980"/>
    <w:rsid w:val="001466A5"/>
    <w:rsid w:val="00150A16"/>
    <w:rsid w:val="00157D9C"/>
    <w:rsid w:val="00167F2A"/>
    <w:rsid w:val="00176991"/>
    <w:rsid w:val="0018092E"/>
    <w:rsid w:val="00183091"/>
    <w:rsid w:val="00186CDF"/>
    <w:rsid w:val="001A0CC8"/>
    <w:rsid w:val="001A13F3"/>
    <w:rsid w:val="001A736C"/>
    <w:rsid w:val="001C1AF6"/>
    <w:rsid w:val="001C1CC5"/>
    <w:rsid w:val="001C75B5"/>
    <w:rsid w:val="001E05AF"/>
    <w:rsid w:val="001E2190"/>
    <w:rsid w:val="001E391C"/>
    <w:rsid w:val="001F0BCE"/>
    <w:rsid w:val="001F78E3"/>
    <w:rsid w:val="0020093B"/>
    <w:rsid w:val="00200F5A"/>
    <w:rsid w:val="0020218A"/>
    <w:rsid w:val="002034FD"/>
    <w:rsid w:val="00213882"/>
    <w:rsid w:val="00213DC2"/>
    <w:rsid w:val="0023180F"/>
    <w:rsid w:val="00231C8F"/>
    <w:rsid w:val="00240602"/>
    <w:rsid w:val="002440A0"/>
    <w:rsid w:val="002517D5"/>
    <w:rsid w:val="002604A6"/>
    <w:rsid w:val="0026471C"/>
    <w:rsid w:val="002707DA"/>
    <w:rsid w:val="00272CDE"/>
    <w:rsid w:val="00276880"/>
    <w:rsid w:val="002769DA"/>
    <w:rsid w:val="00280DD4"/>
    <w:rsid w:val="00282D12"/>
    <w:rsid w:val="0028761F"/>
    <w:rsid w:val="00291409"/>
    <w:rsid w:val="002A3DF8"/>
    <w:rsid w:val="002B231F"/>
    <w:rsid w:val="002C6AE5"/>
    <w:rsid w:val="002D4DA6"/>
    <w:rsid w:val="002E1E66"/>
    <w:rsid w:val="002E5B6C"/>
    <w:rsid w:val="002E5BE5"/>
    <w:rsid w:val="002F0AE7"/>
    <w:rsid w:val="00312E9A"/>
    <w:rsid w:val="00313E84"/>
    <w:rsid w:val="003157E6"/>
    <w:rsid w:val="00322F6C"/>
    <w:rsid w:val="0033061A"/>
    <w:rsid w:val="003330BB"/>
    <w:rsid w:val="00333297"/>
    <w:rsid w:val="00337332"/>
    <w:rsid w:val="00342A67"/>
    <w:rsid w:val="003475D1"/>
    <w:rsid w:val="003515AB"/>
    <w:rsid w:val="003556A2"/>
    <w:rsid w:val="00355BD4"/>
    <w:rsid w:val="003563CD"/>
    <w:rsid w:val="00356971"/>
    <w:rsid w:val="00366E86"/>
    <w:rsid w:val="00366F9A"/>
    <w:rsid w:val="00370A54"/>
    <w:rsid w:val="00385B10"/>
    <w:rsid w:val="00390B23"/>
    <w:rsid w:val="003A1D06"/>
    <w:rsid w:val="003A3746"/>
    <w:rsid w:val="003B0754"/>
    <w:rsid w:val="003B411B"/>
    <w:rsid w:val="003C10EB"/>
    <w:rsid w:val="003C3E64"/>
    <w:rsid w:val="003C71BC"/>
    <w:rsid w:val="003D0A67"/>
    <w:rsid w:val="003D2242"/>
    <w:rsid w:val="003D2ADE"/>
    <w:rsid w:val="003D340B"/>
    <w:rsid w:val="003D6885"/>
    <w:rsid w:val="003D69D3"/>
    <w:rsid w:val="003E2292"/>
    <w:rsid w:val="003E42FC"/>
    <w:rsid w:val="003E5F1B"/>
    <w:rsid w:val="003E7E79"/>
    <w:rsid w:val="003F3B81"/>
    <w:rsid w:val="0040150A"/>
    <w:rsid w:val="00403B54"/>
    <w:rsid w:val="00405DE6"/>
    <w:rsid w:val="00410CBB"/>
    <w:rsid w:val="004140E6"/>
    <w:rsid w:val="00414A46"/>
    <w:rsid w:val="00416478"/>
    <w:rsid w:val="00421D0B"/>
    <w:rsid w:val="00435B93"/>
    <w:rsid w:val="00455705"/>
    <w:rsid w:val="004573FA"/>
    <w:rsid w:val="0045747C"/>
    <w:rsid w:val="004610F6"/>
    <w:rsid w:val="004715CA"/>
    <w:rsid w:val="004913A1"/>
    <w:rsid w:val="004A4F5F"/>
    <w:rsid w:val="004C0AC2"/>
    <w:rsid w:val="004C7B0F"/>
    <w:rsid w:val="004D0737"/>
    <w:rsid w:val="004D1DA8"/>
    <w:rsid w:val="004D66B2"/>
    <w:rsid w:val="004D671F"/>
    <w:rsid w:val="004E2FDA"/>
    <w:rsid w:val="0050191E"/>
    <w:rsid w:val="00503096"/>
    <w:rsid w:val="00525217"/>
    <w:rsid w:val="00526F74"/>
    <w:rsid w:val="00530B2F"/>
    <w:rsid w:val="00541E10"/>
    <w:rsid w:val="005524AE"/>
    <w:rsid w:val="0055488D"/>
    <w:rsid w:val="00560ECF"/>
    <w:rsid w:val="0056432E"/>
    <w:rsid w:val="00564630"/>
    <w:rsid w:val="0057101C"/>
    <w:rsid w:val="005868D1"/>
    <w:rsid w:val="005937E0"/>
    <w:rsid w:val="005A6D50"/>
    <w:rsid w:val="005A7651"/>
    <w:rsid w:val="005B1716"/>
    <w:rsid w:val="005B4336"/>
    <w:rsid w:val="005C3330"/>
    <w:rsid w:val="005C37CE"/>
    <w:rsid w:val="005C5597"/>
    <w:rsid w:val="005D1E74"/>
    <w:rsid w:val="005D3E06"/>
    <w:rsid w:val="005E0AFA"/>
    <w:rsid w:val="005E1A2C"/>
    <w:rsid w:val="005E7DD8"/>
    <w:rsid w:val="0060078C"/>
    <w:rsid w:val="00603F48"/>
    <w:rsid w:val="00610E48"/>
    <w:rsid w:val="00613127"/>
    <w:rsid w:val="00617FC2"/>
    <w:rsid w:val="006210CB"/>
    <w:rsid w:val="00637F0F"/>
    <w:rsid w:val="00645360"/>
    <w:rsid w:val="00651F23"/>
    <w:rsid w:val="006538C9"/>
    <w:rsid w:val="0065504B"/>
    <w:rsid w:val="0065569C"/>
    <w:rsid w:val="00661FA7"/>
    <w:rsid w:val="00664F0C"/>
    <w:rsid w:val="00685AF6"/>
    <w:rsid w:val="00694052"/>
    <w:rsid w:val="006A409F"/>
    <w:rsid w:val="006A5CB1"/>
    <w:rsid w:val="006A72B7"/>
    <w:rsid w:val="006B3FA2"/>
    <w:rsid w:val="006B450A"/>
    <w:rsid w:val="006B4FAB"/>
    <w:rsid w:val="006B6BA2"/>
    <w:rsid w:val="006C7D55"/>
    <w:rsid w:val="006D1503"/>
    <w:rsid w:val="006E2DDA"/>
    <w:rsid w:val="006E673A"/>
    <w:rsid w:val="006E7EC8"/>
    <w:rsid w:val="00713700"/>
    <w:rsid w:val="00726454"/>
    <w:rsid w:val="00732092"/>
    <w:rsid w:val="007334E4"/>
    <w:rsid w:val="00740E4D"/>
    <w:rsid w:val="00741134"/>
    <w:rsid w:val="00743BEB"/>
    <w:rsid w:val="00743C13"/>
    <w:rsid w:val="00746A39"/>
    <w:rsid w:val="007509C0"/>
    <w:rsid w:val="007630E0"/>
    <w:rsid w:val="007732E6"/>
    <w:rsid w:val="00782879"/>
    <w:rsid w:val="00784196"/>
    <w:rsid w:val="0079222C"/>
    <w:rsid w:val="00796063"/>
    <w:rsid w:val="007A00F1"/>
    <w:rsid w:val="007A0801"/>
    <w:rsid w:val="007A0F91"/>
    <w:rsid w:val="007A294E"/>
    <w:rsid w:val="007B3306"/>
    <w:rsid w:val="007B7DC3"/>
    <w:rsid w:val="007C05DD"/>
    <w:rsid w:val="007C2FCC"/>
    <w:rsid w:val="007C4554"/>
    <w:rsid w:val="007D1277"/>
    <w:rsid w:val="007D29F6"/>
    <w:rsid w:val="007D77DB"/>
    <w:rsid w:val="007E3FF6"/>
    <w:rsid w:val="007E67D8"/>
    <w:rsid w:val="008133AD"/>
    <w:rsid w:val="00815D35"/>
    <w:rsid w:val="0081607C"/>
    <w:rsid w:val="0081772C"/>
    <w:rsid w:val="00825B81"/>
    <w:rsid w:val="00826A62"/>
    <w:rsid w:val="0082751E"/>
    <w:rsid w:val="0083490D"/>
    <w:rsid w:val="00836F1E"/>
    <w:rsid w:val="00857C6E"/>
    <w:rsid w:val="00861318"/>
    <w:rsid w:val="00876E4C"/>
    <w:rsid w:val="00882E04"/>
    <w:rsid w:val="0088399F"/>
    <w:rsid w:val="008844D8"/>
    <w:rsid w:val="00884664"/>
    <w:rsid w:val="008873B4"/>
    <w:rsid w:val="00893F70"/>
    <w:rsid w:val="0089639D"/>
    <w:rsid w:val="008A3CE5"/>
    <w:rsid w:val="008B57DF"/>
    <w:rsid w:val="008D52D0"/>
    <w:rsid w:val="008E558A"/>
    <w:rsid w:val="008E728F"/>
    <w:rsid w:val="008F27C3"/>
    <w:rsid w:val="008F68E5"/>
    <w:rsid w:val="00902068"/>
    <w:rsid w:val="009045C7"/>
    <w:rsid w:val="009118DC"/>
    <w:rsid w:val="009155EA"/>
    <w:rsid w:val="009339E6"/>
    <w:rsid w:val="00933E7B"/>
    <w:rsid w:val="00934194"/>
    <w:rsid w:val="0093444A"/>
    <w:rsid w:val="00935DC8"/>
    <w:rsid w:val="0094671B"/>
    <w:rsid w:val="00960B18"/>
    <w:rsid w:val="00962571"/>
    <w:rsid w:val="00970D7B"/>
    <w:rsid w:val="0098255E"/>
    <w:rsid w:val="0099343D"/>
    <w:rsid w:val="009A18C9"/>
    <w:rsid w:val="009A1E66"/>
    <w:rsid w:val="009B2AD2"/>
    <w:rsid w:val="009B5FE5"/>
    <w:rsid w:val="009B6DFA"/>
    <w:rsid w:val="009C2880"/>
    <w:rsid w:val="009C2C9E"/>
    <w:rsid w:val="009D0552"/>
    <w:rsid w:val="009F697B"/>
    <w:rsid w:val="00A02D7D"/>
    <w:rsid w:val="00A03DA5"/>
    <w:rsid w:val="00A112FC"/>
    <w:rsid w:val="00A14E8C"/>
    <w:rsid w:val="00A1518D"/>
    <w:rsid w:val="00A20686"/>
    <w:rsid w:val="00A20DC7"/>
    <w:rsid w:val="00A2326E"/>
    <w:rsid w:val="00A27741"/>
    <w:rsid w:val="00A6021E"/>
    <w:rsid w:val="00A61DB5"/>
    <w:rsid w:val="00A6254E"/>
    <w:rsid w:val="00A75FFD"/>
    <w:rsid w:val="00A778D1"/>
    <w:rsid w:val="00A85DD2"/>
    <w:rsid w:val="00A87B17"/>
    <w:rsid w:val="00AA52F2"/>
    <w:rsid w:val="00AA5D69"/>
    <w:rsid w:val="00AB078D"/>
    <w:rsid w:val="00AC0244"/>
    <w:rsid w:val="00AC6623"/>
    <w:rsid w:val="00AD28D8"/>
    <w:rsid w:val="00AD46EC"/>
    <w:rsid w:val="00AF6AD7"/>
    <w:rsid w:val="00B05298"/>
    <w:rsid w:val="00B05746"/>
    <w:rsid w:val="00B05BF2"/>
    <w:rsid w:val="00B10F97"/>
    <w:rsid w:val="00B129B4"/>
    <w:rsid w:val="00B1617C"/>
    <w:rsid w:val="00B2680A"/>
    <w:rsid w:val="00B268C3"/>
    <w:rsid w:val="00B27162"/>
    <w:rsid w:val="00B30B91"/>
    <w:rsid w:val="00B30F0C"/>
    <w:rsid w:val="00B364E4"/>
    <w:rsid w:val="00B36F37"/>
    <w:rsid w:val="00B50E57"/>
    <w:rsid w:val="00B56949"/>
    <w:rsid w:val="00B61279"/>
    <w:rsid w:val="00B67C54"/>
    <w:rsid w:val="00B71EAF"/>
    <w:rsid w:val="00B73293"/>
    <w:rsid w:val="00B745EE"/>
    <w:rsid w:val="00B84A3D"/>
    <w:rsid w:val="00B94628"/>
    <w:rsid w:val="00BA251F"/>
    <w:rsid w:val="00BA3B36"/>
    <w:rsid w:val="00BB5D69"/>
    <w:rsid w:val="00BC0D7B"/>
    <w:rsid w:val="00BC58A9"/>
    <w:rsid w:val="00BD38C7"/>
    <w:rsid w:val="00BD4361"/>
    <w:rsid w:val="00BD5E0B"/>
    <w:rsid w:val="00BD60E1"/>
    <w:rsid w:val="00BE7971"/>
    <w:rsid w:val="00BF6E88"/>
    <w:rsid w:val="00BF7262"/>
    <w:rsid w:val="00C01C0F"/>
    <w:rsid w:val="00C044AD"/>
    <w:rsid w:val="00C0619F"/>
    <w:rsid w:val="00C11BD8"/>
    <w:rsid w:val="00C21359"/>
    <w:rsid w:val="00C407BB"/>
    <w:rsid w:val="00C43492"/>
    <w:rsid w:val="00C537EB"/>
    <w:rsid w:val="00C57C14"/>
    <w:rsid w:val="00C622FC"/>
    <w:rsid w:val="00C73711"/>
    <w:rsid w:val="00C93B0D"/>
    <w:rsid w:val="00C95488"/>
    <w:rsid w:val="00C96229"/>
    <w:rsid w:val="00CA3972"/>
    <w:rsid w:val="00CA5A25"/>
    <w:rsid w:val="00CB31AC"/>
    <w:rsid w:val="00CC06D4"/>
    <w:rsid w:val="00CC2221"/>
    <w:rsid w:val="00CC717B"/>
    <w:rsid w:val="00CD0C01"/>
    <w:rsid w:val="00CE065B"/>
    <w:rsid w:val="00CE11F3"/>
    <w:rsid w:val="00CE4780"/>
    <w:rsid w:val="00CE668D"/>
    <w:rsid w:val="00CE71D9"/>
    <w:rsid w:val="00CF1BCD"/>
    <w:rsid w:val="00D0192F"/>
    <w:rsid w:val="00D100C8"/>
    <w:rsid w:val="00D10C7D"/>
    <w:rsid w:val="00D14096"/>
    <w:rsid w:val="00D16861"/>
    <w:rsid w:val="00D32BD1"/>
    <w:rsid w:val="00D33F35"/>
    <w:rsid w:val="00D37173"/>
    <w:rsid w:val="00D464D2"/>
    <w:rsid w:val="00D47265"/>
    <w:rsid w:val="00D47814"/>
    <w:rsid w:val="00D50666"/>
    <w:rsid w:val="00D54C98"/>
    <w:rsid w:val="00D713E7"/>
    <w:rsid w:val="00D728FF"/>
    <w:rsid w:val="00D844AA"/>
    <w:rsid w:val="00D905BD"/>
    <w:rsid w:val="00DA07BB"/>
    <w:rsid w:val="00DA6E16"/>
    <w:rsid w:val="00DB335B"/>
    <w:rsid w:val="00DB377C"/>
    <w:rsid w:val="00DD5276"/>
    <w:rsid w:val="00DF06DF"/>
    <w:rsid w:val="00DF50DE"/>
    <w:rsid w:val="00DF6700"/>
    <w:rsid w:val="00E10F3F"/>
    <w:rsid w:val="00E255C0"/>
    <w:rsid w:val="00E25E74"/>
    <w:rsid w:val="00E277C0"/>
    <w:rsid w:val="00E34E7D"/>
    <w:rsid w:val="00E43F60"/>
    <w:rsid w:val="00E50073"/>
    <w:rsid w:val="00E50353"/>
    <w:rsid w:val="00E53DD8"/>
    <w:rsid w:val="00E557F1"/>
    <w:rsid w:val="00E567DF"/>
    <w:rsid w:val="00E661C1"/>
    <w:rsid w:val="00E7175A"/>
    <w:rsid w:val="00E71FB5"/>
    <w:rsid w:val="00E74071"/>
    <w:rsid w:val="00E74CDF"/>
    <w:rsid w:val="00E759C0"/>
    <w:rsid w:val="00E82B49"/>
    <w:rsid w:val="00E87EC1"/>
    <w:rsid w:val="00E9011A"/>
    <w:rsid w:val="00E90C9D"/>
    <w:rsid w:val="00E97EC7"/>
    <w:rsid w:val="00EB1749"/>
    <w:rsid w:val="00EB52E8"/>
    <w:rsid w:val="00EB7CA9"/>
    <w:rsid w:val="00EC5858"/>
    <w:rsid w:val="00EC5A18"/>
    <w:rsid w:val="00ED4944"/>
    <w:rsid w:val="00EE2D0D"/>
    <w:rsid w:val="00EE6BCF"/>
    <w:rsid w:val="00EE7245"/>
    <w:rsid w:val="00EF3DDF"/>
    <w:rsid w:val="00EF6A06"/>
    <w:rsid w:val="00EF7FBE"/>
    <w:rsid w:val="00F00989"/>
    <w:rsid w:val="00F01575"/>
    <w:rsid w:val="00F04AD2"/>
    <w:rsid w:val="00F12DA9"/>
    <w:rsid w:val="00F202B8"/>
    <w:rsid w:val="00F25852"/>
    <w:rsid w:val="00F25904"/>
    <w:rsid w:val="00F3029F"/>
    <w:rsid w:val="00F32B22"/>
    <w:rsid w:val="00F32C5A"/>
    <w:rsid w:val="00F42ACE"/>
    <w:rsid w:val="00F56757"/>
    <w:rsid w:val="00F57728"/>
    <w:rsid w:val="00F62239"/>
    <w:rsid w:val="00F632AC"/>
    <w:rsid w:val="00F6506A"/>
    <w:rsid w:val="00F6542C"/>
    <w:rsid w:val="00F659CB"/>
    <w:rsid w:val="00F733CD"/>
    <w:rsid w:val="00F80D52"/>
    <w:rsid w:val="00F821F6"/>
    <w:rsid w:val="00F86203"/>
    <w:rsid w:val="00F90F25"/>
    <w:rsid w:val="00F94328"/>
    <w:rsid w:val="00FA37BA"/>
    <w:rsid w:val="00FC3228"/>
    <w:rsid w:val="00FF4B01"/>
    <w:rsid w:val="00FF7F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C10A9B"/>
  <w15:chartTrackingRefBased/>
  <w15:docId w15:val="{E2313236-A390-4DF7-AC32-AC0102A27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CB31AC"/>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B6D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B6DFA"/>
    <w:rPr>
      <w:rFonts w:eastAsiaTheme="minorEastAsia"/>
      <w:lang w:val="en-US"/>
    </w:rPr>
  </w:style>
  <w:style w:type="paragraph" w:styleId="ListParagraph">
    <w:name w:val="List Paragraph"/>
    <w:basedOn w:val="Normal"/>
    <w:uiPriority w:val="34"/>
    <w:qFormat/>
    <w:rsid w:val="00167F2A"/>
    <w:pPr>
      <w:ind w:left="720"/>
      <w:contextualSpacing/>
    </w:pPr>
  </w:style>
  <w:style w:type="character" w:customStyle="1" w:styleId="Heading2Char">
    <w:name w:val="Heading 2 Char"/>
    <w:basedOn w:val="DefaultParagraphFont"/>
    <w:link w:val="Heading2"/>
    <w:uiPriority w:val="9"/>
    <w:rsid w:val="00CB31AC"/>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CB31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3D2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2242"/>
  </w:style>
  <w:style w:type="paragraph" w:styleId="Footer">
    <w:name w:val="footer"/>
    <w:basedOn w:val="Normal"/>
    <w:link w:val="FooterChar"/>
    <w:uiPriority w:val="99"/>
    <w:unhideWhenUsed/>
    <w:rsid w:val="003D2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22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398121">
      <w:bodyDiv w:val="1"/>
      <w:marLeft w:val="0"/>
      <w:marRight w:val="0"/>
      <w:marTop w:val="0"/>
      <w:marBottom w:val="0"/>
      <w:divBdr>
        <w:top w:val="none" w:sz="0" w:space="0" w:color="auto"/>
        <w:left w:val="none" w:sz="0" w:space="0" w:color="auto"/>
        <w:bottom w:val="none" w:sz="0" w:space="0" w:color="auto"/>
        <w:right w:val="none" w:sz="0" w:space="0" w:color="auto"/>
      </w:divBdr>
      <w:divsChild>
        <w:div w:id="317735744">
          <w:marLeft w:val="0"/>
          <w:marRight w:val="0"/>
          <w:marTop w:val="0"/>
          <w:marBottom w:val="0"/>
          <w:divBdr>
            <w:top w:val="none" w:sz="0" w:space="0" w:color="auto"/>
            <w:left w:val="none" w:sz="0" w:space="0" w:color="auto"/>
            <w:bottom w:val="none" w:sz="0" w:space="0" w:color="auto"/>
            <w:right w:val="none" w:sz="0" w:space="0" w:color="auto"/>
          </w:divBdr>
          <w:divsChild>
            <w:div w:id="43338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718048">
      <w:bodyDiv w:val="1"/>
      <w:marLeft w:val="0"/>
      <w:marRight w:val="0"/>
      <w:marTop w:val="0"/>
      <w:marBottom w:val="0"/>
      <w:divBdr>
        <w:top w:val="none" w:sz="0" w:space="0" w:color="auto"/>
        <w:left w:val="none" w:sz="0" w:space="0" w:color="auto"/>
        <w:bottom w:val="none" w:sz="0" w:space="0" w:color="auto"/>
        <w:right w:val="none" w:sz="0" w:space="0" w:color="auto"/>
      </w:divBdr>
      <w:divsChild>
        <w:div w:id="1737896640">
          <w:marLeft w:val="0"/>
          <w:marRight w:val="0"/>
          <w:marTop w:val="0"/>
          <w:marBottom w:val="0"/>
          <w:divBdr>
            <w:top w:val="none" w:sz="0" w:space="0" w:color="auto"/>
            <w:left w:val="none" w:sz="0" w:space="0" w:color="auto"/>
            <w:bottom w:val="none" w:sz="0" w:space="0" w:color="auto"/>
            <w:right w:val="none" w:sz="0" w:space="0" w:color="auto"/>
          </w:divBdr>
          <w:divsChild>
            <w:div w:id="383867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80371">
      <w:bodyDiv w:val="1"/>
      <w:marLeft w:val="0"/>
      <w:marRight w:val="0"/>
      <w:marTop w:val="0"/>
      <w:marBottom w:val="0"/>
      <w:divBdr>
        <w:top w:val="none" w:sz="0" w:space="0" w:color="auto"/>
        <w:left w:val="none" w:sz="0" w:space="0" w:color="auto"/>
        <w:bottom w:val="none" w:sz="0" w:space="0" w:color="auto"/>
        <w:right w:val="none" w:sz="0" w:space="0" w:color="auto"/>
      </w:divBdr>
    </w:div>
    <w:div w:id="103427223">
      <w:bodyDiv w:val="1"/>
      <w:marLeft w:val="0"/>
      <w:marRight w:val="0"/>
      <w:marTop w:val="0"/>
      <w:marBottom w:val="0"/>
      <w:divBdr>
        <w:top w:val="none" w:sz="0" w:space="0" w:color="auto"/>
        <w:left w:val="none" w:sz="0" w:space="0" w:color="auto"/>
        <w:bottom w:val="none" w:sz="0" w:space="0" w:color="auto"/>
        <w:right w:val="none" w:sz="0" w:space="0" w:color="auto"/>
      </w:divBdr>
    </w:div>
    <w:div w:id="155848472">
      <w:bodyDiv w:val="1"/>
      <w:marLeft w:val="0"/>
      <w:marRight w:val="0"/>
      <w:marTop w:val="0"/>
      <w:marBottom w:val="0"/>
      <w:divBdr>
        <w:top w:val="none" w:sz="0" w:space="0" w:color="auto"/>
        <w:left w:val="none" w:sz="0" w:space="0" w:color="auto"/>
        <w:bottom w:val="none" w:sz="0" w:space="0" w:color="auto"/>
        <w:right w:val="none" w:sz="0" w:space="0" w:color="auto"/>
      </w:divBdr>
      <w:divsChild>
        <w:div w:id="735248911">
          <w:marLeft w:val="0"/>
          <w:marRight w:val="0"/>
          <w:marTop w:val="0"/>
          <w:marBottom w:val="0"/>
          <w:divBdr>
            <w:top w:val="none" w:sz="0" w:space="0" w:color="auto"/>
            <w:left w:val="none" w:sz="0" w:space="0" w:color="auto"/>
            <w:bottom w:val="none" w:sz="0" w:space="0" w:color="auto"/>
            <w:right w:val="none" w:sz="0" w:space="0" w:color="auto"/>
          </w:divBdr>
        </w:div>
      </w:divsChild>
    </w:div>
    <w:div w:id="318072096">
      <w:bodyDiv w:val="1"/>
      <w:marLeft w:val="0"/>
      <w:marRight w:val="0"/>
      <w:marTop w:val="0"/>
      <w:marBottom w:val="0"/>
      <w:divBdr>
        <w:top w:val="none" w:sz="0" w:space="0" w:color="auto"/>
        <w:left w:val="none" w:sz="0" w:space="0" w:color="auto"/>
        <w:bottom w:val="none" w:sz="0" w:space="0" w:color="auto"/>
        <w:right w:val="none" w:sz="0" w:space="0" w:color="auto"/>
      </w:divBdr>
    </w:div>
    <w:div w:id="1551651057">
      <w:bodyDiv w:val="1"/>
      <w:marLeft w:val="0"/>
      <w:marRight w:val="0"/>
      <w:marTop w:val="0"/>
      <w:marBottom w:val="0"/>
      <w:divBdr>
        <w:top w:val="none" w:sz="0" w:space="0" w:color="auto"/>
        <w:left w:val="none" w:sz="0" w:space="0" w:color="auto"/>
        <w:bottom w:val="none" w:sz="0" w:space="0" w:color="auto"/>
        <w:right w:val="none" w:sz="0" w:space="0" w:color="auto"/>
      </w:divBdr>
      <w:divsChild>
        <w:div w:id="869564280">
          <w:marLeft w:val="0"/>
          <w:marRight w:val="0"/>
          <w:marTop w:val="0"/>
          <w:marBottom w:val="0"/>
          <w:divBdr>
            <w:top w:val="none" w:sz="0" w:space="0" w:color="auto"/>
            <w:left w:val="none" w:sz="0" w:space="0" w:color="auto"/>
            <w:bottom w:val="none" w:sz="0" w:space="0" w:color="auto"/>
            <w:right w:val="none" w:sz="0" w:space="0" w:color="auto"/>
          </w:divBdr>
        </w:div>
      </w:divsChild>
    </w:div>
    <w:div w:id="1611744412">
      <w:bodyDiv w:val="1"/>
      <w:marLeft w:val="0"/>
      <w:marRight w:val="0"/>
      <w:marTop w:val="0"/>
      <w:marBottom w:val="0"/>
      <w:divBdr>
        <w:top w:val="none" w:sz="0" w:space="0" w:color="auto"/>
        <w:left w:val="none" w:sz="0" w:space="0" w:color="auto"/>
        <w:bottom w:val="none" w:sz="0" w:space="0" w:color="auto"/>
        <w:right w:val="none" w:sz="0" w:space="0" w:color="auto"/>
      </w:divBdr>
    </w:div>
    <w:div w:id="1764913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5" Type="http://schemas.openxmlformats.org/officeDocument/2006/relationships/settings" Target="settings.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2F8CB5947EF497F98C1158BF961E1B0"/>
        <w:category>
          <w:name w:val="General"/>
          <w:gallery w:val="placeholder"/>
        </w:category>
        <w:types>
          <w:type w:val="bbPlcHdr"/>
        </w:types>
        <w:behaviors>
          <w:behavior w:val="content"/>
        </w:behaviors>
        <w:guid w:val="{6C68125B-9645-4FC9-A281-7345F07FBDDD}"/>
      </w:docPartPr>
      <w:docPartBody>
        <w:p w:rsidR="00163DDA" w:rsidRDefault="00E448C5" w:rsidP="00E448C5">
          <w:pPr>
            <w:pStyle w:val="F2F8CB5947EF497F98C1158BF961E1B0"/>
          </w:pPr>
          <w:r>
            <w:rPr>
              <w:rFonts w:asciiTheme="majorHAnsi" w:eastAsiaTheme="majorEastAsia" w:hAnsiTheme="majorHAnsi" w:cstheme="majorBidi"/>
              <w:color w:val="4472C4" w:themeColor="accent1"/>
              <w:sz w:val="88"/>
              <w:szCs w:val="88"/>
            </w:rPr>
            <w:t>[Document title]</w:t>
          </w:r>
        </w:p>
      </w:docPartBody>
    </w:docPart>
    <w:docPart>
      <w:docPartPr>
        <w:name w:val="DAFD664D9D4046F7AEA4A74A3B04DF12"/>
        <w:category>
          <w:name w:val="General"/>
          <w:gallery w:val="placeholder"/>
        </w:category>
        <w:types>
          <w:type w:val="bbPlcHdr"/>
        </w:types>
        <w:behaviors>
          <w:behavior w:val="content"/>
        </w:behaviors>
        <w:guid w:val="{02AD9EBA-8F26-4076-9E48-2FB44FAE693D}"/>
      </w:docPartPr>
      <w:docPartBody>
        <w:p w:rsidR="00163DDA" w:rsidRDefault="00E448C5" w:rsidP="00E448C5">
          <w:pPr>
            <w:pStyle w:val="DAFD664D9D4046F7AEA4A74A3B04DF12"/>
          </w:pPr>
          <w:r>
            <w:rPr>
              <w:color w:val="2F5496" w:themeColor="accent1" w:themeShade="BF"/>
              <w:sz w:val="24"/>
              <w:szCs w:val="24"/>
            </w:rPr>
            <w:t>[Document subtitle]</w:t>
          </w:r>
        </w:p>
      </w:docPartBody>
    </w:docPart>
    <w:docPart>
      <w:docPartPr>
        <w:name w:val="E6D984C5FCDB49CF814880833A1E52E4"/>
        <w:category>
          <w:name w:val="General"/>
          <w:gallery w:val="placeholder"/>
        </w:category>
        <w:types>
          <w:type w:val="bbPlcHdr"/>
        </w:types>
        <w:behaviors>
          <w:behavior w:val="content"/>
        </w:behaviors>
        <w:guid w:val="{C28C1A2E-0202-45DE-9C25-7F1D745CF704}"/>
      </w:docPartPr>
      <w:docPartBody>
        <w:p w:rsidR="00163DDA" w:rsidRDefault="00E448C5" w:rsidP="00E448C5">
          <w:pPr>
            <w:pStyle w:val="E6D984C5FCDB49CF814880833A1E52E4"/>
          </w:pPr>
          <w:r>
            <w:rPr>
              <w:color w:val="4472C4" w:themeColor="accent1"/>
              <w:sz w:val="28"/>
              <w:szCs w:val="28"/>
            </w:rP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448C5"/>
    <w:rsid w:val="00002BCD"/>
    <w:rsid w:val="000C21CB"/>
    <w:rsid w:val="00163DDA"/>
    <w:rsid w:val="001B6306"/>
    <w:rsid w:val="001E57DF"/>
    <w:rsid w:val="00293903"/>
    <w:rsid w:val="0036135A"/>
    <w:rsid w:val="00612EEE"/>
    <w:rsid w:val="007D5FB0"/>
    <w:rsid w:val="00973EDA"/>
    <w:rsid w:val="00A6428B"/>
    <w:rsid w:val="00A86648"/>
    <w:rsid w:val="00C407D1"/>
    <w:rsid w:val="00DB6CD2"/>
    <w:rsid w:val="00E448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06292D4EBF84E63A635D024DC693AAA">
    <w:name w:val="C06292D4EBF84E63A635D024DC693AAA"/>
    <w:rsid w:val="00E448C5"/>
  </w:style>
  <w:style w:type="paragraph" w:customStyle="1" w:styleId="F2F8CB5947EF497F98C1158BF961E1B0">
    <w:name w:val="F2F8CB5947EF497F98C1158BF961E1B0"/>
    <w:rsid w:val="00E448C5"/>
  </w:style>
  <w:style w:type="paragraph" w:customStyle="1" w:styleId="DAFD664D9D4046F7AEA4A74A3B04DF12">
    <w:name w:val="DAFD664D9D4046F7AEA4A74A3B04DF12"/>
    <w:rsid w:val="00E448C5"/>
  </w:style>
  <w:style w:type="paragraph" w:customStyle="1" w:styleId="E6D984C5FCDB49CF814880833A1E52E4">
    <w:name w:val="E6D984C5FCDB49CF814880833A1E52E4"/>
    <w:rsid w:val="00E448C5"/>
  </w:style>
  <w:style w:type="paragraph" w:customStyle="1" w:styleId="E70F36EF06124A32A475D194E6FBA85C">
    <w:name w:val="E70F36EF06124A32A475D194E6FBA85C"/>
    <w:rsid w:val="00E448C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2017-12-13T00:00:00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18D0AFA-A1F4-48D6-87FB-1B7F221EA4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2588</Words>
  <Characters>14755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Individual Report</vt:lpstr>
    </vt:vector>
  </TitlesOfParts>
  <Company/>
  <LinksUpToDate>false</LinksUpToDate>
  <CharactersWithSpaces>17309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Individual Report</dc:title>
  <dc:subject>Entrepreneurship</dc:subject>
  <dc:creator>Adam Head</dc:creator>
  <cp:keywords/>
  <dc:description/>
  <cp:lastModifiedBy>Adam Head</cp:lastModifiedBy>
  <cp:revision>2</cp:revision>
  <dcterms:created xsi:type="dcterms:W3CDTF">2018-05-09T21:59:00Z</dcterms:created>
  <dcterms:modified xsi:type="dcterms:W3CDTF">2018-05-09T21:59:00Z</dcterms:modified>
</cp:coreProperties>
</file>