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52621E" w:rsidR="00283DFA" w:rsidP="581AC2FF" w:rsidRDefault="00283DFA" w14:paraId="107BE998" w14:textId="0EA978C6">
      <w:pPr>
        <w:pStyle w:val="Normal"/>
        <w:spacing w:line="240" w:lineRule="auto"/>
        <w:jc w:val="center"/>
        <w:rPr>
          <w:rFonts w:ascii="Times New Roman" w:hAnsi="Times New Roman" w:cs="Times New Roman"/>
          <w:sz w:val="24"/>
          <w:szCs w:val="24"/>
        </w:rPr>
      </w:pPr>
    </w:p>
    <w:p w:rsidRPr="0052621E" w:rsidR="00283DFA" w:rsidP="00152DE0" w:rsidRDefault="00283DFA" w14:paraId="7CBD20F7" w14:textId="3B9A8770">
      <w:pPr>
        <w:spacing w:line="240" w:lineRule="auto"/>
        <w:jc w:val="center"/>
      </w:pPr>
    </w:p>
    <w:p w:rsidRPr="0052621E" w:rsidR="00283DFA" w:rsidP="00152DE0" w:rsidRDefault="00283DFA" w14:paraId="7EA69F22" w14:textId="31097CAC">
      <w:pPr>
        <w:spacing w:line="240" w:lineRule="auto"/>
        <w:jc w:val="center"/>
        <w:rPr>
          <w:rFonts w:ascii="Times New Roman" w:hAnsi="Times New Roman" w:cs="Times New Roman"/>
          <w:sz w:val="24"/>
          <w:szCs w:val="24"/>
        </w:rPr>
      </w:pPr>
      <w:r>
        <w:drawing>
          <wp:inline wp14:editId="2A2D7047" wp14:anchorId="4C4D5DC6">
            <wp:extent cx="5943600" cy="3590925"/>
            <wp:effectExtent l="0" t="0" r="0" b="0"/>
            <wp:docPr id="597362143" name="" title=""/>
            <wp:cNvGraphicFramePr>
              <a:graphicFrameLocks noChangeAspect="1"/>
            </wp:cNvGraphicFramePr>
            <a:graphic>
              <a:graphicData uri="http://schemas.openxmlformats.org/drawingml/2006/picture">
                <pic:pic>
                  <pic:nvPicPr>
                    <pic:cNvPr id="0" name=""/>
                    <pic:cNvPicPr/>
                  </pic:nvPicPr>
                  <pic:blipFill>
                    <a:blip r:embed="Rff8a4d73ca4f4f18">
                      <a:extLst>
                        <a:ext xmlns:a="http://schemas.openxmlformats.org/drawingml/2006/main" uri="{28A0092B-C50C-407E-A947-70E740481C1C}">
                          <a14:useLocalDpi val="0"/>
                        </a:ext>
                      </a:extLst>
                    </a:blip>
                    <a:stretch>
                      <a:fillRect/>
                    </a:stretch>
                  </pic:blipFill>
                  <pic:spPr>
                    <a:xfrm>
                      <a:off x="0" y="0"/>
                      <a:ext cx="5943600" cy="3590925"/>
                    </a:xfrm>
                    <a:prstGeom prst="rect">
                      <a:avLst/>
                    </a:prstGeom>
                  </pic:spPr>
                </pic:pic>
              </a:graphicData>
            </a:graphic>
          </wp:inline>
        </w:drawing>
      </w:r>
    </w:p>
    <w:p w:rsidRPr="0052621E" w:rsidR="0061032C" w:rsidP="00152DE0" w:rsidRDefault="0061032C" w14:paraId="5933E1D9" w14:textId="77777777">
      <w:pPr>
        <w:spacing w:line="240" w:lineRule="auto"/>
        <w:jc w:val="center"/>
        <w:rPr>
          <w:rFonts w:ascii="Times New Roman" w:hAnsi="Times New Roman" w:cs="Times New Roman"/>
          <w:sz w:val="24"/>
          <w:szCs w:val="24"/>
        </w:rPr>
      </w:pPr>
    </w:p>
    <w:p w:rsidRPr="0052621E" w:rsidR="0061032C" w:rsidP="00152DE0" w:rsidRDefault="0061032C" w14:paraId="366C1D78" w14:textId="77777777">
      <w:pPr>
        <w:spacing w:line="240" w:lineRule="auto"/>
        <w:jc w:val="center"/>
        <w:rPr>
          <w:rFonts w:ascii="Times New Roman" w:hAnsi="Times New Roman" w:cs="Times New Roman"/>
          <w:sz w:val="24"/>
          <w:szCs w:val="24"/>
        </w:rPr>
      </w:pPr>
    </w:p>
    <w:p w:rsidR="5D385F40" w:rsidP="5D385F40" w:rsidRDefault="5D385F40" w14:paraId="77634642" w14:textId="31BC50EA">
      <w:pPr>
        <w:pStyle w:val="Header"/>
        <w:suppressLineNumbers w:val="0"/>
        <w:bidi w:val="0"/>
        <w:spacing w:before="0" w:beforeAutospacing="off" w:after="0" w:afterAutospacing="off" w:line="240" w:lineRule="auto"/>
        <w:ind w:left="0" w:right="0"/>
        <w:contextualSpacing/>
        <w:jc w:val="center"/>
      </w:pPr>
      <w:r w:rsidRPr="5D385F40" w:rsidR="5D385F40">
        <w:rPr>
          <w:rFonts w:ascii="Calibri" w:hAnsi="Calibri" w:eastAsia="Calibri" w:cs="Calibri" w:asciiTheme="minorAscii" w:hAnsiTheme="minorAscii" w:eastAsiaTheme="minorAscii" w:cstheme="minorAscii"/>
          <w:b w:val="1"/>
          <w:bCs w:val="1"/>
          <w:sz w:val="40"/>
          <w:szCs w:val="40"/>
        </w:rPr>
        <w:t>Partnership and Information Sharing in Policing</w:t>
      </w:r>
    </w:p>
    <w:p w:rsidR="5D385F40" w:rsidP="5D385F40" w:rsidRDefault="5D385F40" w14:paraId="7E7F1B0C" w14:textId="125A8573">
      <w:pPr>
        <w:pStyle w:val="Header"/>
        <w:suppressLineNumbers w:val="0"/>
        <w:bidi w:val="0"/>
        <w:spacing w:before="0" w:beforeAutospacing="off" w:after="0" w:afterAutospacing="off" w:line="240" w:lineRule="auto"/>
        <w:ind w:left="0" w:right="0"/>
        <w:contextualSpacing/>
        <w:jc w:val="center"/>
        <w:rPr>
          <w:rFonts w:ascii="Calibri" w:hAnsi="Calibri" w:eastAsia="Calibri" w:cs="Calibri" w:asciiTheme="minorAscii" w:hAnsiTheme="minorAscii" w:eastAsiaTheme="minorAscii" w:cstheme="minorAscii"/>
          <w:b w:val="1"/>
          <w:bCs w:val="1"/>
          <w:sz w:val="40"/>
          <w:szCs w:val="40"/>
        </w:rPr>
      </w:pPr>
    </w:p>
    <w:p w:rsidR="5D385F40" w:rsidP="5D385F40" w:rsidRDefault="5D385F40" w14:paraId="0EEE88DA" w14:textId="17FD6FE2">
      <w:pPr>
        <w:pStyle w:val="Header"/>
        <w:suppressLineNumbers w:val="0"/>
        <w:bidi w:val="0"/>
        <w:spacing w:before="0" w:beforeAutospacing="off" w:after="0" w:afterAutospacing="off" w:line="240" w:lineRule="auto"/>
        <w:ind w:left="0" w:right="0"/>
        <w:contextualSpacing/>
        <w:jc w:val="center"/>
        <w:rPr>
          <w:rFonts w:ascii="Calibri" w:hAnsi="Calibri" w:eastAsia="Calibri" w:cs="Calibri" w:asciiTheme="minorAscii" w:hAnsiTheme="minorAscii" w:eastAsiaTheme="minorAscii" w:cstheme="minorAscii"/>
          <w:b w:val="1"/>
          <w:bCs w:val="1"/>
          <w:sz w:val="40"/>
          <w:szCs w:val="40"/>
        </w:rPr>
      </w:pPr>
    </w:p>
    <w:p w:rsidRPr="004401B5" w:rsidR="00C021D9" w:rsidP="581AC2FF" w:rsidRDefault="001820FC" w14:paraId="3E785CA5" w14:textId="43FDC53F">
      <w:pPr>
        <w:pStyle w:val="Header"/>
        <w:spacing w:line="480" w:lineRule="auto"/>
        <w:contextualSpacing/>
        <w:jc w:val="center"/>
        <w:rPr>
          <w:rFonts w:ascii="Times New Roman" w:hAnsi="Times New Roman" w:cs="Times New Roman"/>
          <w:b w:val="1"/>
          <w:bCs w:val="1"/>
          <w:sz w:val="24"/>
          <w:szCs w:val="24"/>
        </w:rPr>
      </w:pPr>
    </w:p>
    <w:p w:rsidR="581AC2FF" w:rsidP="5D385F40" w:rsidRDefault="581AC2FF" w14:paraId="30527ACA" w14:textId="738EF86D">
      <w:pPr>
        <w:pStyle w:val="Header"/>
        <w:spacing w:line="480" w:lineRule="auto"/>
        <w:ind w:left="3600" w:firstLine="0"/>
        <w:contextualSpacing/>
        <w:jc w:val="left"/>
        <w:rPr>
          <w:rFonts w:ascii="Calibri" w:hAnsi="Calibri" w:eastAsia="Calibri" w:cs="Calibri" w:asciiTheme="minorAscii" w:hAnsiTheme="minorAscii" w:eastAsiaTheme="minorAscii" w:cstheme="minorAscii"/>
          <w:b w:val="0"/>
          <w:bCs w:val="0"/>
          <w:sz w:val="24"/>
          <w:szCs w:val="24"/>
        </w:rPr>
      </w:pPr>
    </w:p>
    <w:p w:rsidR="581AC2FF" w:rsidP="581AC2FF" w:rsidRDefault="581AC2FF" w14:paraId="47683302" w14:textId="41D087BB">
      <w:pPr>
        <w:pStyle w:val="Header"/>
        <w:spacing w:line="480" w:lineRule="auto"/>
        <w:ind w:left="5760" w:firstLine="0"/>
        <w:contextualSpacing/>
        <w:jc w:val="left"/>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397A79F5" w14:textId="56470454">
      <w:pPr>
        <w:pStyle w:val="Header"/>
        <w:spacing w:line="480" w:lineRule="auto"/>
        <w:ind w:left="6480" w:firstLine="720"/>
        <w:contextualSpacing/>
        <w:jc w:val="left"/>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2451F3EC" w14:textId="0A5A20A7">
      <w:pPr>
        <w:pStyle w:val="Header"/>
        <w:spacing w:line="480" w:lineRule="auto"/>
        <w:ind w:left="6480" w:firstLine="720"/>
        <w:contextualSpacing/>
        <w:jc w:val="left"/>
        <w:rPr>
          <w:rFonts w:ascii="Calibri" w:hAnsi="Calibri" w:eastAsia="Calibri" w:cs="Calibri" w:asciiTheme="minorAscii" w:hAnsiTheme="minorAscii" w:eastAsiaTheme="minorAscii" w:cstheme="minorAscii"/>
          <w:b w:val="0"/>
          <w:bCs w:val="0"/>
          <w:sz w:val="24"/>
          <w:szCs w:val="24"/>
        </w:rPr>
      </w:pPr>
      <w:r w:rsidRPr="14F27F53" w:rsidR="14F27F53">
        <w:rPr>
          <w:rFonts w:ascii="Calibri" w:hAnsi="Calibri" w:eastAsia="Calibri" w:cs="Calibri" w:asciiTheme="minorAscii" w:hAnsiTheme="minorAscii" w:eastAsiaTheme="minorAscii" w:cstheme="minorAscii"/>
          <w:b w:val="0"/>
          <w:bCs w:val="0"/>
          <w:sz w:val="24"/>
          <w:szCs w:val="24"/>
        </w:rPr>
        <w:t>Catalin Teodorescu</w:t>
      </w:r>
    </w:p>
    <w:p w:rsidRPr="004401B5" w:rsidR="00C021D9" w:rsidP="14F27F53" w:rsidRDefault="001820FC" w14:paraId="662FDCC6" w14:textId="1E477BC0">
      <w:pPr>
        <w:pStyle w:val="Header"/>
        <w:spacing w:line="480" w:lineRule="auto"/>
        <w:ind w:left="6480" w:firstLine="720"/>
        <w:contextualSpacing/>
        <w:jc w:val="left"/>
        <w:rPr>
          <w:rFonts w:ascii="Calibri" w:hAnsi="Calibri" w:eastAsia="Calibri" w:cs="Calibri" w:asciiTheme="minorAscii" w:hAnsiTheme="minorAscii" w:eastAsiaTheme="minorAscii" w:cstheme="minorAscii"/>
          <w:b w:val="0"/>
          <w:bCs w:val="0"/>
          <w:sz w:val="24"/>
          <w:szCs w:val="24"/>
        </w:rPr>
      </w:pPr>
      <w:r w:rsidRPr="14F27F53" w:rsidR="14F27F53">
        <w:rPr>
          <w:rFonts w:ascii="Calibri" w:hAnsi="Calibri" w:eastAsia="Calibri" w:cs="Calibri" w:asciiTheme="minorAscii" w:hAnsiTheme="minorAscii" w:eastAsiaTheme="minorAscii" w:cstheme="minorAscii"/>
          <w:b w:val="0"/>
          <w:bCs w:val="0"/>
          <w:sz w:val="24"/>
          <w:szCs w:val="24"/>
        </w:rPr>
        <w:t>2313940</w:t>
      </w:r>
    </w:p>
    <w:p w:rsidRPr="004401B5" w:rsidR="00C021D9" w:rsidP="14F27F53" w:rsidRDefault="001820FC" w14:paraId="10105954" w14:textId="1136975C">
      <w:pPr>
        <w:pStyle w:val="Header"/>
        <w:spacing w:line="480" w:lineRule="auto"/>
        <w:ind w:left="7200" w:firstLine="0"/>
        <w:contextualSpacing/>
        <w:jc w:val="left"/>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0116B3AC" w14:textId="28E55DFF">
      <w:pPr>
        <w:pStyle w:val="Header"/>
        <w:spacing w:line="480" w:lineRule="auto"/>
        <w:ind w:left="7200" w:firstLine="0"/>
        <w:contextualSpacing/>
        <w:jc w:val="left"/>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1D09B9CA" w14:textId="04CFEB0D">
      <w:pPr>
        <w:pStyle w:val="Header"/>
        <w:spacing w:line="480" w:lineRule="auto"/>
        <w:ind w:left="720" w:firstLine="0"/>
        <w:contextualSpacing/>
        <w:jc w:val="left"/>
        <w:rPr>
          <w:rFonts w:ascii="Calibri" w:hAnsi="Calibri" w:eastAsia="Calibri" w:cs="Calibri" w:asciiTheme="minorAscii" w:hAnsiTheme="minorAscii" w:eastAsiaTheme="minorAscii" w:cstheme="minorAscii"/>
          <w:b w:val="0"/>
          <w:bCs w:val="0"/>
          <w:sz w:val="24"/>
          <w:szCs w:val="24"/>
        </w:rPr>
      </w:pPr>
      <w:r w:rsidRPr="14F27F53" w:rsidR="14F27F53">
        <w:rPr>
          <w:rFonts w:ascii="Calibri" w:hAnsi="Calibri" w:eastAsia="Calibri" w:cs="Calibri" w:asciiTheme="minorAscii" w:hAnsiTheme="minorAscii" w:eastAsiaTheme="minorAscii" w:cstheme="minorAscii"/>
          <w:b w:val="0"/>
          <w:bCs w:val="0"/>
          <w:sz w:val="24"/>
          <w:szCs w:val="24"/>
        </w:rPr>
        <w:t>Contents Page</w:t>
      </w:r>
    </w:p>
    <w:p w:rsidRPr="004401B5" w:rsidR="00C021D9" w:rsidP="14F27F53" w:rsidRDefault="001820FC" w14:paraId="4C3F5F53" w14:textId="06C236D9">
      <w:pPr>
        <w:pStyle w:val="Header"/>
        <w:spacing w:line="480" w:lineRule="auto"/>
        <w:ind w:left="0" w:firstLine="0"/>
        <w:contextualSpacing/>
        <w:jc w:val="left"/>
        <w:rPr>
          <w:rFonts w:ascii="Calibri" w:hAnsi="Calibri" w:eastAsia="Calibri" w:cs="Calibri" w:asciiTheme="minorAscii" w:hAnsiTheme="minorAscii" w:eastAsiaTheme="minorAscii" w:cstheme="minorAscii"/>
          <w:b w:val="0"/>
          <w:bCs w:val="0"/>
          <w:sz w:val="24"/>
          <w:szCs w:val="24"/>
        </w:rPr>
      </w:pPr>
      <w:r w:rsidRPr="14F27F53" w:rsidR="14F27F53">
        <w:rPr>
          <w:rFonts w:ascii="Calibri" w:hAnsi="Calibri" w:eastAsia="Calibri" w:cs="Calibri" w:asciiTheme="minorAscii" w:hAnsiTheme="minorAscii" w:eastAsiaTheme="minorAscii" w:cstheme="minorAscii"/>
          <w:b w:val="0"/>
          <w:bCs w:val="0"/>
          <w:sz w:val="24"/>
          <w:szCs w:val="24"/>
        </w:rPr>
        <w:t>Introduction . . .. Page 3</w:t>
      </w:r>
      <w:r>
        <w:tab/>
      </w:r>
    </w:p>
    <w:p w:rsidRPr="004401B5" w:rsidR="00C021D9" w:rsidP="14F27F53" w:rsidRDefault="001820FC" w14:paraId="5F62A00A" w14:textId="1268310C">
      <w:pPr>
        <w:pStyle w:val="Header"/>
        <w:spacing w:line="480" w:lineRule="auto"/>
        <w:ind w:left="0" w:firstLine="0"/>
        <w:contextualSpacing/>
        <w:jc w:val="left"/>
        <w:rPr>
          <w:rFonts w:ascii="Calibri" w:hAnsi="Calibri" w:eastAsia="Calibri" w:cs="Calibri" w:asciiTheme="minorAscii" w:hAnsiTheme="minorAscii" w:eastAsiaTheme="minorAscii" w:cstheme="minorAscii"/>
          <w:b w:val="0"/>
          <w:bCs w:val="0"/>
          <w:sz w:val="24"/>
          <w:szCs w:val="24"/>
        </w:rPr>
      </w:pPr>
      <w:r w:rsidRPr="14F27F53" w:rsidR="14F27F53">
        <w:rPr>
          <w:rFonts w:ascii="Calibri" w:hAnsi="Calibri" w:eastAsia="Calibri" w:cs="Calibri" w:asciiTheme="minorAscii" w:hAnsiTheme="minorAscii" w:eastAsiaTheme="minorAscii" w:cstheme="minorAscii"/>
          <w:b w:val="0"/>
          <w:bCs w:val="0"/>
          <w:sz w:val="24"/>
          <w:szCs w:val="24"/>
        </w:rPr>
        <w:t>Main Body . . . . . Page 4</w:t>
      </w:r>
      <w:r>
        <w:tab/>
      </w:r>
    </w:p>
    <w:p w:rsidRPr="004401B5" w:rsidR="00C021D9" w:rsidP="14F27F53" w:rsidRDefault="001820FC" w14:paraId="6FF63E0F" w14:textId="63EEF097">
      <w:pPr>
        <w:pStyle w:val="Header"/>
        <w:spacing w:line="480" w:lineRule="auto"/>
        <w:ind w:left="0" w:firstLine="0"/>
        <w:contextualSpacing/>
        <w:jc w:val="left"/>
      </w:pPr>
      <w:r w:rsidRPr="14F27F53" w:rsidR="14F27F53">
        <w:rPr>
          <w:rFonts w:ascii="Calibri" w:hAnsi="Calibri" w:eastAsia="Calibri" w:cs="Calibri" w:asciiTheme="minorAscii" w:hAnsiTheme="minorAscii" w:eastAsiaTheme="minorAscii" w:cstheme="minorAscii"/>
          <w:b w:val="0"/>
          <w:bCs w:val="0"/>
          <w:sz w:val="24"/>
          <w:szCs w:val="24"/>
        </w:rPr>
        <w:t xml:space="preserve">Conclusion </w:t>
      </w:r>
      <w:r w:rsidRPr="14F27F53" w:rsidR="14F27F53">
        <w:rPr>
          <w:rFonts w:ascii="Calibri" w:hAnsi="Calibri" w:eastAsia="Calibri" w:cs="Calibri" w:asciiTheme="minorAscii" w:hAnsiTheme="minorAscii" w:eastAsiaTheme="minorAscii" w:cstheme="minorAscii"/>
          <w:b w:val="0"/>
          <w:bCs w:val="0"/>
          <w:sz w:val="24"/>
          <w:szCs w:val="24"/>
        </w:rPr>
        <w:t>. . . .</w:t>
      </w:r>
      <w:r w:rsidRPr="14F27F53" w:rsidR="14F27F53">
        <w:rPr>
          <w:rFonts w:ascii="Calibri" w:hAnsi="Calibri" w:eastAsia="Calibri" w:cs="Calibri" w:asciiTheme="minorAscii" w:hAnsiTheme="minorAscii" w:eastAsiaTheme="minorAscii" w:cstheme="minorAscii"/>
          <w:b w:val="0"/>
          <w:bCs w:val="0"/>
          <w:sz w:val="24"/>
          <w:szCs w:val="24"/>
        </w:rPr>
        <w:t xml:space="preserve"> . Page 8</w:t>
      </w:r>
    </w:p>
    <w:p w:rsidRPr="004401B5" w:rsidR="00C021D9" w:rsidP="14F27F53" w:rsidRDefault="001820FC" w14:paraId="10E5A6CB" w14:textId="31A3EF6A">
      <w:pPr>
        <w:pStyle w:val="Header"/>
        <w:suppressLineNumbers w:val="0"/>
        <w:bidi w:val="0"/>
        <w:spacing w:before="0" w:beforeAutospacing="off" w:after="0" w:afterAutospacing="off" w:line="480" w:lineRule="auto"/>
        <w:ind w:left="0" w:right="0"/>
        <w:contextualSpacing/>
        <w:jc w:val="left"/>
      </w:pPr>
      <w:r w:rsidRPr="14F27F53" w:rsidR="14F27F53">
        <w:rPr>
          <w:rFonts w:ascii="Calibri" w:hAnsi="Calibri" w:eastAsia="Calibri" w:cs="Calibri" w:asciiTheme="minorAscii" w:hAnsiTheme="minorAscii" w:eastAsiaTheme="minorAscii" w:cstheme="minorAscii"/>
          <w:b w:val="0"/>
          <w:bCs w:val="0"/>
          <w:sz w:val="24"/>
          <w:szCs w:val="24"/>
        </w:rPr>
        <w:t>Reference List . . .Page 9</w:t>
      </w:r>
    </w:p>
    <w:p w:rsidRPr="004401B5" w:rsidR="00C021D9" w:rsidP="14F27F53" w:rsidRDefault="001820FC" w14:paraId="1B85FAFB" w14:textId="5E44B6BD">
      <w:pPr>
        <w:pStyle w:val="Header"/>
        <w:spacing w:line="480" w:lineRule="auto"/>
        <w:ind w:left="7200" w:firstLine="0"/>
        <w:contextualSpacing/>
        <w:jc w:val="left"/>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2687D60B" w14:textId="099D0949">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6AEA4D35" w14:textId="2B8FA63D">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251D49A2" w14:textId="5B882A17">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7BA881FB" w14:textId="4F6EAFAB">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167701D1" w14:textId="463A1FC3">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72B9195C" w14:textId="67E47E7A">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441DBDF4" w14:textId="0D0183AB">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4775BCD6" w14:textId="700970F5">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79655E9F" w14:textId="0D32A4C8">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67EB0323" w14:textId="227473DC">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6D43F114" w14:textId="7F9DB5C6">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529AB202" w14:textId="35E1ED53">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24EA5901" w14:textId="0DC80FB0">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3EBB8356" w14:textId="062369B2">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2FB16AC9" w14:textId="4DD57F47">
      <w:pPr>
        <w:pStyle w:val="Header"/>
        <w:spacing w:line="480" w:lineRule="auto"/>
        <w:ind w:left="648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1891D969" w14:textId="1B04D59E">
      <w:pPr>
        <w:pStyle w:val="Header"/>
        <w:spacing w:line="480" w:lineRule="auto"/>
        <w:contextualSpacing/>
        <w:jc w:val="center"/>
        <w:rPr>
          <w:rFonts w:ascii="Times New Roman" w:hAnsi="Times New Roman" w:cs="Times New Roman"/>
          <w:b w:val="1"/>
          <w:bCs w:val="1"/>
          <w:sz w:val="24"/>
          <w:szCs w:val="24"/>
        </w:rPr>
      </w:pPr>
    </w:p>
    <w:p w:rsidRPr="004401B5" w:rsidR="00C021D9" w:rsidP="14F27F53" w:rsidRDefault="001820FC" w14:paraId="4F4207E1" w14:textId="3304ECE7">
      <w:pPr>
        <w:pStyle w:val="Header"/>
        <w:spacing w:line="480" w:lineRule="auto"/>
        <w:contextualSpacing/>
        <w:jc w:val="center"/>
        <w:rPr>
          <w:rFonts w:ascii="Times New Roman" w:hAnsi="Times New Roman" w:cs="Times New Roman"/>
          <w:b w:val="1"/>
          <w:bCs w:val="1"/>
          <w:sz w:val="24"/>
          <w:szCs w:val="24"/>
        </w:rPr>
      </w:pPr>
    </w:p>
    <w:p w:rsidR="5D385F40" w:rsidP="5D385F40" w:rsidRDefault="5D385F40" w14:paraId="7D65C2A2" w14:textId="40C6A026">
      <w:pPr>
        <w:pStyle w:val="Header"/>
        <w:suppressLineNumbers w:val="0"/>
        <w:bidi w:val="0"/>
        <w:spacing w:before="0" w:beforeAutospacing="off" w:after="0" w:afterAutospacing="off" w:line="480" w:lineRule="auto"/>
        <w:ind w:left="0" w:right="0" w:firstLine="720"/>
        <w:contextualSpacing/>
        <w:jc w:val="left"/>
      </w:pPr>
      <w:r w:rsidRPr="5D385F40" w:rsidR="5D385F40">
        <w:rPr>
          <w:rFonts w:ascii="Calibri" w:hAnsi="Calibri" w:eastAsia="Calibri" w:cs="Calibri" w:asciiTheme="minorAscii" w:hAnsiTheme="minorAscii" w:eastAsiaTheme="minorAscii" w:cstheme="minorAscii"/>
          <w:b w:val="1"/>
          <w:bCs w:val="1"/>
          <w:sz w:val="24"/>
          <w:szCs w:val="24"/>
        </w:rPr>
        <w:t>Introduction</w:t>
      </w:r>
    </w:p>
    <w:p w:rsidR="5D385F40" w:rsidP="5D385F40" w:rsidRDefault="5D385F40" w14:paraId="7082CCF0" w14:textId="3F086C6F">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In the past, policing </w:t>
      </w:r>
      <w:r w:rsidRPr="5D385F40" w:rsidR="5D385F40">
        <w:rPr>
          <w:rFonts w:ascii="Calibri" w:hAnsi="Calibri" w:eastAsia="Calibri" w:cs="Calibri" w:asciiTheme="minorAscii" w:hAnsiTheme="minorAscii" w:eastAsiaTheme="minorAscii" w:cstheme="minorAscii"/>
          <w:b w:val="0"/>
          <w:bCs w:val="0"/>
          <w:sz w:val="24"/>
          <w:szCs w:val="24"/>
        </w:rPr>
        <w:t>mainly involved</w:t>
      </w:r>
      <w:r w:rsidRPr="5D385F40" w:rsidR="5D385F40">
        <w:rPr>
          <w:rFonts w:ascii="Calibri" w:hAnsi="Calibri" w:eastAsia="Calibri" w:cs="Calibri" w:asciiTheme="minorAscii" w:hAnsiTheme="minorAscii" w:eastAsiaTheme="minorAscii" w:cstheme="minorAscii"/>
          <w:b w:val="0"/>
          <w:bCs w:val="0"/>
          <w:sz w:val="24"/>
          <w:szCs w:val="24"/>
        </w:rPr>
        <w:t xml:space="preserve"> the police working to control the public by instilling fear into them. It is for this reason that riots were widespread in the past as the people opposed the use of fear by the police in a bid to control them (Greig-Midlane, 2019). The Brixton Riots in 1981 paint a perfect picture of how policing was in England. On April 10</w:t>
      </w:r>
      <w:r w:rsidRPr="5D385F40" w:rsidR="5D385F40">
        <w:rPr>
          <w:rFonts w:ascii="Calibri" w:hAnsi="Calibri" w:eastAsia="Calibri" w:cs="Calibri" w:asciiTheme="minorAscii" w:hAnsiTheme="minorAscii" w:eastAsiaTheme="minorAscii" w:cstheme="minorAscii"/>
          <w:b w:val="0"/>
          <w:bCs w:val="0"/>
          <w:sz w:val="24"/>
          <w:szCs w:val="24"/>
        </w:rPr>
        <w:t xml:space="preserve"> 1981</w:t>
      </w:r>
      <w:r w:rsidRPr="5D385F40" w:rsidR="5D385F40">
        <w:rPr>
          <w:rFonts w:ascii="Calibri" w:hAnsi="Calibri" w:eastAsia="Calibri" w:cs="Calibri" w:asciiTheme="minorAscii" w:hAnsiTheme="minorAscii" w:eastAsiaTheme="minorAscii" w:cstheme="minorAscii"/>
          <w:b w:val="0"/>
          <w:bCs w:val="0"/>
          <w:sz w:val="24"/>
          <w:szCs w:val="24"/>
        </w:rPr>
        <w:t xml:space="preserve">, news broke out that a black man had been harassed by the police, resulting in protests in the streets of Brixton (BBC, 2021). However, instead of the police trying to find a solution to help calm things down, they made it worse by arresting more protestors. The riots went on for three more days, resulting in the damage of properties worth £7.5 million, with 300 people being injured as a result (BBC, 2021). Over the years, policing has tried to embrace the community rather than remain antagonistic. Evidence-based policing </w:t>
      </w:r>
      <w:r w:rsidRPr="5D385F40" w:rsidR="5D385F40">
        <w:rPr>
          <w:rFonts w:ascii="Calibri" w:hAnsi="Calibri" w:eastAsia="Calibri" w:cs="Calibri" w:asciiTheme="minorAscii" w:hAnsiTheme="minorAscii" w:eastAsiaTheme="minorAscii" w:cstheme="minorAscii"/>
          <w:b w:val="0"/>
          <w:bCs w:val="0"/>
          <w:sz w:val="24"/>
          <w:szCs w:val="24"/>
        </w:rPr>
        <w:t>indicates</w:t>
      </w:r>
      <w:r w:rsidRPr="5D385F40" w:rsidR="5D385F40">
        <w:rPr>
          <w:rFonts w:ascii="Calibri" w:hAnsi="Calibri" w:eastAsia="Calibri" w:cs="Calibri" w:asciiTheme="minorAscii" w:hAnsiTheme="minorAscii" w:eastAsiaTheme="minorAscii" w:cstheme="minorAscii"/>
          <w:b w:val="0"/>
          <w:bCs w:val="0"/>
          <w:sz w:val="24"/>
          <w:szCs w:val="24"/>
        </w:rPr>
        <w:t xml:space="preserve"> that crimes are solved </w:t>
      </w:r>
      <w:r w:rsidRPr="5D385F40" w:rsidR="5D385F40">
        <w:rPr>
          <w:rFonts w:ascii="Calibri" w:hAnsi="Calibri" w:eastAsia="Calibri" w:cs="Calibri" w:asciiTheme="minorAscii" w:hAnsiTheme="minorAscii" w:eastAsiaTheme="minorAscii" w:cstheme="minorAscii"/>
          <w:b w:val="0"/>
          <w:bCs w:val="0"/>
          <w:sz w:val="24"/>
          <w:szCs w:val="24"/>
        </w:rPr>
        <w:t>faster,</w:t>
      </w:r>
      <w:r w:rsidRPr="5D385F40" w:rsidR="5D385F40">
        <w:rPr>
          <w:rFonts w:ascii="Calibri" w:hAnsi="Calibri" w:eastAsia="Calibri" w:cs="Calibri" w:asciiTheme="minorAscii" w:hAnsiTheme="minorAscii" w:eastAsiaTheme="minorAscii" w:cstheme="minorAscii"/>
          <w:b w:val="0"/>
          <w:bCs w:val="0"/>
          <w:sz w:val="24"/>
          <w:szCs w:val="24"/>
        </w:rPr>
        <w:t xml:space="preserve"> and peace is sustained in communities when the police and the people work together to </w:t>
      </w:r>
      <w:r w:rsidRPr="5D385F40" w:rsidR="5D385F40">
        <w:rPr>
          <w:rFonts w:ascii="Calibri" w:hAnsi="Calibri" w:eastAsia="Calibri" w:cs="Calibri" w:asciiTheme="minorAscii" w:hAnsiTheme="minorAscii" w:eastAsiaTheme="minorAscii" w:cstheme="minorAscii"/>
          <w:b w:val="0"/>
          <w:bCs w:val="0"/>
          <w:sz w:val="24"/>
          <w:szCs w:val="24"/>
        </w:rPr>
        <w:t>maintain</w:t>
      </w:r>
      <w:r w:rsidRPr="5D385F40" w:rsidR="5D385F40">
        <w:rPr>
          <w:rFonts w:ascii="Calibri" w:hAnsi="Calibri" w:eastAsia="Calibri" w:cs="Calibri" w:asciiTheme="minorAscii" w:hAnsiTheme="minorAscii" w:eastAsiaTheme="minorAscii" w:cstheme="minorAscii"/>
          <w:b w:val="0"/>
          <w:bCs w:val="0"/>
          <w:sz w:val="24"/>
          <w:szCs w:val="24"/>
        </w:rPr>
        <w:t xml:space="preserve"> law and order (Klose, 2024). Communication and partnership are not only integral between the communities and the police but also among the police officers within the police force.</w:t>
      </w:r>
    </w:p>
    <w:p w:rsidR="5D385F40" w:rsidP="5D385F40" w:rsidRDefault="5D385F40" w14:paraId="7B079548" w14:textId="7320A063">
      <w:pPr>
        <w:pStyle w:val="Header"/>
        <w:spacing w:line="480" w:lineRule="auto"/>
        <w:ind w:firstLine="720"/>
        <w:contextualSpacing/>
        <w:jc w:val="left"/>
        <w:rPr>
          <w:rFonts w:ascii="Calibri" w:hAnsi="Calibri" w:eastAsia="Calibri" w:cs="Calibri" w:asciiTheme="minorAscii" w:hAnsiTheme="minorAscii" w:eastAsiaTheme="minorAscii" w:cstheme="minorAscii"/>
          <w:b w:val="1"/>
          <w:bCs w:val="1"/>
          <w:sz w:val="24"/>
          <w:szCs w:val="24"/>
        </w:rPr>
      </w:pPr>
    </w:p>
    <w:p w:rsidR="14F27F53" w:rsidP="14F27F53" w:rsidRDefault="14F27F53" w14:paraId="6D7FFF9C" w14:textId="50A41818">
      <w:pPr>
        <w:pStyle w:val="Header"/>
        <w:spacing w:line="480" w:lineRule="auto"/>
        <w:contextualSpacing/>
        <w:jc w:val="left"/>
        <w:rPr>
          <w:rFonts w:ascii="Calibri" w:hAnsi="Calibri" w:eastAsia="Calibri" w:cs="Calibri" w:asciiTheme="minorAscii" w:hAnsiTheme="minorAscii" w:eastAsiaTheme="minorAscii" w:cstheme="minorAscii"/>
          <w:b w:val="1"/>
          <w:bCs w:val="1"/>
          <w:sz w:val="24"/>
          <w:szCs w:val="24"/>
        </w:rPr>
      </w:pPr>
    </w:p>
    <w:p w:rsidR="14F27F53" w:rsidP="14F27F53" w:rsidRDefault="14F27F53" w14:paraId="0974DAA8" w14:textId="1E347C58">
      <w:pPr>
        <w:pStyle w:val="Header"/>
        <w:spacing w:line="480" w:lineRule="auto"/>
        <w:ind w:firstLine="720"/>
        <w:contextualSpacing/>
        <w:jc w:val="left"/>
        <w:rPr>
          <w:rFonts w:ascii="Calibri" w:hAnsi="Calibri" w:eastAsia="Calibri" w:cs="Calibri" w:asciiTheme="minorAscii" w:hAnsiTheme="minorAscii" w:eastAsiaTheme="minorAscii" w:cstheme="minorAscii"/>
          <w:b w:val="1"/>
          <w:bCs w:val="1"/>
          <w:sz w:val="24"/>
          <w:szCs w:val="24"/>
        </w:rPr>
      </w:pPr>
    </w:p>
    <w:p w:rsidR="14F27F53" w:rsidP="14F27F53" w:rsidRDefault="14F27F53" w14:paraId="31F8158E" w14:textId="13D7CF9E">
      <w:pPr>
        <w:pStyle w:val="Header"/>
        <w:spacing w:line="480" w:lineRule="auto"/>
        <w:ind w:firstLine="720"/>
        <w:contextualSpacing/>
        <w:jc w:val="left"/>
        <w:rPr>
          <w:rFonts w:ascii="Calibri" w:hAnsi="Calibri" w:eastAsia="Calibri" w:cs="Calibri" w:asciiTheme="minorAscii" w:hAnsiTheme="minorAscii" w:eastAsiaTheme="minorAscii" w:cstheme="minorAscii"/>
          <w:b w:val="1"/>
          <w:bCs w:val="1"/>
          <w:sz w:val="24"/>
          <w:szCs w:val="24"/>
        </w:rPr>
      </w:pPr>
    </w:p>
    <w:p w:rsidR="581AC2FF" w:rsidP="5D385F40" w:rsidRDefault="581AC2FF" w14:paraId="6D37E952" w14:textId="7C45F2A4">
      <w:pPr>
        <w:pStyle w:val="Header"/>
        <w:spacing w:line="480" w:lineRule="auto"/>
        <w:ind w:firstLine="720"/>
        <w:contextualSpacing/>
        <w:jc w:val="left"/>
        <w:rPr>
          <w:rFonts w:ascii="Calibri" w:hAnsi="Calibri" w:eastAsia="Calibri" w:cs="Calibri" w:asciiTheme="minorAscii" w:hAnsiTheme="minorAscii" w:eastAsiaTheme="minorAscii" w:cstheme="minorAscii"/>
          <w:b w:val="1"/>
          <w:bCs w:val="1"/>
          <w:sz w:val="24"/>
          <w:szCs w:val="24"/>
        </w:rPr>
      </w:pPr>
      <w:r w:rsidRPr="5D385F40" w:rsidR="5D385F40">
        <w:rPr>
          <w:rFonts w:ascii="Calibri" w:hAnsi="Calibri" w:eastAsia="Calibri" w:cs="Calibri" w:asciiTheme="minorAscii" w:hAnsiTheme="minorAscii" w:eastAsiaTheme="minorAscii" w:cstheme="minorAscii"/>
          <w:b w:val="1"/>
          <w:bCs w:val="1"/>
          <w:sz w:val="24"/>
          <w:szCs w:val="24"/>
        </w:rPr>
        <w:t>Impact of Partnership Working</w:t>
      </w:r>
    </w:p>
    <w:p w:rsidR="581AC2FF" w:rsidP="5D385F40" w:rsidRDefault="581AC2FF" w14:paraId="7878F365" w14:textId="7C17781B">
      <w:pPr>
        <w:pStyle w:val="Header"/>
        <w:spacing w:line="480" w:lineRule="auto"/>
        <w:ind w:firstLine="720"/>
        <w:contextualSpacing/>
        <w:jc w:val="both"/>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The partnership is beneficial in policing because it allows police to </w:t>
      </w:r>
      <w:r w:rsidRPr="5D385F40" w:rsidR="5D385F40">
        <w:rPr>
          <w:rFonts w:ascii="Calibri" w:hAnsi="Calibri" w:eastAsia="Calibri" w:cs="Calibri" w:asciiTheme="minorAscii" w:hAnsiTheme="minorAscii" w:eastAsiaTheme="minorAscii" w:cstheme="minorAscii"/>
          <w:b w:val="0"/>
          <w:bCs w:val="0"/>
          <w:sz w:val="24"/>
          <w:szCs w:val="24"/>
        </w:rPr>
        <w:t>leverage</w:t>
      </w:r>
      <w:r w:rsidRPr="5D385F40" w:rsidR="5D385F40">
        <w:rPr>
          <w:rFonts w:ascii="Calibri" w:hAnsi="Calibri" w:eastAsia="Calibri" w:cs="Calibri" w:asciiTheme="minorAscii" w:hAnsiTheme="minorAscii" w:eastAsiaTheme="minorAscii" w:cstheme="minorAscii"/>
          <w:b w:val="0"/>
          <w:bCs w:val="0"/>
          <w:sz w:val="24"/>
          <w:szCs w:val="24"/>
        </w:rPr>
        <w:t xml:space="preserve"> the </w:t>
      </w:r>
      <w:r w:rsidRPr="5D385F40" w:rsidR="5D385F40">
        <w:rPr>
          <w:rFonts w:ascii="Calibri" w:hAnsi="Calibri" w:eastAsia="Calibri" w:cs="Calibri" w:asciiTheme="minorAscii" w:hAnsiTheme="minorAscii" w:eastAsiaTheme="minorAscii" w:cstheme="minorAscii"/>
          <w:b w:val="0"/>
          <w:bCs w:val="0"/>
          <w:sz w:val="24"/>
          <w:szCs w:val="24"/>
        </w:rPr>
        <w:t>resources,</w:t>
      </w:r>
      <w:r w:rsidRPr="5D385F40" w:rsidR="5D385F40">
        <w:rPr>
          <w:rFonts w:ascii="Calibri" w:hAnsi="Calibri" w:eastAsia="Calibri" w:cs="Calibri" w:asciiTheme="minorAscii" w:hAnsiTheme="minorAscii" w:eastAsiaTheme="minorAscii" w:cstheme="minorAscii"/>
          <w:b w:val="0"/>
          <w:bCs w:val="0"/>
          <w:sz w:val="24"/>
          <w:szCs w:val="24"/>
        </w:rPr>
        <w:t xml:space="preserve"> they have together </w:t>
      </w:r>
      <w:r w:rsidRPr="5D385F40" w:rsidR="5D385F40">
        <w:rPr>
          <w:rFonts w:ascii="Calibri" w:hAnsi="Calibri" w:eastAsia="Calibri" w:cs="Calibri" w:asciiTheme="minorAscii" w:hAnsiTheme="minorAscii" w:eastAsiaTheme="minorAscii" w:cstheme="minorAscii"/>
          <w:b w:val="0"/>
          <w:bCs w:val="0"/>
          <w:sz w:val="24"/>
          <w:szCs w:val="24"/>
        </w:rPr>
        <w:t>with what</w:t>
      </w:r>
      <w:r w:rsidRPr="5D385F40" w:rsidR="5D385F40">
        <w:rPr>
          <w:rFonts w:ascii="Calibri" w:hAnsi="Calibri" w:eastAsia="Calibri" w:cs="Calibri" w:asciiTheme="minorAscii" w:hAnsiTheme="minorAscii" w:eastAsiaTheme="minorAscii" w:cstheme="minorAscii"/>
          <w:b w:val="0"/>
          <w:bCs w:val="0"/>
          <w:sz w:val="24"/>
          <w:szCs w:val="24"/>
        </w:rPr>
        <w:t xml:space="preserve"> the other agencies </w:t>
      </w:r>
      <w:r w:rsidRPr="5D385F40" w:rsidR="5D385F40">
        <w:rPr>
          <w:rFonts w:ascii="Calibri" w:hAnsi="Calibri" w:eastAsia="Calibri" w:cs="Calibri" w:asciiTheme="minorAscii" w:hAnsiTheme="minorAscii" w:eastAsiaTheme="minorAscii" w:cstheme="minorAscii"/>
          <w:b w:val="0"/>
          <w:bCs w:val="0"/>
          <w:sz w:val="24"/>
          <w:szCs w:val="24"/>
        </w:rPr>
        <w:t>have to</w:t>
      </w:r>
      <w:r w:rsidRPr="5D385F40" w:rsidR="5D385F40">
        <w:rPr>
          <w:rFonts w:ascii="Calibri" w:hAnsi="Calibri" w:eastAsia="Calibri" w:cs="Calibri" w:asciiTheme="minorAscii" w:hAnsiTheme="minorAscii" w:eastAsiaTheme="minorAscii" w:cstheme="minorAscii"/>
          <w:b w:val="0"/>
          <w:bCs w:val="0"/>
          <w:sz w:val="24"/>
          <w:szCs w:val="24"/>
        </w:rPr>
        <w:t xml:space="preserve"> raise their performance to be above their capabilities. The biggest reapers of such a move are the victims or the people in need of police service and police protection (Mazerolle, 2023). For example, the Crime and Disorder Act of 1998 requires the police to work in partnership with other agencies because in doing so, it raises the capabilities of the police performing their duties (The National Archives, 1998</w:t>
      </w:r>
      <w:r w:rsidRPr="5D385F40" w:rsidR="5D385F40">
        <w:rPr>
          <w:rFonts w:ascii="Calibri" w:hAnsi="Calibri" w:eastAsia="Calibri" w:cs="Calibri" w:asciiTheme="minorAscii" w:hAnsiTheme="minorAscii" w:eastAsiaTheme="minorAscii" w:cstheme="minorAscii"/>
          <w:b w:val="0"/>
          <w:bCs w:val="0"/>
          <w:sz w:val="24"/>
          <w:szCs w:val="24"/>
        </w:rPr>
        <w:t xml:space="preserve">). </w:t>
      </w:r>
      <w:r w:rsidRPr="5D385F40" w:rsidR="5D385F40">
        <w:rPr>
          <w:rFonts w:ascii="Calibri" w:hAnsi="Calibri" w:eastAsia="Calibri" w:cs="Calibri" w:asciiTheme="minorAscii" w:hAnsiTheme="minorAscii" w:eastAsiaTheme="minorAscii" w:cstheme="minorAscii"/>
          <w:b w:val="0"/>
          <w:bCs w:val="0"/>
          <w:sz w:val="24"/>
          <w:szCs w:val="24"/>
        </w:rPr>
        <w:t>In the event</w:t>
      </w:r>
      <w:r w:rsidRPr="5D385F40" w:rsidR="5D385F40">
        <w:rPr>
          <w:rFonts w:ascii="Calibri" w:hAnsi="Calibri" w:eastAsia="Calibri" w:cs="Calibri" w:asciiTheme="minorAscii" w:hAnsiTheme="minorAscii" w:eastAsiaTheme="minorAscii" w:cstheme="minorAscii"/>
          <w:b w:val="0"/>
          <w:bCs w:val="0"/>
          <w:sz w:val="24"/>
          <w:szCs w:val="24"/>
        </w:rPr>
        <w:t xml:space="preserve"> of</w:t>
      </w:r>
      <w:r w:rsidRPr="5D385F40" w:rsidR="5D385F40">
        <w:rPr>
          <w:rFonts w:ascii="Calibri" w:hAnsi="Calibri" w:eastAsia="Calibri" w:cs="Calibri" w:asciiTheme="minorAscii" w:hAnsiTheme="minorAscii" w:eastAsiaTheme="minorAscii" w:cstheme="minorAscii"/>
          <w:b w:val="0"/>
          <w:bCs w:val="0"/>
          <w:sz w:val="24"/>
          <w:szCs w:val="24"/>
        </w:rPr>
        <w:t xml:space="preserve"> a fire incident, the police wi</w:t>
      </w:r>
      <w:r w:rsidRPr="5D385F40" w:rsidR="5D385F40">
        <w:rPr>
          <w:rFonts w:ascii="Calibri" w:hAnsi="Calibri" w:eastAsia="Calibri" w:cs="Calibri" w:asciiTheme="minorAscii" w:hAnsiTheme="minorAscii" w:eastAsiaTheme="minorAscii" w:cstheme="minorAscii"/>
          <w:b w:val="0"/>
          <w:bCs w:val="0"/>
          <w:sz w:val="24"/>
          <w:szCs w:val="24"/>
        </w:rPr>
        <w:t xml:space="preserve">ll </w:t>
      </w:r>
      <w:r w:rsidRPr="5D385F40" w:rsidR="5D385F40">
        <w:rPr>
          <w:rFonts w:ascii="Calibri" w:hAnsi="Calibri" w:eastAsia="Calibri" w:cs="Calibri" w:asciiTheme="minorAscii" w:hAnsiTheme="minorAscii" w:eastAsiaTheme="minorAscii" w:cstheme="minorAscii"/>
          <w:b w:val="0"/>
          <w:bCs w:val="0"/>
          <w:sz w:val="24"/>
          <w:szCs w:val="24"/>
        </w:rPr>
        <w:t>be requi</w:t>
      </w:r>
      <w:r w:rsidRPr="5D385F40" w:rsidR="5D385F40">
        <w:rPr>
          <w:rFonts w:ascii="Calibri" w:hAnsi="Calibri" w:eastAsia="Calibri" w:cs="Calibri" w:asciiTheme="minorAscii" w:hAnsiTheme="minorAscii" w:eastAsiaTheme="minorAscii" w:cstheme="minorAscii"/>
          <w:b w:val="0"/>
          <w:bCs w:val="0"/>
          <w:sz w:val="24"/>
          <w:szCs w:val="24"/>
        </w:rPr>
        <w:t>red</w:t>
      </w:r>
      <w:r w:rsidRPr="5D385F40" w:rsidR="5D385F40">
        <w:rPr>
          <w:rFonts w:ascii="Calibri" w:hAnsi="Calibri" w:eastAsia="Calibri" w:cs="Calibri" w:asciiTheme="minorAscii" w:hAnsiTheme="minorAscii" w:eastAsiaTheme="minorAscii" w:cstheme="minorAscii"/>
          <w:b w:val="0"/>
          <w:bCs w:val="0"/>
          <w:sz w:val="24"/>
          <w:szCs w:val="24"/>
        </w:rPr>
        <w:t xml:space="preserve"> to get answers from the witnesses and arrest the people responsible, but they need the fire and rescue services department to help people and quench the fire. This is a beautiful case scenario that explains the benefits of the police working in partnership with other agencies to solve crimes. </w:t>
      </w:r>
    </w:p>
    <w:p w:rsidR="581AC2FF" w:rsidP="5D385F40" w:rsidRDefault="581AC2FF" w14:paraId="74DA14CC" w14:textId="6AE26E92">
      <w:pPr>
        <w:pStyle w:val="Header"/>
        <w:spacing w:line="480" w:lineRule="auto"/>
        <w:ind w:firstLine="720"/>
        <w:contextualSpacing/>
        <w:jc w:val="both"/>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By partnering with other agencies, it becomes possible for the police to address the underlying causes of criminal activities throughout the country. According to Schunk and DiBenedetto (2020), social cognitive theory explains that criminal </w:t>
      </w:r>
      <w:r w:rsidRPr="5D385F40" w:rsidR="5D385F40">
        <w:rPr>
          <w:rFonts w:ascii="Calibri" w:hAnsi="Calibri" w:eastAsia="Calibri" w:cs="Calibri" w:asciiTheme="minorAscii" w:hAnsiTheme="minorAscii" w:eastAsiaTheme="minorAscii" w:cstheme="minorAscii"/>
          <w:b w:val="0"/>
          <w:bCs w:val="0"/>
          <w:sz w:val="24"/>
          <w:szCs w:val="24"/>
        </w:rPr>
        <w:t>behaviour</w:t>
      </w:r>
      <w:r w:rsidRPr="5D385F40" w:rsidR="5D385F40">
        <w:rPr>
          <w:rFonts w:ascii="Calibri" w:hAnsi="Calibri" w:eastAsia="Calibri" w:cs="Calibri" w:asciiTheme="minorAscii" w:hAnsiTheme="minorAscii" w:eastAsiaTheme="minorAscii" w:cstheme="minorAscii"/>
          <w:b w:val="0"/>
          <w:bCs w:val="0"/>
          <w:sz w:val="24"/>
          <w:szCs w:val="24"/>
        </w:rPr>
        <w:t xml:space="preserve"> is motivated by the environment in which one grows up. If one grows up in a violent environment, the chances of them being violent are significantly high. For some time, before the introduction of the Right Person Right Care policing approach, which requires the police to focus only on </w:t>
      </w:r>
      <w:r w:rsidRPr="5D385F40" w:rsidR="5D385F40">
        <w:rPr>
          <w:rFonts w:ascii="Calibri" w:hAnsi="Calibri" w:eastAsia="Calibri" w:cs="Calibri" w:asciiTheme="minorAscii" w:hAnsiTheme="minorAscii" w:eastAsiaTheme="minorAscii" w:cstheme="minorAscii"/>
          <w:b w:val="0"/>
          <w:bCs w:val="0"/>
          <w:sz w:val="24"/>
          <w:szCs w:val="24"/>
        </w:rPr>
        <w:t>maintaining</w:t>
      </w:r>
      <w:r w:rsidRPr="5D385F40" w:rsidR="5D385F40">
        <w:rPr>
          <w:rFonts w:ascii="Calibri" w:hAnsi="Calibri" w:eastAsia="Calibri" w:cs="Calibri" w:asciiTheme="minorAscii" w:hAnsiTheme="minorAscii" w:eastAsiaTheme="minorAscii" w:cstheme="minorAscii"/>
          <w:b w:val="0"/>
          <w:bCs w:val="0"/>
          <w:sz w:val="24"/>
          <w:szCs w:val="24"/>
        </w:rPr>
        <w:t xml:space="preserve"> law and order as opposed to attending to mental health calls, the police were working with mental care experts to respond to crisis calls (Metropolitan Police, 2024). Joint 'triage' patrols, as they were known, would include the police tagging along mental care </w:t>
      </w:r>
      <w:r w:rsidRPr="5D385F40" w:rsidR="5D385F40">
        <w:rPr>
          <w:rFonts w:ascii="Calibri" w:hAnsi="Calibri" w:eastAsia="Calibri" w:cs="Calibri" w:asciiTheme="minorAscii" w:hAnsiTheme="minorAscii" w:eastAsiaTheme="minorAscii" w:cstheme="minorAscii"/>
          <w:b w:val="0"/>
          <w:bCs w:val="0"/>
          <w:sz w:val="24"/>
          <w:szCs w:val="24"/>
        </w:rPr>
        <w:t>experts</w:t>
      </w:r>
      <w:r w:rsidRPr="5D385F40" w:rsidR="5D385F40">
        <w:rPr>
          <w:rFonts w:ascii="Calibri" w:hAnsi="Calibri" w:eastAsia="Calibri" w:cs="Calibri" w:asciiTheme="minorAscii" w:hAnsiTheme="minorAscii" w:eastAsiaTheme="minorAscii" w:cstheme="minorAscii"/>
          <w:b w:val="0"/>
          <w:bCs w:val="0"/>
          <w:sz w:val="24"/>
          <w:szCs w:val="24"/>
        </w:rPr>
        <w:t xml:space="preserve"> to respond to incidents. This approach was beneficial in helping the police manage situations and even offer care and comfort to the people who were in crisis. </w:t>
      </w:r>
    </w:p>
    <w:p w:rsidR="581AC2FF" w:rsidP="5D385F40" w:rsidRDefault="581AC2FF" w14:paraId="4D936F80" w14:textId="5DC385F9">
      <w:pPr>
        <w:pStyle w:val="Header"/>
        <w:spacing w:line="480" w:lineRule="auto"/>
        <w:ind w:firstLine="720"/>
        <w:contextualSpacing/>
        <w:jc w:val="both"/>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The community and the police working together leads to better results that help to safeguard the interests of both parties. When the police work closely with the people, they get a good understanding of what they need, which helps them to tailor their responses appropriately to cater to their needs. The BLM protests that took place in the UK in 2020 shed light on the public </w:t>
      </w:r>
      <w:r w:rsidRPr="5D385F40" w:rsidR="5D385F40">
        <w:rPr>
          <w:rFonts w:ascii="Calibri" w:hAnsi="Calibri" w:eastAsia="Calibri" w:cs="Calibri" w:asciiTheme="minorAscii" w:hAnsiTheme="minorAscii" w:eastAsiaTheme="minorAscii" w:cstheme="minorAscii"/>
          <w:b w:val="0"/>
          <w:bCs w:val="0"/>
          <w:sz w:val="24"/>
          <w:szCs w:val="24"/>
        </w:rPr>
        <w:t>perception</w:t>
      </w:r>
      <w:r w:rsidRPr="5D385F40" w:rsidR="5D385F40">
        <w:rPr>
          <w:rFonts w:ascii="Calibri" w:hAnsi="Calibri" w:eastAsia="Calibri" w:cs="Calibri" w:asciiTheme="minorAscii" w:hAnsiTheme="minorAscii" w:eastAsiaTheme="minorAscii" w:cstheme="minorAscii"/>
          <w:b w:val="0"/>
          <w:bCs w:val="0"/>
          <w:sz w:val="24"/>
          <w:szCs w:val="24"/>
        </w:rPr>
        <w:t xml:space="preserve"> that exists towards the police, especially from the black community. Government Events (2022) explains that 74% of the people who were aged 16 and above said they had confidence in their local police. Additionally, a lower percentage of black people had confidence in the police force compared to white people (Government Events, 2022). This </w:t>
      </w:r>
      <w:r w:rsidRPr="5D385F40" w:rsidR="5D385F40">
        <w:rPr>
          <w:rFonts w:ascii="Calibri" w:hAnsi="Calibri" w:eastAsia="Calibri" w:cs="Calibri" w:asciiTheme="minorAscii" w:hAnsiTheme="minorAscii" w:eastAsiaTheme="minorAscii" w:cstheme="minorAscii"/>
          <w:b w:val="0"/>
          <w:bCs w:val="0"/>
          <w:sz w:val="24"/>
          <w:szCs w:val="24"/>
        </w:rPr>
        <w:t>indicates</w:t>
      </w:r>
      <w:r w:rsidRPr="5D385F40" w:rsidR="5D385F40">
        <w:rPr>
          <w:rFonts w:ascii="Calibri" w:hAnsi="Calibri" w:eastAsia="Calibri" w:cs="Calibri" w:asciiTheme="minorAscii" w:hAnsiTheme="minorAscii" w:eastAsiaTheme="minorAscii" w:cstheme="minorAscii"/>
          <w:b w:val="0"/>
          <w:bCs w:val="0"/>
          <w:sz w:val="24"/>
          <w:szCs w:val="24"/>
        </w:rPr>
        <w:t xml:space="preserve"> that there is a lack of unity and cooperation between the black people and the police. This needs to change by having the police work closely with the black community to </w:t>
      </w:r>
      <w:r w:rsidRPr="5D385F40" w:rsidR="5D385F40">
        <w:rPr>
          <w:rFonts w:ascii="Calibri" w:hAnsi="Calibri" w:eastAsia="Calibri" w:cs="Calibri" w:asciiTheme="minorAscii" w:hAnsiTheme="minorAscii" w:eastAsiaTheme="minorAscii" w:cstheme="minorAscii"/>
          <w:b w:val="0"/>
          <w:bCs w:val="0"/>
          <w:sz w:val="24"/>
          <w:szCs w:val="24"/>
        </w:rPr>
        <w:t>determine</w:t>
      </w:r>
      <w:r w:rsidRPr="5D385F40" w:rsidR="5D385F40">
        <w:rPr>
          <w:rFonts w:ascii="Calibri" w:hAnsi="Calibri" w:eastAsia="Calibri" w:cs="Calibri" w:asciiTheme="minorAscii" w:hAnsiTheme="minorAscii" w:eastAsiaTheme="minorAscii" w:cstheme="minorAscii"/>
          <w:b w:val="0"/>
          <w:bCs w:val="0"/>
          <w:sz w:val="24"/>
          <w:szCs w:val="24"/>
        </w:rPr>
        <w:t xml:space="preserve"> their needs </w:t>
      </w:r>
      <w:r w:rsidRPr="5D385F40" w:rsidR="5D385F40">
        <w:rPr>
          <w:rFonts w:ascii="Calibri" w:hAnsi="Calibri" w:eastAsia="Calibri" w:cs="Calibri" w:asciiTheme="minorAscii" w:hAnsiTheme="minorAscii" w:eastAsiaTheme="minorAscii" w:cstheme="minorAscii"/>
          <w:b w:val="0"/>
          <w:bCs w:val="0"/>
          <w:sz w:val="24"/>
          <w:szCs w:val="24"/>
        </w:rPr>
        <w:t>so as to</w:t>
      </w:r>
      <w:r w:rsidRPr="5D385F40" w:rsidR="5D385F40">
        <w:rPr>
          <w:rFonts w:ascii="Calibri" w:hAnsi="Calibri" w:eastAsia="Calibri" w:cs="Calibri" w:asciiTheme="minorAscii" w:hAnsiTheme="minorAscii" w:eastAsiaTheme="minorAscii" w:cstheme="minorAscii"/>
          <w:b w:val="0"/>
          <w:bCs w:val="0"/>
          <w:sz w:val="24"/>
          <w:szCs w:val="24"/>
        </w:rPr>
        <w:t xml:space="preserve"> devise </w:t>
      </w:r>
      <w:r w:rsidRPr="5D385F40" w:rsidR="5D385F40">
        <w:rPr>
          <w:rFonts w:ascii="Calibri" w:hAnsi="Calibri" w:eastAsia="Calibri" w:cs="Calibri" w:asciiTheme="minorAscii" w:hAnsiTheme="minorAscii" w:eastAsiaTheme="minorAscii" w:cstheme="minorAscii"/>
          <w:b w:val="0"/>
          <w:bCs w:val="0"/>
          <w:sz w:val="24"/>
          <w:szCs w:val="24"/>
        </w:rPr>
        <w:t>appropriate responses</w:t>
      </w:r>
      <w:r w:rsidRPr="5D385F40" w:rsidR="5D385F40">
        <w:rPr>
          <w:rFonts w:ascii="Calibri" w:hAnsi="Calibri" w:eastAsia="Calibri" w:cs="Calibri" w:asciiTheme="minorAscii" w:hAnsiTheme="minorAscii" w:eastAsiaTheme="minorAscii" w:cstheme="minorAscii"/>
          <w:b w:val="0"/>
          <w:bCs w:val="0"/>
          <w:sz w:val="24"/>
          <w:szCs w:val="24"/>
        </w:rPr>
        <w:t xml:space="preserve">. Lack of partnership erodes the trust and confidence that the public has </w:t>
      </w:r>
      <w:r w:rsidRPr="5D385F40" w:rsidR="5D385F40">
        <w:rPr>
          <w:rFonts w:ascii="Calibri" w:hAnsi="Calibri" w:eastAsia="Calibri" w:cs="Calibri" w:asciiTheme="minorAscii" w:hAnsiTheme="minorAscii" w:eastAsiaTheme="minorAscii" w:cstheme="minorAscii"/>
          <w:b w:val="0"/>
          <w:bCs w:val="0"/>
          <w:sz w:val="24"/>
          <w:szCs w:val="24"/>
        </w:rPr>
        <w:t>towards</w:t>
      </w:r>
      <w:r w:rsidRPr="5D385F40" w:rsidR="5D385F40">
        <w:rPr>
          <w:rFonts w:ascii="Calibri" w:hAnsi="Calibri" w:eastAsia="Calibri" w:cs="Calibri" w:asciiTheme="minorAscii" w:hAnsiTheme="minorAscii" w:eastAsiaTheme="minorAscii" w:cstheme="minorAscii"/>
          <w:b w:val="0"/>
          <w:bCs w:val="0"/>
          <w:sz w:val="24"/>
          <w:szCs w:val="24"/>
        </w:rPr>
        <w:t xml:space="preserve"> the police.</w:t>
      </w:r>
    </w:p>
    <w:p w:rsidR="5D385F40" w:rsidP="5D385F40" w:rsidRDefault="5D385F40" w14:paraId="20CDD5DB" w14:textId="11E8EA27">
      <w:pPr>
        <w:pStyle w:val="Header"/>
        <w:suppressLineNumbers w:val="0"/>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1"/>
          <w:bCs w:val="1"/>
          <w:sz w:val="24"/>
          <w:szCs w:val="24"/>
        </w:rPr>
      </w:pPr>
      <w:r w:rsidRPr="5D385F40" w:rsidR="5D385F40">
        <w:rPr>
          <w:rFonts w:ascii="Calibri" w:hAnsi="Calibri" w:eastAsia="Calibri" w:cs="Calibri" w:asciiTheme="minorAscii" w:hAnsiTheme="minorAscii" w:eastAsiaTheme="minorAscii" w:cstheme="minorAscii"/>
          <w:b w:val="1"/>
          <w:bCs w:val="1"/>
          <w:sz w:val="24"/>
          <w:szCs w:val="24"/>
        </w:rPr>
        <w:t>Impact of Information Sharing</w:t>
      </w:r>
    </w:p>
    <w:p w:rsidR="5D385F40" w:rsidP="5D385F40" w:rsidRDefault="5D385F40" w14:paraId="0EDAEBFA" w14:textId="2F84B58F">
      <w:pPr>
        <w:pStyle w:val="Header"/>
        <w:suppressLineNumbers w:val="0"/>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Information sharing in policing is critical because it allows for </w:t>
      </w:r>
      <w:r w:rsidRPr="5D385F40" w:rsidR="5D385F40">
        <w:rPr>
          <w:rFonts w:ascii="Calibri" w:hAnsi="Calibri" w:eastAsia="Calibri" w:cs="Calibri" w:asciiTheme="minorAscii" w:hAnsiTheme="minorAscii" w:eastAsiaTheme="minorAscii" w:cstheme="minorAscii"/>
          <w:b w:val="0"/>
          <w:bCs w:val="0"/>
          <w:sz w:val="24"/>
          <w:szCs w:val="24"/>
        </w:rPr>
        <w:t>timely</w:t>
      </w:r>
      <w:r w:rsidRPr="5D385F40" w:rsidR="5D385F40">
        <w:rPr>
          <w:rFonts w:ascii="Calibri" w:hAnsi="Calibri" w:eastAsia="Calibri" w:cs="Calibri" w:asciiTheme="minorAscii" w:hAnsiTheme="minorAscii" w:eastAsiaTheme="minorAscii" w:cstheme="minorAscii"/>
          <w:b w:val="0"/>
          <w:bCs w:val="0"/>
          <w:sz w:val="24"/>
          <w:szCs w:val="24"/>
        </w:rPr>
        <w:t xml:space="preserve"> responses and much better situational awareness. When agencies share information amongst themselves quickly, they </w:t>
      </w:r>
      <w:r w:rsidRPr="5D385F40" w:rsidR="5D385F40">
        <w:rPr>
          <w:rFonts w:ascii="Calibri" w:hAnsi="Calibri" w:eastAsia="Calibri" w:cs="Calibri" w:asciiTheme="minorAscii" w:hAnsiTheme="minorAscii" w:eastAsiaTheme="minorAscii" w:cstheme="minorAscii"/>
          <w:b w:val="0"/>
          <w:bCs w:val="0"/>
          <w:sz w:val="24"/>
          <w:szCs w:val="24"/>
        </w:rPr>
        <w:t>are capable of reacting</w:t>
      </w:r>
      <w:r w:rsidRPr="5D385F40" w:rsidR="5D385F40">
        <w:rPr>
          <w:rFonts w:ascii="Calibri" w:hAnsi="Calibri" w:eastAsia="Calibri" w:cs="Calibri" w:asciiTheme="minorAscii" w:hAnsiTheme="minorAscii" w:eastAsiaTheme="minorAscii" w:cstheme="minorAscii"/>
          <w:b w:val="0"/>
          <w:bCs w:val="0"/>
          <w:sz w:val="24"/>
          <w:szCs w:val="24"/>
        </w:rPr>
        <w:t xml:space="preserve"> to terrorist threats quickly and implementing proactive strategies to help protect the people. Wiggins (2023) helps explain how the police and anti-terror agencies have worked together to disrupt 39 terror attacks that were planned to take place in London. The report </w:t>
      </w:r>
      <w:r w:rsidRPr="5D385F40" w:rsidR="5D385F40">
        <w:rPr>
          <w:rFonts w:ascii="Calibri" w:hAnsi="Calibri" w:eastAsia="Calibri" w:cs="Calibri" w:asciiTheme="minorAscii" w:hAnsiTheme="minorAscii" w:eastAsiaTheme="minorAscii" w:cstheme="minorAscii"/>
          <w:b w:val="0"/>
          <w:bCs w:val="0"/>
          <w:sz w:val="24"/>
          <w:szCs w:val="24"/>
        </w:rPr>
        <w:t>indicates</w:t>
      </w:r>
      <w:r w:rsidRPr="5D385F40" w:rsidR="5D385F40">
        <w:rPr>
          <w:rFonts w:ascii="Calibri" w:hAnsi="Calibri" w:eastAsia="Calibri" w:cs="Calibri" w:asciiTheme="minorAscii" w:hAnsiTheme="minorAscii" w:eastAsiaTheme="minorAscii" w:cstheme="minorAscii"/>
          <w:b w:val="0"/>
          <w:bCs w:val="0"/>
          <w:sz w:val="24"/>
          <w:szCs w:val="24"/>
        </w:rPr>
        <w:t xml:space="preserve"> that the terrorists had planned to attack the London Pride March and most of the famous sites in the capital, but the police worked together to </w:t>
      </w:r>
      <w:r w:rsidRPr="5D385F40" w:rsidR="5D385F40">
        <w:rPr>
          <w:rFonts w:ascii="Calibri" w:hAnsi="Calibri" w:eastAsia="Calibri" w:cs="Calibri" w:asciiTheme="minorAscii" w:hAnsiTheme="minorAscii" w:eastAsiaTheme="minorAscii" w:cstheme="minorAscii"/>
          <w:b w:val="0"/>
          <w:bCs w:val="0"/>
          <w:sz w:val="24"/>
          <w:szCs w:val="24"/>
        </w:rPr>
        <w:t>identify</w:t>
      </w:r>
      <w:r w:rsidRPr="5D385F40" w:rsidR="5D385F40">
        <w:rPr>
          <w:rFonts w:ascii="Calibri" w:hAnsi="Calibri" w:eastAsia="Calibri" w:cs="Calibri" w:asciiTheme="minorAscii" w:hAnsiTheme="minorAscii" w:eastAsiaTheme="minorAscii" w:cstheme="minorAscii"/>
          <w:b w:val="0"/>
          <w:bCs w:val="0"/>
          <w:sz w:val="24"/>
          <w:szCs w:val="24"/>
        </w:rPr>
        <w:t xml:space="preserve"> the perpetrators and helped to stop the risk before things became fatal (Wiggins, 2023). Such is the beauty of having security agencies working together to share information and reduce the chances of a terror attack happening.</w:t>
      </w:r>
    </w:p>
    <w:p w:rsidR="5D385F40" w:rsidP="5D385F40" w:rsidRDefault="5D385F40" w14:paraId="7B85EB3F" w14:textId="4D179C5D">
      <w:pPr>
        <w:pStyle w:val="Header"/>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Investigations become thorough and detailed when police agencies </w:t>
      </w:r>
      <w:r w:rsidRPr="5D385F40" w:rsidR="5D385F40">
        <w:rPr>
          <w:rFonts w:ascii="Calibri" w:hAnsi="Calibri" w:eastAsia="Calibri" w:cs="Calibri" w:asciiTheme="minorAscii" w:hAnsiTheme="minorAscii" w:eastAsiaTheme="minorAscii" w:cstheme="minorAscii"/>
          <w:b w:val="0"/>
          <w:bCs w:val="0"/>
          <w:sz w:val="24"/>
          <w:szCs w:val="24"/>
        </w:rPr>
        <w:t>are capable of working</w:t>
      </w:r>
      <w:r w:rsidRPr="5D385F40" w:rsidR="5D385F40">
        <w:rPr>
          <w:rFonts w:ascii="Calibri" w:hAnsi="Calibri" w:eastAsia="Calibri" w:cs="Calibri" w:asciiTheme="minorAscii" w:hAnsiTheme="minorAscii" w:eastAsiaTheme="minorAscii" w:cstheme="minorAscii"/>
          <w:b w:val="0"/>
          <w:bCs w:val="0"/>
          <w:sz w:val="24"/>
          <w:szCs w:val="24"/>
        </w:rPr>
        <w:t xml:space="preserve"> together and sharing information. This allows the security agencies involved to track suspects well, including disrupting the channels that the criminals use to conduct their activities. The study by </w:t>
      </w:r>
      <w:r w:rsidRPr="5D385F40" w:rsidR="5D385F40">
        <w:rPr>
          <w:rFonts w:ascii="Calibri" w:hAnsi="Calibri" w:eastAsia="Calibri" w:cs="Calibri" w:asciiTheme="minorAscii" w:hAnsiTheme="minorAscii" w:eastAsiaTheme="minorAscii" w:cstheme="minorAscii"/>
          <w:b w:val="0"/>
          <w:bCs w:val="0"/>
          <w:sz w:val="24"/>
          <w:szCs w:val="24"/>
        </w:rPr>
        <w:t>Pajón</w:t>
      </w:r>
      <w:r w:rsidRPr="5D385F40" w:rsidR="5D385F40">
        <w:rPr>
          <w:rFonts w:ascii="Calibri" w:hAnsi="Calibri" w:eastAsia="Calibri" w:cs="Calibri" w:asciiTheme="minorAscii" w:hAnsiTheme="minorAscii" w:eastAsiaTheme="minorAscii" w:cstheme="minorAscii"/>
          <w:b w:val="0"/>
          <w:bCs w:val="0"/>
          <w:sz w:val="24"/>
          <w:szCs w:val="24"/>
        </w:rPr>
        <w:t xml:space="preserve"> and Walsh (2022) examines how multi-agency collaborations have been impactful in human trafficking investigations. The study states that in England and Wales, human trafficking investigations happen on a multi-agency level where different police groups work together to track the victims and the perpetrators of the crimes because they involve different nations (</w:t>
      </w:r>
      <w:r w:rsidRPr="5D385F40" w:rsidR="5D385F40">
        <w:rPr>
          <w:rFonts w:ascii="Calibri" w:hAnsi="Calibri" w:eastAsia="Calibri" w:cs="Calibri" w:asciiTheme="minorAscii" w:hAnsiTheme="minorAscii" w:eastAsiaTheme="minorAscii" w:cstheme="minorAscii"/>
          <w:b w:val="0"/>
          <w:bCs w:val="0"/>
          <w:sz w:val="24"/>
          <w:szCs w:val="24"/>
        </w:rPr>
        <w:t>Pajón</w:t>
      </w:r>
      <w:r w:rsidRPr="5D385F40" w:rsidR="5D385F40">
        <w:rPr>
          <w:rFonts w:ascii="Calibri" w:hAnsi="Calibri" w:eastAsia="Calibri" w:cs="Calibri" w:asciiTheme="minorAscii" w:hAnsiTheme="minorAscii" w:eastAsiaTheme="minorAscii" w:cstheme="minorAscii"/>
          <w:b w:val="0"/>
          <w:bCs w:val="0"/>
          <w:sz w:val="24"/>
          <w:szCs w:val="24"/>
        </w:rPr>
        <w:t xml:space="preserve"> &amp; Walsh, 2022). Therefore, police agencies </w:t>
      </w:r>
      <w:r w:rsidRPr="5D385F40" w:rsidR="5D385F40">
        <w:rPr>
          <w:rFonts w:ascii="Calibri" w:hAnsi="Calibri" w:eastAsia="Calibri" w:cs="Calibri" w:asciiTheme="minorAscii" w:hAnsiTheme="minorAscii" w:eastAsiaTheme="minorAscii" w:cstheme="minorAscii"/>
          <w:b w:val="0"/>
          <w:bCs w:val="0"/>
          <w:sz w:val="24"/>
          <w:szCs w:val="24"/>
        </w:rPr>
        <w:t>have to</w:t>
      </w:r>
      <w:r w:rsidRPr="5D385F40" w:rsidR="5D385F40">
        <w:rPr>
          <w:rFonts w:ascii="Calibri" w:hAnsi="Calibri" w:eastAsia="Calibri" w:cs="Calibri" w:asciiTheme="minorAscii" w:hAnsiTheme="minorAscii" w:eastAsiaTheme="minorAscii" w:cstheme="minorAscii"/>
          <w:b w:val="0"/>
          <w:bCs w:val="0"/>
          <w:sz w:val="24"/>
          <w:szCs w:val="24"/>
        </w:rPr>
        <w:t xml:space="preserve"> learn how to work with other police departments from different regions to track the movement of criminals, including the people who are being trafficked. The study </w:t>
      </w:r>
      <w:r w:rsidRPr="5D385F40" w:rsidR="5D385F40">
        <w:rPr>
          <w:rFonts w:ascii="Calibri" w:hAnsi="Calibri" w:eastAsia="Calibri" w:cs="Calibri" w:asciiTheme="minorAscii" w:hAnsiTheme="minorAscii" w:eastAsiaTheme="minorAscii" w:cstheme="minorAscii"/>
          <w:b w:val="0"/>
          <w:bCs w:val="0"/>
          <w:sz w:val="24"/>
          <w:szCs w:val="24"/>
        </w:rPr>
        <w:t>indicates</w:t>
      </w:r>
      <w:r w:rsidRPr="5D385F40" w:rsidR="5D385F40">
        <w:rPr>
          <w:rFonts w:ascii="Calibri" w:hAnsi="Calibri" w:eastAsia="Calibri" w:cs="Calibri" w:asciiTheme="minorAscii" w:hAnsiTheme="minorAscii" w:eastAsiaTheme="minorAscii" w:cstheme="minorAscii"/>
          <w:b w:val="0"/>
          <w:bCs w:val="0"/>
          <w:sz w:val="24"/>
          <w:szCs w:val="24"/>
        </w:rPr>
        <w:t xml:space="preserve"> that this is the most essential part of the investigation process because much information comes to the open during this time, making it easier for the police to apprehend the criminals. </w:t>
      </w:r>
    </w:p>
    <w:p w:rsidR="5D385F40" w:rsidP="5D385F40" w:rsidRDefault="5D385F40" w14:paraId="55AFC2D9" w14:textId="7FEAF3B8">
      <w:pPr>
        <w:pStyle w:val="Header"/>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Lastly, public safety is guaranteed when police officials </w:t>
      </w:r>
      <w:r w:rsidRPr="5D385F40" w:rsidR="5D385F40">
        <w:rPr>
          <w:rFonts w:ascii="Calibri" w:hAnsi="Calibri" w:eastAsia="Calibri" w:cs="Calibri" w:asciiTheme="minorAscii" w:hAnsiTheme="minorAscii" w:eastAsiaTheme="minorAscii" w:cstheme="minorAscii"/>
          <w:b w:val="0"/>
          <w:bCs w:val="0"/>
          <w:sz w:val="24"/>
          <w:szCs w:val="24"/>
        </w:rPr>
        <w:t>are capable of working</w:t>
      </w:r>
      <w:r w:rsidRPr="5D385F40" w:rsidR="5D385F40">
        <w:rPr>
          <w:rFonts w:ascii="Calibri" w:hAnsi="Calibri" w:eastAsia="Calibri" w:cs="Calibri" w:asciiTheme="minorAscii" w:hAnsiTheme="minorAscii" w:eastAsiaTheme="minorAscii" w:cstheme="minorAscii"/>
          <w:b w:val="0"/>
          <w:bCs w:val="0"/>
          <w:sz w:val="24"/>
          <w:szCs w:val="24"/>
        </w:rPr>
        <w:t xml:space="preserve"> together to stop the threats that the public faces in the form of attacks. Dearden (2023) explains that the police, the </w:t>
      </w:r>
      <w:r w:rsidRPr="5D385F40" w:rsidR="5D385F40">
        <w:rPr>
          <w:rFonts w:ascii="Calibri" w:hAnsi="Calibri" w:eastAsia="Calibri" w:cs="Calibri" w:asciiTheme="minorAscii" w:hAnsiTheme="minorAscii" w:eastAsiaTheme="minorAscii" w:cstheme="minorAscii"/>
          <w:b w:val="0"/>
          <w:bCs w:val="0"/>
          <w:sz w:val="24"/>
          <w:szCs w:val="24"/>
        </w:rPr>
        <w:t>correctional facilities</w:t>
      </w:r>
      <w:r w:rsidRPr="5D385F40" w:rsidR="5D385F40">
        <w:rPr>
          <w:rFonts w:ascii="Calibri" w:hAnsi="Calibri" w:eastAsia="Calibri" w:cs="Calibri" w:asciiTheme="minorAscii" w:hAnsiTheme="minorAscii" w:eastAsiaTheme="minorAscii" w:cstheme="minorAscii"/>
          <w:b w:val="0"/>
          <w:bCs w:val="0"/>
          <w:sz w:val="24"/>
          <w:szCs w:val="24"/>
        </w:rPr>
        <w:t xml:space="preserve">, and the anti-terror police work together to manage the terror situation in the country. The report states that the correctional facilities that house some of the terror suspects who were working with Al Qaeda in the 2000s work with the police force to determine which of the suspects are safe to release based on their </w:t>
      </w:r>
      <w:r w:rsidRPr="5D385F40" w:rsidR="5D385F40">
        <w:rPr>
          <w:rFonts w:ascii="Calibri" w:hAnsi="Calibri" w:eastAsia="Calibri" w:cs="Calibri" w:asciiTheme="minorAscii" w:hAnsiTheme="minorAscii" w:eastAsiaTheme="minorAscii" w:cstheme="minorAscii"/>
          <w:b w:val="0"/>
          <w:bCs w:val="0"/>
          <w:sz w:val="24"/>
          <w:szCs w:val="24"/>
        </w:rPr>
        <w:t>behaviour</w:t>
      </w:r>
      <w:r w:rsidRPr="5D385F40" w:rsidR="5D385F40">
        <w:rPr>
          <w:rFonts w:ascii="Calibri" w:hAnsi="Calibri" w:eastAsia="Calibri" w:cs="Calibri" w:asciiTheme="minorAscii" w:hAnsiTheme="minorAscii" w:eastAsiaTheme="minorAscii" w:cstheme="minorAscii"/>
          <w:b w:val="0"/>
          <w:bCs w:val="0"/>
          <w:sz w:val="24"/>
          <w:szCs w:val="24"/>
        </w:rPr>
        <w:t xml:space="preserve"> behind bars, as the police work on new suspects that come in and take the place of the ones that are leaving to ensure that prison facilities are not congested (Dearden, 2023). This is why information sharing is crucial in keeping the public safe, including ensuring that the right suspects are apprehended all the time.</w:t>
      </w:r>
    </w:p>
    <w:p w:rsidR="5D385F40" w:rsidP="5D385F40" w:rsidRDefault="5D385F40" w14:paraId="461A578E" w14:textId="07598203">
      <w:pPr>
        <w:pStyle w:val="Header"/>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0"/>
          <w:bCs w:val="0"/>
          <w:sz w:val="24"/>
          <w:szCs w:val="24"/>
        </w:rPr>
      </w:pPr>
    </w:p>
    <w:p w:rsidR="5D385F40" w:rsidP="5D385F40" w:rsidRDefault="5D385F40" w14:paraId="43E6B812" w14:textId="0A7F7AA0">
      <w:pPr>
        <w:pStyle w:val="Header"/>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1"/>
          <w:bCs w:val="1"/>
          <w:sz w:val="24"/>
          <w:szCs w:val="24"/>
        </w:rPr>
      </w:pPr>
      <w:r w:rsidRPr="5D385F40" w:rsidR="5D385F40">
        <w:rPr>
          <w:rFonts w:ascii="Calibri" w:hAnsi="Calibri" w:eastAsia="Calibri" w:cs="Calibri" w:asciiTheme="minorAscii" w:hAnsiTheme="minorAscii" w:eastAsiaTheme="minorAscii" w:cstheme="minorAscii"/>
          <w:b w:val="1"/>
          <w:bCs w:val="1"/>
          <w:sz w:val="24"/>
          <w:szCs w:val="24"/>
        </w:rPr>
        <w:t>The Need for Effective Communication</w:t>
      </w:r>
    </w:p>
    <w:p w:rsidR="5D385F40" w:rsidP="5D385F40" w:rsidRDefault="5D385F40" w14:paraId="1AE108AF" w14:textId="354AEF4D">
      <w:pPr>
        <w:pStyle w:val="Header"/>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Effective communication is ideal for ensuring that the protocols and the directives are clear. Security agencies heavily rely on guidelines of operation, which helps them understand how they need to respond to different situations (Oxholm &amp; Glaser, 2023). When the communication is not adequate, policies and directives will not be precise, which is </w:t>
      </w:r>
      <w:r w:rsidRPr="5D385F40" w:rsidR="5D385F40">
        <w:rPr>
          <w:rFonts w:ascii="Calibri" w:hAnsi="Calibri" w:eastAsia="Calibri" w:cs="Calibri" w:asciiTheme="minorAscii" w:hAnsiTheme="minorAscii" w:eastAsiaTheme="minorAscii" w:cstheme="minorAscii"/>
          <w:b w:val="0"/>
          <w:bCs w:val="0"/>
          <w:sz w:val="24"/>
          <w:szCs w:val="24"/>
        </w:rPr>
        <w:t>likely going</w:t>
      </w:r>
      <w:r w:rsidRPr="5D385F40" w:rsidR="5D385F40">
        <w:rPr>
          <w:rFonts w:ascii="Calibri" w:hAnsi="Calibri" w:eastAsia="Calibri" w:cs="Calibri" w:asciiTheme="minorAscii" w:hAnsiTheme="minorAscii" w:eastAsiaTheme="minorAscii" w:cstheme="minorAscii"/>
          <w:b w:val="0"/>
          <w:bCs w:val="0"/>
          <w:sz w:val="24"/>
          <w:szCs w:val="24"/>
        </w:rPr>
        <w:t xml:space="preserve"> to hinder the operations of the agency. Also, managing technical infrastructure within departments depends on effective communication between police officers and agencies (Oxholm &amp; Glaser, 2023). When the communication patterns are unclear, operating IT systems that create different links between organizations will not be successful. The teams are likely to rely on </w:t>
      </w:r>
      <w:r w:rsidRPr="5D385F40" w:rsidR="5D385F40">
        <w:rPr>
          <w:rFonts w:ascii="Calibri" w:hAnsi="Calibri" w:eastAsia="Calibri" w:cs="Calibri" w:asciiTheme="minorAscii" w:hAnsiTheme="minorAscii" w:eastAsiaTheme="minorAscii" w:cstheme="minorAscii"/>
          <w:b w:val="0"/>
          <w:bCs w:val="0"/>
          <w:sz w:val="24"/>
          <w:szCs w:val="24"/>
        </w:rPr>
        <w:t>wrong information</w:t>
      </w:r>
      <w:r w:rsidRPr="5D385F40" w:rsidR="5D385F40">
        <w:rPr>
          <w:rFonts w:ascii="Calibri" w:hAnsi="Calibri" w:eastAsia="Calibri" w:cs="Calibri" w:asciiTheme="minorAscii" w:hAnsiTheme="minorAscii" w:eastAsiaTheme="minorAscii" w:cstheme="minorAscii"/>
          <w:b w:val="0"/>
          <w:bCs w:val="0"/>
          <w:sz w:val="24"/>
          <w:szCs w:val="24"/>
        </w:rPr>
        <w:t xml:space="preserve">, which can jeopardize the security of the rest of the people because the agencies are not on the same page. </w:t>
      </w:r>
    </w:p>
    <w:p w:rsidR="5D385F40" w:rsidP="5D385F40" w:rsidRDefault="5D385F40" w14:paraId="45470A77" w14:textId="5C5CB246">
      <w:pPr>
        <w:pStyle w:val="Header"/>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Strong communication</w:t>
      </w:r>
      <w:r w:rsidRPr="5D385F40" w:rsidR="5D385F40">
        <w:rPr>
          <w:rFonts w:ascii="Calibri" w:hAnsi="Calibri" w:eastAsia="Calibri" w:cs="Calibri" w:asciiTheme="minorAscii" w:hAnsiTheme="minorAscii" w:eastAsiaTheme="minorAscii" w:cstheme="minorAscii"/>
          <w:b w:val="0"/>
          <w:bCs w:val="0"/>
          <w:sz w:val="24"/>
          <w:szCs w:val="24"/>
        </w:rPr>
        <w:t xml:space="preserve"> skills between officers are vital when doing investigations and even during interrogations. Investigations require the police unit to be on the same page on how to handle specific affairs. When the teams are not aligned in terms of their </w:t>
      </w:r>
      <w:r w:rsidRPr="5D385F40" w:rsidR="5D385F40">
        <w:rPr>
          <w:rFonts w:ascii="Calibri" w:hAnsi="Calibri" w:eastAsia="Calibri" w:cs="Calibri" w:asciiTheme="minorAscii" w:hAnsiTheme="minorAscii" w:eastAsiaTheme="minorAscii" w:cstheme="minorAscii"/>
          <w:b w:val="0"/>
          <w:bCs w:val="0"/>
          <w:sz w:val="24"/>
          <w:szCs w:val="24"/>
        </w:rPr>
        <w:t>objectives</w:t>
      </w:r>
      <w:r w:rsidRPr="5D385F40" w:rsidR="5D385F40">
        <w:rPr>
          <w:rFonts w:ascii="Calibri" w:hAnsi="Calibri" w:eastAsia="Calibri" w:cs="Calibri" w:asciiTheme="minorAscii" w:hAnsiTheme="minorAscii" w:eastAsiaTheme="minorAscii" w:cstheme="minorAscii"/>
          <w:b w:val="0"/>
          <w:bCs w:val="0"/>
          <w:sz w:val="24"/>
          <w:szCs w:val="24"/>
        </w:rPr>
        <w:t xml:space="preserve">, they are likely to undermine the investigation process, negatively affecting the operations of the organization (Hine &amp; </w:t>
      </w:r>
      <w:r w:rsidRPr="5D385F40" w:rsidR="5D385F40">
        <w:rPr>
          <w:rFonts w:ascii="Calibri" w:hAnsi="Calibri" w:eastAsia="Calibri" w:cs="Calibri" w:asciiTheme="minorAscii" w:hAnsiTheme="minorAscii" w:eastAsiaTheme="minorAscii" w:cstheme="minorAscii"/>
          <w:b w:val="0"/>
          <w:bCs w:val="0"/>
          <w:sz w:val="24"/>
          <w:szCs w:val="24"/>
        </w:rPr>
        <w:t>Bragias</w:t>
      </w:r>
      <w:r w:rsidRPr="5D385F40" w:rsidR="5D385F40">
        <w:rPr>
          <w:rFonts w:ascii="Calibri" w:hAnsi="Calibri" w:eastAsia="Calibri" w:cs="Calibri" w:asciiTheme="minorAscii" w:hAnsiTheme="minorAscii" w:eastAsiaTheme="minorAscii" w:cstheme="minorAscii"/>
          <w:b w:val="0"/>
          <w:bCs w:val="0"/>
          <w:sz w:val="24"/>
          <w:szCs w:val="24"/>
        </w:rPr>
        <w:t>, 2020). Finally, effective communication is necessary to train the young personnel within the security agencies to help them carry out their tasks. Young people need officers who can communicate to them ways to do investigations and even interview suspects for them to be good at their jobs (Turner, 2021). When there is a breakdown in communication, it becomes difficult for the security team to train and educate the young police officers coming up through the system.</w:t>
      </w:r>
    </w:p>
    <w:p w:rsidR="5D385F40" w:rsidP="5D385F40" w:rsidRDefault="5D385F40" w14:paraId="3DFCBD40" w14:textId="2D448881">
      <w:pPr>
        <w:pStyle w:val="Header"/>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0"/>
          <w:bCs w:val="0"/>
          <w:sz w:val="24"/>
          <w:szCs w:val="24"/>
        </w:rPr>
      </w:pPr>
    </w:p>
    <w:p w:rsidR="5D385F40" w:rsidP="5D385F40" w:rsidRDefault="5D385F40" w14:paraId="7F93E1C1" w14:textId="25EC87D4">
      <w:pPr>
        <w:pStyle w:val="Header"/>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1"/>
          <w:bCs w:val="1"/>
          <w:sz w:val="24"/>
          <w:szCs w:val="24"/>
        </w:rPr>
      </w:pPr>
      <w:r w:rsidRPr="5D385F40" w:rsidR="5D385F40">
        <w:rPr>
          <w:rFonts w:ascii="Calibri" w:hAnsi="Calibri" w:eastAsia="Calibri" w:cs="Calibri" w:asciiTheme="minorAscii" w:hAnsiTheme="minorAscii" w:eastAsiaTheme="minorAscii" w:cstheme="minorAscii"/>
          <w:b w:val="1"/>
          <w:bCs w:val="1"/>
          <w:sz w:val="24"/>
          <w:szCs w:val="24"/>
        </w:rPr>
        <w:t>Conclusion</w:t>
      </w:r>
    </w:p>
    <w:p w:rsidR="5D385F40" w:rsidP="5D385F40" w:rsidRDefault="5D385F40" w14:paraId="6C369F5F" w14:textId="725AF9B1">
      <w:pPr>
        <w:pStyle w:val="Header"/>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Overall, partnership working and sharing of information are necessary activities in policing because they help bring justice to victims quicker. When the police work together through partnerships, they </w:t>
      </w:r>
      <w:r w:rsidRPr="5D385F40" w:rsidR="5D385F40">
        <w:rPr>
          <w:rFonts w:ascii="Calibri" w:hAnsi="Calibri" w:eastAsia="Calibri" w:cs="Calibri" w:asciiTheme="minorAscii" w:hAnsiTheme="minorAscii" w:eastAsiaTheme="minorAscii" w:cstheme="minorAscii"/>
          <w:b w:val="0"/>
          <w:bCs w:val="0"/>
          <w:sz w:val="24"/>
          <w:szCs w:val="24"/>
        </w:rPr>
        <w:t>are able to</w:t>
      </w:r>
      <w:r w:rsidRPr="5D385F40" w:rsidR="5D385F40">
        <w:rPr>
          <w:rFonts w:ascii="Calibri" w:hAnsi="Calibri" w:eastAsia="Calibri" w:cs="Calibri" w:asciiTheme="minorAscii" w:hAnsiTheme="minorAscii" w:eastAsiaTheme="minorAscii" w:cstheme="minorAscii"/>
          <w:b w:val="0"/>
          <w:bCs w:val="0"/>
          <w:sz w:val="24"/>
          <w:szCs w:val="24"/>
        </w:rPr>
        <w:t xml:space="preserve"> be more effective as they cover each other’s weaknesses. When the community works in collaboration with the police, both parties </w:t>
      </w:r>
      <w:r w:rsidRPr="5D385F40" w:rsidR="5D385F40">
        <w:rPr>
          <w:rFonts w:ascii="Calibri" w:hAnsi="Calibri" w:eastAsia="Calibri" w:cs="Calibri" w:asciiTheme="minorAscii" w:hAnsiTheme="minorAscii" w:eastAsiaTheme="minorAscii" w:cstheme="minorAscii"/>
          <w:b w:val="0"/>
          <w:bCs w:val="0"/>
          <w:sz w:val="24"/>
          <w:szCs w:val="24"/>
        </w:rPr>
        <w:t>are able to</w:t>
      </w:r>
      <w:r w:rsidRPr="5D385F40" w:rsidR="5D385F40">
        <w:rPr>
          <w:rFonts w:ascii="Calibri" w:hAnsi="Calibri" w:eastAsia="Calibri" w:cs="Calibri" w:asciiTheme="minorAscii" w:hAnsiTheme="minorAscii" w:eastAsiaTheme="minorAscii" w:cstheme="minorAscii"/>
          <w:b w:val="0"/>
          <w:bCs w:val="0"/>
          <w:sz w:val="24"/>
          <w:szCs w:val="24"/>
        </w:rPr>
        <w:t xml:space="preserve"> understand the needs of each other, creating a healthy environment that </w:t>
      </w:r>
      <w:r w:rsidRPr="5D385F40" w:rsidR="5D385F40">
        <w:rPr>
          <w:rFonts w:ascii="Calibri" w:hAnsi="Calibri" w:eastAsia="Calibri" w:cs="Calibri" w:asciiTheme="minorAscii" w:hAnsiTheme="minorAscii" w:eastAsiaTheme="minorAscii" w:cstheme="minorAscii"/>
          <w:b w:val="0"/>
          <w:bCs w:val="0"/>
          <w:sz w:val="24"/>
          <w:szCs w:val="24"/>
        </w:rPr>
        <w:t>benefits</w:t>
      </w:r>
      <w:r w:rsidRPr="5D385F40" w:rsidR="5D385F40">
        <w:rPr>
          <w:rFonts w:ascii="Calibri" w:hAnsi="Calibri" w:eastAsia="Calibri" w:cs="Calibri" w:asciiTheme="minorAscii" w:hAnsiTheme="minorAscii" w:eastAsiaTheme="minorAscii" w:cstheme="minorAscii"/>
          <w:b w:val="0"/>
          <w:bCs w:val="0"/>
          <w:sz w:val="24"/>
          <w:szCs w:val="24"/>
        </w:rPr>
        <w:t xml:space="preserve"> both parties. Effective communication forms the basis of stable partnerships, especially within workplace environments. Without effective communication, it is difficult for security agencies to work together with each other, including achieving joint </w:t>
      </w:r>
      <w:r w:rsidRPr="5D385F40" w:rsidR="5D385F40">
        <w:rPr>
          <w:rFonts w:ascii="Calibri" w:hAnsi="Calibri" w:eastAsia="Calibri" w:cs="Calibri" w:asciiTheme="minorAscii" w:hAnsiTheme="minorAscii" w:eastAsiaTheme="minorAscii" w:cstheme="minorAscii"/>
          <w:b w:val="0"/>
          <w:bCs w:val="0"/>
          <w:sz w:val="24"/>
          <w:szCs w:val="24"/>
        </w:rPr>
        <w:t>objectives</w:t>
      </w:r>
      <w:r w:rsidRPr="5D385F40" w:rsidR="5D385F40">
        <w:rPr>
          <w:rFonts w:ascii="Calibri" w:hAnsi="Calibri" w:eastAsia="Calibri" w:cs="Calibri" w:asciiTheme="minorAscii" w:hAnsiTheme="minorAscii" w:eastAsiaTheme="minorAscii" w:cstheme="minorAscii"/>
          <w:b w:val="0"/>
          <w:bCs w:val="0"/>
          <w:sz w:val="24"/>
          <w:szCs w:val="24"/>
        </w:rPr>
        <w:t>. There is a need for effective communication to be taught among police officers and security personnel working with other agencies aimed to promote public safety.</w:t>
      </w:r>
    </w:p>
    <w:p w:rsidR="5D385F40" w:rsidP="5D385F40" w:rsidRDefault="5D385F40" w14:paraId="149ACB3A" w14:textId="3410E08D">
      <w:pPr>
        <w:pStyle w:val="Header"/>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1"/>
          <w:bCs w:val="1"/>
          <w:sz w:val="24"/>
          <w:szCs w:val="24"/>
        </w:rPr>
      </w:pPr>
    </w:p>
    <w:p w:rsidR="5D385F40" w:rsidP="5D385F40" w:rsidRDefault="5D385F40" w14:paraId="3AE64BE5" w14:textId="68EA0A1C">
      <w:pPr>
        <w:pStyle w:val="Header"/>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1"/>
          <w:bCs w:val="1"/>
          <w:sz w:val="24"/>
          <w:szCs w:val="24"/>
        </w:rPr>
      </w:pPr>
    </w:p>
    <w:p w:rsidR="5D385F40" w:rsidP="5D385F40" w:rsidRDefault="5D385F40" w14:paraId="1C188D93" w14:textId="70E4FABB">
      <w:pPr>
        <w:pStyle w:val="Header"/>
        <w:suppressLineNumbers w:val="0"/>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1"/>
          <w:bCs w:val="1"/>
          <w:sz w:val="24"/>
          <w:szCs w:val="24"/>
        </w:rPr>
      </w:pPr>
    </w:p>
    <w:p w:rsidR="581AC2FF" w:rsidP="581AC2FF" w:rsidRDefault="581AC2FF" w14:paraId="28C5971F" w14:textId="07DFB64A">
      <w:pPr>
        <w:pStyle w:val="Header"/>
        <w:spacing w:line="480" w:lineRule="auto"/>
        <w:ind w:firstLine="720"/>
        <w:contextualSpacing/>
        <w:rPr>
          <w:rFonts w:ascii="Calibri" w:hAnsi="Calibri" w:eastAsia="Calibri" w:cs="Calibri" w:asciiTheme="minorAscii" w:hAnsiTheme="minorAscii" w:eastAsiaTheme="minorAscii" w:cstheme="minorAscii"/>
          <w:b w:val="1"/>
          <w:bCs w:val="1"/>
          <w:sz w:val="24"/>
          <w:szCs w:val="24"/>
        </w:rPr>
      </w:pPr>
    </w:p>
    <w:p w:rsidR="581AC2FF" w:rsidP="581AC2FF" w:rsidRDefault="581AC2FF" w14:paraId="628A50C6" w14:textId="4470E913">
      <w:pPr>
        <w:pStyle w:val="Header"/>
        <w:spacing w:line="480" w:lineRule="auto"/>
        <w:ind w:firstLine="720"/>
        <w:contextualSpacing/>
        <w:rPr>
          <w:rFonts w:ascii="Times New Roman" w:hAnsi="Times New Roman" w:cs="Times New Roman"/>
          <w:b w:val="1"/>
          <w:bCs w:val="1"/>
          <w:sz w:val="24"/>
          <w:szCs w:val="24"/>
        </w:rPr>
      </w:pPr>
    </w:p>
    <w:p w:rsidR="004401B5" w:rsidP="00FC1A65" w:rsidRDefault="004401B5" w14:paraId="20362D09" w14:textId="77777777" w14:noSpellErr="1">
      <w:pPr>
        <w:pStyle w:val="Header"/>
        <w:jc w:val="center"/>
        <w:rPr>
          <w:rFonts w:ascii="Times New Roman" w:hAnsi="Times New Roman" w:cs="Times New Roman"/>
          <w:sz w:val="24"/>
          <w:szCs w:val="24"/>
        </w:rPr>
      </w:pPr>
    </w:p>
    <w:p w:rsidRPr="00364E6A" w:rsidR="009A798D" w:rsidP="5D385F40" w:rsidRDefault="001820FC" w14:paraId="331425CD" w14:textId="3B5B5AA6">
      <w:pPr>
        <w:pStyle w:val="Header"/>
        <w:spacing w:line="480" w:lineRule="auto"/>
        <w:ind/>
        <w:contextualSpacing/>
        <w:jc w:val="center"/>
        <w:rPr>
          <w:rFonts w:ascii="Times New Roman" w:hAnsi="Times New Roman" w:cs="Times New Roman"/>
          <w:sz w:val="24"/>
          <w:szCs w:val="24"/>
        </w:rPr>
      </w:pPr>
    </w:p>
    <w:p w:rsidRPr="00364E6A" w:rsidR="009A798D" w:rsidP="5D385F40" w:rsidRDefault="001820FC" w14:paraId="72F6C0A8" w14:textId="0BE9F41C">
      <w:pPr>
        <w:pStyle w:val="Header"/>
        <w:spacing w:line="480" w:lineRule="auto"/>
        <w:ind/>
        <w:contextualSpacing/>
        <w:jc w:val="center"/>
        <w:rPr>
          <w:rFonts w:ascii="Times New Roman" w:hAnsi="Times New Roman" w:cs="Times New Roman"/>
          <w:sz w:val="24"/>
          <w:szCs w:val="24"/>
        </w:rPr>
      </w:pPr>
    </w:p>
    <w:p w:rsidRPr="00364E6A" w:rsidR="009A798D" w:rsidP="5D385F40" w:rsidRDefault="001820FC" w14:paraId="6F427B07" w14:textId="69BDB6D3">
      <w:pPr>
        <w:pStyle w:val="Header"/>
        <w:spacing w:line="480" w:lineRule="auto"/>
        <w:ind/>
        <w:contextualSpacing/>
        <w:jc w:val="center"/>
        <w:rPr>
          <w:rFonts w:ascii="Calibri" w:hAnsi="Calibri" w:eastAsia="Calibri" w:cs="Calibri" w:asciiTheme="minorAscii" w:hAnsiTheme="minorAscii" w:eastAsiaTheme="minorAscii" w:cstheme="minorAscii"/>
          <w:b w:val="1"/>
          <w:bCs w:val="1"/>
          <w:sz w:val="24"/>
          <w:szCs w:val="24"/>
        </w:rPr>
      </w:pPr>
    </w:p>
    <w:p w:rsidRPr="00364E6A" w:rsidR="009A798D" w:rsidP="14F27F53" w:rsidRDefault="001820FC" w14:paraId="6BAEDDDC" w14:textId="58D7634F">
      <w:pPr>
        <w:pStyle w:val="Header"/>
        <w:spacing w:line="480" w:lineRule="auto"/>
        <w:ind w:firstLine="720"/>
        <w:contextualSpacing/>
        <w:jc w:val="left"/>
        <w:rPr>
          <w:rFonts w:ascii="Calibri" w:hAnsi="Calibri" w:eastAsia="Calibri" w:cs="Calibri" w:asciiTheme="minorAscii" w:hAnsiTheme="minorAscii" w:eastAsiaTheme="minorAscii" w:cstheme="minorAscii"/>
          <w:b w:val="1"/>
          <w:bCs w:val="1"/>
          <w:sz w:val="24"/>
          <w:szCs w:val="24"/>
        </w:rPr>
      </w:pPr>
      <w:r w:rsidRPr="5D385F40" w:rsidR="5D385F40">
        <w:rPr>
          <w:rFonts w:ascii="Calibri" w:hAnsi="Calibri" w:eastAsia="Calibri" w:cs="Calibri" w:asciiTheme="minorAscii" w:hAnsiTheme="minorAscii" w:eastAsiaTheme="minorAscii" w:cstheme="minorAscii"/>
          <w:b w:val="1"/>
          <w:bCs w:val="1"/>
          <w:sz w:val="24"/>
          <w:szCs w:val="24"/>
        </w:rPr>
        <w:t>References</w:t>
      </w:r>
    </w:p>
    <w:p w:rsidR="5D385F40" w:rsidP="5D385F40" w:rsidRDefault="5D385F40" w14:paraId="54EC624E" w14:textId="3F0BE1CC">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BBC. (2021, April 12). Brixton riots 1981: What happened 40 Years Ago in London? BBC </w:t>
      </w:r>
      <w:r w:rsidRPr="5D385F40" w:rsidR="5D385F40">
        <w:rPr>
          <w:rFonts w:ascii="Calibri" w:hAnsi="Calibri" w:eastAsia="Calibri" w:cs="Calibri" w:asciiTheme="minorAscii" w:hAnsiTheme="minorAscii" w:eastAsiaTheme="minorAscii" w:cstheme="minorAscii"/>
          <w:b w:val="0"/>
          <w:bCs w:val="0"/>
          <w:sz w:val="24"/>
          <w:szCs w:val="24"/>
        </w:rPr>
        <w:t>Newsround</w:t>
      </w:r>
      <w:r w:rsidRPr="5D385F40" w:rsidR="5D385F40">
        <w:rPr>
          <w:rFonts w:ascii="Calibri" w:hAnsi="Calibri" w:eastAsia="Calibri" w:cs="Calibri" w:asciiTheme="minorAscii" w:hAnsiTheme="minorAscii" w:eastAsiaTheme="minorAscii" w:cstheme="minorAscii"/>
          <w:b w:val="0"/>
          <w:bCs w:val="0"/>
          <w:sz w:val="24"/>
          <w:szCs w:val="24"/>
        </w:rPr>
        <w:t xml:space="preserve">. </w:t>
      </w:r>
      <w:r w:rsidRPr="5D385F40" w:rsidR="5D385F40">
        <w:rPr>
          <w:rFonts w:ascii="Calibri" w:hAnsi="Calibri" w:eastAsia="Calibri" w:cs="Calibri" w:asciiTheme="minorAscii" w:hAnsiTheme="minorAscii" w:eastAsiaTheme="minorAscii" w:cstheme="minorAscii"/>
          <w:b w:val="0"/>
          <w:bCs w:val="0"/>
          <w:sz w:val="24"/>
          <w:szCs w:val="24"/>
        </w:rPr>
        <w:t>https://www.bbc.co.uk/newsround/50035769</w:t>
      </w:r>
      <w:r w:rsidRPr="5D385F40" w:rsidR="5D385F40">
        <w:rPr>
          <w:rFonts w:ascii="Calibri" w:hAnsi="Calibri" w:eastAsia="Calibri" w:cs="Calibri" w:asciiTheme="minorAscii" w:hAnsiTheme="minorAscii" w:eastAsiaTheme="minorAscii" w:cstheme="minorAscii"/>
          <w:b w:val="0"/>
          <w:bCs w:val="0"/>
          <w:sz w:val="24"/>
          <w:szCs w:val="24"/>
        </w:rPr>
        <w:t xml:space="preserve"> </w:t>
      </w:r>
    </w:p>
    <w:p w:rsidR="5D385F40" w:rsidP="5D385F40" w:rsidRDefault="5D385F40" w14:paraId="729A65EE" w14:textId="1ECFE5F0">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Dearden, L. (2023, July 20). 120 “terrorist risk” prisoners to be released in a year in England and Wales. The Independent. </w:t>
      </w:r>
      <w:r w:rsidRPr="5D385F40" w:rsidR="5D385F40">
        <w:rPr>
          <w:rFonts w:ascii="Calibri" w:hAnsi="Calibri" w:eastAsia="Calibri" w:cs="Calibri" w:asciiTheme="minorAscii" w:hAnsiTheme="minorAscii" w:eastAsiaTheme="minorAscii" w:cstheme="minorAscii"/>
          <w:b w:val="0"/>
          <w:bCs w:val="0"/>
          <w:sz w:val="24"/>
          <w:szCs w:val="24"/>
        </w:rPr>
        <w:t>https://www.independent.co.uk/news/uk/crime/terror-offenders-released-prisons-attacks-b2378318.html</w:t>
      </w:r>
      <w:r w:rsidRPr="5D385F40" w:rsidR="5D385F40">
        <w:rPr>
          <w:rFonts w:ascii="Calibri" w:hAnsi="Calibri" w:eastAsia="Calibri" w:cs="Calibri" w:asciiTheme="minorAscii" w:hAnsiTheme="minorAscii" w:eastAsiaTheme="minorAscii" w:cstheme="minorAscii"/>
          <w:b w:val="0"/>
          <w:bCs w:val="0"/>
          <w:sz w:val="24"/>
          <w:szCs w:val="24"/>
        </w:rPr>
        <w:t xml:space="preserve"> </w:t>
      </w:r>
    </w:p>
    <w:p w:rsidR="5D385F40" w:rsidP="5D385F40" w:rsidRDefault="5D385F40" w14:paraId="2D66C809" w14:textId="4F316D3C">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Government Events. (2022, January 18). Community engagement in local policing • Government events. </w:t>
      </w:r>
      <w:r w:rsidRPr="5D385F40" w:rsidR="5D385F40">
        <w:rPr>
          <w:rFonts w:ascii="Calibri" w:hAnsi="Calibri" w:eastAsia="Calibri" w:cs="Calibri" w:asciiTheme="minorAscii" w:hAnsiTheme="minorAscii" w:eastAsiaTheme="minorAscii" w:cstheme="minorAscii"/>
          <w:b w:val="0"/>
          <w:bCs w:val="0"/>
          <w:sz w:val="24"/>
          <w:szCs w:val="24"/>
        </w:rPr>
        <w:t>https://www.governmentevents.co.uk/community-engagement-in-local-policing/</w:t>
      </w:r>
      <w:r w:rsidRPr="5D385F40" w:rsidR="5D385F40">
        <w:rPr>
          <w:rFonts w:ascii="Calibri" w:hAnsi="Calibri" w:eastAsia="Calibri" w:cs="Calibri" w:asciiTheme="minorAscii" w:hAnsiTheme="minorAscii" w:eastAsiaTheme="minorAscii" w:cstheme="minorAscii"/>
          <w:b w:val="0"/>
          <w:bCs w:val="0"/>
          <w:sz w:val="24"/>
          <w:szCs w:val="24"/>
        </w:rPr>
        <w:t xml:space="preserve"> </w:t>
      </w:r>
    </w:p>
    <w:p w:rsidR="5D385F40" w:rsidP="5D385F40" w:rsidRDefault="5D385F40" w14:paraId="69F33C21" w14:textId="1044C8FF">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Greig-Midlane, J. (2019). An institutional perspective of </w:t>
      </w:r>
      <w:r w:rsidRPr="5D385F40" w:rsidR="5D385F40">
        <w:rPr>
          <w:rFonts w:ascii="Calibri" w:hAnsi="Calibri" w:eastAsia="Calibri" w:cs="Calibri" w:asciiTheme="minorAscii" w:hAnsiTheme="minorAscii" w:eastAsiaTheme="minorAscii" w:cstheme="minorAscii"/>
          <w:b w:val="0"/>
          <w:bCs w:val="0"/>
          <w:sz w:val="24"/>
          <w:szCs w:val="24"/>
        </w:rPr>
        <w:t>neighbourhood</w:t>
      </w:r>
      <w:r w:rsidRPr="5D385F40" w:rsidR="5D385F40">
        <w:rPr>
          <w:rFonts w:ascii="Calibri" w:hAnsi="Calibri" w:eastAsia="Calibri" w:cs="Calibri" w:asciiTheme="minorAscii" w:hAnsiTheme="minorAscii" w:eastAsiaTheme="minorAscii" w:cstheme="minorAscii"/>
          <w:b w:val="0"/>
          <w:bCs w:val="0"/>
          <w:sz w:val="24"/>
          <w:szCs w:val="24"/>
        </w:rPr>
        <w:t xml:space="preserve"> policing reform in Austerity Era England and Wales. International Journal of Police Science &amp;amp; Management, 21(4), 230–243. </w:t>
      </w:r>
      <w:r w:rsidRPr="5D385F40" w:rsidR="5D385F40">
        <w:rPr>
          <w:rFonts w:ascii="Calibri" w:hAnsi="Calibri" w:eastAsia="Calibri" w:cs="Calibri" w:asciiTheme="minorAscii" w:hAnsiTheme="minorAscii" w:eastAsiaTheme="minorAscii" w:cstheme="minorAscii"/>
          <w:b w:val="0"/>
          <w:bCs w:val="0"/>
          <w:sz w:val="24"/>
          <w:szCs w:val="24"/>
        </w:rPr>
        <w:t>https://doi.org/10.1177/1461355719889464</w:t>
      </w:r>
      <w:r w:rsidRPr="5D385F40" w:rsidR="5D385F40">
        <w:rPr>
          <w:rFonts w:ascii="Calibri" w:hAnsi="Calibri" w:eastAsia="Calibri" w:cs="Calibri" w:asciiTheme="minorAscii" w:hAnsiTheme="minorAscii" w:eastAsiaTheme="minorAscii" w:cstheme="minorAscii"/>
          <w:b w:val="0"/>
          <w:bCs w:val="0"/>
          <w:sz w:val="24"/>
          <w:szCs w:val="24"/>
        </w:rPr>
        <w:t xml:space="preserve"> </w:t>
      </w:r>
    </w:p>
    <w:p w:rsidR="5D385F40" w:rsidP="5D385F40" w:rsidRDefault="5D385F40" w14:paraId="213E3A34" w14:textId="5BF77D8F">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Hine, K. A., &amp; </w:t>
      </w:r>
      <w:r w:rsidRPr="5D385F40" w:rsidR="5D385F40">
        <w:rPr>
          <w:rFonts w:ascii="Calibri" w:hAnsi="Calibri" w:eastAsia="Calibri" w:cs="Calibri" w:asciiTheme="minorAscii" w:hAnsiTheme="minorAscii" w:eastAsiaTheme="minorAscii" w:cstheme="minorAscii"/>
          <w:b w:val="0"/>
          <w:bCs w:val="0"/>
          <w:sz w:val="24"/>
          <w:szCs w:val="24"/>
        </w:rPr>
        <w:t>Bragias</w:t>
      </w:r>
      <w:r w:rsidRPr="5D385F40" w:rsidR="5D385F40">
        <w:rPr>
          <w:rFonts w:ascii="Calibri" w:hAnsi="Calibri" w:eastAsia="Calibri" w:cs="Calibri" w:asciiTheme="minorAscii" w:hAnsiTheme="minorAscii" w:eastAsiaTheme="minorAscii" w:cstheme="minorAscii"/>
          <w:b w:val="0"/>
          <w:bCs w:val="0"/>
          <w:sz w:val="24"/>
          <w:szCs w:val="24"/>
        </w:rPr>
        <w:t xml:space="preserve">, A. (2020). Effective communication during major crises: A Systematic Literature Review to </w:t>
      </w:r>
      <w:r w:rsidRPr="5D385F40" w:rsidR="5D385F40">
        <w:rPr>
          <w:rFonts w:ascii="Calibri" w:hAnsi="Calibri" w:eastAsia="Calibri" w:cs="Calibri" w:asciiTheme="minorAscii" w:hAnsiTheme="minorAscii" w:eastAsiaTheme="minorAscii" w:cstheme="minorAscii"/>
          <w:b w:val="0"/>
          <w:bCs w:val="0"/>
          <w:sz w:val="24"/>
          <w:szCs w:val="24"/>
        </w:rPr>
        <w:t>identify</w:t>
      </w:r>
      <w:r w:rsidRPr="5D385F40" w:rsidR="5D385F40">
        <w:rPr>
          <w:rFonts w:ascii="Calibri" w:hAnsi="Calibri" w:eastAsia="Calibri" w:cs="Calibri" w:asciiTheme="minorAscii" w:hAnsiTheme="minorAscii" w:eastAsiaTheme="minorAscii" w:cstheme="minorAscii"/>
          <w:b w:val="0"/>
          <w:bCs w:val="0"/>
          <w:sz w:val="24"/>
          <w:szCs w:val="24"/>
        </w:rPr>
        <w:t xml:space="preserve"> best practices for police. Police Practice and Research, 22(5), 1492–1507. </w:t>
      </w:r>
      <w:r w:rsidRPr="5D385F40" w:rsidR="5D385F40">
        <w:rPr>
          <w:rFonts w:ascii="Calibri" w:hAnsi="Calibri" w:eastAsia="Calibri" w:cs="Calibri" w:asciiTheme="minorAscii" w:hAnsiTheme="minorAscii" w:eastAsiaTheme="minorAscii" w:cstheme="minorAscii"/>
          <w:b w:val="0"/>
          <w:bCs w:val="0"/>
          <w:sz w:val="24"/>
          <w:szCs w:val="24"/>
        </w:rPr>
        <w:t>https://doi.org/10.1080/15614263.2020.1821681</w:t>
      </w:r>
      <w:r w:rsidRPr="5D385F40" w:rsidR="5D385F40">
        <w:rPr>
          <w:rFonts w:ascii="Calibri" w:hAnsi="Calibri" w:eastAsia="Calibri" w:cs="Calibri" w:asciiTheme="minorAscii" w:hAnsiTheme="minorAscii" w:eastAsiaTheme="minorAscii" w:cstheme="minorAscii"/>
          <w:b w:val="0"/>
          <w:bCs w:val="0"/>
          <w:sz w:val="24"/>
          <w:szCs w:val="24"/>
        </w:rPr>
        <w:t xml:space="preserve"> </w:t>
      </w:r>
    </w:p>
    <w:p w:rsidR="5D385F40" w:rsidP="5D385F40" w:rsidRDefault="5D385F40" w14:paraId="259EAD96" w14:textId="5FE4C5B7">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Klose, S. (2024). Re-defining evidence-based policing. Policing: A Journal of Policy and Practice, p. 18. </w:t>
      </w:r>
      <w:r w:rsidRPr="5D385F40" w:rsidR="5D385F40">
        <w:rPr>
          <w:rFonts w:ascii="Calibri" w:hAnsi="Calibri" w:eastAsia="Calibri" w:cs="Calibri" w:asciiTheme="minorAscii" w:hAnsiTheme="minorAscii" w:eastAsiaTheme="minorAscii" w:cstheme="minorAscii"/>
          <w:b w:val="0"/>
          <w:bCs w:val="0"/>
          <w:sz w:val="24"/>
          <w:szCs w:val="24"/>
        </w:rPr>
        <w:t>https://doi.org/10.1093/police/paad095</w:t>
      </w:r>
      <w:r w:rsidRPr="5D385F40" w:rsidR="5D385F40">
        <w:rPr>
          <w:rFonts w:ascii="Calibri" w:hAnsi="Calibri" w:eastAsia="Calibri" w:cs="Calibri" w:asciiTheme="minorAscii" w:hAnsiTheme="minorAscii" w:eastAsiaTheme="minorAscii" w:cstheme="minorAscii"/>
          <w:b w:val="0"/>
          <w:bCs w:val="0"/>
          <w:sz w:val="24"/>
          <w:szCs w:val="24"/>
        </w:rPr>
        <w:t xml:space="preserve"> </w:t>
      </w:r>
    </w:p>
    <w:p w:rsidR="5D385F40" w:rsidP="5D385F40" w:rsidRDefault="5D385F40" w14:paraId="4CD8FAAA" w14:textId="7DBE1B4F">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Mazerolle, L. (2023). Partnership approaches in policing: An analysis of </w:t>
      </w:r>
      <w:r w:rsidRPr="5D385F40" w:rsidR="5D385F40">
        <w:rPr>
          <w:rFonts w:ascii="Calibri" w:hAnsi="Calibri" w:eastAsia="Calibri" w:cs="Calibri" w:asciiTheme="minorAscii" w:hAnsiTheme="minorAscii" w:eastAsiaTheme="minorAscii" w:cstheme="minorAscii"/>
          <w:b w:val="0"/>
          <w:bCs w:val="0"/>
          <w:sz w:val="24"/>
          <w:szCs w:val="24"/>
        </w:rPr>
        <w:t>different types</w:t>
      </w:r>
      <w:r w:rsidRPr="5D385F40" w:rsidR="5D385F40">
        <w:rPr>
          <w:rFonts w:ascii="Calibri" w:hAnsi="Calibri" w:eastAsia="Calibri" w:cs="Calibri" w:asciiTheme="minorAscii" w:hAnsiTheme="minorAscii" w:eastAsiaTheme="minorAscii" w:cstheme="minorAscii"/>
          <w:b w:val="0"/>
          <w:bCs w:val="0"/>
          <w:sz w:val="24"/>
          <w:szCs w:val="24"/>
        </w:rPr>
        <w:t xml:space="preserve"> of partnerships and how they work to reduce crime and disorder. Policing: A Journal of Policy and Practice, 17. </w:t>
      </w:r>
      <w:r w:rsidRPr="5D385F40" w:rsidR="5D385F40">
        <w:rPr>
          <w:rFonts w:ascii="Calibri" w:hAnsi="Calibri" w:eastAsia="Calibri" w:cs="Calibri" w:asciiTheme="minorAscii" w:hAnsiTheme="minorAscii" w:eastAsiaTheme="minorAscii" w:cstheme="minorAscii"/>
          <w:b w:val="0"/>
          <w:bCs w:val="0"/>
          <w:sz w:val="24"/>
          <w:szCs w:val="24"/>
        </w:rPr>
        <w:t>https://doi.org/10.1093/police/paad075</w:t>
      </w:r>
      <w:r w:rsidRPr="5D385F40" w:rsidR="5D385F40">
        <w:rPr>
          <w:rFonts w:ascii="Calibri" w:hAnsi="Calibri" w:eastAsia="Calibri" w:cs="Calibri" w:asciiTheme="minorAscii" w:hAnsiTheme="minorAscii" w:eastAsiaTheme="minorAscii" w:cstheme="minorAscii"/>
          <w:b w:val="0"/>
          <w:bCs w:val="0"/>
          <w:sz w:val="24"/>
          <w:szCs w:val="24"/>
        </w:rPr>
        <w:t xml:space="preserve"> </w:t>
      </w:r>
    </w:p>
    <w:p w:rsidR="5D385F40" w:rsidP="5D385F40" w:rsidRDefault="5D385F40" w14:paraId="386F35DE" w14:textId="6D92E4E2">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Metropolitan Police. (2024). Introduction of right care, right person model. </w:t>
      </w:r>
      <w:r w:rsidRPr="5D385F40" w:rsidR="5D385F40">
        <w:rPr>
          <w:rFonts w:ascii="Calibri" w:hAnsi="Calibri" w:eastAsia="Calibri" w:cs="Calibri" w:asciiTheme="minorAscii" w:hAnsiTheme="minorAscii" w:eastAsiaTheme="minorAscii" w:cstheme="minorAscii"/>
          <w:b w:val="0"/>
          <w:bCs w:val="0"/>
          <w:sz w:val="24"/>
          <w:szCs w:val="24"/>
        </w:rPr>
        <w:t>https://www.met.police.uk/notices/met/introduction-right-care-right-person-model</w:t>
      </w:r>
      <w:r w:rsidRPr="5D385F40" w:rsidR="5D385F40">
        <w:rPr>
          <w:rFonts w:ascii="Calibri" w:hAnsi="Calibri" w:eastAsia="Calibri" w:cs="Calibri" w:asciiTheme="minorAscii" w:hAnsiTheme="minorAscii" w:eastAsiaTheme="minorAscii" w:cstheme="minorAscii"/>
          <w:b w:val="0"/>
          <w:bCs w:val="0"/>
          <w:sz w:val="24"/>
          <w:szCs w:val="24"/>
        </w:rPr>
        <w:t xml:space="preserve"> </w:t>
      </w:r>
    </w:p>
    <w:p w:rsidR="5D385F40" w:rsidP="5D385F40" w:rsidRDefault="5D385F40" w14:paraId="3AD9F0DA" w14:textId="0F84D48F">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The National Archives. (1998, July 31). Crime and Disorder Act 1998. Legislation.gov.uk. </w:t>
      </w:r>
      <w:r w:rsidRPr="5D385F40" w:rsidR="5D385F40">
        <w:rPr>
          <w:rFonts w:ascii="Calibri" w:hAnsi="Calibri" w:eastAsia="Calibri" w:cs="Calibri" w:asciiTheme="minorAscii" w:hAnsiTheme="minorAscii" w:eastAsiaTheme="minorAscii" w:cstheme="minorAscii"/>
          <w:b w:val="0"/>
          <w:bCs w:val="0"/>
          <w:sz w:val="24"/>
          <w:szCs w:val="24"/>
        </w:rPr>
        <w:t>https://www.legislation.gov.uk/ukpga/1998/37/contents</w:t>
      </w:r>
      <w:r w:rsidRPr="5D385F40" w:rsidR="5D385F40">
        <w:rPr>
          <w:rFonts w:ascii="Calibri" w:hAnsi="Calibri" w:eastAsia="Calibri" w:cs="Calibri" w:asciiTheme="minorAscii" w:hAnsiTheme="minorAscii" w:eastAsiaTheme="minorAscii" w:cstheme="minorAscii"/>
          <w:b w:val="0"/>
          <w:bCs w:val="0"/>
          <w:sz w:val="24"/>
          <w:szCs w:val="24"/>
        </w:rPr>
        <w:t xml:space="preserve"> </w:t>
      </w:r>
    </w:p>
    <w:p w:rsidR="5D385F40" w:rsidP="5D385F40" w:rsidRDefault="5D385F40" w14:paraId="5A01750C" w14:textId="2253BE44">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Oxholm, P. D., &amp; Glaser, J. (2023). Goals and outcomes of Police Officer Communication: Evidence from in-depth interviews. Group Processes &amp;amp; Intergroup Relations, 26(4), 875–890. </w:t>
      </w:r>
      <w:r w:rsidRPr="5D385F40" w:rsidR="5D385F40">
        <w:rPr>
          <w:rFonts w:ascii="Calibri" w:hAnsi="Calibri" w:eastAsia="Calibri" w:cs="Calibri" w:asciiTheme="minorAscii" w:hAnsiTheme="minorAscii" w:eastAsiaTheme="minorAscii" w:cstheme="minorAscii"/>
          <w:b w:val="0"/>
          <w:bCs w:val="0"/>
          <w:sz w:val="24"/>
          <w:szCs w:val="24"/>
        </w:rPr>
        <w:t>https://doi.org/10.1177/13684302221121585</w:t>
      </w:r>
      <w:r w:rsidRPr="5D385F40" w:rsidR="5D385F40">
        <w:rPr>
          <w:rFonts w:ascii="Calibri" w:hAnsi="Calibri" w:eastAsia="Calibri" w:cs="Calibri" w:asciiTheme="minorAscii" w:hAnsiTheme="minorAscii" w:eastAsiaTheme="minorAscii" w:cstheme="minorAscii"/>
          <w:b w:val="0"/>
          <w:bCs w:val="0"/>
          <w:sz w:val="24"/>
          <w:szCs w:val="24"/>
        </w:rPr>
        <w:t xml:space="preserve"> </w:t>
      </w:r>
    </w:p>
    <w:p w:rsidR="5D385F40" w:rsidP="5D385F40" w:rsidRDefault="5D385F40" w14:paraId="4100EACE" w14:textId="286D59A2">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Pajón</w:t>
      </w:r>
      <w:r w:rsidRPr="5D385F40" w:rsidR="5D385F40">
        <w:rPr>
          <w:rFonts w:ascii="Calibri" w:hAnsi="Calibri" w:eastAsia="Calibri" w:cs="Calibri" w:asciiTheme="minorAscii" w:hAnsiTheme="minorAscii" w:eastAsiaTheme="minorAscii" w:cstheme="minorAscii"/>
          <w:b w:val="0"/>
          <w:bCs w:val="0"/>
          <w:sz w:val="24"/>
          <w:szCs w:val="24"/>
        </w:rPr>
        <w:t xml:space="preserve">, L., &amp; Walsh, D. (2022). The importance of multi-agency collaborations during Human Trafficking Criminal Investigations. Policing and Society, 33(3), 296–314. </w:t>
      </w:r>
      <w:r w:rsidRPr="5D385F40" w:rsidR="5D385F40">
        <w:rPr>
          <w:rFonts w:ascii="Calibri" w:hAnsi="Calibri" w:eastAsia="Calibri" w:cs="Calibri" w:asciiTheme="minorAscii" w:hAnsiTheme="minorAscii" w:eastAsiaTheme="minorAscii" w:cstheme="minorAscii"/>
          <w:b w:val="0"/>
          <w:bCs w:val="0"/>
          <w:sz w:val="24"/>
          <w:szCs w:val="24"/>
        </w:rPr>
        <w:t>https://doi.org/10.1080/10439463.2022.2106984</w:t>
      </w:r>
      <w:r w:rsidRPr="5D385F40" w:rsidR="5D385F40">
        <w:rPr>
          <w:rFonts w:ascii="Calibri" w:hAnsi="Calibri" w:eastAsia="Calibri" w:cs="Calibri" w:asciiTheme="minorAscii" w:hAnsiTheme="minorAscii" w:eastAsiaTheme="minorAscii" w:cstheme="minorAscii"/>
          <w:b w:val="0"/>
          <w:bCs w:val="0"/>
          <w:sz w:val="24"/>
          <w:szCs w:val="24"/>
        </w:rPr>
        <w:t xml:space="preserve"> </w:t>
      </w:r>
    </w:p>
    <w:p w:rsidR="5D385F40" w:rsidP="5D385F40" w:rsidRDefault="5D385F40" w14:paraId="35D2A7D5" w14:textId="6F76F108">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Schunk, D. H., &amp; DiBenedetto, M. K. (2020). Motivation and social cognitive theory. Contemporary Educational Psychology, 60, 101832. </w:t>
      </w:r>
      <w:r w:rsidRPr="5D385F40" w:rsidR="5D385F40">
        <w:rPr>
          <w:rFonts w:ascii="Calibri" w:hAnsi="Calibri" w:eastAsia="Calibri" w:cs="Calibri" w:asciiTheme="minorAscii" w:hAnsiTheme="minorAscii" w:eastAsiaTheme="minorAscii" w:cstheme="minorAscii"/>
          <w:b w:val="0"/>
          <w:bCs w:val="0"/>
          <w:sz w:val="24"/>
          <w:szCs w:val="24"/>
        </w:rPr>
        <w:t>https://doi.org/10.1016/j.cedpsych.2019.101832</w:t>
      </w:r>
      <w:r w:rsidRPr="5D385F40" w:rsidR="5D385F40">
        <w:rPr>
          <w:rFonts w:ascii="Calibri" w:hAnsi="Calibri" w:eastAsia="Calibri" w:cs="Calibri" w:asciiTheme="minorAscii" w:hAnsiTheme="minorAscii" w:eastAsiaTheme="minorAscii" w:cstheme="minorAscii"/>
          <w:b w:val="0"/>
          <w:bCs w:val="0"/>
          <w:sz w:val="24"/>
          <w:szCs w:val="24"/>
        </w:rPr>
        <w:t xml:space="preserve"> </w:t>
      </w:r>
    </w:p>
    <w:p w:rsidR="5D385F40" w:rsidP="5D385F40" w:rsidRDefault="5D385F40" w14:paraId="23ED924F" w14:textId="30B7528B">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 xml:space="preserve">Turner, A. (2021). Police education and role play: Insights from </w:t>
      </w:r>
      <w:r w:rsidRPr="5D385F40" w:rsidR="5D385F40">
        <w:rPr>
          <w:rFonts w:ascii="Calibri" w:hAnsi="Calibri" w:eastAsia="Calibri" w:cs="Calibri" w:asciiTheme="minorAscii" w:hAnsiTheme="minorAscii" w:eastAsiaTheme="minorAscii" w:cstheme="minorAscii"/>
          <w:b w:val="0"/>
          <w:bCs w:val="0"/>
          <w:sz w:val="24"/>
          <w:szCs w:val="24"/>
        </w:rPr>
        <w:t>the literature</w:t>
      </w:r>
      <w:r w:rsidRPr="5D385F40" w:rsidR="5D385F40">
        <w:rPr>
          <w:rFonts w:ascii="Calibri" w:hAnsi="Calibri" w:eastAsia="Calibri" w:cs="Calibri" w:asciiTheme="minorAscii" w:hAnsiTheme="minorAscii" w:eastAsiaTheme="minorAscii" w:cstheme="minorAscii"/>
          <w:b w:val="0"/>
          <w:bCs w:val="0"/>
          <w:sz w:val="24"/>
          <w:szCs w:val="24"/>
        </w:rPr>
        <w:t xml:space="preserve">. The Police Journal: Theory, Practice and Principles, 95(4), 750–775. </w:t>
      </w:r>
      <w:r w:rsidRPr="5D385F40" w:rsidR="5D385F40">
        <w:rPr>
          <w:rFonts w:ascii="Calibri" w:hAnsi="Calibri" w:eastAsia="Calibri" w:cs="Calibri" w:asciiTheme="minorAscii" w:hAnsiTheme="minorAscii" w:eastAsiaTheme="minorAscii" w:cstheme="minorAscii"/>
          <w:b w:val="0"/>
          <w:bCs w:val="0"/>
          <w:sz w:val="24"/>
          <w:szCs w:val="24"/>
        </w:rPr>
        <w:t>https://doi.org/10.1177/0032258x211031516</w:t>
      </w:r>
      <w:r w:rsidRPr="5D385F40" w:rsidR="5D385F40">
        <w:rPr>
          <w:rFonts w:ascii="Calibri" w:hAnsi="Calibri" w:eastAsia="Calibri" w:cs="Calibri" w:asciiTheme="minorAscii" w:hAnsiTheme="minorAscii" w:eastAsiaTheme="minorAscii" w:cstheme="minorAscii"/>
          <w:b w:val="0"/>
          <w:bCs w:val="0"/>
          <w:sz w:val="24"/>
          <w:szCs w:val="24"/>
        </w:rPr>
        <w:t xml:space="preserve"> </w:t>
      </w:r>
    </w:p>
    <w:p w:rsidR="5D385F40" w:rsidP="5D385F40" w:rsidRDefault="5D385F40" w14:paraId="412A27FC" w14:textId="5CB33969">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D385F40" w:rsidR="5D385F40">
        <w:rPr>
          <w:rFonts w:ascii="Calibri" w:hAnsi="Calibri" w:eastAsia="Calibri" w:cs="Calibri" w:asciiTheme="minorAscii" w:hAnsiTheme="minorAscii" w:eastAsiaTheme="minorAscii" w:cstheme="minorAscii"/>
          <w:b w:val="0"/>
          <w:bCs w:val="0"/>
          <w:sz w:val="24"/>
          <w:szCs w:val="24"/>
        </w:rPr>
        <w:t>Wiggins, D. (2023, July 18). Met “stop incels &amp; 39 terrorist plots” to attack pride in London, MPs and more. My London. https://www.mylondon.news/news/uk-world-news/met-police-stop-incels-terrorists-27345224</w:t>
      </w:r>
    </w:p>
    <w:p w:rsidR="581AC2FF" w:rsidP="581AC2FF" w:rsidRDefault="581AC2FF" w14:paraId="64485876" w14:textId="3AE12121">
      <w:pPr>
        <w:pStyle w:val="Header"/>
        <w:spacing w:line="480" w:lineRule="auto"/>
        <w:ind w:firstLine="720"/>
        <w:contextualSpacing/>
        <w:jc w:val="center"/>
        <w:rPr>
          <w:rFonts w:ascii="Calibri" w:hAnsi="Calibri" w:eastAsia="Calibri" w:cs="Calibri" w:asciiTheme="minorAscii" w:hAnsiTheme="minorAscii" w:eastAsiaTheme="minorAscii" w:cstheme="minorAscii"/>
          <w:b w:val="1"/>
          <w:bCs w:val="1"/>
          <w:sz w:val="24"/>
          <w:szCs w:val="24"/>
        </w:rPr>
      </w:pPr>
    </w:p>
    <w:p w:rsidRPr="0052621E" w:rsidR="00364E6A" w:rsidP="00FC1A65" w:rsidRDefault="00364E6A" w14:paraId="5CBA9523" w14:textId="77777777">
      <w:pPr>
        <w:pStyle w:val="Header"/>
        <w:jc w:val="center"/>
        <w:rPr>
          <w:rFonts w:ascii="Times New Roman" w:hAnsi="Times New Roman" w:cs="Times New Roman"/>
          <w:sz w:val="24"/>
          <w:szCs w:val="24"/>
        </w:rPr>
      </w:pPr>
    </w:p>
    <w:sectPr w:rsidRPr="0052621E" w:rsidR="00364E6A" w:rsidSect="00A3531B">
      <w:headerReference w:type="default" r:id="rId7"/>
      <w:headerReference w:type="first" r:id="rId8"/>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3531B" w:rsidRDefault="00A3531B" w14:paraId="0E39D22B" w14:textId="77777777">
      <w:pPr>
        <w:spacing w:after="0" w:line="240" w:lineRule="auto"/>
      </w:pPr>
      <w:r>
        <w:separator/>
      </w:r>
    </w:p>
  </w:endnote>
  <w:endnote w:type="continuationSeparator" w:id="0">
    <w:p w:rsidR="00A3531B" w:rsidRDefault="00A3531B" w14:paraId="52CD59E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3531B" w:rsidRDefault="00A3531B" w14:paraId="7FBC967D" w14:textId="77777777">
      <w:pPr>
        <w:spacing w:after="0" w:line="240" w:lineRule="auto"/>
      </w:pPr>
      <w:r>
        <w:separator/>
      </w:r>
    </w:p>
  </w:footnote>
  <w:footnote w:type="continuationSeparator" w:id="0">
    <w:p w:rsidR="00A3531B" w:rsidRDefault="00A3531B" w14:paraId="1ADB522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006D67" w:rsidR="00006D67" w:rsidP="00473EC1" w:rsidRDefault="001820FC" w14:paraId="69687DE9" w14:textId="0A47D2F7">
    <w:pPr>
      <w:pStyle w:val="Header"/>
      <w:tabs>
        <w:tab w:val="clear" w:pos="4680"/>
        <w:tab w:val="clear" w:pos="9360"/>
      </w:tabs>
      <w:jc w:val="right"/>
      <w:rPr>
        <w:rFonts w:ascii="Times New Roman" w:hAnsi="Times New Roman" w:cs="Times New Roman"/>
        <w:sz w:val="24"/>
        <w:szCs w:val="24"/>
      </w:rPr>
    </w:pPr>
    <w:r>
      <w:rPr>
        <w:rFonts w:ascii="Times New Roman" w:hAnsi="Times New Roman" w:cs="Times New Roman"/>
        <w:sz w:val="24"/>
        <w:szCs w:val="24"/>
      </w:rPr>
      <w:t>Policing by Consent</w:t>
    </w:r>
    <w:r w:rsidRPr="00006D67">
      <w:rPr>
        <w:rFonts w:ascii="Times New Roman" w:hAnsi="Times New Roman" w:cs="Times New Roman"/>
        <w:sz w:val="24"/>
        <w:szCs w:val="24"/>
      </w:rPr>
      <w:t xml:space="preserve">     </w:t>
    </w:r>
    <w:sdt>
      <w:sdtPr>
        <w:rPr>
          <w:rFonts w:ascii="Times New Roman" w:hAnsi="Times New Roman" w:cs="Times New Roman"/>
          <w:sz w:val="24"/>
          <w:szCs w:val="24"/>
        </w:rPr>
        <w:id w:val="918283182"/>
        <w:docPartObj>
          <w:docPartGallery w:val="Page Numbers (Top of Page)"/>
          <w:docPartUnique/>
        </w:docPartObj>
      </w:sdtPr>
      <w:sdtEndPr>
        <w:rPr>
          <w:noProof/>
        </w:rPr>
      </w:sdtEndPr>
      <w:sdtContent>
        <w:r w:rsidRPr="00006D67">
          <w:rPr>
            <w:rFonts w:ascii="Times New Roman" w:hAnsi="Times New Roman" w:cs="Times New Roman"/>
            <w:sz w:val="24"/>
            <w:szCs w:val="24"/>
          </w:rPr>
          <w:fldChar w:fldCharType="begin"/>
        </w:r>
        <w:r w:rsidRPr="00006D67">
          <w:rPr>
            <w:rFonts w:ascii="Times New Roman" w:hAnsi="Times New Roman" w:cs="Times New Roman"/>
            <w:sz w:val="24"/>
            <w:szCs w:val="24"/>
          </w:rPr>
          <w:instrText xml:space="preserve"> PAGE   \* MERGEFORMAT </w:instrText>
        </w:r>
        <w:r w:rsidRPr="00006D67">
          <w:rPr>
            <w:rFonts w:ascii="Times New Roman" w:hAnsi="Times New Roman" w:cs="Times New Roman"/>
            <w:sz w:val="24"/>
            <w:szCs w:val="24"/>
          </w:rPr>
          <w:fldChar w:fldCharType="separate"/>
        </w:r>
        <w:r w:rsidR="00AF724D">
          <w:rPr>
            <w:rFonts w:ascii="Times New Roman" w:hAnsi="Times New Roman" w:cs="Times New Roman"/>
            <w:noProof/>
            <w:sz w:val="24"/>
            <w:szCs w:val="24"/>
          </w:rPr>
          <w:t>4</w:t>
        </w:r>
        <w:r w:rsidRPr="00006D67">
          <w:rPr>
            <w:rFonts w:ascii="Times New Roman" w:hAnsi="Times New Roman" w:cs="Times New Roman"/>
            <w:noProof/>
            <w:sz w:val="24"/>
            <w:szCs w:val="24"/>
          </w:rPr>
          <w:fldChar w:fldCharType="end"/>
        </w:r>
      </w:sdtContent>
    </w:sdt>
  </w:p>
  <w:p w:rsidRPr="00006D67" w:rsidR="00AC0F77" w:rsidRDefault="00AC0F77" w14:paraId="68B33353" w14:textId="77777777">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006D67" w:rsidR="00006D67" w:rsidP="00473EC1" w:rsidRDefault="001820FC" w14:paraId="481012B4" w14:textId="41D9DA5D">
    <w:pPr>
      <w:pStyle w:val="Header"/>
      <w:tabs>
        <w:tab w:val="clear" w:pos="4680"/>
        <w:tab w:val="clear" w:pos="9360"/>
      </w:tabs>
      <w:jc w:val="right"/>
      <w:rPr>
        <w:rFonts w:ascii="Times New Roman" w:hAnsi="Times New Roman" w:cs="Times New Roman"/>
        <w:sz w:val="24"/>
        <w:szCs w:val="24"/>
      </w:rPr>
    </w:pPr>
    <w:r>
      <w:rPr>
        <w:rFonts w:ascii="Times New Roman" w:hAnsi="Times New Roman" w:cs="Times New Roman"/>
        <w:sz w:val="24"/>
        <w:szCs w:val="24"/>
      </w:rPr>
      <w:t>Policing by Consent</w:t>
    </w:r>
    <w:r w:rsidRPr="00006D67">
      <w:rPr>
        <w:rFonts w:ascii="Times New Roman" w:hAnsi="Times New Roman" w:cs="Times New Roman"/>
        <w:sz w:val="24"/>
        <w:szCs w:val="24"/>
      </w:rPr>
      <w:t xml:space="preserve">     </w:t>
    </w:r>
    <w:sdt>
      <w:sdtPr>
        <w:rPr>
          <w:rFonts w:ascii="Times New Roman" w:hAnsi="Times New Roman" w:cs="Times New Roman"/>
          <w:sz w:val="24"/>
          <w:szCs w:val="24"/>
        </w:rPr>
        <w:id w:val="1690408898"/>
        <w:docPartObj>
          <w:docPartGallery w:val="Page Numbers (Top of Page)"/>
          <w:docPartUnique/>
        </w:docPartObj>
      </w:sdtPr>
      <w:sdtEndPr>
        <w:rPr>
          <w:noProof/>
        </w:rPr>
      </w:sdtEndPr>
      <w:sdtContent>
        <w:r w:rsidRPr="00006D67">
          <w:rPr>
            <w:rFonts w:ascii="Times New Roman" w:hAnsi="Times New Roman" w:cs="Times New Roman"/>
            <w:sz w:val="24"/>
            <w:szCs w:val="24"/>
          </w:rPr>
          <w:fldChar w:fldCharType="begin"/>
        </w:r>
        <w:r w:rsidRPr="00006D67">
          <w:rPr>
            <w:rFonts w:ascii="Times New Roman" w:hAnsi="Times New Roman" w:cs="Times New Roman"/>
            <w:sz w:val="24"/>
            <w:szCs w:val="24"/>
          </w:rPr>
          <w:instrText xml:space="preserve"> PAGE   \* MERGEFORMAT </w:instrText>
        </w:r>
        <w:r w:rsidRPr="00006D67">
          <w:rPr>
            <w:rFonts w:ascii="Times New Roman" w:hAnsi="Times New Roman" w:cs="Times New Roman"/>
            <w:sz w:val="24"/>
            <w:szCs w:val="24"/>
          </w:rPr>
          <w:fldChar w:fldCharType="separate"/>
        </w:r>
        <w:r w:rsidR="00043F3D">
          <w:rPr>
            <w:rFonts w:ascii="Times New Roman" w:hAnsi="Times New Roman" w:cs="Times New Roman"/>
            <w:noProof/>
            <w:sz w:val="24"/>
            <w:szCs w:val="24"/>
          </w:rPr>
          <w:t>1</w:t>
        </w:r>
        <w:r w:rsidRPr="00006D67">
          <w:rPr>
            <w:rFonts w:ascii="Times New Roman" w:hAnsi="Times New Roman" w:cs="Times New Roman"/>
            <w:noProof/>
            <w:sz w:val="24"/>
            <w:szCs w:val="24"/>
          </w:rPr>
          <w:fldChar w:fldCharType="end"/>
        </w:r>
      </w:sdtContent>
    </w:sdt>
  </w:p>
  <w:p w:rsidRPr="00006D67" w:rsidR="00AC0F77" w:rsidRDefault="00AC0F77" w14:paraId="2BAA6ED7" w14:textId="77777777">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LQwMTExMLa0sDA0NjdV0lEKTi0uzszPAykwrQUAK69aNSwAAAA="/>
  </w:docVars>
  <w:rsids>
    <w:rsidRoot w:val="000F32B8"/>
    <w:rsid w:val="00003607"/>
    <w:rsid w:val="00006D67"/>
    <w:rsid w:val="000213D7"/>
    <w:rsid w:val="000263A0"/>
    <w:rsid w:val="000327C7"/>
    <w:rsid w:val="00043F3D"/>
    <w:rsid w:val="000A02E1"/>
    <w:rsid w:val="000A7F92"/>
    <w:rsid w:val="000D29C1"/>
    <w:rsid w:val="000D591A"/>
    <w:rsid w:val="000F1B9D"/>
    <w:rsid w:val="000F2FAD"/>
    <w:rsid w:val="000F32B8"/>
    <w:rsid w:val="00126217"/>
    <w:rsid w:val="00133527"/>
    <w:rsid w:val="001421F6"/>
    <w:rsid w:val="00152DE0"/>
    <w:rsid w:val="00172E66"/>
    <w:rsid w:val="001820FC"/>
    <w:rsid w:val="00185494"/>
    <w:rsid w:val="001936D3"/>
    <w:rsid w:val="001978B6"/>
    <w:rsid w:val="001A1DA0"/>
    <w:rsid w:val="001A3483"/>
    <w:rsid w:val="001D6046"/>
    <w:rsid w:val="00225652"/>
    <w:rsid w:val="00257A7C"/>
    <w:rsid w:val="00257D1C"/>
    <w:rsid w:val="0026667A"/>
    <w:rsid w:val="00270AA6"/>
    <w:rsid w:val="00283DFA"/>
    <w:rsid w:val="0028434A"/>
    <w:rsid w:val="0029012F"/>
    <w:rsid w:val="0029331B"/>
    <w:rsid w:val="00295936"/>
    <w:rsid w:val="002A6437"/>
    <w:rsid w:val="002B3881"/>
    <w:rsid w:val="002E485C"/>
    <w:rsid w:val="00305536"/>
    <w:rsid w:val="003109FA"/>
    <w:rsid w:val="0032192E"/>
    <w:rsid w:val="00330603"/>
    <w:rsid w:val="00333726"/>
    <w:rsid w:val="00346462"/>
    <w:rsid w:val="00361E86"/>
    <w:rsid w:val="00364E6A"/>
    <w:rsid w:val="003835A1"/>
    <w:rsid w:val="00385397"/>
    <w:rsid w:val="003A2742"/>
    <w:rsid w:val="003C1EED"/>
    <w:rsid w:val="003F67F0"/>
    <w:rsid w:val="004068CB"/>
    <w:rsid w:val="00433BD9"/>
    <w:rsid w:val="004401B5"/>
    <w:rsid w:val="004475F4"/>
    <w:rsid w:val="004671E7"/>
    <w:rsid w:val="00473EC1"/>
    <w:rsid w:val="00491787"/>
    <w:rsid w:val="004924D6"/>
    <w:rsid w:val="004C16A5"/>
    <w:rsid w:val="004D35D6"/>
    <w:rsid w:val="004E5642"/>
    <w:rsid w:val="004F7CE3"/>
    <w:rsid w:val="005101E9"/>
    <w:rsid w:val="00517D9E"/>
    <w:rsid w:val="0052500A"/>
    <w:rsid w:val="0052621E"/>
    <w:rsid w:val="0055346B"/>
    <w:rsid w:val="00563389"/>
    <w:rsid w:val="00564FCE"/>
    <w:rsid w:val="005A0A09"/>
    <w:rsid w:val="005D6363"/>
    <w:rsid w:val="005E56AF"/>
    <w:rsid w:val="006000AA"/>
    <w:rsid w:val="00601815"/>
    <w:rsid w:val="0061032C"/>
    <w:rsid w:val="00617170"/>
    <w:rsid w:val="00622DDB"/>
    <w:rsid w:val="00631A55"/>
    <w:rsid w:val="00634A51"/>
    <w:rsid w:val="00656338"/>
    <w:rsid w:val="00690B1F"/>
    <w:rsid w:val="006947EE"/>
    <w:rsid w:val="006A2DB6"/>
    <w:rsid w:val="006C063D"/>
    <w:rsid w:val="00726D39"/>
    <w:rsid w:val="00733F87"/>
    <w:rsid w:val="007579FE"/>
    <w:rsid w:val="00782E26"/>
    <w:rsid w:val="00786100"/>
    <w:rsid w:val="00793D91"/>
    <w:rsid w:val="007B24C0"/>
    <w:rsid w:val="007B7D4D"/>
    <w:rsid w:val="00825B53"/>
    <w:rsid w:val="00825CAD"/>
    <w:rsid w:val="008423BA"/>
    <w:rsid w:val="00853D2B"/>
    <w:rsid w:val="00854C92"/>
    <w:rsid w:val="00870ADC"/>
    <w:rsid w:val="0088243B"/>
    <w:rsid w:val="008B414D"/>
    <w:rsid w:val="008D0E06"/>
    <w:rsid w:val="008E1705"/>
    <w:rsid w:val="00932E24"/>
    <w:rsid w:val="00956405"/>
    <w:rsid w:val="0097086F"/>
    <w:rsid w:val="009A798D"/>
    <w:rsid w:val="009C00E2"/>
    <w:rsid w:val="009F31D0"/>
    <w:rsid w:val="00A172C7"/>
    <w:rsid w:val="00A175DB"/>
    <w:rsid w:val="00A21D75"/>
    <w:rsid w:val="00A26124"/>
    <w:rsid w:val="00A3531B"/>
    <w:rsid w:val="00A36254"/>
    <w:rsid w:val="00A36F96"/>
    <w:rsid w:val="00A4354D"/>
    <w:rsid w:val="00A4598D"/>
    <w:rsid w:val="00A55427"/>
    <w:rsid w:val="00A5624A"/>
    <w:rsid w:val="00A64C65"/>
    <w:rsid w:val="00A67764"/>
    <w:rsid w:val="00A91F2B"/>
    <w:rsid w:val="00AB44BB"/>
    <w:rsid w:val="00AC0F77"/>
    <w:rsid w:val="00AC26A5"/>
    <w:rsid w:val="00AE11CE"/>
    <w:rsid w:val="00AE30BA"/>
    <w:rsid w:val="00AE4B3C"/>
    <w:rsid w:val="00AF26A7"/>
    <w:rsid w:val="00AF3C50"/>
    <w:rsid w:val="00AF724D"/>
    <w:rsid w:val="00B07006"/>
    <w:rsid w:val="00B131A2"/>
    <w:rsid w:val="00B26293"/>
    <w:rsid w:val="00B44BE3"/>
    <w:rsid w:val="00B732F9"/>
    <w:rsid w:val="00B76F93"/>
    <w:rsid w:val="00B858DA"/>
    <w:rsid w:val="00B94F85"/>
    <w:rsid w:val="00B97287"/>
    <w:rsid w:val="00BE45FF"/>
    <w:rsid w:val="00C021D9"/>
    <w:rsid w:val="00C05BB6"/>
    <w:rsid w:val="00C07515"/>
    <w:rsid w:val="00C114E3"/>
    <w:rsid w:val="00C4417B"/>
    <w:rsid w:val="00C654B6"/>
    <w:rsid w:val="00C906AA"/>
    <w:rsid w:val="00CE70B9"/>
    <w:rsid w:val="00D1347E"/>
    <w:rsid w:val="00D335D5"/>
    <w:rsid w:val="00D37A4E"/>
    <w:rsid w:val="00D96211"/>
    <w:rsid w:val="00DB3E85"/>
    <w:rsid w:val="00DE2420"/>
    <w:rsid w:val="00DE5B3F"/>
    <w:rsid w:val="00DF011B"/>
    <w:rsid w:val="00DF4D5F"/>
    <w:rsid w:val="00DF59D1"/>
    <w:rsid w:val="00DF71A0"/>
    <w:rsid w:val="00E025C5"/>
    <w:rsid w:val="00E055C9"/>
    <w:rsid w:val="00E13D81"/>
    <w:rsid w:val="00E2774F"/>
    <w:rsid w:val="00E564A9"/>
    <w:rsid w:val="00EB6D34"/>
    <w:rsid w:val="00EC63E1"/>
    <w:rsid w:val="00ED5DBF"/>
    <w:rsid w:val="00EF232F"/>
    <w:rsid w:val="00EF2D46"/>
    <w:rsid w:val="00F0364C"/>
    <w:rsid w:val="00F138EC"/>
    <w:rsid w:val="00F15A66"/>
    <w:rsid w:val="00F2140F"/>
    <w:rsid w:val="00F269CF"/>
    <w:rsid w:val="00F52C47"/>
    <w:rsid w:val="00F53043"/>
    <w:rsid w:val="00F54788"/>
    <w:rsid w:val="00F74527"/>
    <w:rsid w:val="00FC1A65"/>
    <w:rsid w:val="00FC35FD"/>
    <w:rsid w:val="00FF16D3"/>
    <w:rsid w:val="00FF46B8"/>
    <w:rsid w:val="14F27F53"/>
    <w:rsid w:val="581AC2FF"/>
    <w:rsid w:val="5D385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72D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C0F77"/>
    <w:pPr>
      <w:keepNext/>
      <w:keepLines/>
      <w:spacing w:before="480" w:after="0"/>
      <w:outlineLvl w:val="0"/>
    </w:pPr>
    <w:rPr>
      <w:rFonts w:asciiTheme="majorHAnsi" w:hAnsiTheme="majorHAnsi" w:eastAsiaTheme="majorEastAsia" w:cstheme="majorBidi"/>
      <w:b/>
      <w:bCs/>
      <w:color w:val="365F91" w:themeColor="accent1" w:themeShade="BF"/>
      <w:sz w:val="28"/>
      <w:szCs w:val="28"/>
      <w:lang w:bidi="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EB6D34"/>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A64C65"/>
    <w:pPr>
      <w:tabs>
        <w:tab w:val="center" w:pos="4680"/>
        <w:tab w:val="right" w:pos="9360"/>
      </w:tabs>
      <w:spacing w:after="0" w:line="240" w:lineRule="auto"/>
    </w:pPr>
  </w:style>
  <w:style w:type="character" w:styleId="HeaderChar" w:customStyle="1">
    <w:name w:val="Header Char"/>
    <w:basedOn w:val="DefaultParagraphFont"/>
    <w:link w:val="Header"/>
    <w:uiPriority w:val="99"/>
    <w:rsid w:val="00A64C65"/>
  </w:style>
  <w:style w:type="paragraph" w:styleId="Footer">
    <w:name w:val="footer"/>
    <w:basedOn w:val="Normal"/>
    <w:link w:val="FooterChar"/>
    <w:uiPriority w:val="99"/>
    <w:unhideWhenUsed/>
    <w:rsid w:val="00A64C65"/>
    <w:pPr>
      <w:tabs>
        <w:tab w:val="center" w:pos="4680"/>
        <w:tab w:val="right" w:pos="9360"/>
      </w:tabs>
      <w:spacing w:after="0" w:line="240" w:lineRule="auto"/>
    </w:pPr>
  </w:style>
  <w:style w:type="character" w:styleId="FooterChar" w:customStyle="1">
    <w:name w:val="Footer Char"/>
    <w:basedOn w:val="DefaultParagraphFont"/>
    <w:link w:val="Footer"/>
    <w:uiPriority w:val="99"/>
    <w:rsid w:val="00A64C65"/>
  </w:style>
  <w:style w:type="paragraph" w:styleId="BalloonText">
    <w:name w:val="Balloon Text"/>
    <w:basedOn w:val="Normal"/>
    <w:link w:val="BalloonTextChar"/>
    <w:uiPriority w:val="99"/>
    <w:semiHidden/>
    <w:unhideWhenUsed/>
    <w:rsid w:val="00A64C65"/>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64C65"/>
    <w:rPr>
      <w:rFonts w:ascii="Tahoma" w:hAnsi="Tahoma" w:cs="Tahoma"/>
      <w:sz w:val="16"/>
      <w:szCs w:val="16"/>
    </w:rPr>
  </w:style>
  <w:style w:type="character" w:styleId="Heading1Char" w:customStyle="1">
    <w:name w:val="Heading 1 Char"/>
    <w:basedOn w:val="DefaultParagraphFont"/>
    <w:link w:val="Heading1"/>
    <w:uiPriority w:val="9"/>
    <w:rsid w:val="00AC0F77"/>
    <w:rPr>
      <w:rFonts w:asciiTheme="majorHAnsi" w:hAnsiTheme="majorHAnsi" w:eastAsiaTheme="majorEastAsia"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AC0F77"/>
  </w:style>
  <w:style w:type="character" w:styleId="words" w:customStyle="1">
    <w:name w:val="words"/>
    <w:basedOn w:val="DefaultParagraphFont"/>
    <w:rsid w:val="00853D2B"/>
  </w:style>
  <w:style w:type="character" w:styleId="ignoredpatterns" w:customStyle="1">
    <w:name w:val="ignoredpatterns"/>
    <w:basedOn w:val="DefaultParagraphFont"/>
    <w:rsid w:val="00853D2B"/>
  </w:style>
  <w:style w:type="character" w:styleId="passivevoice" w:customStyle="1">
    <w:name w:val="passivevoice"/>
    <w:basedOn w:val="DefaultParagraphFont"/>
    <w:rsid w:val="00853D2B"/>
  </w:style>
  <w:style w:type="character" w:styleId="wordchoice" w:customStyle="1">
    <w:name w:val="wordchoice"/>
    <w:basedOn w:val="DefaultParagraphFont"/>
    <w:rsid w:val="00853D2B"/>
  </w:style>
  <w:style w:type="character" w:styleId="accidentallyconfused" w:customStyle="1">
    <w:name w:val="accidentallyconfused"/>
    <w:basedOn w:val="DefaultParagraphFont"/>
    <w:rsid w:val="00853D2B"/>
  </w:style>
  <w:style w:type="character" w:styleId="wordorder" w:customStyle="1">
    <w:name w:val="wordorder"/>
    <w:basedOn w:val="DefaultParagraphFont"/>
    <w:rsid w:val="00853D2B"/>
  </w:style>
  <w:style w:type="character" w:styleId="britishvsamerican" w:customStyle="1">
    <w:name w:val="britishvsamerican"/>
    <w:basedOn w:val="DefaultParagraphFont"/>
    <w:rsid w:val="00853D2B"/>
  </w:style>
  <w:style w:type="character" w:styleId="ignoredwords" w:customStyle="1">
    <w:name w:val="ignoredwords"/>
    <w:basedOn w:val="DefaultParagraphFont"/>
    <w:rsid w:val="00152DE0"/>
  </w:style>
  <w:style w:type="character" w:styleId="colloquial" w:customStyle="1">
    <w:name w:val="colloquial"/>
    <w:basedOn w:val="DefaultParagraphFont"/>
    <w:rsid w:val="00152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glossary/document.xml" Id="Rdec9da5fd4694177" /><Relationship Type="http://schemas.openxmlformats.org/officeDocument/2006/relationships/image" Target="/media/image2.jpg" Id="Rff8a4d73ca4f4f1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51aafd4-c662-4b1c-a739-b08cea82762b}"/>
      </w:docPartPr>
      <w:docPartBody>
        <w:p w14:paraId="67CFE2F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Jon131</b:Tag>
    <b:SourceType>Book</b:SourceType>
    <b:Guid>{934E0623-D3D2-473B-A28F-CDD9074AF38F}</b:Guid>
    <b:Author>
      <b:Author>
        <b:NameList>
          <b:Person>
            <b:Last>Jones</b:Last>
            <b:First>O</b:First>
          </b:Person>
        </b:NameList>
      </b:Author>
    </b:Author>
    <b:Title>Operations and Supply Chain Management, Ed 6</b:Title>
    <b:Year>2013</b:Year>
    <b:City>Harlow</b:City>
    <b:Publisher> Pearson Education</b:Publisher>
    <b:RefOrder>2</b:RefOrder>
  </b:Source>
  <b:Source>
    <b:Tag>Bic00</b:Tag>
    <b:SourceType>Book</b:SourceType>
    <b:Guid>{C1AA6CE2-AD18-469B-94ED-9193C02ACC2D}</b:Guid>
    <b:Author>
      <b:Author>
        <b:NameList>
          <b:Person>
            <b:Last>Bicheno</b:Last>
            <b:First>J</b:First>
          </b:Person>
        </b:NameList>
      </b:Author>
    </b:Author>
    <b:Title>Cause and Effect Lean-Lean Operations, Six Sigma, And Supply Chain Essentials</b:Title>
    <b:Year>2000</b:Year>
    <b:City>Buckingham</b:City>
    <b:Publisher>Picsie Books</b:Publisher>
    <b:RefOrder>4</b:RefOrder>
  </b:Source>
  <b:Source>
    <b:Tag>Bar081</b:Tag>
    <b:SourceType>Book</b:SourceType>
    <b:Guid>{495A38C7-4FDD-46E5-8252-A9D8BAF4FB2A}</b:Guid>
    <b:Author>
      <b:Author>
        <b:NameList>
          <b:Person>
            <b:Last>Barnes</b:Last>
            <b:First>D</b:First>
          </b:Person>
        </b:NameList>
      </b:Author>
    </b:Author>
    <b:Title>Operations Management : An International Perspective</b:Title>
    <b:Year>2008</b:Year>
    <b:City>London</b:City>
    <b:Publisher>Thomson Learning</b:Publisher>
    <b:RefOrder>1</b:RefOrder>
  </b:Source>
  <b:Source>
    <b:Tag>Joh08</b:Tag>
    <b:SourceType>Book</b:SourceType>
    <b:Guid>{9D2CA472-B996-4855-AC2D-79C4D8B9D46E}</b:Guid>
    <b:Author>
      <b:Author>
        <b:NameList>
          <b:Person>
            <b:Last>Johnston</b:Last>
            <b:First>R</b:First>
          </b:Person>
          <b:Person>
            <b:Last>Clark</b:Last>
            <b:First>G</b:First>
          </b:Person>
        </b:NameList>
      </b:Author>
    </b:Author>
    <b:Title>Service Operations Management, Ed3</b:Title>
    <b:Year>2008</b:Year>
    <b:City>Harlow</b:City>
    <b:Publisher>Prentice Hall</b:Publisher>
    <b:RefOrder>3</b:RefOrder>
  </b:Source>
  <b:Source>
    <b:Tag>Sla13</b:Tag>
    <b:SourceType>Book</b:SourceType>
    <b:Guid>{8DE04E32-0E7E-40E5-8707-5C9650C02B34}</b:Guid>
    <b:Author>
      <b:Author>
        <b:NameList>
          <b:Person>
            <b:Last>Slack</b:Last>
            <b:First>Nigel</b:First>
          </b:Person>
        </b:NameList>
      </b:Author>
    </b:Author>
    <b:Title>Operations management, 7th Edition</b:Title>
    <b:Year>2013</b:Year>
    <b:City>London</b:City>
    <b:Publisher>Pearson FT Prentice Hall</b:Publisher>
    <b:RefOrder>6</b:RefOrder>
  </b:Source>
  <b:Source>
    <b:Tag>Lun13</b:Tag>
    <b:SourceType>Book</b:SourceType>
    <b:Guid>{E27878C6-C5B0-4E1F-9113-D121A5317E67}</b:Guid>
    <b:Author>
      <b:Author>
        <b:NameList>
          <b:Person>
            <b:Last>Lunuau</b:Last>
            <b:First>S</b:First>
          </b:Person>
        </b:NameList>
      </b:Author>
    </b:Author>
    <b:Title>Six Sigma and Lean Toolset Mindset for succesfully Implementation of improvement Projects. 2nd ed</b:Title>
    <b:Year>2013</b:Year>
    <b:City>London</b:City>
    <b:Publisher>Spinger</b:Publisher>
    <b:RefOrder>5</b:RefOrder>
  </b:Source>
</b:Sources>
</file>

<file path=customXml/itemProps1.xml><?xml version="1.0" encoding="utf-8"?>
<ds:datastoreItem xmlns:ds="http://schemas.openxmlformats.org/officeDocument/2006/customXml" ds:itemID="{32360285-0192-48D5-9BF9-00ED3F4EA23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Teo Catalin</lastModifiedBy>
  <revision>4</revision>
  <dcterms:created xsi:type="dcterms:W3CDTF">2024-04-13T23:08:00.0000000Z</dcterms:created>
  <dcterms:modified xsi:type="dcterms:W3CDTF">2024-05-03T17:46:41.3740834Z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8a156dacd317d0948a65d29c5326b75164bc46d51521d2d8aff74c95ac0cdd01</vt:lpwstr>
  </property>
</Properties>
</file>