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0D641A3" w14:textId="77777777" w:rsidR="00AF47FD" w:rsidRPr="00ED40AC" w:rsidRDefault="00AF47FD" w:rsidP="001B2BA9">
      <w:pPr>
        <w:spacing w:line="360" w:lineRule="auto"/>
        <w:rPr>
          <w:rFonts w:ascii="Times New Roman" w:hAnsi="Times New Roman" w:cs="Times New Roman"/>
        </w:rPr>
      </w:pPr>
      <w:r w:rsidRPr="00ED40AC">
        <w:rPr>
          <w:rFonts w:ascii="Times New Roman" w:hAnsi="Times New Roman" w:cs="Times New Roman"/>
        </w:rPr>
        <w:t>ECIE4010 Contemporary changes and making a difference</w:t>
      </w:r>
    </w:p>
    <w:p w14:paraId="36A0C303" w14:textId="1C2EC8A9" w:rsidR="00AF47FD" w:rsidRPr="00ED40AC" w:rsidRDefault="00AF47FD" w:rsidP="001B2BA9">
      <w:pPr>
        <w:spacing w:line="360" w:lineRule="auto"/>
        <w:rPr>
          <w:rFonts w:ascii="Times New Roman" w:hAnsi="Times New Roman" w:cs="Times New Roman"/>
        </w:rPr>
      </w:pPr>
      <w:r w:rsidRPr="00ED40AC">
        <w:rPr>
          <w:rFonts w:ascii="Times New Roman" w:hAnsi="Times New Roman" w:cs="Times New Roman"/>
        </w:rPr>
        <w:t xml:space="preserve">Reflection: Using Gibbs’ reflective cycle to reflect on your personal development during the process of making the group video. </w:t>
      </w:r>
    </w:p>
    <w:p w14:paraId="4C298CC1" w14:textId="77777777" w:rsidR="004324C1" w:rsidRPr="00ED40AC" w:rsidRDefault="004324C1" w:rsidP="001B2BA9">
      <w:pPr>
        <w:pStyle w:val="NormalWeb"/>
        <w:spacing w:line="360" w:lineRule="auto"/>
        <w:rPr>
          <w:color w:val="000000"/>
        </w:rPr>
      </w:pPr>
    </w:p>
    <w:p w14:paraId="69C25A42" w14:textId="77777777" w:rsidR="008B2512" w:rsidRDefault="008B2512" w:rsidP="001B2BA9">
      <w:pPr>
        <w:pStyle w:val="NormalWeb"/>
        <w:spacing w:line="360" w:lineRule="auto"/>
        <w:rPr>
          <w:color w:val="000000"/>
        </w:rPr>
      </w:pPr>
    </w:p>
    <w:p w14:paraId="7211A98E" w14:textId="49D4AE92" w:rsidR="002E0797" w:rsidRPr="001B2BA9" w:rsidRDefault="00F90329" w:rsidP="001B2BA9">
      <w:pPr>
        <w:spacing w:line="360" w:lineRule="auto"/>
        <w:jc w:val="both"/>
        <w:rPr>
          <w:rFonts w:ascii="Times New Roman" w:hAnsi="Times New Roman" w:cs="Times New Roman"/>
        </w:rPr>
      </w:pPr>
      <w:r w:rsidRPr="001B2BA9">
        <w:rPr>
          <w:rFonts w:ascii="Times New Roman" w:hAnsi="Times New Roman" w:cs="Times New Roman"/>
          <w:color w:val="000000"/>
        </w:rPr>
        <w:t xml:space="preserve">   </w:t>
      </w:r>
      <w:r w:rsidR="00757EB5" w:rsidRPr="001B2BA9">
        <w:rPr>
          <w:rFonts w:ascii="Times New Roman" w:hAnsi="Times New Roman" w:cs="Times New Roman"/>
          <w:color w:val="000000"/>
        </w:rPr>
        <w:t>This reflection uses</w:t>
      </w:r>
      <w:r w:rsidR="00757EB5" w:rsidRPr="001B2BA9">
        <w:rPr>
          <w:rStyle w:val="apple-converted-space"/>
          <w:rFonts w:ascii="Times New Roman" w:eastAsiaTheme="majorEastAsia" w:hAnsi="Times New Roman" w:cs="Times New Roman"/>
          <w:color w:val="000000"/>
        </w:rPr>
        <w:t> </w:t>
      </w:r>
      <w:r w:rsidR="00757EB5" w:rsidRPr="001B2BA9">
        <w:rPr>
          <w:rStyle w:val="Strong"/>
          <w:rFonts w:ascii="Times New Roman" w:eastAsiaTheme="majorEastAsia" w:hAnsi="Times New Roman" w:cs="Times New Roman"/>
          <w:color w:val="000000"/>
        </w:rPr>
        <w:t>Gibbs’ reflective cycle (1988)</w:t>
      </w:r>
      <w:r w:rsidR="00757EB5" w:rsidRPr="001B2BA9">
        <w:rPr>
          <w:rStyle w:val="apple-converted-space"/>
          <w:rFonts w:ascii="Times New Roman" w:eastAsiaTheme="majorEastAsia" w:hAnsi="Times New Roman" w:cs="Times New Roman"/>
          <w:color w:val="000000"/>
        </w:rPr>
        <w:t> </w:t>
      </w:r>
      <w:r w:rsidR="00757EB5" w:rsidRPr="001B2BA9">
        <w:rPr>
          <w:rFonts w:ascii="Times New Roman" w:hAnsi="Times New Roman" w:cs="Times New Roman"/>
          <w:color w:val="000000"/>
        </w:rPr>
        <w:t>to evaluate my personal development during the process of creating a group video presentation. Gibbs’ model consists of six stages: description, feelings, evaluation, analysis, conclusion, and action plan. Although this framework is typically used after an experience, I also drew on Schön’s concept of reflection “in action” and “on action,” allowing me to evaluate and adjust my contributions throughout the project</w:t>
      </w:r>
      <w:r w:rsidR="00A42B6F" w:rsidRPr="001B2BA9">
        <w:rPr>
          <w:rFonts w:ascii="Times New Roman" w:hAnsi="Times New Roman" w:cs="Times New Roman"/>
          <w:color w:val="000000"/>
        </w:rPr>
        <w:t xml:space="preserve"> continuously</w:t>
      </w:r>
      <w:r w:rsidR="00757EB5" w:rsidRPr="001B2BA9">
        <w:rPr>
          <w:rFonts w:ascii="Times New Roman" w:hAnsi="Times New Roman" w:cs="Times New Roman"/>
          <w:color w:val="000000"/>
        </w:rPr>
        <w:t>. This dual approach enhanced my understanding of the task and supported both immediate problem-solving and deeper post-task reflection. However, contrasting perspectives such as Dewey’s suggest that reflection primarily occurs after action and focuses on learning through careful consideration of evidence and outcomes.</w:t>
      </w:r>
      <w:r w:rsidR="0046386A" w:rsidRPr="001B2BA9">
        <w:rPr>
          <w:rFonts w:ascii="Times New Roman" w:hAnsi="Times New Roman" w:cs="Times New Roman"/>
          <w:color w:val="000000"/>
        </w:rPr>
        <w:t xml:space="preserve"> </w:t>
      </w:r>
      <w:r w:rsidR="00E3270E" w:rsidRPr="001B2BA9">
        <w:rPr>
          <w:rFonts w:ascii="Times New Roman" w:hAnsi="Times New Roman" w:cs="Times New Roman"/>
          <w:color w:val="000000"/>
        </w:rPr>
        <w:t>(</w:t>
      </w:r>
      <w:proofErr w:type="spellStart"/>
      <w:proofErr w:type="gramStart"/>
      <w:r w:rsidR="0046386A" w:rsidRPr="001B2BA9">
        <w:rPr>
          <w:rFonts w:ascii="Times New Roman" w:hAnsi="Times New Roman" w:cs="Times New Roman"/>
        </w:rPr>
        <w:t>My.cumbria</w:t>
      </w:r>
      <w:proofErr w:type="spellEnd"/>
      <w:proofErr w:type="gramEnd"/>
      <w:r w:rsidR="00E3270E" w:rsidRPr="001B2BA9">
        <w:rPr>
          <w:rFonts w:ascii="Times New Roman" w:hAnsi="Times New Roman" w:cs="Times New Roman"/>
        </w:rPr>
        <w:t xml:space="preserve"> 2020</w:t>
      </w:r>
      <w:proofErr w:type="gramStart"/>
      <w:r w:rsidR="00E3270E" w:rsidRPr="001B2BA9">
        <w:rPr>
          <w:rFonts w:ascii="Times New Roman" w:hAnsi="Times New Roman" w:cs="Times New Roman"/>
        </w:rPr>
        <w:t xml:space="preserve">) </w:t>
      </w:r>
      <w:r w:rsidR="002E0797" w:rsidRPr="001B2BA9">
        <w:rPr>
          <w:rFonts w:ascii="Times New Roman" w:hAnsi="Times New Roman" w:cs="Times New Roman"/>
        </w:rPr>
        <w:t xml:space="preserve"> </w:t>
      </w:r>
      <w:r w:rsidR="00E3270E" w:rsidRPr="001B2BA9">
        <w:rPr>
          <w:rFonts w:ascii="Times New Roman" w:hAnsi="Times New Roman" w:cs="Times New Roman"/>
        </w:rPr>
        <w:t>(</w:t>
      </w:r>
      <w:proofErr w:type="gramEnd"/>
      <w:r w:rsidR="002E0797" w:rsidRPr="001B2BA9">
        <w:rPr>
          <w:rFonts w:ascii="Times New Roman" w:hAnsi="Times New Roman" w:cs="Times New Roman"/>
        </w:rPr>
        <w:t xml:space="preserve">Eraut </w:t>
      </w:r>
      <w:proofErr w:type="gramStart"/>
      <w:r w:rsidR="002E0797" w:rsidRPr="001B2BA9">
        <w:rPr>
          <w:rFonts w:ascii="Times New Roman" w:hAnsi="Times New Roman" w:cs="Times New Roman"/>
        </w:rPr>
        <w:t>1995,p</w:t>
      </w:r>
      <w:proofErr w:type="gramEnd"/>
      <w:r w:rsidR="002E0797" w:rsidRPr="001B2BA9">
        <w:rPr>
          <w:rFonts w:ascii="Times New Roman" w:hAnsi="Times New Roman" w:cs="Times New Roman"/>
        </w:rPr>
        <w:t>9-12</w:t>
      </w:r>
      <w:proofErr w:type="gramStart"/>
      <w:r w:rsidR="00E3270E" w:rsidRPr="001B2BA9">
        <w:rPr>
          <w:rFonts w:ascii="Times New Roman" w:hAnsi="Times New Roman" w:cs="Times New Roman"/>
        </w:rPr>
        <w:t>)</w:t>
      </w:r>
      <w:r w:rsidR="00F220AB">
        <w:rPr>
          <w:rFonts w:ascii="Times New Roman" w:hAnsi="Times New Roman" w:cs="Times New Roman"/>
        </w:rPr>
        <w:t xml:space="preserve"> </w:t>
      </w:r>
      <w:r w:rsidR="00E3270E" w:rsidRPr="001B2BA9">
        <w:rPr>
          <w:rFonts w:ascii="Times New Roman" w:hAnsi="Times New Roman" w:cs="Times New Roman"/>
        </w:rPr>
        <w:t xml:space="preserve"> (</w:t>
      </w:r>
      <w:proofErr w:type="gramEnd"/>
      <w:r w:rsidR="00B93065" w:rsidRPr="001B2BA9">
        <w:rPr>
          <w:rFonts w:ascii="Times New Roman" w:hAnsi="Times New Roman" w:cs="Times New Roman"/>
        </w:rPr>
        <w:t>Oxford academic 2025)</w:t>
      </w:r>
    </w:p>
    <w:p w14:paraId="494E1028" w14:textId="2AA2A17A" w:rsidR="0046386A" w:rsidRDefault="0046386A" w:rsidP="001B2BA9">
      <w:pPr>
        <w:spacing w:line="360" w:lineRule="auto"/>
      </w:pPr>
    </w:p>
    <w:p w14:paraId="24395968" w14:textId="52CEA7FF" w:rsidR="00757EB5" w:rsidRDefault="00757EB5" w:rsidP="0055792F">
      <w:pPr>
        <w:pStyle w:val="NormalWeb"/>
        <w:spacing w:line="360" w:lineRule="auto"/>
        <w:jc w:val="both"/>
        <w:rPr>
          <w:color w:val="000000"/>
        </w:rPr>
      </w:pPr>
    </w:p>
    <w:p w14:paraId="4727A0CE" w14:textId="44412ABE" w:rsidR="00757EB5" w:rsidRDefault="00F90329" w:rsidP="0055792F">
      <w:pPr>
        <w:pStyle w:val="NormalWeb"/>
        <w:spacing w:line="360" w:lineRule="auto"/>
        <w:jc w:val="both"/>
        <w:rPr>
          <w:color w:val="000000"/>
        </w:rPr>
      </w:pPr>
      <w:r>
        <w:rPr>
          <w:color w:val="000000"/>
        </w:rPr>
        <w:t xml:space="preserve">   </w:t>
      </w:r>
      <w:r w:rsidR="00757EB5">
        <w:rPr>
          <w:color w:val="000000"/>
        </w:rPr>
        <w:t>The assignment required us to work collaboratively to address a “wicked problem” by producing a Pecha Kucha-style video presentation. Our group chose climate change as our focus, aiming to develop a solution within an educational context. This task required effective teamwork, communication, and time management, making it a valuable learning opportunity. Initially, I felt anxious about group work, as I consider myself an introverted individual who prefers working independently. I was concerned about whether all group members would be equally committed, meet deadlines, and contribute effectively. I was also worried about my own technological abilities, as I felt less confident in this area and feared letting the group down.</w:t>
      </w:r>
      <w:r w:rsidR="002A7D99">
        <w:rPr>
          <w:color w:val="000000"/>
        </w:rPr>
        <w:t xml:space="preserve"> </w:t>
      </w:r>
      <w:r w:rsidR="00E07109">
        <w:t xml:space="preserve">(Harvard Business School </w:t>
      </w:r>
      <w:r w:rsidR="00A320D2">
        <w:t>2026</w:t>
      </w:r>
      <w:r w:rsidR="00E07109">
        <w:t>)</w:t>
      </w:r>
    </w:p>
    <w:p w14:paraId="5650D740" w14:textId="6BCE2709" w:rsidR="00757EB5" w:rsidRDefault="00F90329" w:rsidP="0055792F">
      <w:pPr>
        <w:pStyle w:val="NormalWeb"/>
        <w:spacing w:line="360" w:lineRule="auto"/>
        <w:jc w:val="both"/>
        <w:rPr>
          <w:color w:val="000000"/>
        </w:rPr>
      </w:pPr>
      <w:r>
        <w:rPr>
          <w:color w:val="000000"/>
        </w:rPr>
        <w:t xml:space="preserve">    </w:t>
      </w:r>
      <w:r w:rsidR="00757EB5">
        <w:rPr>
          <w:color w:val="000000"/>
        </w:rPr>
        <w:t xml:space="preserve">Despite these initial concerns, my experience improved once the group was formed. I worked with two peers, referred to as Student A and Student B. We quickly established communication by creating a group chat and arranged an initial meeting. During this meeting, we selected </w:t>
      </w:r>
      <w:r w:rsidR="00757EB5">
        <w:rPr>
          <w:color w:val="000000"/>
        </w:rPr>
        <w:lastRenderedPageBreak/>
        <w:t>climate change as our topic and allocated roles. My responsibility was to present the introduction, while Student A covered the causes of climate change and Student B focused on solutions within education. This early organisation helped reduce my anxiety and gave me confidence that the group was motivated and capable.</w:t>
      </w:r>
    </w:p>
    <w:p w14:paraId="765E98F9" w14:textId="38632317" w:rsidR="00757EB5" w:rsidRDefault="00F90329" w:rsidP="0055792F">
      <w:pPr>
        <w:pStyle w:val="NormalWeb"/>
        <w:spacing w:line="360" w:lineRule="auto"/>
        <w:jc w:val="both"/>
        <w:rPr>
          <w:color w:val="000000"/>
        </w:rPr>
      </w:pPr>
      <w:r>
        <w:rPr>
          <w:color w:val="000000"/>
        </w:rPr>
        <w:t xml:space="preserve">    </w:t>
      </w:r>
      <w:r w:rsidR="00757EB5">
        <w:rPr>
          <w:color w:val="000000"/>
        </w:rPr>
        <w:t>Our approach was guided by</w:t>
      </w:r>
      <w:r w:rsidR="00757EB5">
        <w:rPr>
          <w:rStyle w:val="apple-converted-space"/>
          <w:rFonts w:eastAsiaTheme="majorEastAsia"/>
          <w:color w:val="000000"/>
        </w:rPr>
        <w:t> </w:t>
      </w:r>
      <w:r w:rsidR="00757EB5">
        <w:rPr>
          <w:rStyle w:val="Strong"/>
          <w:rFonts w:eastAsiaTheme="majorEastAsia"/>
          <w:color w:val="000000"/>
        </w:rPr>
        <w:t>design thinking</w:t>
      </w:r>
      <w:r w:rsidR="00757EB5">
        <w:rPr>
          <w:color w:val="000000"/>
        </w:rPr>
        <w:t xml:space="preserve">, a non-linear, human-centred framework for problem-solving. This model includes five stages: empathy, define, ideate, prototype, and test. </w:t>
      </w:r>
      <w:r w:rsidR="009F18A9">
        <w:rPr>
          <w:color w:val="000000"/>
        </w:rPr>
        <w:t>(</w:t>
      </w:r>
      <w:r w:rsidR="006B50B7">
        <w:rPr>
          <w:color w:val="000000"/>
        </w:rPr>
        <w:t>D</w:t>
      </w:r>
      <w:r w:rsidR="000A18AF">
        <w:rPr>
          <w:color w:val="000000"/>
        </w:rPr>
        <w:t xml:space="preserve">am 2025) </w:t>
      </w:r>
      <w:r w:rsidR="00757EB5">
        <w:rPr>
          <w:color w:val="000000"/>
        </w:rPr>
        <w:t>We began by developing empathy through engaging with lecture materials that highlighted the real-world impacts of climate change, such as flooding, melting glaciers, and effects on wildlife and future generations. This emotional engagement helped us define the problem clearly and motivated us to find meaningful solutions. During the ideation stage, each group member conducted independent research and brought ideas back to the group. This encouraged collaboration and allowed us to combine diverse perspectives. Design thinking proved particularly useful for addressing a complex issue like climate change, as it breaks the process into manageable stages and focuses on generating solutions rather than just analysing problems.</w:t>
      </w:r>
    </w:p>
    <w:p w14:paraId="3E806B71" w14:textId="6BB983E5" w:rsidR="001D4414" w:rsidRPr="003D2597" w:rsidRDefault="00F90329" w:rsidP="003D2597">
      <w:pPr>
        <w:pStyle w:val="NormalWeb"/>
        <w:spacing w:line="360" w:lineRule="auto"/>
        <w:jc w:val="both"/>
        <w:rPr>
          <w:color w:val="000000"/>
        </w:rPr>
      </w:pPr>
      <w:r>
        <w:rPr>
          <w:color w:val="000000"/>
        </w:rPr>
        <w:t xml:space="preserve">   </w:t>
      </w:r>
      <w:r w:rsidR="00757EB5">
        <w:rPr>
          <w:color w:val="000000"/>
        </w:rPr>
        <w:t>The project also aligned with broader educational and global frameworks, including the UN Sustainable Development Goal 13 (Climate Action)</w:t>
      </w:r>
      <w:r w:rsidR="00E207DF">
        <w:rPr>
          <w:color w:val="000000"/>
        </w:rPr>
        <w:t xml:space="preserve"> </w:t>
      </w:r>
      <w:r w:rsidR="008A426E">
        <w:rPr>
          <w:color w:val="000000"/>
        </w:rPr>
        <w:t xml:space="preserve">(Global goals </w:t>
      </w:r>
      <w:r w:rsidR="00B32E5B">
        <w:rPr>
          <w:color w:val="000000"/>
        </w:rPr>
        <w:t>2026)</w:t>
      </w:r>
      <w:r w:rsidR="00757EB5">
        <w:rPr>
          <w:color w:val="000000"/>
        </w:rPr>
        <w:t xml:space="preserve"> and the UK Climate Change Act 2008, </w:t>
      </w:r>
      <w:r w:rsidR="003D2597">
        <w:rPr>
          <w:color w:val="000000"/>
        </w:rPr>
        <w:t>(The</w:t>
      </w:r>
      <w:r w:rsidR="00A00549">
        <w:rPr>
          <w:color w:val="000000"/>
        </w:rPr>
        <w:t xml:space="preserve"> climate change committee 2025)</w:t>
      </w:r>
      <w:r w:rsidR="003D2597">
        <w:rPr>
          <w:color w:val="000000"/>
        </w:rPr>
        <w:t>,</w:t>
      </w:r>
      <w:r w:rsidR="00A00549">
        <w:rPr>
          <w:color w:val="000000"/>
        </w:rPr>
        <w:t xml:space="preserve"> </w:t>
      </w:r>
      <w:r w:rsidR="00757EB5">
        <w:rPr>
          <w:color w:val="000000"/>
        </w:rPr>
        <w:t>both of which emphasise the importance of education in addressing environmental challenges. Additionally, the principles of the Future Generations (Wales) Act 2015</w:t>
      </w:r>
      <w:r w:rsidR="00476DDC">
        <w:rPr>
          <w:color w:val="000000"/>
        </w:rPr>
        <w:t xml:space="preserve"> </w:t>
      </w:r>
      <w:r w:rsidR="003D2597">
        <w:rPr>
          <w:color w:val="000000"/>
        </w:rPr>
        <w:t>(U.K.</w:t>
      </w:r>
      <w:r w:rsidR="00476DDC">
        <w:rPr>
          <w:color w:val="000000"/>
        </w:rPr>
        <w:t xml:space="preserve"> Government 2015)</w:t>
      </w:r>
      <w:r w:rsidR="00757EB5">
        <w:rPr>
          <w:color w:val="000000"/>
        </w:rPr>
        <w:t xml:space="preserve"> were reflected in our work, as we considered long-term impacts and collaborative approaches to sustainability.</w:t>
      </w:r>
    </w:p>
    <w:p w14:paraId="26C474D8" w14:textId="5FA6AC02" w:rsidR="00B504B1" w:rsidRDefault="00B504B1" w:rsidP="00B504B1"/>
    <w:p w14:paraId="20F9093F" w14:textId="77777777" w:rsidR="00101C19" w:rsidRDefault="00101C19" w:rsidP="0055792F">
      <w:pPr>
        <w:pStyle w:val="NormalWeb"/>
        <w:spacing w:line="360" w:lineRule="auto"/>
        <w:jc w:val="both"/>
        <w:rPr>
          <w:color w:val="000000"/>
        </w:rPr>
      </w:pPr>
    </w:p>
    <w:p w14:paraId="254CBB37" w14:textId="04B638AF" w:rsidR="000A18AF" w:rsidRDefault="00F90329" w:rsidP="000A18AF">
      <w:pPr>
        <w:pStyle w:val="NormalWeb"/>
        <w:spacing w:line="360" w:lineRule="auto"/>
        <w:jc w:val="both"/>
        <w:rPr>
          <w:color w:val="000000"/>
        </w:rPr>
      </w:pPr>
      <w:r>
        <w:rPr>
          <w:color w:val="000000"/>
        </w:rPr>
        <w:t xml:space="preserve">    </w:t>
      </w:r>
      <w:r w:rsidR="00757EB5">
        <w:rPr>
          <w:color w:val="000000"/>
        </w:rPr>
        <w:t>Throughout the project, I observed the stages of group development outlined in Tuckman’s model: forming, storming, norming, and performing. In the forming stage, our group displayed politeness and a desire for clarity, with members seeking approval and defining roles. I experienced a mix of optimism and apprehension, unsure of expectations and my ability to meet them. During the storming stage, we worked independently on research, and although Tuckman suggests this stage may involve conflict, our group did not experience hostility. Instead, we maintained a positive and cooperative dynamic.</w:t>
      </w:r>
      <w:r w:rsidR="000A18AF" w:rsidRPr="000A18AF">
        <w:rPr>
          <w:color w:val="000000"/>
        </w:rPr>
        <w:t xml:space="preserve"> </w:t>
      </w:r>
      <w:r w:rsidR="000A18AF">
        <w:rPr>
          <w:color w:val="000000"/>
        </w:rPr>
        <w:t xml:space="preserve">(West </w:t>
      </w:r>
      <w:proofErr w:type="spellStart"/>
      <w:r w:rsidR="000A18AF">
        <w:rPr>
          <w:color w:val="000000"/>
        </w:rPr>
        <w:t>chester</w:t>
      </w:r>
      <w:proofErr w:type="spellEnd"/>
      <w:r w:rsidR="000A18AF">
        <w:rPr>
          <w:color w:val="000000"/>
        </w:rPr>
        <w:t xml:space="preserve"> university 2024)</w:t>
      </w:r>
    </w:p>
    <w:p w14:paraId="22F5AB21" w14:textId="0BB6F3DE" w:rsidR="00757EB5" w:rsidRDefault="00757EB5" w:rsidP="003D2597">
      <w:pPr>
        <w:pStyle w:val="NormalWeb"/>
        <w:spacing w:line="360" w:lineRule="auto"/>
        <w:jc w:val="both"/>
        <w:rPr>
          <w:color w:val="000000"/>
        </w:rPr>
      </w:pPr>
    </w:p>
    <w:p w14:paraId="45B2D2ED" w14:textId="524E7B22" w:rsidR="00757EB5" w:rsidRDefault="00F90329" w:rsidP="003D2597">
      <w:pPr>
        <w:pStyle w:val="NormalWeb"/>
        <w:spacing w:line="360" w:lineRule="auto"/>
        <w:jc w:val="both"/>
        <w:rPr>
          <w:color w:val="000000"/>
        </w:rPr>
      </w:pPr>
      <w:r>
        <w:rPr>
          <w:color w:val="000000"/>
        </w:rPr>
        <w:t xml:space="preserve">   </w:t>
      </w:r>
      <w:r w:rsidR="00757EB5">
        <w:rPr>
          <w:color w:val="000000"/>
        </w:rPr>
        <w:t>The norming stage occurred when we met in person at the library to combine our work. At this point, we had developed mutual respect and a shared understanding of our goals. I felt a strong sense of belonging and confidence in the group’s success. Finally, the performing stage was evident when we recorded our presentation. At this stage, the group worked effectively in a supportive and trusting environment. Leadership became more informal, with Student A taking the lead in guiding us through the technological aspects due to her strengths in this area.</w:t>
      </w:r>
    </w:p>
    <w:p w14:paraId="3B19F79D" w14:textId="5A0A0FE2" w:rsidR="00425D4F" w:rsidRDefault="00425D4F" w:rsidP="003D2597">
      <w:pPr>
        <w:pStyle w:val="NormalWeb"/>
        <w:spacing w:line="360" w:lineRule="auto"/>
        <w:jc w:val="both"/>
        <w:rPr>
          <w:color w:val="000000"/>
        </w:rPr>
      </w:pPr>
    </w:p>
    <w:p w14:paraId="7852A1F0" w14:textId="370A94F6" w:rsidR="00757EB5" w:rsidRDefault="00F90329" w:rsidP="003D2597">
      <w:pPr>
        <w:pStyle w:val="NormalWeb"/>
        <w:spacing w:line="360" w:lineRule="auto"/>
        <w:jc w:val="both"/>
        <w:rPr>
          <w:color w:val="000000"/>
        </w:rPr>
      </w:pPr>
      <w:r>
        <w:rPr>
          <w:color w:val="000000"/>
        </w:rPr>
        <w:t xml:space="preserve">   </w:t>
      </w:r>
      <w:r w:rsidR="00757EB5">
        <w:rPr>
          <w:color w:val="000000"/>
        </w:rPr>
        <w:t>In terms of evaluation, several aspects of the project went well. Our group demonstrated strong communication and organisation from the outset, which contributed to a smooth workflow. Setting clear roles and maintaining regular contact ensured that everyone understood their responsibilities. My time management was also a strength, as I began working early and was prepared for group meetings. This allowed us to provide constructive feedback to one another and improve our work collaboratively. Additionally, the supportive nature of the group helped build my confidence, particularly in areas where I felt less capable, such as technology.</w:t>
      </w:r>
    </w:p>
    <w:p w14:paraId="151B7E35" w14:textId="3BAFFF7B" w:rsidR="00757EB5" w:rsidRDefault="00F90329" w:rsidP="003D2597">
      <w:pPr>
        <w:pStyle w:val="NormalWeb"/>
        <w:spacing w:line="360" w:lineRule="auto"/>
        <w:jc w:val="both"/>
        <w:rPr>
          <w:color w:val="000000"/>
        </w:rPr>
      </w:pPr>
      <w:r>
        <w:rPr>
          <w:color w:val="000000"/>
        </w:rPr>
        <w:t xml:space="preserve">   </w:t>
      </w:r>
      <w:r w:rsidR="00757EB5">
        <w:rPr>
          <w:color w:val="000000"/>
        </w:rPr>
        <w:t xml:space="preserve">However, there were also challenges. One issue was my limited research, as I delayed accessing key resources, resulting in restricted availability of e-books. This meant my contribution was not as developed as it could have been. Another difficulty arose during the recording process in the library, where poor internet connectivity prevented us from sharing files immediately. Although this did not significantly impact the </w:t>
      </w:r>
      <w:proofErr w:type="gramStart"/>
      <w:r w:rsidR="00757EB5">
        <w:rPr>
          <w:color w:val="000000"/>
        </w:rPr>
        <w:t>final outcome</w:t>
      </w:r>
      <w:proofErr w:type="gramEnd"/>
      <w:r w:rsidR="00757EB5">
        <w:rPr>
          <w:color w:val="000000"/>
        </w:rPr>
        <w:t>, it highlighted the importance of considering practical factors such as location and resources.</w:t>
      </w:r>
    </w:p>
    <w:p w14:paraId="5AC5810F" w14:textId="1789C30A" w:rsidR="00757EB5" w:rsidRDefault="00F90329" w:rsidP="003D2597">
      <w:pPr>
        <w:pStyle w:val="NormalWeb"/>
        <w:spacing w:line="360" w:lineRule="auto"/>
        <w:jc w:val="both"/>
        <w:rPr>
          <w:color w:val="000000"/>
        </w:rPr>
      </w:pPr>
      <w:r>
        <w:rPr>
          <w:color w:val="000000"/>
        </w:rPr>
        <w:t xml:space="preserve">   </w:t>
      </w:r>
      <w:r w:rsidR="00757EB5">
        <w:rPr>
          <w:color w:val="000000"/>
        </w:rPr>
        <w:t xml:space="preserve">From an analytical perspective, the success of our group can be attributed to several factors. Firstly, our shared background as learning assistants contributed to effective communication and mutual trust. We were accustomed to working collaboratively and supporting others, which translated well into this project. Secondly, the use of design thinking provided a clear structure for tackling a complex problem, enabling us to remain focused and </w:t>
      </w:r>
      <w:proofErr w:type="gramStart"/>
      <w:r w:rsidR="00757EB5">
        <w:rPr>
          <w:color w:val="000000"/>
        </w:rPr>
        <w:t>solution-oriented</w:t>
      </w:r>
      <w:proofErr w:type="gramEnd"/>
      <w:r w:rsidR="00757EB5">
        <w:rPr>
          <w:color w:val="000000"/>
        </w:rPr>
        <w:t>. Thirdly, the group’s positive attitude and respect for individual strengths and weaknesses created a psychologically safe environment, encouraging participation and reducing anxiety.</w:t>
      </w:r>
    </w:p>
    <w:p w14:paraId="65F4F310" w14:textId="02D04419" w:rsidR="00757EB5" w:rsidRDefault="00F90329" w:rsidP="003D2597">
      <w:pPr>
        <w:pStyle w:val="NormalWeb"/>
        <w:spacing w:line="360" w:lineRule="auto"/>
        <w:jc w:val="both"/>
        <w:rPr>
          <w:color w:val="000000"/>
        </w:rPr>
      </w:pPr>
      <w:r>
        <w:rPr>
          <w:color w:val="000000"/>
        </w:rPr>
        <w:lastRenderedPageBreak/>
        <w:t xml:space="preserve">      </w:t>
      </w:r>
      <w:r w:rsidR="00757EB5">
        <w:rPr>
          <w:color w:val="000000"/>
        </w:rPr>
        <w:t>This experience also challenged my initial assumptions about group work. I learned that I am more capable of working collaboratively than I had previously believed. Engaging with others allowed me to gain new perspectives and deepen my understanding of the topic. It also demonstrated the value of combining individual strengths to achieve a common goal. Furthermore, I developed greater awareness of climate change, including its causes, impacts, and the role individuals can play in addressing it.</w:t>
      </w:r>
    </w:p>
    <w:p w14:paraId="011DAC1F" w14:textId="15CC7CE7" w:rsidR="00757EB5" w:rsidRDefault="00F90329" w:rsidP="0055792F">
      <w:pPr>
        <w:pStyle w:val="NormalWeb"/>
        <w:spacing w:line="360" w:lineRule="auto"/>
        <w:jc w:val="both"/>
        <w:rPr>
          <w:color w:val="000000"/>
        </w:rPr>
      </w:pPr>
      <w:r>
        <w:rPr>
          <w:color w:val="000000"/>
        </w:rPr>
        <w:t xml:space="preserve">     </w:t>
      </w:r>
      <w:r w:rsidR="00757EB5">
        <w:rPr>
          <w:color w:val="000000"/>
        </w:rPr>
        <w:t>In conclusion, this project was both academically and personally valuable. It enhanced my knowledge of climate change and introduced me to effective problem-solving approaches such as design thinking. More importantly, it improved my confidence in group work and highlighted my ability to contribute meaningfully in a collaborative setting. Although I initially felt anxious, the positive group dynamic and successful outcome helped me overcome these concerns.</w:t>
      </w:r>
    </w:p>
    <w:p w14:paraId="7E173C25" w14:textId="339F383A" w:rsidR="004324C1" w:rsidRDefault="00F90329" w:rsidP="0055792F">
      <w:pPr>
        <w:pStyle w:val="NormalWeb"/>
        <w:spacing w:line="360" w:lineRule="auto"/>
        <w:jc w:val="both"/>
        <w:rPr>
          <w:color w:val="000000"/>
        </w:rPr>
      </w:pPr>
      <w:r>
        <w:rPr>
          <w:color w:val="000000"/>
        </w:rPr>
        <w:t xml:space="preserve">     </w:t>
      </w:r>
      <w:r w:rsidR="00757EB5">
        <w:rPr>
          <w:color w:val="000000"/>
        </w:rPr>
        <w:t xml:space="preserve">For future practice, there are several actions I would take. Firstly, I would prioritise accessing research materials earlier to ensure a more comprehensive understanding of the topic. </w:t>
      </w:r>
      <w:r w:rsidR="004324C1">
        <w:rPr>
          <w:color w:val="000000"/>
        </w:rPr>
        <w:t>Secondly, I would consider logistical factors, such as internet access, when planning group work sessions. Thirdly, I aim to improve my technological skills, particularly in creating and sharing presentations, to increase my confidence and effectiveness in similar tasks. Finally, I intend to apply the knowledge gained about climate change to my personal life, making more environmentally conscious choices and contributing to sustainability efforts.</w:t>
      </w:r>
    </w:p>
    <w:p w14:paraId="5C6B4549" w14:textId="65E43BEB" w:rsidR="004324C1" w:rsidRDefault="00F90329" w:rsidP="0055792F">
      <w:pPr>
        <w:pStyle w:val="NormalWeb"/>
        <w:spacing w:line="360" w:lineRule="auto"/>
        <w:jc w:val="both"/>
        <w:rPr>
          <w:color w:val="000000"/>
        </w:rPr>
      </w:pPr>
      <w:r>
        <w:rPr>
          <w:color w:val="000000"/>
        </w:rPr>
        <w:t xml:space="preserve">    </w:t>
      </w:r>
      <w:r w:rsidR="004324C1">
        <w:rPr>
          <w:color w:val="000000"/>
        </w:rPr>
        <w:t>Overall, this experience demonstrated the importance of reflection, collaboration, and adaptability in learning. By engaging with both theoretical models and practical challenges, I was able to develop valuable skills and insights that will inform my future academic and professional practice</w:t>
      </w:r>
    </w:p>
    <w:p w14:paraId="6A60C5AD" w14:textId="1A4DE64D" w:rsidR="00757EB5" w:rsidRDefault="00757EB5" w:rsidP="0055792F">
      <w:pPr>
        <w:pStyle w:val="NormalWeb"/>
        <w:spacing w:line="360" w:lineRule="auto"/>
        <w:jc w:val="both"/>
        <w:rPr>
          <w:color w:val="000000"/>
        </w:rPr>
      </w:pPr>
    </w:p>
    <w:p w14:paraId="2D90AC89" w14:textId="77777777" w:rsidR="00757EB5" w:rsidRDefault="00757EB5" w:rsidP="0055792F">
      <w:pPr>
        <w:spacing w:line="360" w:lineRule="auto"/>
        <w:jc w:val="both"/>
      </w:pPr>
    </w:p>
    <w:p w14:paraId="58C379EB" w14:textId="77777777" w:rsidR="000F6D3A" w:rsidRDefault="000F6D3A" w:rsidP="0055792F">
      <w:pPr>
        <w:spacing w:line="360" w:lineRule="auto"/>
        <w:jc w:val="both"/>
      </w:pPr>
    </w:p>
    <w:p w14:paraId="698398E5" w14:textId="77777777" w:rsidR="000F6D3A" w:rsidRDefault="000F6D3A" w:rsidP="0055792F">
      <w:pPr>
        <w:spacing w:line="360" w:lineRule="auto"/>
        <w:jc w:val="both"/>
      </w:pPr>
    </w:p>
    <w:p w14:paraId="67642A4E" w14:textId="77777777" w:rsidR="000F6D3A" w:rsidRDefault="000F6D3A" w:rsidP="0055792F">
      <w:pPr>
        <w:spacing w:line="360" w:lineRule="auto"/>
        <w:jc w:val="both"/>
      </w:pPr>
    </w:p>
    <w:p w14:paraId="0E7CA7E2" w14:textId="77CCFE83" w:rsidR="000F6D3A" w:rsidRDefault="000F6D3A" w:rsidP="0055792F">
      <w:pPr>
        <w:spacing w:line="360" w:lineRule="auto"/>
        <w:jc w:val="both"/>
      </w:pPr>
    </w:p>
    <w:p w14:paraId="7CBC3585" w14:textId="77777777" w:rsidR="00903B8B" w:rsidRPr="00903B8B" w:rsidRDefault="00903B8B" w:rsidP="00903B8B">
      <w:pPr>
        <w:spacing w:after="240" w:line="240" w:lineRule="auto"/>
        <w:outlineLvl w:val="0"/>
        <w:rPr>
          <w:rFonts w:ascii="Times New Roman" w:eastAsia="Times New Roman" w:hAnsi="Times New Roman" w:cs="Times New Roman"/>
          <w:b/>
          <w:bCs/>
          <w:color w:val="000000"/>
          <w:kern w:val="36"/>
          <w:sz w:val="36"/>
          <w:szCs w:val="36"/>
          <w:lang w:eastAsia="en-GB"/>
          <w14:ligatures w14:val="none"/>
        </w:rPr>
      </w:pPr>
      <w:r w:rsidRPr="00903B8B">
        <w:rPr>
          <w:rFonts w:ascii="Times New Roman" w:eastAsia="Times New Roman" w:hAnsi="Times New Roman" w:cs="Times New Roman"/>
          <w:b/>
          <w:bCs/>
          <w:color w:val="000000"/>
          <w:kern w:val="36"/>
          <w:sz w:val="36"/>
          <w:szCs w:val="36"/>
          <w:lang w:eastAsia="en-GB"/>
          <w14:ligatures w14:val="none"/>
        </w:rPr>
        <w:t>Reference list</w:t>
      </w:r>
    </w:p>
    <w:p w14:paraId="5B5E22EE" w14:textId="77777777" w:rsidR="00903B8B" w:rsidRPr="00903B8B" w:rsidRDefault="00903B8B" w:rsidP="00903B8B">
      <w:pPr>
        <w:spacing w:after="240" w:line="240" w:lineRule="auto"/>
        <w:rPr>
          <w:rFonts w:ascii="Times New Roman" w:eastAsia="Times New Roman" w:hAnsi="Times New Roman" w:cs="Times New Roman"/>
          <w:color w:val="000000"/>
          <w:kern w:val="0"/>
          <w:lang w:eastAsia="en-GB"/>
          <w14:ligatures w14:val="none"/>
        </w:rPr>
      </w:pPr>
      <w:r w:rsidRPr="00903B8B">
        <w:rPr>
          <w:rFonts w:ascii="Times New Roman" w:eastAsia="Times New Roman" w:hAnsi="Times New Roman" w:cs="Times New Roman"/>
          <w:color w:val="000000"/>
          <w:kern w:val="0"/>
          <w:lang w:eastAsia="en-GB"/>
          <w14:ligatures w14:val="none"/>
        </w:rPr>
        <w:t>Climate change committee (2025). </w:t>
      </w:r>
      <w:r w:rsidRPr="00903B8B">
        <w:rPr>
          <w:rFonts w:ascii="Times New Roman" w:eastAsia="Times New Roman" w:hAnsi="Times New Roman" w:cs="Times New Roman"/>
          <w:i/>
          <w:iCs/>
          <w:color w:val="000000"/>
          <w:kern w:val="0"/>
          <w:lang w:eastAsia="en-GB"/>
          <w14:ligatures w14:val="none"/>
        </w:rPr>
        <w:t>Climate Change Committee</w:t>
      </w:r>
      <w:r w:rsidRPr="00903B8B">
        <w:rPr>
          <w:rFonts w:ascii="Times New Roman" w:eastAsia="Times New Roman" w:hAnsi="Times New Roman" w:cs="Times New Roman"/>
          <w:color w:val="000000"/>
          <w:kern w:val="0"/>
          <w:lang w:eastAsia="en-GB"/>
          <w14:ligatures w14:val="none"/>
        </w:rPr>
        <w:t>. [online] Climate Change Committee. Available at: https://www.theccc.org.uk [Accessed 8 Apr. 2026].</w:t>
      </w:r>
    </w:p>
    <w:p w14:paraId="456EE8CA" w14:textId="77777777" w:rsidR="00903B8B" w:rsidRPr="00903B8B" w:rsidRDefault="00903B8B" w:rsidP="00903B8B">
      <w:pPr>
        <w:spacing w:after="240" w:line="240" w:lineRule="auto"/>
        <w:rPr>
          <w:rFonts w:ascii="Times New Roman" w:eastAsia="Times New Roman" w:hAnsi="Times New Roman" w:cs="Times New Roman"/>
          <w:color w:val="000000"/>
          <w:kern w:val="0"/>
          <w:lang w:eastAsia="en-GB"/>
          <w14:ligatures w14:val="none"/>
        </w:rPr>
      </w:pPr>
      <w:proofErr w:type="spellStart"/>
      <w:r w:rsidRPr="00903B8B">
        <w:rPr>
          <w:rFonts w:ascii="Times New Roman" w:eastAsia="Times New Roman" w:hAnsi="Times New Roman" w:cs="Times New Roman"/>
          <w:color w:val="000000"/>
          <w:kern w:val="0"/>
          <w:lang w:eastAsia="en-GB"/>
          <w14:ligatures w14:val="none"/>
        </w:rPr>
        <w:t>Devet</w:t>
      </w:r>
      <w:proofErr w:type="spellEnd"/>
      <w:r w:rsidRPr="00903B8B">
        <w:rPr>
          <w:rFonts w:ascii="Times New Roman" w:eastAsia="Times New Roman" w:hAnsi="Times New Roman" w:cs="Times New Roman"/>
          <w:color w:val="000000"/>
          <w:kern w:val="0"/>
          <w:lang w:eastAsia="en-GB"/>
          <w14:ligatures w14:val="none"/>
        </w:rPr>
        <w:t xml:space="preserve">, B. (2020). Gibbs reflective cycle for writing </w:t>
      </w:r>
      <w:proofErr w:type="spellStart"/>
      <w:r w:rsidRPr="00903B8B">
        <w:rPr>
          <w:rFonts w:ascii="Times New Roman" w:eastAsia="Times New Roman" w:hAnsi="Times New Roman" w:cs="Times New Roman"/>
          <w:color w:val="000000"/>
          <w:kern w:val="0"/>
          <w:lang w:eastAsia="en-GB"/>
          <w14:ligatures w14:val="none"/>
        </w:rPr>
        <w:t>center</w:t>
      </w:r>
      <w:proofErr w:type="spellEnd"/>
      <w:r w:rsidRPr="00903B8B">
        <w:rPr>
          <w:rFonts w:ascii="Times New Roman" w:eastAsia="Times New Roman" w:hAnsi="Times New Roman" w:cs="Times New Roman"/>
          <w:color w:val="000000"/>
          <w:kern w:val="0"/>
          <w:lang w:eastAsia="en-GB"/>
          <w14:ligatures w14:val="none"/>
        </w:rPr>
        <w:t xml:space="preserve"> training. </w:t>
      </w:r>
      <w:r w:rsidRPr="00903B8B">
        <w:rPr>
          <w:rFonts w:ascii="Times New Roman" w:eastAsia="Times New Roman" w:hAnsi="Times New Roman" w:cs="Times New Roman"/>
          <w:i/>
          <w:iCs/>
          <w:color w:val="000000"/>
          <w:kern w:val="0"/>
          <w:lang w:eastAsia="en-GB"/>
          <w14:ligatures w14:val="none"/>
        </w:rPr>
        <w:t xml:space="preserve">Gibbs’ Reflective Cycle for Writing </w:t>
      </w:r>
      <w:proofErr w:type="spellStart"/>
      <w:r w:rsidRPr="00903B8B">
        <w:rPr>
          <w:rFonts w:ascii="Times New Roman" w:eastAsia="Times New Roman" w:hAnsi="Times New Roman" w:cs="Times New Roman"/>
          <w:i/>
          <w:iCs/>
          <w:color w:val="000000"/>
          <w:kern w:val="0"/>
          <w:lang w:eastAsia="en-GB"/>
          <w14:ligatures w14:val="none"/>
        </w:rPr>
        <w:t>Center</w:t>
      </w:r>
      <w:proofErr w:type="spellEnd"/>
      <w:r w:rsidRPr="00903B8B">
        <w:rPr>
          <w:rFonts w:ascii="Times New Roman" w:eastAsia="Times New Roman" w:hAnsi="Times New Roman" w:cs="Times New Roman"/>
          <w:i/>
          <w:iCs/>
          <w:color w:val="000000"/>
          <w:kern w:val="0"/>
          <w:lang w:eastAsia="en-GB"/>
          <w14:ligatures w14:val="none"/>
        </w:rPr>
        <w:t xml:space="preserve"> Training</w:t>
      </w:r>
      <w:r w:rsidRPr="00903B8B">
        <w:rPr>
          <w:rFonts w:ascii="Times New Roman" w:eastAsia="Times New Roman" w:hAnsi="Times New Roman" w:cs="Times New Roman"/>
          <w:color w:val="000000"/>
          <w:kern w:val="0"/>
          <w:lang w:eastAsia="en-GB"/>
          <w14:ligatures w14:val="none"/>
        </w:rPr>
        <w:t xml:space="preserve">, 44(9), pp.18–25. </w:t>
      </w:r>
      <w:proofErr w:type="spellStart"/>
      <w:proofErr w:type="gramStart"/>
      <w:r w:rsidRPr="00903B8B">
        <w:rPr>
          <w:rFonts w:ascii="Times New Roman" w:eastAsia="Times New Roman" w:hAnsi="Times New Roman" w:cs="Times New Roman"/>
          <w:color w:val="000000"/>
          <w:kern w:val="0"/>
          <w:lang w:eastAsia="en-GB"/>
          <w14:ligatures w14:val="none"/>
        </w:rPr>
        <w:t>doi:https</w:t>
      </w:r>
      <w:proofErr w:type="spellEnd"/>
      <w:r w:rsidRPr="00903B8B">
        <w:rPr>
          <w:rFonts w:ascii="Times New Roman" w:eastAsia="Times New Roman" w:hAnsi="Times New Roman" w:cs="Times New Roman"/>
          <w:color w:val="000000"/>
          <w:kern w:val="0"/>
          <w:lang w:eastAsia="en-GB"/>
          <w14:ligatures w14:val="none"/>
        </w:rPr>
        <w:t>://doi.org/10.37514/wln-j.2020.44.9.04</w:t>
      </w:r>
      <w:proofErr w:type="gramEnd"/>
      <w:r w:rsidRPr="00903B8B">
        <w:rPr>
          <w:rFonts w:ascii="Times New Roman" w:eastAsia="Times New Roman" w:hAnsi="Times New Roman" w:cs="Times New Roman"/>
          <w:color w:val="000000"/>
          <w:kern w:val="0"/>
          <w:lang w:eastAsia="en-GB"/>
          <w14:ligatures w14:val="none"/>
        </w:rPr>
        <w:t>.</w:t>
      </w:r>
    </w:p>
    <w:p w14:paraId="4AE56F8A" w14:textId="77777777" w:rsidR="00903B8B" w:rsidRPr="00903B8B" w:rsidRDefault="00903B8B" w:rsidP="00903B8B">
      <w:pPr>
        <w:spacing w:after="240" w:line="240" w:lineRule="auto"/>
        <w:rPr>
          <w:rFonts w:ascii="Times New Roman" w:eastAsia="Times New Roman" w:hAnsi="Times New Roman" w:cs="Times New Roman"/>
          <w:color w:val="000000"/>
          <w:kern w:val="0"/>
          <w:lang w:eastAsia="en-GB"/>
          <w14:ligatures w14:val="none"/>
        </w:rPr>
      </w:pPr>
      <w:r w:rsidRPr="00903B8B">
        <w:rPr>
          <w:rFonts w:ascii="Times New Roman" w:eastAsia="Times New Roman" w:hAnsi="Times New Roman" w:cs="Times New Roman"/>
          <w:color w:val="000000"/>
          <w:kern w:val="0"/>
          <w:lang w:eastAsia="en-GB"/>
          <w14:ligatures w14:val="none"/>
        </w:rPr>
        <w:t>GOV.UK (2014). </w:t>
      </w:r>
      <w:r w:rsidRPr="00903B8B">
        <w:rPr>
          <w:rFonts w:ascii="Times New Roman" w:eastAsia="Times New Roman" w:hAnsi="Times New Roman" w:cs="Times New Roman"/>
          <w:i/>
          <w:iCs/>
          <w:color w:val="000000"/>
          <w:kern w:val="0"/>
          <w:lang w:eastAsia="en-GB"/>
          <w14:ligatures w14:val="none"/>
        </w:rPr>
        <w:t>Climate change</w:t>
      </w:r>
      <w:r w:rsidRPr="00903B8B">
        <w:rPr>
          <w:rFonts w:ascii="Times New Roman" w:eastAsia="Times New Roman" w:hAnsi="Times New Roman" w:cs="Times New Roman"/>
          <w:color w:val="000000"/>
          <w:kern w:val="0"/>
          <w:lang w:eastAsia="en-GB"/>
          <w14:ligatures w14:val="none"/>
        </w:rPr>
        <w:t>. [online] https://www.gov.uk. Available at: https://www.gov.uk [Accessed 7 Apr. 2026].</w:t>
      </w:r>
    </w:p>
    <w:p w14:paraId="5EF4D906" w14:textId="77777777" w:rsidR="00903B8B" w:rsidRPr="00903B8B" w:rsidRDefault="00903B8B" w:rsidP="00903B8B">
      <w:pPr>
        <w:spacing w:after="240" w:line="240" w:lineRule="auto"/>
        <w:rPr>
          <w:rFonts w:ascii="Times New Roman" w:eastAsia="Times New Roman" w:hAnsi="Times New Roman" w:cs="Times New Roman"/>
          <w:color w:val="000000"/>
          <w:kern w:val="0"/>
          <w:lang w:eastAsia="en-GB"/>
          <w14:ligatures w14:val="none"/>
        </w:rPr>
      </w:pPr>
      <w:r w:rsidRPr="00903B8B">
        <w:rPr>
          <w:rFonts w:ascii="Times New Roman" w:eastAsia="Times New Roman" w:hAnsi="Times New Roman" w:cs="Times New Roman"/>
          <w:color w:val="000000"/>
          <w:kern w:val="0"/>
          <w:lang w:eastAsia="en-GB"/>
          <w14:ligatures w14:val="none"/>
        </w:rPr>
        <w:t>Han, E. (2022). </w:t>
      </w:r>
      <w:r w:rsidRPr="00903B8B">
        <w:rPr>
          <w:rFonts w:ascii="Times New Roman" w:eastAsia="Times New Roman" w:hAnsi="Times New Roman" w:cs="Times New Roman"/>
          <w:i/>
          <w:iCs/>
          <w:color w:val="000000"/>
          <w:kern w:val="0"/>
          <w:lang w:eastAsia="en-GB"/>
          <w14:ligatures w14:val="none"/>
        </w:rPr>
        <w:t xml:space="preserve">What is </w:t>
      </w:r>
      <w:proofErr w:type="spellStart"/>
      <w:r w:rsidRPr="00903B8B">
        <w:rPr>
          <w:rFonts w:ascii="Times New Roman" w:eastAsia="Times New Roman" w:hAnsi="Times New Roman" w:cs="Times New Roman"/>
          <w:i/>
          <w:iCs/>
          <w:color w:val="000000"/>
          <w:kern w:val="0"/>
          <w:lang w:eastAsia="en-GB"/>
          <w14:ligatures w14:val="none"/>
        </w:rPr>
        <w:t>Desin</w:t>
      </w:r>
      <w:proofErr w:type="spellEnd"/>
      <w:r w:rsidRPr="00903B8B">
        <w:rPr>
          <w:rFonts w:ascii="Times New Roman" w:eastAsia="Times New Roman" w:hAnsi="Times New Roman" w:cs="Times New Roman"/>
          <w:i/>
          <w:iCs/>
          <w:color w:val="000000"/>
          <w:kern w:val="0"/>
          <w:lang w:eastAsia="en-GB"/>
          <w14:ligatures w14:val="none"/>
        </w:rPr>
        <w:t xml:space="preserve"> thinking and why is it important?</w:t>
      </w:r>
      <w:r w:rsidRPr="00903B8B">
        <w:rPr>
          <w:rFonts w:ascii="Times New Roman" w:eastAsia="Times New Roman" w:hAnsi="Times New Roman" w:cs="Times New Roman"/>
          <w:color w:val="000000"/>
          <w:kern w:val="0"/>
          <w:lang w:eastAsia="en-GB"/>
          <w14:ligatures w14:val="none"/>
        </w:rPr>
        <w:t> [online] https://online.hbs.edu. Available at: https://online.hbs.edu [Accessed 8 Apr. 26AD].</w:t>
      </w:r>
    </w:p>
    <w:p w14:paraId="7236977D" w14:textId="77777777" w:rsidR="00903B8B" w:rsidRPr="00903B8B" w:rsidRDefault="00903B8B" w:rsidP="00903B8B">
      <w:pPr>
        <w:spacing w:after="240" w:line="240" w:lineRule="auto"/>
        <w:rPr>
          <w:rFonts w:ascii="Times New Roman" w:eastAsia="Times New Roman" w:hAnsi="Times New Roman" w:cs="Times New Roman"/>
          <w:color w:val="000000"/>
          <w:kern w:val="0"/>
          <w:lang w:eastAsia="en-GB"/>
          <w14:ligatures w14:val="none"/>
        </w:rPr>
      </w:pPr>
      <w:proofErr w:type="spellStart"/>
      <w:r w:rsidRPr="00903B8B">
        <w:rPr>
          <w:rFonts w:ascii="Times New Roman" w:eastAsia="Times New Roman" w:hAnsi="Times New Roman" w:cs="Times New Roman"/>
          <w:color w:val="000000"/>
          <w:kern w:val="0"/>
          <w:lang w:eastAsia="en-GB"/>
          <w14:ligatures w14:val="none"/>
        </w:rPr>
        <w:t>IxDF</w:t>
      </w:r>
      <w:proofErr w:type="spellEnd"/>
      <w:r w:rsidRPr="00903B8B">
        <w:rPr>
          <w:rFonts w:ascii="Times New Roman" w:eastAsia="Times New Roman" w:hAnsi="Times New Roman" w:cs="Times New Roman"/>
          <w:color w:val="000000"/>
          <w:kern w:val="0"/>
          <w:lang w:eastAsia="en-GB"/>
          <w14:ligatures w14:val="none"/>
        </w:rPr>
        <w:t xml:space="preserve"> (2002). </w:t>
      </w:r>
      <w:r w:rsidRPr="00903B8B">
        <w:rPr>
          <w:rFonts w:ascii="Times New Roman" w:eastAsia="Times New Roman" w:hAnsi="Times New Roman" w:cs="Times New Roman"/>
          <w:i/>
          <w:iCs/>
          <w:color w:val="000000"/>
          <w:kern w:val="0"/>
          <w:lang w:eastAsia="en-GB"/>
          <w14:ligatures w14:val="none"/>
        </w:rPr>
        <w:t>Design thinking</w:t>
      </w:r>
      <w:r w:rsidRPr="00903B8B">
        <w:rPr>
          <w:rFonts w:ascii="Times New Roman" w:eastAsia="Times New Roman" w:hAnsi="Times New Roman" w:cs="Times New Roman"/>
          <w:color w:val="000000"/>
          <w:kern w:val="0"/>
          <w:lang w:eastAsia="en-GB"/>
          <w14:ligatures w14:val="none"/>
        </w:rPr>
        <w:t>. [online] http://ixdf.org. Available at: http://ixdf.org [Accessed 7 Apr. 2026].</w:t>
      </w:r>
    </w:p>
    <w:p w14:paraId="335E8E39" w14:textId="77777777" w:rsidR="00903B8B" w:rsidRPr="00903B8B" w:rsidRDefault="00903B8B" w:rsidP="00903B8B">
      <w:pPr>
        <w:spacing w:after="240" w:line="240" w:lineRule="auto"/>
        <w:rPr>
          <w:rFonts w:ascii="Times New Roman" w:eastAsia="Times New Roman" w:hAnsi="Times New Roman" w:cs="Times New Roman"/>
          <w:color w:val="000000"/>
          <w:kern w:val="0"/>
          <w:lang w:eastAsia="en-GB"/>
          <w14:ligatures w14:val="none"/>
        </w:rPr>
      </w:pPr>
      <w:r w:rsidRPr="00903B8B">
        <w:rPr>
          <w:rFonts w:ascii="Times New Roman" w:eastAsia="Times New Roman" w:hAnsi="Times New Roman" w:cs="Times New Roman"/>
          <w:color w:val="000000"/>
          <w:kern w:val="0"/>
          <w:lang w:eastAsia="en-GB"/>
          <w14:ligatures w14:val="none"/>
        </w:rPr>
        <w:t>Schulz, T. (2025). </w:t>
      </w:r>
      <w:r w:rsidRPr="00903B8B">
        <w:rPr>
          <w:rFonts w:ascii="Times New Roman" w:eastAsia="Times New Roman" w:hAnsi="Times New Roman" w:cs="Times New Roman"/>
          <w:i/>
          <w:iCs/>
          <w:color w:val="000000"/>
          <w:kern w:val="0"/>
          <w:lang w:eastAsia="en-GB"/>
          <w14:ligatures w14:val="none"/>
        </w:rPr>
        <w:t>Concept of reflection in the work of John Dewy -Journal Philosophy of education</w:t>
      </w:r>
      <w:r w:rsidRPr="00903B8B">
        <w:rPr>
          <w:rFonts w:ascii="Times New Roman" w:eastAsia="Times New Roman" w:hAnsi="Times New Roman" w:cs="Times New Roman"/>
          <w:color w:val="000000"/>
          <w:kern w:val="0"/>
          <w:lang w:eastAsia="en-GB"/>
          <w14:ligatures w14:val="none"/>
        </w:rPr>
        <w:t>. [online] Oxford Academic. Available at: https://academic.oup.com [Accessed 8 Apr. 2026].</w:t>
      </w:r>
    </w:p>
    <w:p w14:paraId="4D82E544" w14:textId="77777777" w:rsidR="00903B8B" w:rsidRPr="00903B8B" w:rsidRDefault="00903B8B" w:rsidP="00903B8B">
      <w:pPr>
        <w:spacing w:after="240" w:line="240" w:lineRule="auto"/>
        <w:rPr>
          <w:rFonts w:ascii="Times New Roman" w:eastAsia="Times New Roman" w:hAnsi="Times New Roman" w:cs="Times New Roman"/>
          <w:color w:val="000000"/>
          <w:kern w:val="0"/>
          <w:lang w:eastAsia="en-GB"/>
          <w14:ligatures w14:val="none"/>
        </w:rPr>
      </w:pPr>
      <w:r w:rsidRPr="00903B8B">
        <w:rPr>
          <w:rFonts w:ascii="Times New Roman" w:eastAsia="Times New Roman" w:hAnsi="Times New Roman" w:cs="Times New Roman"/>
          <w:color w:val="000000"/>
          <w:kern w:val="0"/>
          <w:lang w:eastAsia="en-GB"/>
          <w14:ligatures w14:val="none"/>
        </w:rPr>
        <w:t>The Global goals (2026). </w:t>
      </w:r>
      <w:r w:rsidRPr="00903B8B">
        <w:rPr>
          <w:rFonts w:ascii="Times New Roman" w:eastAsia="Times New Roman" w:hAnsi="Times New Roman" w:cs="Times New Roman"/>
          <w:i/>
          <w:iCs/>
          <w:color w:val="000000"/>
          <w:kern w:val="0"/>
          <w:lang w:eastAsia="en-GB"/>
          <w14:ligatures w14:val="none"/>
        </w:rPr>
        <w:t xml:space="preserve">Goal </w:t>
      </w:r>
      <w:proofErr w:type="gramStart"/>
      <w:r w:rsidRPr="00903B8B">
        <w:rPr>
          <w:rFonts w:ascii="Times New Roman" w:eastAsia="Times New Roman" w:hAnsi="Times New Roman" w:cs="Times New Roman"/>
          <w:i/>
          <w:iCs/>
          <w:color w:val="000000"/>
          <w:kern w:val="0"/>
          <w:lang w:eastAsia="en-GB"/>
          <w14:ligatures w14:val="none"/>
        </w:rPr>
        <w:t>13:Climate</w:t>
      </w:r>
      <w:proofErr w:type="gramEnd"/>
      <w:r w:rsidRPr="00903B8B">
        <w:rPr>
          <w:rFonts w:ascii="Times New Roman" w:eastAsia="Times New Roman" w:hAnsi="Times New Roman" w:cs="Times New Roman"/>
          <w:i/>
          <w:iCs/>
          <w:color w:val="000000"/>
          <w:kern w:val="0"/>
          <w:lang w:eastAsia="en-GB"/>
          <w14:ligatures w14:val="none"/>
        </w:rPr>
        <w:t xml:space="preserve"> action</w:t>
      </w:r>
      <w:r w:rsidRPr="00903B8B">
        <w:rPr>
          <w:rFonts w:ascii="Times New Roman" w:eastAsia="Times New Roman" w:hAnsi="Times New Roman" w:cs="Times New Roman"/>
          <w:color w:val="000000"/>
          <w:kern w:val="0"/>
          <w:lang w:eastAsia="en-GB"/>
          <w14:ligatures w14:val="none"/>
        </w:rPr>
        <w:t>. [online] The Global goals. Available at: https://globalgoals.org [Accessed 8 Apr. 2026].</w:t>
      </w:r>
    </w:p>
    <w:p w14:paraId="31A24343" w14:textId="77777777" w:rsidR="00903B8B" w:rsidRPr="00903B8B" w:rsidRDefault="00903B8B" w:rsidP="00903B8B">
      <w:pPr>
        <w:spacing w:after="240" w:line="240" w:lineRule="auto"/>
        <w:rPr>
          <w:rFonts w:ascii="Times New Roman" w:eastAsia="Times New Roman" w:hAnsi="Times New Roman" w:cs="Times New Roman"/>
          <w:color w:val="000000"/>
          <w:kern w:val="0"/>
          <w:lang w:eastAsia="en-GB"/>
          <w14:ligatures w14:val="none"/>
        </w:rPr>
      </w:pPr>
      <w:r w:rsidRPr="00903B8B">
        <w:rPr>
          <w:rFonts w:ascii="Times New Roman" w:eastAsia="Times New Roman" w:hAnsi="Times New Roman" w:cs="Times New Roman"/>
          <w:color w:val="000000"/>
          <w:kern w:val="0"/>
          <w:lang w:eastAsia="en-GB"/>
          <w14:ligatures w14:val="none"/>
        </w:rPr>
        <w:t>University of Cumbria (2026). </w:t>
      </w:r>
      <w:r w:rsidRPr="00903B8B">
        <w:rPr>
          <w:rFonts w:ascii="Times New Roman" w:eastAsia="Times New Roman" w:hAnsi="Times New Roman" w:cs="Times New Roman"/>
          <w:i/>
          <w:iCs/>
          <w:color w:val="000000"/>
          <w:kern w:val="0"/>
          <w:lang w:eastAsia="en-GB"/>
          <w14:ligatures w14:val="none"/>
        </w:rPr>
        <w:t>Environmental science and sustainability</w:t>
      </w:r>
      <w:r w:rsidRPr="00903B8B">
        <w:rPr>
          <w:rFonts w:ascii="Times New Roman" w:eastAsia="Times New Roman" w:hAnsi="Times New Roman" w:cs="Times New Roman"/>
          <w:color w:val="000000"/>
          <w:kern w:val="0"/>
          <w:lang w:eastAsia="en-GB"/>
          <w14:ligatures w14:val="none"/>
        </w:rPr>
        <w:t>. [online] https://mycumbria.ac.uk. Available at: https://mycumbria.ac.uk [Accessed 8 Apr. 2026].</w:t>
      </w:r>
    </w:p>
    <w:p w14:paraId="38FB27D9" w14:textId="77777777" w:rsidR="00903B8B" w:rsidRPr="00903B8B" w:rsidRDefault="00903B8B" w:rsidP="00903B8B">
      <w:pPr>
        <w:spacing w:after="240" w:line="240" w:lineRule="auto"/>
        <w:rPr>
          <w:rFonts w:ascii="Times New Roman" w:eastAsia="Times New Roman" w:hAnsi="Times New Roman" w:cs="Times New Roman"/>
          <w:color w:val="000000"/>
          <w:kern w:val="0"/>
          <w:lang w:eastAsia="en-GB"/>
          <w14:ligatures w14:val="none"/>
        </w:rPr>
      </w:pPr>
      <w:r w:rsidRPr="00903B8B">
        <w:rPr>
          <w:rFonts w:ascii="Times New Roman" w:eastAsia="Times New Roman" w:hAnsi="Times New Roman" w:cs="Times New Roman"/>
          <w:color w:val="000000"/>
          <w:kern w:val="0"/>
          <w:lang w:eastAsia="en-GB"/>
          <w14:ligatures w14:val="none"/>
        </w:rPr>
        <w:t>West Chester University (2024). </w:t>
      </w:r>
      <w:proofErr w:type="spellStart"/>
      <w:r w:rsidRPr="00903B8B">
        <w:rPr>
          <w:rFonts w:ascii="Times New Roman" w:eastAsia="Times New Roman" w:hAnsi="Times New Roman" w:cs="Times New Roman"/>
          <w:i/>
          <w:iCs/>
          <w:color w:val="000000"/>
          <w:kern w:val="0"/>
          <w:lang w:eastAsia="en-GB"/>
          <w14:ligatures w14:val="none"/>
        </w:rPr>
        <w:t>Tuckmans</w:t>
      </w:r>
      <w:proofErr w:type="spellEnd"/>
      <w:r w:rsidRPr="00903B8B">
        <w:rPr>
          <w:rFonts w:ascii="Times New Roman" w:eastAsia="Times New Roman" w:hAnsi="Times New Roman" w:cs="Times New Roman"/>
          <w:i/>
          <w:iCs/>
          <w:color w:val="000000"/>
          <w:kern w:val="0"/>
          <w:lang w:eastAsia="en-GB"/>
          <w14:ligatures w14:val="none"/>
        </w:rPr>
        <w:t xml:space="preserve"> stages of group development</w:t>
      </w:r>
      <w:r w:rsidRPr="00903B8B">
        <w:rPr>
          <w:rFonts w:ascii="Times New Roman" w:eastAsia="Times New Roman" w:hAnsi="Times New Roman" w:cs="Times New Roman"/>
          <w:color w:val="000000"/>
          <w:kern w:val="0"/>
          <w:lang w:eastAsia="en-GB"/>
          <w14:ligatures w14:val="none"/>
        </w:rPr>
        <w:t xml:space="preserve">. [online] </w:t>
      </w:r>
      <w:proofErr w:type="spellStart"/>
      <w:r w:rsidRPr="00903B8B">
        <w:rPr>
          <w:rFonts w:ascii="Times New Roman" w:eastAsia="Times New Roman" w:hAnsi="Times New Roman" w:cs="Times New Roman"/>
          <w:color w:val="000000"/>
          <w:kern w:val="0"/>
          <w:lang w:eastAsia="en-GB"/>
          <w14:ligatures w14:val="none"/>
        </w:rPr>
        <w:t>Tuckmans</w:t>
      </w:r>
      <w:proofErr w:type="spellEnd"/>
      <w:r w:rsidRPr="00903B8B">
        <w:rPr>
          <w:rFonts w:ascii="Times New Roman" w:eastAsia="Times New Roman" w:hAnsi="Times New Roman" w:cs="Times New Roman"/>
          <w:color w:val="000000"/>
          <w:kern w:val="0"/>
          <w:lang w:eastAsia="en-GB"/>
          <w14:ligatures w14:val="none"/>
        </w:rPr>
        <w:t xml:space="preserve"> stages of group development. Available at: https//wcupa.edu [Accessed 6 Apr. 2026].</w:t>
      </w:r>
    </w:p>
    <w:p w14:paraId="67E866F7" w14:textId="77777777" w:rsidR="000F6D3A" w:rsidRDefault="000F6D3A" w:rsidP="0055792F">
      <w:pPr>
        <w:spacing w:line="360" w:lineRule="auto"/>
        <w:jc w:val="both"/>
      </w:pPr>
    </w:p>
    <w:p w14:paraId="29D363AC" w14:textId="77777777" w:rsidR="000F6D3A" w:rsidRDefault="000F6D3A" w:rsidP="0055792F">
      <w:pPr>
        <w:spacing w:line="360" w:lineRule="auto"/>
        <w:jc w:val="both"/>
      </w:pPr>
    </w:p>
    <w:p w14:paraId="767B6DA2" w14:textId="77777777" w:rsidR="000F6D3A" w:rsidRDefault="000F6D3A" w:rsidP="0055792F">
      <w:pPr>
        <w:spacing w:line="360" w:lineRule="auto"/>
        <w:jc w:val="both"/>
      </w:pPr>
    </w:p>
    <w:p w14:paraId="79404DEF" w14:textId="77777777" w:rsidR="000F6D3A" w:rsidRDefault="000F6D3A" w:rsidP="0055792F">
      <w:pPr>
        <w:spacing w:line="360" w:lineRule="auto"/>
        <w:jc w:val="both"/>
      </w:pPr>
    </w:p>
    <w:sectPr w:rsidR="000F6D3A">
      <w:footerReference w:type="even" r:id="rId6"/>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6E5F4A6" w14:textId="77777777" w:rsidR="00773F86" w:rsidRDefault="00773F86" w:rsidP="0055792F">
      <w:pPr>
        <w:spacing w:after="0" w:line="240" w:lineRule="auto"/>
      </w:pPr>
      <w:r>
        <w:separator/>
      </w:r>
    </w:p>
  </w:endnote>
  <w:endnote w:type="continuationSeparator" w:id="0">
    <w:p w14:paraId="5A420393" w14:textId="77777777" w:rsidR="00773F86" w:rsidRDefault="00773F86" w:rsidP="0055792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2062589230"/>
      <w:docPartObj>
        <w:docPartGallery w:val="Page Numbers (Bottom of Page)"/>
        <w:docPartUnique/>
      </w:docPartObj>
    </w:sdtPr>
    <w:sdtEndPr>
      <w:rPr>
        <w:rStyle w:val="PageNumber"/>
      </w:rPr>
    </w:sdtEndPr>
    <w:sdtContent>
      <w:p w14:paraId="5F049EB3" w14:textId="42291787" w:rsidR="0055792F" w:rsidRDefault="0055792F" w:rsidP="00915BE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7742F6D7" w14:textId="77777777" w:rsidR="0055792F" w:rsidRDefault="0055792F" w:rsidP="0055792F">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691884528"/>
      <w:docPartObj>
        <w:docPartGallery w:val="Page Numbers (Bottom of Page)"/>
        <w:docPartUnique/>
      </w:docPartObj>
    </w:sdtPr>
    <w:sdtEndPr>
      <w:rPr>
        <w:rStyle w:val="PageNumber"/>
      </w:rPr>
    </w:sdtEndPr>
    <w:sdtContent>
      <w:p w14:paraId="30234A6E" w14:textId="0D79C104" w:rsidR="0055792F" w:rsidRDefault="0055792F" w:rsidP="00915BE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9EB3A2A" w14:textId="77777777" w:rsidR="0055792F" w:rsidRDefault="0055792F" w:rsidP="0055792F">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52C1829" w14:textId="77777777" w:rsidR="00773F86" w:rsidRDefault="00773F86" w:rsidP="0055792F">
      <w:pPr>
        <w:spacing w:after="0" w:line="240" w:lineRule="auto"/>
      </w:pPr>
      <w:r>
        <w:separator/>
      </w:r>
    </w:p>
  </w:footnote>
  <w:footnote w:type="continuationSeparator" w:id="0">
    <w:p w14:paraId="7881974F" w14:textId="77777777" w:rsidR="00773F86" w:rsidRDefault="00773F86" w:rsidP="0055792F">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57EB5"/>
    <w:rsid w:val="00040928"/>
    <w:rsid w:val="000A18AF"/>
    <w:rsid w:val="000F6D3A"/>
    <w:rsid w:val="00101C19"/>
    <w:rsid w:val="001774F0"/>
    <w:rsid w:val="001B2BA9"/>
    <w:rsid w:val="001D4414"/>
    <w:rsid w:val="0028093A"/>
    <w:rsid w:val="00292938"/>
    <w:rsid w:val="002A7D99"/>
    <w:rsid w:val="002C7003"/>
    <w:rsid w:val="002E0797"/>
    <w:rsid w:val="003257F4"/>
    <w:rsid w:val="003447E4"/>
    <w:rsid w:val="003B3581"/>
    <w:rsid w:val="003D2597"/>
    <w:rsid w:val="00425D4F"/>
    <w:rsid w:val="004324C1"/>
    <w:rsid w:val="0046386A"/>
    <w:rsid w:val="00464D81"/>
    <w:rsid w:val="00464ED8"/>
    <w:rsid w:val="00476DDC"/>
    <w:rsid w:val="004C7C9F"/>
    <w:rsid w:val="0055792F"/>
    <w:rsid w:val="005E37AF"/>
    <w:rsid w:val="00680CFF"/>
    <w:rsid w:val="006B50B7"/>
    <w:rsid w:val="006C62B3"/>
    <w:rsid w:val="00757EB5"/>
    <w:rsid w:val="00773F86"/>
    <w:rsid w:val="00861BFD"/>
    <w:rsid w:val="008A426E"/>
    <w:rsid w:val="008B2512"/>
    <w:rsid w:val="008B3313"/>
    <w:rsid w:val="00903B8B"/>
    <w:rsid w:val="009F18A9"/>
    <w:rsid w:val="00A00549"/>
    <w:rsid w:val="00A029FE"/>
    <w:rsid w:val="00A20A27"/>
    <w:rsid w:val="00A320D2"/>
    <w:rsid w:val="00A42B6F"/>
    <w:rsid w:val="00AF47FD"/>
    <w:rsid w:val="00B32E5B"/>
    <w:rsid w:val="00B504B1"/>
    <w:rsid w:val="00B80EFA"/>
    <w:rsid w:val="00B93065"/>
    <w:rsid w:val="00CF3179"/>
    <w:rsid w:val="00D7292F"/>
    <w:rsid w:val="00E07109"/>
    <w:rsid w:val="00E207DF"/>
    <w:rsid w:val="00E3270E"/>
    <w:rsid w:val="00ED40AC"/>
    <w:rsid w:val="00F220AB"/>
    <w:rsid w:val="00F641E9"/>
    <w:rsid w:val="00F70A80"/>
    <w:rsid w:val="00F90329"/>
    <w:rsid w:val="00FD1F8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171F884"/>
  <w15:chartTrackingRefBased/>
  <w15:docId w15:val="{0EFD185C-F730-4247-A1E3-2AE5C103FB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57EB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57EB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57EB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57EB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57EB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57EB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57EB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57EB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57EB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57EB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57EB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57EB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57EB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57EB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57EB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57EB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57EB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57EB5"/>
    <w:rPr>
      <w:rFonts w:eastAsiaTheme="majorEastAsia" w:cstheme="majorBidi"/>
      <w:color w:val="272727" w:themeColor="text1" w:themeTint="D8"/>
    </w:rPr>
  </w:style>
  <w:style w:type="paragraph" w:styleId="Title">
    <w:name w:val="Title"/>
    <w:basedOn w:val="Normal"/>
    <w:next w:val="Normal"/>
    <w:link w:val="TitleChar"/>
    <w:uiPriority w:val="10"/>
    <w:qFormat/>
    <w:rsid w:val="00757EB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57EB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57EB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57EB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57EB5"/>
    <w:pPr>
      <w:spacing w:before="160"/>
      <w:jc w:val="center"/>
    </w:pPr>
    <w:rPr>
      <w:i/>
      <w:iCs/>
      <w:color w:val="404040" w:themeColor="text1" w:themeTint="BF"/>
    </w:rPr>
  </w:style>
  <w:style w:type="character" w:customStyle="1" w:styleId="QuoteChar">
    <w:name w:val="Quote Char"/>
    <w:basedOn w:val="DefaultParagraphFont"/>
    <w:link w:val="Quote"/>
    <w:uiPriority w:val="29"/>
    <w:rsid w:val="00757EB5"/>
    <w:rPr>
      <w:i/>
      <w:iCs/>
      <w:color w:val="404040" w:themeColor="text1" w:themeTint="BF"/>
    </w:rPr>
  </w:style>
  <w:style w:type="paragraph" w:styleId="ListParagraph">
    <w:name w:val="List Paragraph"/>
    <w:basedOn w:val="Normal"/>
    <w:uiPriority w:val="34"/>
    <w:qFormat/>
    <w:rsid w:val="00757EB5"/>
    <w:pPr>
      <w:ind w:left="720"/>
      <w:contextualSpacing/>
    </w:pPr>
  </w:style>
  <w:style w:type="character" w:styleId="IntenseEmphasis">
    <w:name w:val="Intense Emphasis"/>
    <w:basedOn w:val="DefaultParagraphFont"/>
    <w:uiPriority w:val="21"/>
    <w:qFormat/>
    <w:rsid w:val="00757EB5"/>
    <w:rPr>
      <w:i/>
      <w:iCs/>
      <w:color w:val="0F4761" w:themeColor="accent1" w:themeShade="BF"/>
    </w:rPr>
  </w:style>
  <w:style w:type="paragraph" w:styleId="IntenseQuote">
    <w:name w:val="Intense Quote"/>
    <w:basedOn w:val="Normal"/>
    <w:next w:val="Normal"/>
    <w:link w:val="IntenseQuoteChar"/>
    <w:uiPriority w:val="30"/>
    <w:qFormat/>
    <w:rsid w:val="00757EB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57EB5"/>
    <w:rPr>
      <w:i/>
      <w:iCs/>
      <w:color w:val="0F4761" w:themeColor="accent1" w:themeShade="BF"/>
    </w:rPr>
  </w:style>
  <w:style w:type="character" w:styleId="IntenseReference">
    <w:name w:val="Intense Reference"/>
    <w:basedOn w:val="DefaultParagraphFont"/>
    <w:uiPriority w:val="32"/>
    <w:qFormat/>
    <w:rsid w:val="00757EB5"/>
    <w:rPr>
      <w:b/>
      <w:bCs/>
      <w:smallCaps/>
      <w:color w:val="0F4761" w:themeColor="accent1" w:themeShade="BF"/>
      <w:spacing w:val="5"/>
    </w:rPr>
  </w:style>
  <w:style w:type="paragraph" w:styleId="NormalWeb">
    <w:name w:val="Normal (Web)"/>
    <w:basedOn w:val="Normal"/>
    <w:uiPriority w:val="99"/>
    <w:unhideWhenUsed/>
    <w:rsid w:val="00757EB5"/>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apple-converted-space">
    <w:name w:val="apple-converted-space"/>
    <w:basedOn w:val="DefaultParagraphFont"/>
    <w:rsid w:val="00757EB5"/>
  </w:style>
  <w:style w:type="character" w:styleId="Strong">
    <w:name w:val="Strong"/>
    <w:basedOn w:val="DefaultParagraphFont"/>
    <w:uiPriority w:val="22"/>
    <w:qFormat/>
    <w:rsid w:val="00757EB5"/>
    <w:rPr>
      <w:b/>
      <w:bCs/>
    </w:rPr>
  </w:style>
  <w:style w:type="paragraph" w:styleId="Footer">
    <w:name w:val="footer"/>
    <w:basedOn w:val="Normal"/>
    <w:link w:val="FooterChar"/>
    <w:uiPriority w:val="99"/>
    <w:unhideWhenUsed/>
    <w:rsid w:val="0055792F"/>
    <w:pPr>
      <w:tabs>
        <w:tab w:val="center" w:pos="4513"/>
        <w:tab w:val="right" w:pos="9026"/>
      </w:tabs>
      <w:spacing w:after="0" w:line="240" w:lineRule="auto"/>
    </w:pPr>
  </w:style>
  <w:style w:type="character" w:customStyle="1" w:styleId="FooterChar">
    <w:name w:val="Footer Char"/>
    <w:basedOn w:val="DefaultParagraphFont"/>
    <w:link w:val="Footer"/>
    <w:uiPriority w:val="99"/>
    <w:rsid w:val="0055792F"/>
  </w:style>
  <w:style w:type="character" w:styleId="PageNumber">
    <w:name w:val="page number"/>
    <w:basedOn w:val="DefaultParagraphFont"/>
    <w:uiPriority w:val="99"/>
    <w:semiHidden/>
    <w:unhideWhenUsed/>
    <w:rsid w:val="0055792F"/>
  </w:style>
  <w:style w:type="character" w:styleId="Hyperlink">
    <w:name w:val="Hyperlink"/>
    <w:basedOn w:val="DefaultParagraphFont"/>
    <w:uiPriority w:val="99"/>
    <w:unhideWhenUsed/>
    <w:rsid w:val="002A7D99"/>
    <w:rPr>
      <w:color w:val="467886" w:themeColor="hyperlink"/>
      <w:u w:val="single"/>
    </w:rPr>
  </w:style>
  <w:style w:type="character" w:styleId="UnresolvedMention">
    <w:name w:val="Unresolved Mention"/>
    <w:basedOn w:val="DefaultParagraphFont"/>
    <w:uiPriority w:val="99"/>
    <w:semiHidden/>
    <w:unhideWhenUsed/>
    <w:rsid w:val="001D4414"/>
    <w:rPr>
      <w:color w:val="605E5C"/>
      <w:shd w:val="clear" w:color="auto" w:fill="E1DFDD"/>
    </w:rPr>
  </w:style>
  <w:style w:type="character" w:styleId="FollowedHyperlink">
    <w:name w:val="FollowedHyperlink"/>
    <w:basedOn w:val="DefaultParagraphFont"/>
    <w:uiPriority w:val="99"/>
    <w:semiHidden/>
    <w:unhideWhenUsed/>
    <w:rsid w:val="0028093A"/>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2.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2</TotalTime>
  <Pages>5</Pages>
  <Words>1491</Words>
  <Characters>8757</Characters>
  <Application>Microsoft Office Word</Application>
  <DocSecurity>0</DocSecurity>
  <Lines>123</Lines>
  <Paragraphs>22</Paragraphs>
  <ScaleCrop>false</ScaleCrop>
  <Company/>
  <LinksUpToDate>false</LinksUpToDate>
  <CharactersWithSpaces>10226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Rebekah Walters</dc:creator>
  <cp:keywords/>
  <dc:description/>
  <cp:lastModifiedBy>Rebekah Walters</cp:lastModifiedBy>
  <cp:revision>2</cp:revision>
  <dcterms:created xsi:type="dcterms:W3CDTF">2026-04-12T16:36:00Z</dcterms:created>
  <dcterms:modified xsi:type="dcterms:W3CDTF">2026-04-12T16:36:00Z</dcterms:modified>
</cp:coreProperties>
</file>