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580C61" w14:textId="4A609BF7" w:rsidR="00D95691" w:rsidRPr="00AA6AD9" w:rsidRDefault="00AA6AD9" w:rsidP="00A2059B">
      <w:pPr>
        <w:spacing w:line="360" w:lineRule="auto"/>
        <w:jc w:val="center"/>
        <w:rPr>
          <w:rFonts w:ascii="Aparajita" w:hAnsi="Aparajita" w:cs="Aparajita"/>
          <w:b/>
          <w:bCs/>
          <w:sz w:val="36"/>
          <w:szCs w:val="36"/>
          <w:u w:val="single"/>
        </w:rPr>
      </w:pPr>
      <w:r w:rsidRPr="00AA6AD9">
        <w:rPr>
          <w:rFonts w:ascii="Aparajita" w:hAnsi="Aparajita" w:cs="Aparajita"/>
          <w:b/>
          <w:bCs/>
          <w:sz w:val="36"/>
          <w:szCs w:val="36"/>
          <w:u w:val="single"/>
        </w:rPr>
        <w:t>Proximal Hamstring Avulsion</w:t>
      </w:r>
    </w:p>
    <w:p w14:paraId="048F2931" w14:textId="77777777" w:rsidR="00C94012" w:rsidRPr="00A2059B" w:rsidRDefault="00C94012" w:rsidP="00A2059B">
      <w:pPr>
        <w:pStyle w:val="NormalWeb"/>
        <w:spacing w:before="0" w:beforeAutospacing="0" w:after="0" w:afterAutospacing="0" w:line="360" w:lineRule="auto"/>
        <w:rPr>
          <w:color w:val="0E101A"/>
          <w:sz w:val="26"/>
          <w:szCs w:val="26"/>
          <w:u w:val="single"/>
        </w:rPr>
      </w:pPr>
      <w:r w:rsidRPr="00A2059B">
        <w:rPr>
          <w:rStyle w:val="Strong"/>
          <w:color w:val="0E101A"/>
          <w:sz w:val="26"/>
          <w:szCs w:val="26"/>
          <w:u w:val="single"/>
        </w:rPr>
        <w:t>Introduction</w:t>
      </w:r>
    </w:p>
    <w:p w14:paraId="032BE75D" w14:textId="77777777" w:rsidR="00C94012" w:rsidRPr="00A2059B" w:rsidRDefault="00C94012" w:rsidP="00A2059B">
      <w:pPr>
        <w:pStyle w:val="NormalWeb"/>
        <w:spacing w:before="0" w:beforeAutospacing="0" w:after="0" w:afterAutospacing="0" w:line="360" w:lineRule="auto"/>
        <w:rPr>
          <w:color w:val="0E101A"/>
          <w:sz w:val="26"/>
          <w:szCs w:val="26"/>
        </w:rPr>
      </w:pPr>
      <w:r w:rsidRPr="00A2059B">
        <w:rPr>
          <w:color w:val="0E101A"/>
          <w:sz w:val="26"/>
          <w:szCs w:val="26"/>
        </w:rPr>
        <w:t>The hamstring is commonly referred to as a group rather than separate muscles. The bicep femoris, semitendinosus, and semimembranosus are the three muscles that make up the hamstring (</w:t>
      </w:r>
      <w:proofErr w:type="spellStart"/>
      <w:r w:rsidRPr="00A2059B">
        <w:rPr>
          <w:color w:val="0E101A"/>
          <w:sz w:val="26"/>
          <w:szCs w:val="26"/>
        </w:rPr>
        <w:t>Sarimo</w:t>
      </w:r>
      <w:proofErr w:type="spellEnd"/>
      <w:r w:rsidRPr="00A2059B">
        <w:rPr>
          <w:color w:val="0E101A"/>
          <w:sz w:val="26"/>
          <w:szCs w:val="26"/>
        </w:rPr>
        <w:t xml:space="preserve"> et al., 2008). The hamstring is a commonly injured muscle in sports ranging from sprains to ruptures and other injuries. A complete Proximal Hamstring avulsion is one of the most severe hamstring injuries, however, it is very uncommon (</w:t>
      </w:r>
      <w:proofErr w:type="spellStart"/>
      <w:r w:rsidRPr="00A2059B">
        <w:rPr>
          <w:color w:val="0E101A"/>
          <w:sz w:val="26"/>
          <w:szCs w:val="26"/>
        </w:rPr>
        <w:t>Bertiche</w:t>
      </w:r>
      <w:proofErr w:type="spellEnd"/>
      <w:r w:rsidRPr="00A2059B">
        <w:rPr>
          <w:color w:val="0E101A"/>
          <w:sz w:val="26"/>
          <w:szCs w:val="26"/>
        </w:rPr>
        <w:t xml:space="preserve"> et al., 2021). The hamstring is linked to tendons which further attach the muscle to bone, in this case to the ischial tuberosity. For this injury to occur the tendons will have detached from the bone, negatively impacting the hamstrings’ function.</w:t>
      </w:r>
    </w:p>
    <w:p w14:paraId="45C4F83A" w14:textId="77777777" w:rsidR="00C94012" w:rsidRPr="00A2059B" w:rsidRDefault="00C94012" w:rsidP="00A2059B">
      <w:pPr>
        <w:pStyle w:val="NormalWeb"/>
        <w:spacing w:before="0" w:beforeAutospacing="0" w:after="0" w:afterAutospacing="0" w:line="360" w:lineRule="auto"/>
        <w:rPr>
          <w:color w:val="0E101A"/>
          <w:sz w:val="26"/>
          <w:szCs w:val="26"/>
        </w:rPr>
      </w:pPr>
    </w:p>
    <w:p w14:paraId="465794DB" w14:textId="77777777" w:rsidR="00C94012" w:rsidRPr="00A2059B" w:rsidRDefault="00C94012" w:rsidP="00A2059B">
      <w:pPr>
        <w:pStyle w:val="NormalWeb"/>
        <w:spacing w:before="0" w:beforeAutospacing="0" w:after="0" w:afterAutospacing="0" w:line="360" w:lineRule="auto"/>
        <w:rPr>
          <w:color w:val="0E101A"/>
          <w:sz w:val="26"/>
          <w:szCs w:val="26"/>
          <w:u w:val="single"/>
        </w:rPr>
      </w:pPr>
      <w:r w:rsidRPr="00A2059B">
        <w:rPr>
          <w:rStyle w:val="Strong"/>
          <w:color w:val="0E101A"/>
          <w:sz w:val="26"/>
          <w:szCs w:val="26"/>
          <w:u w:val="single"/>
        </w:rPr>
        <w:t>Subjective Signposts</w:t>
      </w:r>
    </w:p>
    <w:p w14:paraId="28F666A3" w14:textId="77777777" w:rsidR="00C94012" w:rsidRPr="00A2059B" w:rsidRDefault="00C94012" w:rsidP="00A2059B">
      <w:pPr>
        <w:pStyle w:val="NormalWeb"/>
        <w:spacing w:before="0" w:beforeAutospacing="0" w:after="0" w:afterAutospacing="0" w:line="360" w:lineRule="auto"/>
        <w:rPr>
          <w:color w:val="0E101A"/>
          <w:sz w:val="26"/>
          <w:szCs w:val="26"/>
        </w:rPr>
      </w:pPr>
      <w:r w:rsidRPr="00A2059B">
        <w:rPr>
          <w:color w:val="0E101A"/>
          <w:sz w:val="26"/>
          <w:szCs w:val="26"/>
        </w:rPr>
        <w:t>When a proximal hamstring avulsion occurs, the most common mechanism is when there is sudden knee extension along with unanticipated forced hip flexion, where the muscle eccentrically contracts. Eccentric contraction is where the muscle lengthens. This injury can occur during the early stance phase of the gait cycle, which starts when the foot first touches the floor and ends when the same foot leaves the floor (Pasic, Griffin, and Degen, 2019). Also, when the terminal swing phase takes place, where in the end the positioning of the foot is in preparation for the beginning of a new gait cycle. At the end of the swing phase, there is an increase in muscle tension (Liu et al., 2012). As these two phases occur, the hamstring contracts to take the knee into extension and cause extension at the hip. This type of hamstring injury can occur in several sports, for example, running, rugby, football, gymnastics, and water sports. A proximal hamstring avulsion can even be caused by a simple slip or fall (Pasic, Griffin, and Degen, 2019).</w:t>
      </w:r>
    </w:p>
    <w:p w14:paraId="2156D968" w14:textId="77777777" w:rsidR="00C94012" w:rsidRPr="00A2059B" w:rsidRDefault="00C94012" w:rsidP="00A2059B">
      <w:pPr>
        <w:pStyle w:val="NormalWeb"/>
        <w:spacing w:before="0" w:beforeAutospacing="0" w:after="0" w:afterAutospacing="0" w:line="360" w:lineRule="auto"/>
        <w:rPr>
          <w:color w:val="0E101A"/>
          <w:sz w:val="26"/>
          <w:szCs w:val="26"/>
        </w:rPr>
      </w:pPr>
    </w:p>
    <w:p w14:paraId="0FCC33DD" w14:textId="1A6FEBCF" w:rsidR="00C94012" w:rsidRPr="00A2059B" w:rsidRDefault="00C94012" w:rsidP="00A2059B">
      <w:pPr>
        <w:pStyle w:val="NormalWeb"/>
        <w:spacing w:before="0" w:beforeAutospacing="0" w:after="0" w:afterAutospacing="0" w:line="360" w:lineRule="auto"/>
        <w:rPr>
          <w:color w:val="0E101A"/>
          <w:sz w:val="26"/>
          <w:szCs w:val="26"/>
        </w:rPr>
      </w:pPr>
      <w:r w:rsidRPr="00A2059B">
        <w:rPr>
          <w:color w:val="0E101A"/>
          <w:sz w:val="26"/>
          <w:szCs w:val="26"/>
        </w:rPr>
        <w:t xml:space="preserve">Athletes that have suffered from a proximal hamstring avulsion will experience a high level of pain. Robinson and </w:t>
      </w:r>
      <w:proofErr w:type="spellStart"/>
      <w:r w:rsidRPr="00A2059B">
        <w:rPr>
          <w:color w:val="0E101A"/>
          <w:sz w:val="26"/>
          <w:szCs w:val="26"/>
        </w:rPr>
        <w:t>Mclnnis</w:t>
      </w:r>
      <w:proofErr w:type="spellEnd"/>
      <w:r w:rsidRPr="00A2059B">
        <w:rPr>
          <w:color w:val="0E101A"/>
          <w:sz w:val="26"/>
          <w:szCs w:val="26"/>
        </w:rPr>
        <w:t xml:space="preserve"> (2021) stated that the quality of pain is </w:t>
      </w:r>
      <w:proofErr w:type="gramStart"/>
      <w:r w:rsidRPr="00A2059B">
        <w:rPr>
          <w:color w:val="0E101A"/>
          <w:sz w:val="26"/>
          <w:szCs w:val="26"/>
        </w:rPr>
        <w:t>similar to</w:t>
      </w:r>
      <w:proofErr w:type="gramEnd"/>
      <w:r w:rsidRPr="00A2059B">
        <w:rPr>
          <w:color w:val="0E101A"/>
          <w:sz w:val="26"/>
          <w:szCs w:val="26"/>
        </w:rPr>
        <w:t xml:space="preserve"> a feeling of pressure. It feels like a burning sensation. Many that have had this injury, </w:t>
      </w:r>
      <w:r w:rsidRPr="00A2059B">
        <w:rPr>
          <w:color w:val="0E101A"/>
          <w:sz w:val="26"/>
          <w:szCs w:val="26"/>
        </w:rPr>
        <w:lastRenderedPageBreak/>
        <w:t>have recalled a catching and popping sensation. The location of this sensation was the proximal aspect of the thigh. It has been reported that pain and discomfort have been located at the proximal end of the hamstring, just below the glutes (Bow</w:t>
      </w:r>
      <w:r w:rsidR="004E0C1D" w:rsidRPr="00A2059B">
        <w:rPr>
          <w:color w:val="0E101A"/>
          <w:sz w:val="26"/>
          <w:szCs w:val="26"/>
        </w:rPr>
        <w:t>ma</w:t>
      </w:r>
      <w:r w:rsidRPr="00A2059B">
        <w:rPr>
          <w:color w:val="0E101A"/>
          <w:sz w:val="26"/>
          <w:szCs w:val="26"/>
        </w:rPr>
        <w:t xml:space="preserve">n, Cowen, and Bradley, 2013). Pain and soreness can last anywhere from two days up to a month, closer to a month if it is a complete avulsion. Near both the knee and proximal thigh is where bruising has usually reported according to </w:t>
      </w:r>
      <w:proofErr w:type="spellStart"/>
      <w:r w:rsidRPr="00A2059B">
        <w:rPr>
          <w:color w:val="0E101A"/>
          <w:sz w:val="26"/>
          <w:szCs w:val="26"/>
        </w:rPr>
        <w:t>Bertiche</w:t>
      </w:r>
      <w:proofErr w:type="spellEnd"/>
      <w:r w:rsidRPr="00A2059B">
        <w:rPr>
          <w:color w:val="0E101A"/>
          <w:sz w:val="26"/>
          <w:szCs w:val="26"/>
        </w:rPr>
        <w:t xml:space="preserve"> et al, (2021). Some bruising may be seen around the ankle area, but this is uncommon. It is believed by </w:t>
      </w:r>
      <w:proofErr w:type="spellStart"/>
      <w:r w:rsidRPr="00A2059B">
        <w:rPr>
          <w:color w:val="0E101A"/>
          <w:sz w:val="26"/>
          <w:szCs w:val="26"/>
        </w:rPr>
        <w:t>Bertiche</w:t>
      </w:r>
      <w:proofErr w:type="spellEnd"/>
      <w:r w:rsidRPr="00A2059B">
        <w:rPr>
          <w:color w:val="0E101A"/>
          <w:sz w:val="26"/>
          <w:szCs w:val="26"/>
        </w:rPr>
        <w:t xml:space="preserve"> et al, (2021) that if bruising is appearing around the ankle it can lead to a misdiagnosis.</w:t>
      </w:r>
    </w:p>
    <w:p w14:paraId="5B8FA504" w14:textId="77777777" w:rsidR="00C94012" w:rsidRPr="00A2059B" w:rsidRDefault="00C94012" w:rsidP="00A2059B">
      <w:pPr>
        <w:pStyle w:val="NormalWeb"/>
        <w:spacing w:before="0" w:beforeAutospacing="0" w:after="0" w:afterAutospacing="0" w:line="360" w:lineRule="auto"/>
        <w:rPr>
          <w:color w:val="0E101A"/>
          <w:sz w:val="26"/>
          <w:szCs w:val="26"/>
        </w:rPr>
      </w:pPr>
    </w:p>
    <w:p w14:paraId="27EE650D" w14:textId="77777777" w:rsidR="00C94012" w:rsidRPr="00A2059B" w:rsidRDefault="00C94012" w:rsidP="00A2059B">
      <w:pPr>
        <w:pStyle w:val="NormalWeb"/>
        <w:spacing w:before="0" w:beforeAutospacing="0" w:after="0" w:afterAutospacing="0" w:line="360" w:lineRule="auto"/>
        <w:rPr>
          <w:color w:val="0E101A"/>
          <w:sz w:val="26"/>
          <w:szCs w:val="26"/>
        </w:rPr>
      </w:pPr>
      <w:r w:rsidRPr="00A2059B">
        <w:rPr>
          <w:color w:val="0E101A"/>
          <w:sz w:val="26"/>
          <w:szCs w:val="26"/>
        </w:rPr>
        <w:t xml:space="preserve">A commonly noted aggravating factor of this injury is being seated for a long period (Kurosawa et al., 1996). In accordance with </w:t>
      </w:r>
      <w:proofErr w:type="spellStart"/>
      <w:r w:rsidRPr="00A2059B">
        <w:rPr>
          <w:color w:val="0E101A"/>
          <w:sz w:val="26"/>
          <w:szCs w:val="26"/>
        </w:rPr>
        <w:t>Sarimo</w:t>
      </w:r>
      <w:proofErr w:type="spellEnd"/>
      <w:r w:rsidRPr="00A2059B">
        <w:rPr>
          <w:color w:val="0E101A"/>
          <w:sz w:val="26"/>
          <w:szCs w:val="26"/>
        </w:rPr>
        <w:t xml:space="preserve"> et al, (2008), sitting was reported to aggravate the pain in the posterior thigh. The area just below the glute would also be irritated by sitting. Another factor that would provoke pain and irritation would be eccentrically lengthening the hamstring. Easing factors for the injury include rest, ice, elevation of the affected limb, and avoiding too much harsh palpation and pressure on the area.</w:t>
      </w:r>
    </w:p>
    <w:p w14:paraId="2581F957" w14:textId="77777777" w:rsidR="00595CC4" w:rsidRPr="00A2059B" w:rsidRDefault="00595CC4" w:rsidP="00A2059B">
      <w:pPr>
        <w:pStyle w:val="NormalWeb"/>
        <w:spacing w:before="0" w:beforeAutospacing="0" w:after="0" w:afterAutospacing="0" w:line="360" w:lineRule="auto"/>
        <w:rPr>
          <w:color w:val="0E101A"/>
          <w:sz w:val="26"/>
          <w:szCs w:val="26"/>
        </w:rPr>
      </w:pPr>
    </w:p>
    <w:p w14:paraId="7FA76D4C" w14:textId="4579F73E" w:rsidR="00C94012" w:rsidRPr="00A2059B" w:rsidRDefault="00C94012" w:rsidP="00A2059B">
      <w:pPr>
        <w:pStyle w:val="NormalWeb"/>
        <w:spacing w:before="0" w:beforeAutospacing="0" w:after="0" w:afterAutospacing="0" w:line="360" w:lineRule="auto"/>
        <w:rPr>
          <w:color w:val="0E101A"/>
          <w:sz w:val="26"/>
          <w:szCs w:val="26"/>
        </w:rPr>
      </w:pPr>
      <w:r w:rsidRPr="00A2059B">
        <w:rPr>
          <w:color w:val="0E101A"/>
          <w:sz w:val="26"/>
          <w:szCs w:val="26"/>
        </w:rPr>
        <w:t>Many of the soft tissue structures in the body have a stress-strain curve, for example, muscles, tendons, cartilage, and ligaments. Tendons have a lot of viscoelasticity and react differently under different kinds of strain. Some stress-strain curves can be similar. Due to tendons being viscoelastic at a low strain rate they can deform more. A tendon stress-strain curve begins with a toe region. When a tendon has been stretched up to 2% it is within the toe region (</w:t>
      </w:r>
      <w:proofErr w:type="spellStart"/>
      <w:r w:rsidRPr="00A2059B">
        <w:rPr>
          <w:color w:val="0E101A"/>
          <w:sz w:val="26"/>
          <w:szCs w:val="26"/>
        </w:rPr>
        <w:t>Angin</w:t>
      </w:r>
      <w:proofErr w:type="spellEnd"/>
      <w:r w:rsidRPr="00A2059B">
        <w:rPr>
          <w:color w:val="0E101A"/>
          <w:sz w:val="26"/>
          <w:szCs w:val="26"/>
        </w:rPr>
        <w:t xml:space="preserve">, 2020, pp.115-147). The next region is known as the linear region. This is where a tendon is strained to 4% and the collagen </w:t>
      </w:r>
      <w:proofErr w:type="spellStart"/>
      <w:r w:rsidR="00AF1B0B" w:rsidRPr="00A2059B">
        <w:rPr>
          <w:color w:val="0E101A"/>
          <w:sz w:val="26"/>
          <w:szCs w:val="26"/>
        </w:rPr>
        <w:t>fibers</w:t>
      </w:r>
      <w:proofErr w:type="spellEnd"/>
      <w:r w:rsidRPr="00A2059B">
        <w:rPr>
          <w:color w:val="0E101A"/>
          <w:sz w:val="26"/>
          <w:szCs w:val="26"/>
        </w:rPr>
        <w:t xml:space="preserve"> begin to straighten out from their crimped pattern (</w:t>
      </w:r>
      <w:proofErr w:type="spellStart"/>
      <w:r w:rsidRPr="00A2059B">
        <w:rPr>
          <w:color w:val="0E101A"/>
          <w:sz w:val="26"/>
          <w:szCs w:val="26"/>
        </w:rPr>
        <w:t>Angin</w:t>
      </w:r>
      <w:proofErr w:type="spellEnd"/>
      <w:r w:rsidRPr="00A2059B">
        <w:rPr>
          <w:color w:val="0E101A"/>
          <w:sz w:val="26"/>
          <w:szCs w:val="26"/>
        </w:rPr>
        <w:t xml:space="preserve">, 2020, pp.115-147). Hoffman and Gross (2007) declared that when a tendon has been strained up to 4% it conducts itself in an elastic form. A tendon behaving in this manner allows it to return to its original form when the strain is no longer present. However, once a tendon stretches over 4% damage starts to occur in the form of microscopic tears. From here as the strain on the tendon increases so does how much it's being stretched, which also </w:t>
      </w:r>
      <w:r w:rsidRPr="00A2059B">
        <w:rPr>
          <w:color w:val="0E101A"/>
          <w:sz w:val="26"/>
          <w:szCs w:val="26"/>
        </w:rPr>
        <w:lastRenderedPageBreak/>
        <w:t>proceeds to further the damage. At 8 to 10% macroscopic failure of the tendon begins (</w:t>
      </w:r>
      <w:proofErr w:type="spellStart"/>
      <w:r w:rsidRPr="00A2059B">
        <w:rPr>
          <w:color w:val="0E101A"/>
          <w:sz w:val="26"/>
          <w:szCs w:val="26"/>
        </w:rPr>
        <w:t>Angin</w:t>
      </w:r>
      <w:proofErr w:type="spellEnd"/>
      <w:r w:rsidRPr="00A2059B">
        <w:rPr>
          <w:color w:val="0E101A"/>
          <w:sz w:val="26"/>
          <w:szCs w:val="26"/>
        </w:rPr>
        <w:t>, 2020. pp.115-147). Finally, the tendon will rupture under the strain. See image A below.</w:t>
      </w:r>
    </w:p>
    <w:p w14:paraId="04DFC0D7" w14:textId="77777777" w:rsidR="00C94012" w:rsidRPr="00A2059B" w:rsidRDefault="00C94012" w:rsidP="00A2059B">
      <w:pPr>
        <w:pStyle w:val="NormalWeb"/>
        <w:spacing w:before="0" w:beforeAutospacing="0" w:after="0" w:afterAutospacing="0" w:line="360" w:lineRule="auto"/>
        <w:rPr>
          <w:color w:val="0E101A"/>
          <w:sz w:val="26"/>
          <w:szCs w:val="26"/>
        </w:rPr>
      </w:pPr>
    </w:p>
    <w:p w14:paraId="55190B0C" w14:textId="77777777" w:rsidR="00C94012" w:rsidRPr="00A2059B" w:rsidRDefault="00C94012" w:rsidP="00A2059B">
      <w:pPr>
        <w:pStyle w:val="NormalWeb"/>
        <w:spacing w:before="0" w:beforeAutospacing="0" w:after="0" w:afterAutospacing="0" w:line="360" w:lineRule="auto"/>
        <w:rPr>
          <w:color w:val="0E101A"/>
          <w:sz w:val="26"/>
          <w:szCs w:val="26"/>
        </w:rPr>
      </w:pPr>
      <w:r w:rsidRPr="00A2059B">
        <w:rPr>
          <w:color w:val="0E101A"/>
          <w:sz w:val="26"/>
          <w:szCs w:val="26"/>
        </w:rPr>
        <w:t>Most sporting injuries are treated with the RICE protocol in the acute phase (Chu and Rho, 2016). RICE stands for rest, ice, compression, and elevation. Both Peterson (2005) and Chu and Rho (2016) agree that RICE is used to help with decreasing pain and inflammation levels. It is also used to help with hematomas, which do occur with a proximal hamstring avulsion. Another form of management option available is NSAIDs. Otherwise known as non-steroidal anti-inflammatory drugs. Peterson (2005) states that NSAIDs are a good form of management to be used, granted it is within the appropriate time frame. Thus, 2 to 3 days post-trauma or injury. It is important to avoid any interference with the inflammatory stage of the body's healing process.</w:t>
      </w:r>
    </w:p>
    <w:p w14:paraId="6B98CFB8" w14:textId="77777777" w:rsidR="00C94012" w:rsidRPr="00A2059B" w:rsidRDefault="00C94012" w:rsidP="00A2059B">
      <w:pPr>
        <w:pStyle w:val="NormalWeb"/>
        <w:spacing w:before="0" w:beforeAutospacing="0" w:after="0" w:afterAutospacing="0" w:line="360" w:lineRule="auto"/>
        <w:rPr>
          <w:color w:val="0E101A"/>
          <w:sz w:val="26"/>
          <w:szCs w:val="26"/>
        </w:rPr>
      </w:pPr>
    </w:p>
    <w:p w14:paraId="3CC9B0BD" w14:textId="77777777" w:rsidR="00C94012" w:rsidRPr="00A2059B" w:rsidRDefault="00C94012" w:rsidP="00A2059B">
      <w:pPr>
        <w:pStyle w:val="NormalWeb"/>
        <w:spacing w:before="0" w:beforeAutospacing="0" w:after="0" w:afterAutospacing="0" w:line="360" w:lineRule="auto"/>
        <w:rPr>
          <w:color w:val="0E101A"/>
          <w:sz w:val="26"/>
          <w:szCs w:val="26"/>
          <w:u w:val="single"/>
        </w:rPr>
      </w:pPr>
      <w:r w:rsidRPr="00A2059B">
        <w:rPr>
          <w:rStyle w:val="Strong"/>
          <w:color w:val="0E101A"/>
          <w:sz w:val="26"/>
          <w:szCs w:val="26"/>
          <w:u w:val="single"/>
        </w:rPr>
        <w:t>Objective Signposts</w:t>
      </w:r>
    </w:p>
    <w:p w14:paraId="208E1349" w14:textId="7DD44735" w:rsidR="00C94012" w:rsidRPr="00A2059B" w:rsidRDefault="00C94012" w:rsidP="00A2059B">
      <w:pPr>
        <w:pStyle w:val="NormalWeb"/>
        <w:spacing w:before="0" w:beforeAutospacing="0" w:after="0" w:afterAutospacing="0" w:line="360" w:lineRule="auto"/>
        <w:rPr>
          <w:color w:val="0E101A"/>
          <w:sz w:val="26"/>
          <w:szCs w:val="26"/>
        </w:rPr>
      </w:pPr>
      <w:proofErr w:type="spellStart"/>
      <w:r w:rsidRPr="00A2059B">
        <w:rPr>
          <w:color w:val="0E101A"/>
          <w:sz w:val="26"/>
          <w:szCs w:val="26"/>
        </w:rPr>
        <w:t>Bengtzen</w:t>
      </w:r>
      <w:proofErr w:type="spellEnd"/>
      <w:r w:rsidRPr="00A2059B">
        <w:rPr>
          <w:color w:val="0E101A"/>
          <w:sz w:val="26"/>
          <w:szCs w:val="26"/>
        </w:rPr>
        <w:t xml:space="preserve">, ma, and </w:t>
      </w:r>
      <w:proofErr w:type="spellStart"/>
      <w:r w:rsidRPr="00A2059B">
        <w:rPr>
          <w:color w:val="0E101A"/>
          <w:sz w:val="26"/>
          <w:szCs w:val="26"/>
        </w:rPr>
        <w:t>Herzka</w:t>
      </w:r>
      <w:proofErr w:type="spellEnd"/>
      <w:r w:rsidRPr="00A2059B">
        <w:rPr>
          <w:color w:val="0E101A"/>
          <w:sz w:val="26"/>
          <w:szCs w:val="26"/>
        </w:rPr>
        <w:t xml:space="preserve"> (2018) declared that a proximal hamstring avulsion would limit the injured limbs' range of motion. The ranges of movement to prioritize during the assessment are flexion and extension at both the knee and hip. It is expected to see weakness during knee flexion. </w:t>
      </w:r>
      <w:proofErr w:type="spellStart"/>
      <w:r w:rsidRPr="00A2059B">
        <w:rPr>
          <w:color w:val="0E101A"/>
          <w:sz w:val="26"/>
          <w:szCs w:val="26"/>
        </w:rPr>
        <w:t>Sarimo</w:t>
      </w:r>
      <w:proofErr w:type="spellEnd"/>
      <w:r w:rsidRPr="00A2059B">
        <w:rPr>
          <w:color w:val="0E101A"/>
          <w:sz w:val="26"/>
          <w:szCs w:val="26"/>
        </w:rPr>
        <w:t xml:space="preserve"> et al, (2008) noted these findings in their study, in all cases. The athlete must go through an assessment of an active and passive range of movement. Passive is where the clinician takes the athlete through the range, more range could be achieved through passive range rather than active. Resisted range of motion is also important to assess as it indicates strength. With the avulsion, it is expected to see a decrease in both hip extension and knee flexion strength, as stated by </w:t>
      </w:r>
      <w:proofErr w:type="spellStart"/>
      <w:r w:rsidRPr="00A2059B">
        <w:rPr>
          <w:color w:val="0E101A"/>
          <w:sz w:val="26"/>
          <w:szCs w:val="26"/>
        </w:rPr>
        <w:t>Sarimo</w:t>
      </w:r>
      <w:proofErr w:type="spellEnd"/>
      <w:r w:rsidRPr="00A2059B">
        <w:rPr>
          <w:color w:val="0E101A"/>
          <w:sz w:val="26"/>
          <w:szCs w:val="26"/>
        </w:rPr>
        <w:t xml:space="preserve"> et a., (2008). With the athlete in a prone position, taking their knee in flexion actively may cause a clinician to rule out an avulsion if they do not see how the athlete flexes the knee using their gastrocnemius muscle to compensate for the loss of range and strength of the injured hamstring. This could be a means of misdiagnosis (</w:t>
      </w:r>
      <w:proofErr w:type="spellStart"/>
      <w:r w:rsidRPr="00A2059B">
        <w:rPr>
          <w:color w:val="0E101A"/>
          <w:sz w:val="26"/>
          <w:szCs w:val="26"/>
        </w:rPr>
        <w:t>Bertiche</w:t>
      </w:r>
      <w:proofErr w:type="spellEnd"/>
      <w:r w:rsidRPr="00A2059B">
        <w:rPr>
          <w:color w:val="0E101A"/>
          <w:sz w:val="26"/>
          <w:szCs w:val="26"/>
        </w:rPr>
        <w:t xml:space="preserve"> et al., 2021). </w:t>
      </w:r>
    </w:p>
    <w:p w14:paraId="386C0E90" w14:textId="77777777" w:rsidR="00C94012" w:rsidRPr="00A2059B" w:rsidRDefault="00C94012" w:rsidP="00A2059B">
      <w:pPr>
        <w:pStyle w:val="NormalWeb"/>
        <w:spacing w:before="0" w:beforeAutospacing="0" w:after="0" w:afterAutospacing="0" w:line="360" w:lineRule="auto"/>
        <w:rPr>
          <w:color w:val="0E101A"/>
          <w:sz w:val="26"/>
          <w:szCs w:val="26"/>
        </w:rPr>
      </w:pPr>
    </w:p>
    <w:p w14:paraId="05869C15" w14:textId="263F7A29" w:rsidR="00C94012" w:rsidRPr="00A2059B" w:rsidRDefault="00C94012" w:rsidP="00A2059B">
      <w:pPr>
        <w:pStyle w:val="NormalWeb"/>
        <w:spacing w:before="0" w:beforeAutospacing="0" w:after="0" w:afterAutospacing="0" w:line="360" w:lineRule="auto"/>
        <w:rPr>
          <w:color w:val="0E101A"/>
          <w:sz w:val="26"/>
          <w:szCs w:val="26"/>
        </w:rPr>
      </w:pPr>
      <w:r w:rsidRPr="00A2059B">
        <w:rPr>
          <w:color w:val="0E101A"/>
          <w:sz w:val="26"/>
          <w:szCs w:val="26"/>
        </w:rPr>
        <w:lastRenderedPageBreak/>
        <w:t>Two of the most important manual muscle tests to assess for any hamstring injury are hamstrings as a group over the knee and hip (</w:t>
      </w:r>
      <w:proofErr w:type="spellStart"/>
      <w:r w:rsidRPr="00A2059B">
        <w:rPr>
          <w:color w:val="0E101A"/>
          <w:sz w:val="26"/>
          <w:szCs w:val="26"/>
        </w:rPr>
        <w:t>Heiderscheit</w:t>
      </w:r>
      <w:proofErr w:type="spellEnd"/>
      <w:r w:rsidRPr="00A2059B">
        <w:rPr>
          <w:color w:val="0E101A"/>
          <w:sz w:val="26"/>
          <w:szCs w:val="26"/>
        </w:rPr>
        <w:t xml:space="preserve"> et al., 2010). Although, the clinician must take into consideration that testing the muscles, especially the hamstring itself will be significantly difficult considering the athlete will have swelling and will be in a high level of pain (</w:t>
      </w:r>
      <w:proofErr w:type="spellStart"/>
      <w:r w:rsidRPr="00A2059B">
        <w:rPr>
          <w:color w:val="0E101A"/>
          <w:sz w:val="26"/>
          <w:szCs w:val="26"/>
        </w:rPr>
        <w:t>Kwong</w:t>
      </w:r>
      <w:proofErr w:type="spellEnd"/>
      <w:r w:rsidRPr="00A2059B">
        <w:rPr>
          <w:color w:val="0E101A"/>
          <w:sz w:val="26"/>
          <w:szCs w:val="26"/>
        </w:rPr>
        <w:t xml:space="preserve">, 2006). An obvious weakness would be noted, and a high degree of pain near below the glutes. </w:t>
      </w:r>
      <w:proofErr w:type="spellStart"/>
      <w:r w:rsidRPr="00A2059B">
        <w:rPr>
          <w:color w:val="0E101A"/>
          <w:sz w:val="26"/>
          <w:szCs w:val="26"/>
        </w:rPr>
        <w:t>Heiderschiet</w:t>
      </w:r>
      <w:proofErr w:type="spellEnd"/>
      <w:r w:rsidRPr="00A2059B">
        <w:rPr>
          <w:color w:val="0E101A"/>
          <w:sz w:val="26"/>
          <w:szCs w:val="26"/>
        </w:rPr>
        <w:t xml:space="preserve"> et </w:t>
      </w:r>
      <w:r w:rsidR="0051002D" w:rsidRPr="00A2059B">
        <w:rPr>
          <w:color w:val="0E101A"/>
          <w:sz w:val="26"/>
          <w:szCs w:val="26"/>
        </w:rPr>
        <w:t>al, (</w:t>
      </w:r>
      <w:r w:rsidRPr="00A2059B">
        <w:rPr>
          <w:color w:val="0E101A"/>
          <w:sz w:val="26"/>
          <w:szCs w:val="26"/>
        </w:rPr>
        <w:t>2010) also recommend testing all three hip adductors, adductor longus, adductor magnus, and adductor brevis. The recommendation to test these muscles is to rule out other injuries such as an adductor strain.</w:t>
      </w:r>
    </w:p>
    <w:p w14:paraId="181E8CD3" w14:textId="77777777" w:rsidR="00C94012" w:rsidRPr="00A2059B" w:rsidRDefault="00C94012" w:rsidP="00A2059B">
      <w:pPr>
        <w:pStyle w:val="NormalWeb"/>
        <w:spacing w:before="0" w:beforeAutospacing="0" w:after="0" w:afterAutospacing="0" w:line="360" w:lineRule="auto"/>
        <w:rPr>
          <w:color w:val="0E101A"/>
          <w:sz w:val="26"/>
          <w:szCs w:val="26"/>
        </w:rPr>
      </w:pPr>
      <w:r w:rsidRPr="00A2059B">
        <w:rPr>
          <w:color w:val="0E101A"/>
          <w:sz w:val="26"/>
          <w:szCs w:val="26"/>
        </w:rPr>
        <w:t> </w:t>
      </w:r>
    </w:p>
    <w:p w14:paraId="670D4128" w14:textId="77777777" w:rsidR="00C94012" w:rsidRPr="00A2059B" w:rsidRDefault="00C94012" w:rsidP="00A2059B">
      <w:pPr>
        <w:pStyle w:val="NormalWeb"/>
        <w:spacing w:before="0" w:beforeAutospacing="0" w:after="0" w:afterAutospacing="0" w:line="360" w:lineRule="auto"/>
        <w:rPr>
          <w:color w:val="0E101A"/>
          <w:sz w:val="26"/>
          <w:szCs w:val="26"/>
        </w:rPr>
      </w:pPr>
      <w:r w:rsidRPr="00A2059B">
        <w:rPr>
          <w:color w:val="0E101A"/>
          <w:sz w:val="26"/>
          <w:szCs w:val="26"/>
        </w:rPr>
        <w:t xml:space="preserve">The purpose of palpation is to identify any soreness or pain in certain structures like bones or muscles. Palpation can help to confirm or rather solidify any potential diagnosis of the injury a clinician might have based on their findings from the range of movement and manual muscle test assessment As well as, ruling out or adding doubts to some potential diagnoses. As the tendons attach the hamstring to the ischial tuberosity, for a suspected proximal hamstring avulsion, the area of the ischial tuberosity just underneath the glute should be assessed. It was reported by </w:t>
      </w:r>
      <w:proofErr w:type="spellStart"/>
      <w:r w:rsidRPr="00A2059B">
        <w:rPr>
          <w:color w:val="0E101A"/>
          <w:sz w:val="26"/>
          <w:szCs w:val="26"/>
        </w:rPr>
        <w:t>Bengtzen</w:t>
      </w:r>
      <w:proofErr w:type="spellEnd"/>
      <w:r w:rsidRPr="00A2059B">
        <w:rPr>
          <w:color w:val="0E101A"/>
          <w:sz w:val="26"/>
          <w:szCs w:val="26"/>
        </w:rPr>
        <w:t xml:space="preserve">, ma, and </w:t>
      </w:r>
      <w:proofErr w:type="spellStart"/>
      <w:r w:rsidRPr="00A2059B">
        <w:rPr>
          <w:color w:val="0E101A"/>
          <w:sz w:val="26"/>
          <w:szCs w:val="26"/>
        </w:rPr>
        <w:t>Herzka</w:t>
      </w:r>
      <w:proofErr w:type="spellEnd"/>
      <w:r w:rsidRPr="00A2059B">
        <w:rPr>
          <w:color w:val="0E101A"/>
          <w:sz w:val="26"/>
          <w:szCs w:val="26"/>
        </w:rPr>
        <w:t xml:space="preserve"> (2018) that subjects in their study had soreness on palpation of the glute. </w:t>
      </w:r>
      <w:proofErr w:type="spellStart"/>
      <w:r w:rsidRPr="00A2059B">
        <w:rPr>
          <w:color w:val="0E101A"/>
          <w:sz w:val="26"/>
          <w:szCs w:val="26"/>
        </w:rPr>
        <w:t>Sarimo</w:t>
      </w:r>
      <w:proofErr w:type="spellEnd"/>
      <w:r w:rsidRPr="00A2059B">
        <w:rPr>
          <w:color w:val="0E101A"/>
          <w:sz w:val="26"/>
          <w:szCs w:val="26"/>
        </w:rPr>
        <w:t xml:space="preserve"> et al, (2008) wrote of a deformity to the ischial tuberosity just near the distal aspect found on palpation. Linking with the deformity was a noticeable bulge also on the distal aspect. This bulge became more prominent when the athlete took the injured leg into knee flexion against resistance (</w:t>
      </w:r>
      <w:proofErr w:type="spellStart"/>
      <w:r w:rsidRPr="00A2059B">
        <w:rPr>
          <w:color w:val="0E101A"/>
          <w:sz w:val="26"/>
          <w:szCs w:val="26"/>
        </w:rPr>
        <w:t>Bengtzen</w:t>
      </w:r>
      <w:proofErr w:type="spellEnd"/>
      <w:r w:rsidRPr="00A2059B">
        <w:rPr>
          <w:color w:val="0E101A"/>
          <w:sz w:val="26"/>
          <w:szCs w:val="26"/>
        </w:rPr>
        <w:t xml:space="preserve">, ma, and </w:t>
      </w:r>
      <w:proofErr w:type="spellStart"/>
      <w:r w:rsidRPr="00A2059B">
        <w:rPr>
          <w:color w:val="0E101A"/>
          <w:sz w:val="26"/>
          <w:szCs w:val="26"/>
        </w:rPr>
        <w:t>Herzka</w:t>
      </w:r>
      <w:proofErr w:type="spellEnd"/>
      <w:r w:rsidRPr="00A2059B">
        <w:rPr>
          <w:color w:val="0E101A"/>
          <w:sz w:val="26"/>
          <w:szCs w:val="26"/>
        </w:rPr>
        <w:t>, 2018). Palpation of the hamstring belly should also be taken into consideration to assess if any trauma has occurred further down.</w:t>
      </w:r>
    </w:p>
    <w:p w14:paraId="7ABD365F" w14:textId="77777777" w:rsidR="00C94012" w:rsidRPr="00A2059B" w:rsidRDefault="00C94012" w:rsidP="00A2059B">
      <w:pPr>
        <w:pStyle w:val="NormalWeb"/>
        <w:spacing w:before="0" w:beforeAutospacing="0" w:after="0" w:afterAutospacing="0" w:line="360" w:lineRule="auto"/>
        <w:rPr>
          <w:color w:val="0E101A"/>
          <w:sz w:val="26"/>
          <w:szCs w:val="26"/>
        </w:rPr>
      </w:pPr>
    </w:p>
    <w:p w14:paraId="028998D1" w14:textId="3D175D45" w:rsidR="00C94012" w:rsidRPr="00A2059B" w:rsidRDefault="00C94012" w:rsidP="00A2059B">
      <w:pPr>
        <w:pStyle w:val="NormalWeb"/>
        <w:spacing w:before="0" w:beforeAutospacing="0" w:after="0" w:afterAutospacing="0" w:line="360" w:lineRule="auto"/>
        <w:rPr>
          <w:color w:val="0E101A"/>
          <w:sz w:val="26"/>
          <w:szCs w:val="26"/>
        </w:rPr>
      </w:pPr>
      <w:r w:rsidRPr="00A2059B">
        <w:rPr>
          <w:color w:val="0E101A"/>
          <w:sz w:val="26"/>
          <w:szCs w:val="26"/>
        </w:rPr>
        <w:t xml:space="preserve">The hamstrings as stated above cross the knee and help to cause flexion. The tibia however pulls posteriorly due to the hamstrings. An injured hamstring causes more strain on the ligament of the knee known as the ACL, PCL, MCL, and LCL. Often with hamstring injuries due to the mechanism or overtime due to more strain the ligaments can suffer from damage. However, not often with a proximal hamstring avulsion. During an assessment, it would be beneficial for a clinician to rule out any </w:t>
      </w:r>
      <w:r w:rsidRPr="00A2059B">
        <w:rPr>
          <w:color w:val="0E101A"/>
          <w:sz w:val="26"/>
          <w:szCs w:val="26"/>
        </w:rPr>
        <w:lastRenderedPageBreak/>
        <w:t xml:space="preserve">damage to these ligaments by performing ligament stress tests on them. To solidify the diagnosis special tests can be done. </w:t>
      </w:r>
      <w:proofErr w:type="spellStart"/>
      <w:r w:rsidRPr="00A2059B">
        <w:rPr>
          <w:color w:val="0E101A"/>
          <w:sz w:val="26"/>
          <w:szCs w:val="26"/>
        </w:rPr>
        <w:t>Heiderschiet</w:t>
      </w:r>
      <w:proofErr w:type="spellEnd"/>
      <w:r w:rsidRPr="00A2059B">
        <w:rPr>
          <w:color w:val="0E101A"/>
          <w:sz w:val="26"/>
          <w:szCs w:val="26"/>
        </w:rPr>
        <w:t xml:space="preserve"> et al, (2010) suggest that the special test passive straight leg raise should be used. Ultimately ensuring that the leg not </w:t>
      </w:r>
      <w:proofErr w:type="gramStart"/>
      <w:r w:rsidRPr="00A2059B">
        <w:rPr>
          <w:color w:val="0E101A"/>
          <w:sz w:val="26"/>
          <w:szCs w:val="26"/>
        </w:rPr>
        <w:t>moving and remains in contact with the bed at all times</w:t>
      </w:r>
      <w:proofErr w:type="gramEnd"/>
      <w:r w:rsidRPr="00A2059B">
        <w:rPr>
          <w:color w:val="0E101A"/>
          <w:sz w:val="26"/>
          <w:szCs w:val="26"/>
        </w:rPr>
        <w:t>. This test should be difficult and sore for the athlete. Another test recommended is the active hamstring test, with knee flexion against resistance at 30 and 90 degrees. This is done with the athlete in a seated position. During the movement, the clinician should palpate around the ischium area (Martin et al., 2018). This test was deemed to be a good indicator for the diagnosis of a proximal hamstring avulsion. A test also advised by Martin et al, (2018) is the LSHS (Long stride heels strike) test. The athlete will show a long stride. An indicator for a positive test would be pain in the ischium area as well as an altered gait. Lastly, the assessment is a functional test. </w:t>
      </w:r>
    </w:p>
    <w:p w14:paraId="55E72CE2" w14:textId="77777777" w:rsidR="00C94012" w:rsidRPr="00A2059B" w:rsidRDefault="00C94012" w:rsidP="00A2059B">
      <w:pPr>
        <w:pStyle w:val="NormalWeb"/>
        <w:spacing w:before="0" w:beforeAutospacing="0" w:after="0" w:afterAutospacing="0" w:line="360" w:lineRule="auto"/>
        <w:rPr>
          <w:color w:val="0E101A"/>
          <w:sz w:val="26"/>
          <w:szCs w:val="26"/>
        </w:rPr>
      </w:pPr>
    </w:p>
    <w:p w14:paraId="73B83202" w14:textId="2475E675" w:rsidR="00C94012" w:rsidRPr="00A2059B" w:rsidRDefault="00C94012" w:rsidP="00A2059B">
      <w:pPr>
        <w:pStyle w:val="NormalWeb"/>
        <w:spacing w:before="0" w:beforeAutospacing="0" w:after="0" w:afterAutospacing="0" w:line="360" w:lineRule="auto"/>
        <w:rPr>
          <w:color w:val="0E101A"/>
          <w:sz w:val="26"/>
          <w:szCs w:val="26"/>
        </w:rPr>
      </w:pPr>
      <w:r w:rsidRPr="00A2059B">
        <w:rPr>
          <w:color w:val="0E101A"/>
          <w:sz w:val="26"/>
          <w:szCs w:val="26"/>
        </w:rPr>
        <w:t>Based on the findings of the research, it has shown that in the early phase post-trauma, most that have suffered from this injury struggle with walking (</w:t>
      </w:r>
      <w:proofErr w:type="spellStart"/>
      <w:r w:rsidRPr="00A2059B">
        <w:rPr>
          <w:color w:val="0E101A"/>
          <w:sz w:val="26"/>
          <w:szCs w:val="26"/>
        </w:rPr>
        <w:t>Sarimo</w:t>
      </w:r>
      <w:proofErr w:type="spellEnd"/>
      <w:r w:rsidRPr="00A2059B">
        <w:rPr>
          <w:color w:val="0E101A"/>
          <w:sz w:val="26"/>
          <w:szCs w:val="26"/>
        </w:rPr>
        <w:t xml:space="preserve"> et al., 2008). Using walking as a functional test would allow the clinician to assess the athletes' gait cycle and potentially notice any compensatory issues or any alterations to what is seen as a normal gait. </w:t>
      </w:r>
      <w:proofErr w:type="spellStart"/>
      <w:r w:rsidRPr="00A2059B">
        <w:rPr>
          <w:color w:val="0E101A"/>
          <w:sz w:val="26"/>
          <w:szCs w:val="26"/>
        </w:rPr>
        <w:t>Bertiche</w:t>
      </w:r>
      <w:proofErr w:type="spellEnd"/>
      <w:r w:rsidRPr="00A2059B">
        <w:rPr>
          <w:color w:val="0E101A"/>
          <w:sz w:val="26"/>
          <w:szCs w:val="26"/>
        </w:rPr>
        <w:t xml:space="preserve"> et al, (20210 provided a functional test in their study where athletes remove their shoes on their injured leg. To remove the shoe, they must place their other foot on t the heel of the affected leg and push the shoe off. In the acute injury phase, the athlete in question would struggle to do this test. Performing a glute bridge, starting with the easiest way which is feet closer to the glutes is another test that can be used (Martin et al., 2018). Many again would struggle with this test and experience pain underneath their glute. To fully diagnose this injury a referral for imaging is necessary. Both MRI scans and Ultrasounds can be used. Although most prefer MRI as the better option for this specific injury (Pasic, Griffin and Degen (2019). The reason for this is an MRI can show the difference between a partial avulsion to the area and a complete avulsion (</w:t>
      </w:r>
      <w:proofErr w:type="spellStart"/>
      <w:r w:rsidRPr="00A2059B">
        <w:rPr>
          <w:color w:val="0E101A"/>
          <w:sz w:val="26"/>
          <w:szCs w:val="26"/>
        </w:rPr>
        <w:t>Bertiche</w:t>
      </w:r>
      <w:proofErr w:type="spellEnd"/>
      <w:r w:rsidRPr="00A2059B">
        <w:rPr>
          <w:color w:val="0E101A"/>
          <w:sz w:val="26"/>
          <w:szCs w:val="26"/>
        </w:rPr>
        <w:t xml:space="preserve"> et al., 2021). It can also show if any retraction has occurred.</w:t>
      </w:r>
      <w:r w:rsidR="003733FE" w:rsidRPr="00A2059B">
        <w:rPr>
          <w:color w:val="0E101A"/>
          <w:sz w:val="26"/>
          <w:szCs w:val="26"/>
        </w:rPr>
        <w:t xml:space="preserve"> </w:t>
      </w:r>
      <w:r w:rsidR="003733FE" w:rsidRPr="00A2059B">
        <w:rPr>
          <w:color w:val="0E101A"/>
          <w:sz w:val="26"/>
          <w:szCs w:val="26"/>
        </w:rPr>
        <w:t>It is also important to keep an eye out for any red flags. These would be unexplained weight loss, and bladder and bowel changes, constant pain, problems when coughing or sneezing and any bilateral pins and needles.</w:t>
      </w:r>
    </w:p>
    <w:p w14:paraId="5CD81025" w14:textId="77777777" w:rsidR="00C94012" w:rsidRPr="00A2059B" w:rsidRDefault="00C94012" w:rsidP="00A2059B">
      <w:pPr>
        <w:pStyle w:val="NormalWeb"/>
        <w:spacing w:before="0" w:beforeAutospacing="0" w:after="0" w:afterAutospacing="0" w:line="360" w:lineRule="auto"/>
        <w:rPr>
          <w:color w:val="0E101A"/>
          <w:sz w:val="26"/>
          <w:szCs w:val="26"/>
        </w:rPr>
      </w:pPr>
    </w:p>
    <w:p w14:paraId="7C637DBF" w14:textId="79EA4027" w:rsidR="00C94012" w:rsidRPr="00A2059B" w:rsidRDefault="00C94012" w:rsidP="00A2059B">
      <w:pPr>
        <w:pStyle w:val="NormalWeb"/>
        <w:spacing w:before="0" w:beforeAutospacing="0" w:after="0" w:afterAutospacing="0" w:line="360" w:lineRule="auto"/>
        <w:rPr>
          <w:color w:val="0E101A"/>
          <w:sz w:val="26"/>
          <w:szCs w:val="26"/>
        </w:rPr>
      </w:pPr>
      <w:r w:rsidRPr="00A2059B">
        <w:rPr>
          <w:color w:val="0E101A"/>
          <w:sz w:val="26"/>
          <w:szCs w:val="26"/>
        </w:rPr>
        <w:t xml:space="preserve">A referral is needed for athletes that have a proximal hamstring avulsion. As stated above a referral for images is deemed necessary to diagnose. Also, surgical repair is the </w:t>
      </w:r>
      <w:proofErr w:type="gramStart"/>
      <w:r w:rsidRPr="00A2059B">
        <w:rPr>
          <w:color w:val="0E101A"/>
          <w:sz w:val="26"/>
          <w:szCs w:val="26"/>
        </w:rPr>
        <w:t>most commonly used</w:t>
      </w:r>
      <w:proofErr w:type="gramEnd"/>
      <w:r w:rsidRPr="00A2059B">
        <w:rPr>
          <w:color w:val="0E101A"/>
          <w:sz w:val="26"/>
          <w:szCs w:val="26"/>
        </w:rPr>
        <w:t xml:space="preserve"> treatment for this injury which can only be recommended from image-based findings (Pasic, Griffin and Degen, 2019). Many cases of several injuries require referral as there are certain procedures clinicians must abide by. For example, sports therapists must work within their scope of practice (Wadsworth, </w:t>
      </w:r>
      <w:proofErr w:type="spellStart"/>
      <w:r w:rsidRPr="00A2059B">
        <w:rPr>
          <w:color w:val="0E101A"/>
          <w:sz w:val="26"/>
          <w:szCs w:val="26"/>
        </w:rPr>
        <w:t>Paszkowec</w:t>
      </w:r>
      <w:proofErr w:type="spellEnd"/>
      <w:r w:rsidRPr="00A2059B">
        <w:rPr>
          <w:color w:val="0E101A"/>
          <w:sz w:val="26"/>
          <w:szCs w:val="26"/>
        </w:rPr>
        <w:t xml:space="preserve"> and Eubank, 2020). This keeps the clinician and the athlete safe as they only apply and assess what they're qualified to do. A referral is </w:t>
      </w:r>
      <w:r w:rsidR="00EC18D6">
        <w:rPr>
          <w:color w:val="0E101A"/>
          <w:sz w:val="26"/>
          <w:szCs w:val="26"/>
        </w:rPr>
        <w:t>the</w:t>
      </w:r>
      <w:r w:rsidRPr="00A2059B">
        <w:rPr>
          <w:color w:val="0E101A"/>
          <w:sz w:val="26"/>
          <w:szCs w:val="26"/>
        </w:rPr>
        <w:t xml:space="preserve"> next step once a clinician cannot do anymore for the client due to it being outside their scope of practice or they are still at a loss with a diagnosis. Referral to a sports psychologist is also an option when an athlete shows signs of aggression, no motivation</w:t>
      </w:r>
      <w:r w:rsidR="00EC18D6">
        <w:rPr>
          <w:color w:val="0E101A"/>
          <w:sz w:val="26"/>
          <w:szCs w:val="26"/>
        </w:rPr>
        <w:t>,</w:t>
      </w:r>
      <w:r w:rsidRPr="00A2059B">
        <w:rPr>
          <w:color w:val="0E101A"/>
          <w:sz w:val="26"/>
          <w:szCs w:val="26"/>
        </w:rPr>
        <w:t xml:space="preserve"> and mood swings. You should refer an athlete to someone safe and credible, it is also best if you know the clinician as it makes the referral process easier to trust the athlete. You should provide the information deemed necessary and that is appropriate during the referral. Whilst providing the athlete with information about the clinician and their role.</w:t>
      </w:r>
    </w:p>
    <w:p w14:paraId="743FB6CB" w14:textId="77777777" w:rsidR="00A2059B" w:rsidRDefault="00A2059B" w:rsidP="00A2059B">
      <w:pPr>
        <w:pStyle w:val="NormalWeb"/>
        <w:spacing w:before="0" w:beforeAutospacing="0" w:after="240" w:afterAutospacing="0" w:line="360" w:lineRule="auto"/>
        <w:rPr>
          <w:sz w:val="26"/>
          <w:szCs w:val="26"/>
        </w:rPr>
      </w:pPr>
    </w:p>
    <w:p w14:paraId="7BB5280D" w14:textId="2C312406" w:rsidR="00DE0F68" w:rsidRPr="00A2059B" w:rsidRDefault="00DE0F68" w:rsidP="00A2059B">
      <w:pPr>
        <w:pStyle w:val="NormalWeb"/>
        <w:spacing w:before="0" w:beforeAutospacing="0" w:after="240" w:afterAutospacing="0" w:line="360" w:lineRule="auto"/>
        <w:rPr>
          <w:b/>
          <w:bCs/>
          <w:sz w:val="26"/>
          <w:szCs w:val="26"/>
          <w:u w:val="single"/>
        </w:rPr>
      </w:pPr>
      <w:r w:rsidRPr="00A2059B">
        <w:rPr>
          <w:b/>
          <w:bCs/>
          <w:sz w:val="26"/>
          <w:szCs w:val="26"/>
          <w:u w:val="single"/>
        </w:rPr>
        <w:t>Conclusion</w:t>
      </w:r>
    </w:p>
    <w:p w14:paraId="0F218671" w14:textId="437DC916" w:rsidR="00884CDC" w:rsidRPr="00A2059B" w:rsidRDefault="00EC79F1" w:rsidP="00A2059B">
      <w:pPr>
        <w:pStyle w:val="NormalWeb"/>
        <w:spacing w:before="0" w:beforeAutospacing="0" w:after="240" w:afterAutospacing="0" w:line="360" w:lineRule="auto"/>
        <w:rPr>
          <w:sz w:val="26"/>
          <w:szCs w:val="26"/>
        </w:rPr>
      </w:pPr>
      <w:r w:rsidRPr="00A2059B">
        <w:rPr>
          <w:sz w:val="26"/>
          <w:szCs w:val="26"/>
        </w:rPr>
        <w:t>As uncommon as proximal hamstring avulsions are, they are not to be taken lightly. They are easily overlooked and misdiagnosed (</w:t>
      </w:r>
      <w:proofErr w:type="spellStart"/>
      <w:r w:rsidRPr="00A2059B">
        <w:rPr>
          <w:sz w:val="26"/>
          <w:szCs w:val="26"/>
        </w:rPr>
        <w:t>Bertiche</w:t>
      </w:r>
      <w:proofErr w:type="spellEnd"/>
      <w:r w:rsidRPr="00A2059B">
        <w:rPr>
          <w:sz w:val="26"/>
          <w:szCs w:val="26"/>
        </w:rPr>
        <w:t xml:space="preserve"> et al., 2021). Location and pain type are not to be missed. As well as where bruising and swelling appear. A key factor is the gait cycle when it comes to solidifying this diagnosis. An injury of this severity must be treated with caution and safety for the best interest of the athlete.</w:t>
      </w:r>
    </w:p>
    <w:p w14:paraId="79A0B523" w14:textId="77777777" w:rsidR="00884CDC" w:rsidRDefault="00884CDC" w:rsidP="00D87E84">
      <w:pPr>
        <w:pStyle w:val="NormalWeb"/>
        <w:spacing w:before="0" w:beforeAutospacing="0" w:after="240" w:afterAutospacing="0" w:line="360" w:lineRule="auto"/>
      </w:pPr>
    </w:p>
    <w:p w14:paraId="5680245B" w14:textId="77777777" w:rsidR="00884CDC" w:rsidRDefault="00884CDC" w:rsidP="000F55DD">
      <w:pPr>
        <w:pStyle w:val="NormalWeb"/>
        <w:spacing w:before="0" w:beforeAutospacing="0" w:after="240" w:afterAutospacing="0" w:line="360" w:lineRule="auto"/>
      </w:pPr>
    </w:p>
    <w:p w14:paraId="4791093F" w14:textId="77777777" w:rsidR="00884CDC" w:rsidRDefault="00884CDC" w:rsidP="000F55DD">
      <w:pPr>
        <w:pStyle w:val="NormalWeb"/>
        <w:spacing w:before="0" w:beforeAutospacing="0" w:after="240" w:afterAutospacing="0" w:line="360" w:lineRule="auto"/>
      </w:pPr>
    </w:p>
    <w:p w14:paraId="3D88FB52" w14:textId="77777777" w:rsidR="00884CDC" w:rsidRDefault="00884CDC" w:rsidP="000F55DD">
      <w:pPr>
        <w:pStyle w:val="NormalWeb"/>
        <w:spacing w:before="0" w:beforeAutospacing="0" w:after="240" w:afterAutospacing="0" w:line="360" w:lineRule="auto"/>
      </w:pPr>
    </w:p>
    <w:p w14:paraId="0D3FD89B" w14:textId="61D0F7B5" w:rsidR="001701E6" w:rsidRPr="001701E6" w:rsidRDefault="001701E6" w:rsidP="000F55DD">
      <w:pPr>
        <w:pStyle w:val="NormalWeb"/>
        <w:spacing w:before="0" w:beforeAutospacing="0" w:after="240" w:afterAutospacing="0" w:line="360" w:lineRule="auto"/>
        <w:rPr>
          <w:rFonts w:ascii="Arial Nova Cond" w:hAnsi="Arial Nova Cond"/>
          <w:b/>
          <w:bCs/>
        </w:rPr>
      </w:pPr>
      <w:r w:rsidRPr="001701E6">
        <w:rPr>
          <w:rFonts w:ascii="Arial Nova Cond" w:hAnsi="Arial Nova Cond"/>
          <w:b/>
          <w:bCs/>
        </w:rPr>
        <w:lastRenderedPageBreak/>
        <w:t>Image A</w:t>
      </w:r>
    </w:p>
    <w:p w14:paraId="5955A4BE" w14:textId="1AD33253" w:rsidR="00884CDC" w:rsidRDefault="001701E6" w:rsidP="000F55DD">
      <w:pPr>
        <w:pStyle w:val="NormalWeb"/>
        <w:spacing w:before="0" w:beforeAutospacing="0" w:after="240" w:afterAutospacing="0" w:line="360" w:lineRule="auto"/>
      </w:pPr>
      <w:r>
        <w:rPr>
          <w:noProof/>
        </w:rPr>
        <w:drawing>
          <wp:inline distT="0" distB="0" distL="0" distR="0" wp14:anchorId="333E5D84" wp14:editId="45EFF2CE">
            <wp:extent cx="4514850" cy="3371850"/>
            <wp:effectExtent l="0" t="0" r="0" b="0"/>
            <wp:docPr id="1" name="Picture 1" descr="Graphical user interface, Word&#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Word&#10;&#10;Description automatically generated with medium confidence"/>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4514850" cy="3371850"/>
                    </a:xfrm>
                    <a:prstGeom prst="rect">
                      <a:avLst/>
                    </a:prstGeom>
                    <a:noFill/>
                    <a:ln>
                      <a:noFill/>
                    </a:ln>
                  </pic:spPr>
                </pic:pic>
              </a:graphicData>
            </a:graphic>
          </wp:inline>
        </w:drawing>
      </w:r>
    </w:p>
    <w:p w14:paraId="1672C0FC" w14:textId="4F1E5F21" w:rsidR="001701E6" w:rsidRDefault="0009370A" w:rsidP="000F55DD">
      <w:pPr>
        <w:pStyle w:val="NormalWeb"/>
        <w:spacing w:before="0" w:beforeAutospacing="0" w:after="240" w:afterAutospacing="0" w:line="360" w:lineRule="auto"/>
      </w:pPr>
      <w:r w:rsidRPr="0009370A">
        <w:t>(</w:t>
      </w:r>
      <w:proofErr w:type="spellStart"/>
      <w:r w:rsidRPr="0009370A">
        <w:t>Doblare</w:t>
      </w:r>
      <w:proofErr w:type="spellEnd"/>
      <w:r w:rsidRPr="0009370A">
        <w:t xml:space="preserve"> and </w:t>
      </w:r>
      <w:proofErr w:type="spellStart"/>
      <w:r w:rsidRPr="0009370A">
        <w:t>Merodio</w:t>
      </w:r>
      <w:proofErr w:type="spellEnd"/>
      <w:r w:rsidRPr="0009370A">
        <w:t>, 2015)</w:t>
      </w:r>
    </w:p>
    <w:p w14:paraId="58DBF95B" w14:textId="6DBC803D" w:rsidR="00884CDC" w:rsidRDefault="00884CDC" w:rsidP="000F55DD">
      <w:pPr>
        <w:pStyle w:val="NormalWeb"/>
        <w:spacing w:before="0" w:beforeAutospacing="0" w:after="240" w:afterAutospacing="0" w:line="360" w:lineRule="auto"/>
      </w:pPr>
    </w:p>
    <w:p w14:paraId="58230F4C" w14:textId="77777777" w:rsidR="00884CDC" w:rsidRDefault="00884CDC" w:rsidP="000F55DD">
      <w:pPr>
        <w:pStyle w:val="NormalWeb"/>
        <w:spacing w:before="0" w:beforeAutospacing="0" w:after="240" w:afterAutospacing="0" w:line="360" w:lineRule="auto"/>
      </w:pPr>
    </w:p>
    <w:p w14:paraId="5656F220" w14:textId="77777777" w:rsidR="00884CDC" w:rsidRDefault="00884CDC" w:rsidP="000F55DD">
      <w:pPr>
        <w:pStyle w:val="NormalWeb"/>
        <w:spacing w:before="0" w:beforeAutospacing="0" w:after="240" w:afterAutospacing="0" w:line="360" w:lineRule="auto"/>
      </w:pPr>
    </w:p>
    <w:p w14:paraId="17F679C7" w14:textId="77777777" w:rsidR="00884CDC" w:rsidRDefault="00884CDC" w:rsidP="000F55DD">
      <w:pPr>
        <w:pStyle w:val="NormalWeb"/>
        <w:spacing w:before="0" w:beforeAutospacing="0" w:after="240" w:afterAutospacing="0" w:line="360" w:lineRule="auto"/>
      </w:pPr>
    </w:p>
    <w:p w14:paraId="57855120" w14:textId="77777777" w:rsidR="00884CDC" w:rsidRDefault="00884CDC" w:rsidP="000F55DD">
      <w:pPr>
        <w:pStyle w:val="NormalWeb"/>
        <w:spacing w:before="0" w:beforeAutospacing="0" w:after="240" w:afterAutospacing="0" w:line="360" w:lineRule="auto"/>
      </w:pPr>
    </w:p>
    <w:p w14:paraId="259B6D15" w14:textId="77777777" w:rsidR="00884CDC" w:rsidRDefault="00884CDC" w:rsidP="000F55DD">
      <w:pPr>
        <w:pStyle w:val="NormalWeb"/>
        <w:spacing w:before="0" w:beforeAutospacing="0" w:after="240" w:afterAutospacing="0" w:line="360" w:lineRule="auto"/>
      </w:pPr>
    </w:p>
    <w:p w14:paraId="64E05817" w14:textId="77777777" w:rsidR="00884CDC" w:rsidRDefault="00884CDC" w:rsidP="000F55DD">
      <w:pPr>
        <w:pStyle w:val="NormalWeb"/>
        <w:spacing w:before="0" w:beforeAutospacing="0" w:after="240" w:afterAutospacing="0" w:line="360" w:lineRule="auto"/>
      </w:pPr>
    </w:p>
    <w:p w14:paraId="5992D641" w14:textId="77777777" w:rsidR="00884CDC" w:rsidRDefault="00884CDC" w:rsidP="000F55DD">
      <w:pPr>
        <w:pStyle w:val="NormalWeb"/>
        <w:spacing w:before="0" w:beforeAutospacing="0" w:after="240" w:afterAutospacing="0" w:line="360" w:lineRule="auto"/>
      </w:pPr>
    </w:p>
    <w:p w14:paraId="371885DE" w14:textId="77777777" w:rsidR="00884CDC" w:rsidRDefault="00884CDC" w:rsidP="000F55DD">
      <w:pPr>
        <w:pStyle w:val="NormalWeb"/>
        <w:spacing w:before="0" w:beforeAutospacing="0" w:after="240" w:afterAutospacing="0" w:line="360" w:lineRule="auto"/>
      </w:pPr>
    </w:p>
    <w:p w14:paraId="2109537B" w14:textId="77777777" w:rsidR="00A2059B" w:rsidRDefault="00A2059B" w:rsidP="00524A2A">
      <w:pPr>
        <w:pStyle w:val="NormalWeb"/>
        <w:spacing w:before="0" w:beforeAutospacing="0" w:after="240" w:afterAutospacing="0" w:line="360" w:lineRule="auto"/>
        <w:rPr>
          <w:b/>
          <w:bCs/>
          <w:color w:val="000000" w:themeColor="text1"/>
          <w:u w:val="single"/>
        </w:rPr>
      </w:pPr>
    </w:p>
    <w:p w14:paraId="1F22B3C5" w14:textId="77777777" w:rsidR="00EC18D6" w:rsidRDefault="00EC18D6" w:rsidP="00524A2A">
      <w:pPr>
        <w:pStyle w:val="NormalWeb"/>
        <w:spacing w:before="0" w:beforeAutospacing="0" w:after="240" w:afterAutospacing="0" w:line="360" w:lineRule="auto"/>
        <w:rPr>
          <w:b/>
          <w:bCs/>
          <w:color w:val="000000" w:themeColor="text1"/>
          <w:u w:val="single"/>
        </w:rPr>
      </w:pPr>
    </w:p>
    <w:p w14:paraId="5ED61F5E" w14:textId="408DE8A4" w:rsidR="00A2059B" w:rsidRDefault="00A2059B" w:rsidP="00524A2A">
      <w:pPr>
        <w:pStyle w:val="NormalWeb"/>
        <w:spacing w:before="0" w:beforeAutospacing="0" w:after="240" w:afterAutospacing="0" w:line="360" w:lineRule="auto"/>
        <w:rPr>
          <w:b/>
          <w:bCs/>
          <w:color w:val="000000" w:themeColor="text1"/>
          <w:u w:val="single"/>
        </w:rPr>
      </w:pPr>
      <w:r>
        <w:rPr>
          <w:b/>
          <w:bCs/>
          <w:color w:val="000000" w:themeColor="text1"/>
          <w:u w:val="single"/>
        </w:rPr>
        <w:lastRenderedPageBreak/>
        <w:t xml:space="preserve">Bibliography </w:t>
      </w:r>
    </w:p>
    <w:p w14:paraId="5B5D4DF9" w14:textId="35176DA5" w:rsidR="00524A2A" w:rsidRPr="00A2059B" w:rsidRDefault="00524A2A" w:rsidP="00524A2A">
      <w:pPr>
        <w:pStyle w:val="NormalWeb"/>
        <w:spacing w:before="0" w:beforeAutospacing="0" w:after="240" w:afterAutospacing="0" w:line="360" w:lineRule="auto"/>
        <w:rPr>
          <w:color w:val="000000" w:themeColor="text1"/>
        </w:rPr>
      </w:pPr>
      <w:proofErr w:type="spellStart"/>
      <w:r w:rsidRPr="00A2059B">
        <w:rPr>
          <w:color w:val="000000" w:themeColor="text1"/>
        </w:rPr>
        <w:t>Angin</w:t>
      </w:r>
      <w:proofErr w:type="spellEnd"/>
      <w:r w:rsidRPr="00A2059B">
        <w:rPr>
          <w:color w:val="000000" w:themeColor="text1"/>
        </w:rPr>
        <w:t xml:space="preserve">, S. (2020). </w:t>
      </w:r>
      <w:r w:rsidRPr="00A2059B">
        <w:rPr>
          <w:i/>
          <w:iCs/>
          <w:color w:val="000000" w:themeColor="text1"/>
        </w:rPr>
        <w:t>Comparative Kinesiology of the Human Body</w:t>
      </w:r>
      <w:r w:rsidRPr="00A2059B">
        <w:rPr>
          <w:color w:val="000000" w:themeColor="text1"/>
        </w:rPr>
        <w:t>. 1st ed. Academic Press, pp.115–147.</w:t>
      </w:r>
    </w:p>
    <w:p w14:paraId="7AC5C334" w14:textId="7E4ECD9C" w:rsidR="000F55DD" w:rsidRPr="00A2059B" w:rsidRDefault="000F55DD" w:rsidP="000F55DD">
      <w:pPr>
        <w:pStyle w:val="NormalWeb"/>
        <w:spacing w:before="0" w:beforeAutospacing="0" w:after="240" w:afterAutospacing="0" w:line="360" w:lineRule="auto"/>
        <w:rPr>
          <w:color w:val="000000" w:themeColor="text1"/>
        </w:rPr>
      </w:pPr>
      <w:proofErr w:type="spellStart"/>
      <w:r w:rsidRPr="00A2059B">
        <w:rPr>
          <w:color w:val="000000" w:themeColor="text1"/>
        </w:rPr>
        <w:t>Bengtzen</w:t>
      </w:r>
      <w:proofErr w:type="spellEnd"/>
      <w:r w:rsidRPr="00A2059B">
        <w:rPr>
          <w:color w:val="000000" w:themeColor="text1"/>
        </w:rPr>
        <w:t xml:space="preserve">, R.R., Ma, O.J. and </w:t>
      </w:r>
      <w:proofErr w:type="spellStart"/>
      <w:r w:rsidRPr="00A2059B">
        <w:rPr>
          <w:color w:val="000000" w:themeColor="text1"/>
        </w:rPr>
        <w:t>Herzka</w:t>
      </w:r>
      <w:proofErr w:type="spellEnd"/>
      <w:r w:rsidRPr="00A2059B">
        <w:rPr>
          <w:color w:val="000000" w:themeColor="text1"/>
        </w:rPr>
        <w:t xml:space="preserve">, A. (2018). Point-of-Care Ultrasound Diagnosis of Proximal Hamstring Rupture. </w:t>
      </w:r>
      <w:r w:rsidRPr="00A2059B">
        <w:rPr>
          <w:i/>
          <w:iCs/>
          <w:color w:val="000000" w:themeColor="text1"/>
        </w:rPr>
        <w:t>The Journal of Emergency Medicine</w:t>
      </w:r>
      <w:r w:rsidRPr="00A2059B">
        <w:rPr>
          <w:color w:val="000000" w:themeColor="text1"/>
        </w:rPr>
        <w:t xml:space="preserve">, 54(2), pp.225–228. </w:t>
      </w:r>
      <w:proofErr w:type="gramStart"/>
      <w:r w:rsidRPr="00A2059B">
        <w:rPr>
          <w:color w:val="000000" w:themeColor="text1"/>
        </w:rPr>
        <w:t>doi:10.1016/j.jemermed</w:t>
      </w:r>
      <w:proofErr w:type="gramEnd"/>
      <w:r w:rsidRPr="00A2059B">
        <w:rPr>
          <w:color w:val="000000" w:themeColor="text1"/>
        </w:rPr>
        <w:t>.2017.11.027.</w:t>
      </w:r>
    </w:p>
    <w:p w14:paraId="3F456745" w14:textId="77777777" w:rsidR="00AA16DF" w:rsidRPr="00A2059B" w:rsidRDefault="00AA16DF" w:rsidP="00AA16DF">
      <w:pPr>
        <w:pStyle w:val="NormalWeb"/>
        <w:spacing w:before="0" w:beforeAutospacing="0" w:after="240" w:afterAutospacing="0" w:line="360" w:lineRule="auto"/>
        <w:rPr>
          <w:color w:val="000000" w:themeColor="text1"/>
        </w:rPr>
      </w:pPr>
      <w:proofErr w:type="spellStart"/>
      <w:r w:rsidRPr="00A2059B">
        <w:rPr>
          <w:color w:val="000000" w:themeColor="text1"/>
        </w:rPr>
        <w:t>Bertiche</w:t>
      </w:r>
      <w:proofErr w:type="spellEnd"/>
      <w:r w:rsidRPr="00A2059B">
        <w:rPr>
          <w:color w:val="000000" w:themeColor="text1"/>
        </w:rPr>
        <w:t xml:space="preserve">, P., </w:t>
      </w:r>
      <w:proofErr w:type="spellStart"/>
      <w:r w:rsidRPr="00A2059B">
        <w:rPr>
          <w:color w:val="000000" w:themeColor="text1"/>
        </w:rPr>
        <w:t>Mohtadi</w:t>
      </w:r>
      <w:proofErr w:type="spellEnd"/>
      <w:r w:rsidRPr="00A2059B">
        <w:rPr>
          <w:color w:val="000000" w:themeColor="text1"/>
        </w:rPr>
        <w:t xml:space="preserve">, N., Chan, D. and </w:t>
      </w:r>
      <w:proofErr w:type="spellStart"/>
      <w:r w:rsidRPr="00A2059B">
        <w:rPr>
          <w:color w:val="000000" w:themeColor="text1"/>
        </w:rPr>
        <w:t>Hölmich</w:t>
      </w:r>
      <w:proofErr w:type="spellEnd"/>
      <w:r w:rsidRPr="00A2059B">
        <w:rPr>
          <w:color w:val="000000" w:themeColor="text1"/>
        </w:rPr>
        <w:t xml:space="preserve">, P. (2021). Proximal hamstring tendon avulsion: state of the art. </w:t>
      </w:r>
      <w:r w:rsidRPr="00A2059B">
        <w:rPr>
          <w:i/>
          <w:iCs/>
          <w:color w:val="000000" w:themeColor="text1"/>
        </w:rPr>
        <w:t>Journal of ISAKOS</w:t>
      </w:r>
      <w:r w:rsidRPr="00A2059B">
        <w:rPr>
          <w:color w:val="000000" w:themeColor="text1"/>
        </w:rPr>
        <w:t>, 6(4), pp.237–246. doi:10.1136/jisakos-2019-000420.</w:t>
      </w:r>
    </w:p>
    <w:p w14:paraId="5E6761BB" w14:textId="77777777" w:rsidR="006A190E" w:rsidRPr="00A2059B" w:rsidRDefault="006A190E" w:rsidP="006A190E">
      <w:pPr>
        <w:pStyle w:val="NormalWeb"/>
        <w:spacing w:before="0" w:beforeAutospacing="0" w:after="240" w:afterAutospacing="0" w:line="360" w:lineRule="auto"/>
        <w:rPr>
          <w:color w:val="000000" w:themeColor="text1"/>
        </w:rPr>
      </w:pPr>
      <w:r w:rsidRPr="00A2059B">
        <w:rPr>
          <w:color w:val="000000" w:themeColor="text1"/>
        </w:rPr>
        <w:t xml:space="preserve">Bowman, K.F., Cohen, S.B. and Bradley, J.P. (2013). Operative Management of Partial-Thickness Tears of the Proximal Hamstring Muscles in Athletes. </w:t>
      </w:r>
      <w:r w:rsidRPr="00A2059B">
        <w:rPr>
          <w:i/>
          <w:iCs/>
          <w:color w:val="000000" w:themeColor="text1"/>
        </w:rPr>
        <w:t>The American Journal of Sports Medicine</w:t>
      </w:r>
      <w:r w:rsidRPr="00A2059B">
        <w:rPr>
          <w:color w:val="000000" w:themeColor="text1"/>
        </w:rPr>
        <w:t>, 41(6), pp.1363–1371. doi:10.1177/0363546513482717.</w:t>
      </w:r>
    </w:p>
    <w:p w14:paraId="03B8CA3E" w14:textId="77777777" w:rsidR="00A23D0C" w:rsidRPr="00A2059B" w:rsidRDefault="00A23D0C" w:rsidP="00A23D0C">
      <w:pPr>
        <w:pStyle w:val="NormalWeb"/>
        <w:spacing w:before="0" w:beforeAutospacing="0" w:after="240" w:afterAutospacing="0" w:line="360" w:lineRule="auto"/>
        <w:rPr>
          <w:color w:val="000000" w:themeColor="text1"/>
        </w:rPr>
      </w:pPr>
      <w:r w:rsidRPr="00A2059B">
        <w:rPr>
          <w:color w:val="000000" w:themeColor="text1"/>
        </w:rPr>
        <w:t xml:space="preserve">Chu, S.K. and Rho, M.E. (2016). Hamstring injuries in the athlete. </w:t>
      </w:r>
      <w:r w:rsidRPr="00A2059B">
        <w:rPr>
          <w:i/>
          <w:iCs/>
          <w:color w:val="000000" w:themeColor="text1"/>
        </w:rPr>
        <w:t>Current Sports Medicine Reports</w:t>
      </w:r>
      <w:r w:rsidRPr="00A2059B">
        <w:rPr>
          <w:color w:val="000000" w:themeColor="text1"/>
        </w:rPr>
        <w:t>, 15(3), pp.184–190. doi:10.1249/jsr.0000000000000264.</w:t>
      </w:r>
    </w:p>
    <w:p w14:paraId="61FC3025" w14:textId="77777777" w:rsidR="00247905" w:rsidRPr="00A2059B" w:rsidRDefault="00247905" w:rsidP="00247905">
      <w:pPr>
        <w:pStyle w:val="NormalWeb"/>
        <w:spacing w:before="0" w:beforeAutospacing="0" w:after="240" w:afterAutospacing="0" w:line="360" w:lineRule="auto"/>
        <w:rPr>
          <w:color w:val="000000" w:themeColor="text1"/>
        </w:rPr>
      </w:pPr>
      <w:proofErr w:type="spellStart"/>
      <w:r w:rsidRPr="00A2059B">
        <w:rPr>
          <w:color w:val="000000" w:themeColor="text1"/>
        </w:rPr>
        <w:t>Doblare</w:t>
      </w:r>
      <w:proofErr w:type="spellEnd"/>
      <w:r w:rsidRPr="00A2059B">
        <w:rPr>
          <w:color w:val="000000" w:themeColor="text1"/>
        </w:rPr>
        <w:t xml:space="preserve">, M. and </w:t>
      </w:r>
      <w:proofErr w:type="spellStart"/>
      <w:r w:rsidRPr="00A2059B">
        <w:rPr>
          <w:color w:val="000000" w:themeColor="text1"/>
        </w:rPr>
        <w:t>Merodio</w:t>
      </w:r>
      <w:proofErr w:type="spellEnd"/>
      <w:r w:rsidRPr="00A2059B">
        <w:rPr>
          <w:color w:val="000000" w:themeColor="text1"/>
        </w:rPr>
        <w:t xml:space="preserve">, J. (2015). An Introduction to Biomechanics and </w:t>
      </w:r>
      <w:proofErr w:type="spellStart"/>
      <w:r w:rsidRPr="00A2059B">
        <w:rPr>
          <w:color w:val="000000" w:themeColor="text1"/>
        </w:rPr>
        <w:t>Mechanobiolog</w:t>
      </w:r>
      <w:proofErr w:type="spellEnd"/>
      <w:r w:rsidRPr="00A2059B">
        <w:rPr>
          <w:color w:val="000000" w:themeColor="text1"/>
        </w:rPr>
        <w:t>. [online] Available at: https://www.researchgate.net/publication/328496314_An_Introduction_to_Biomechanics_and_Mechanobiology.</w:t>
      </w:r>
    </w:p>
    <w:p w14:paraId="107A9E55" w14:textId="77777777" w:rsidR="009035C8" w:rsidRPr="00A2059B" w:rsidRDefault="009035C8" w:rsidP="009035C8">
      <w:pPr>
        <w:pStyle w:val="NormalWeb"/>
        <w:spacing w:before="0" w:beforeAutospacing="0" w:after="240" w:afterAutospacing="0" w:line="360" w:lineRule="auto"/>
        <w:rPr>
          <w:color w:val="000000" w:themeColor="text1"/>
        </w:rPr>
      </w:pPr>
      <w:proofErr w:type="spellStart"/>
      <w:r w:rsidRPr="00A2059B">
        <w:rPr>
          <w:color w:val="000000" w:themeColor="text1"/>
        </w:rPr>
        <w:t>Heiderscheit</w:t>
      </w:r>
      <w:proofErr w:type="spellEnd"/>
      <w:r w:rsidRPr="00A2059B">
        <w:rPr>
          <w:color w:val="000000" w:themeColor="text1"/>
        </w:rPr>
        <w:t xml:space="preserve">, B.C., Sherry, M.A., </w:t>
      </w:r>
      <w:proofErr w:type="spellStart"/>
      <w:r w:rsidRPr="00A2059B">
        <w:rPr>
          <w:color w:val="000000" w:themeColor="text1"/>
        </w:rPr>
        <w:t>Silder</w:t>
      </w:r>
      <w:proofErr w:type="spellEnd"/>
      <w:r w:rsidRPr="00A2059B">
        <w:rPr>
          <w:color w:val="000000" w:themeColor="text1"/>
        </w:rPr>
        <w:t xml:space="preserve">, A., </w:t>
      </w:r>
      <w:proofErr w:type="spellStart"/>
      <w:r w:rsidRPr="00A2059B">
        <w:rPr>
          <w:color w:val="000000" w:themeColor="text1"/>
        </w:rPr>
        <w:t>Chumanov</w:t>
      </w:r>
      <w:proofErr w:type="spellEnd"/>
      <w:r w:rsidRPr="00A2059B">
        <w:rPr>
          <w:color w:val="000000" w:themeColor="text1"/>
        </w:rPr>
        <w:t xml:space="preserve">, E.S. and </w:t>
      </w:r>
      <w:proofErr w:type="spellStart"/>
      <w:r w:rsidRPr="00A2059B">
        <w:rPr>
          <w:color w:val="000000" w:themeColor="text1"/>
        </w:rPr>
        <w:t>Thelen</w:t>
      </w:r>
      <w:proofErr w:type="spellEnd"/>
      <w:r w:rsidRPr="00A2059B">
        <w:rPr>
          <w:color w:val="000000" w:themeColor="text1"/>
        </w:rPr>
        <w:t xml:space="preserve">, D.G. (2010). Hamstring Strain Injuries: Recommendations for Diagnosis, Rehabilitation, and Injury Prevention. </w:t>
      </w:r>
      <w:r w:rsidRPr="00A2059B">
        <w:rPr>
          <w:i/>
          <w:iCs/>
          <w:color w:val="000000" w:themeColor="text1"/>
        </w:rPr>
        <w:t>Journal of Orthopaedic &amp; Sports Physical Therapy</w:t>
      </w:r>
      <w:r w:rsidRPr="00A2059B">
        <w:rPr>
          <w:color w:val="000000" w:themeColor="text1"/>
        </w:rPr>
        <w:t>, 40(2), pp.67–81.</w:t>
      </w:r>
    </w:p>
    <w:p w14:paraId="6686CBCC" w14:textId="72CC06E4" w:rsidR="00D24D1A" w:rsidRPr="00A2059B" w:rsidRDefault="00D24D1A" w:rsidP="00F0029B">
      <w:pPr>
        <w:pStyle w:val="NormalWeb"/>
        <w:spacing w:before="0" w:beforeAutospacing="0" w:after="240" w:afterAutospacing="0" w:line="360" w:lineRule="auto"/>
        <w:rPr>
          <w:color w:val="000000" w:themeColor="text1"/>
        </w:rPr>
      </w:pPr>
      <w:r w:rsidRPr="00A2059B">
        <w:rPr>
          <w:color w:val="000000" w:themeColor="text1"/>
        </w:rPr>
        <w:t xml:space="preserve">Hoffmann, A. and Gross, G. (2007). Tendon and ligament engineering in the adult organism: mesenchymal stem cells and gene-therapeutic approaches. </w:t>
      </w:r>
      <w:r w:rsidRPr="00A2059B">
        <w:rPr>
          <w:i/>
          <w:iCs/>
          <w:color w:val="000000" w:themeColor="text1"/>
        </w:rPr>
        <w:t>International Orthopaedics</w:t>
      </w:r>
      <w:r w:rsidRPr="00A2059B">
        <w:rPr>
          <w:color w:val="000000" w:themeColor="text1"/>
        </w:rPr>
        <w:t>, 31(6), pp.791–797. doi:10.1007/s00264-007-0395-9.</w:t>
      </w:r>
    </w:p>
    <w:p w14:paraId="1C512F36" w14:textId="77777777" w:rsidR="00141640" w:rsidRPr="00A2059B" w:rsidRDefault="00141640" w:rsidP="00141640">
      <w:pPr>
        <w:pStyle w:val="NormalWeb"/>
        <w:spacing w:before="0" w:beforeAutospacing="0" w:after="240" w:afterAutospacing="0" w:line="360" w:lineRule="auto"/>
        <w:rPr>
          <w:color w:val="000000" w:themeColor="text1"/>
        </w:rPr>
      </w:pPr>
      <w:r w:rsidRPr="00A2059B">
        <w:rPr>
          <w:color w:val="000000" w:themeColor="text1"/>
        </w:rPr>
        <w:t xml:space="preserve">Kurosawa, H., </w:t>
      </w:r>
      <w:proofErr w:type="spellStart"/>
      <w:r w:rsidRPr="00A2059B">
        <w:rPr>
          <w:color w:val="000000" w:themeColor="text1"/>
        </w:rPr>
        <w:t>Nakasita</w:t>
      </w:r>
      <w:proofErr w:type="spellEnd"/>
      <w:r w:rsidRPr="00A2059B">
        <w:rPr>
          <w:color w:val="000000" w:themeColor="text1"/>
        </w:rPr>
        <w:t xml:space="preserve">, K., </w:t>
      </w:r>
      <w:proofErr w:type="spellStart"/>
      <w:r w:rsidRPr="00A2059B">
        <w:rPr>
          <w:color w:val="000000" w:themeColor="text1"/>
        </w:rPr>
        <w:t>Nakasita</w:t>
      </w:r>
      <w:proofErr w:type="spellEnd"/>
      <w:r w:rsidRPr="00A2059B">
        <w:rPr>
          <w:color w:val="000000" w:themeColor="text1"/>
        </w:rPr>
        <w:t xml:space="preserve">, H., Sasaki, S. and Takeda, S. (1996). Complete avulsion of the hamstring tendons from the ischial tuberosity. A report of two cases sustained in judo. </w:t>
      </w:r>
      <w:r w:rsidRPr="00A2059B">
        <w:rPr>
          <w:i/>
          <w:iCs/>
          <w:color w:val="000000" w:themeColor="text1"/>
        </w:rPr>
        <w:t>British Journal of Sports Medicine</w:t>
      </w:r>
      <w:r w:rsidRPr="00A2059B">
        <w:rPr>
          <w:color w:val="000000" w:themeColor="text1"/>
        </w:rPr>
        <w:t>, 30(1), pp.72–74. doi:10.1136/bjsm.30.1.72.</w:t>
      </w:r>
    </w:p>
    <w:p w14:paraId="0DCB032F" w14:textId="77777777" w:rsidR="00A00CCB" w:rsidRPr="00A2059B" w:rsidRDefault="00141640" w:rsidP="00A00CCB">
      <w:pPr>
        <w:pStyle w:val="NormalWeb"/>
        <w:spacing w:before="0" w:beforeAutospacing="0" w:after="240" w:afterAutospacing="0" w:line="360" w:lineRule="auto"/>
        <w:rPr>
          <w:color w:val="000000" w:themeColor="text1"/>
        </w:rPr>
      </w:pPr>
      <w:r w:rsidRPr="00A2059B">
        <w:rPr>
          <w:color w:val="000000" w:themeColor="text1"/>
        </w:rPr>
        <w:lastRenderedPageBreak/>
        <w:t xml:space="preserve"> </w:t>
      </w:r>
      <w:proofErr w:type="spellStart"/>
      <w:r w:rsidR="00A00CCB" w:rsidRPr="00A2059B">
        <w:rPr>
          <w:color w:val="000000" w:themeColor="text1"/>
        </w:rPr>
        <w:t>Kwong</w:t>
      </w:r>
      <w:proofErr w:type="spellEnd"/>
      <w:r w:rsidR="00A00CCB" w:rsidRPr="00A2059B">
        <w:rPr>
          <w:color w:val="000000" w:themeColor="text1"/>
        </w:rPr>
        <w:t xml:space="preserve">, Y. (2006). Spontaneous complete hamstring avulsion causing posterior thigh compartment syndrome * Commentary. </w:t>
      </w:r>
      <w:r w:rsidR="00A00CCB" w:rsidRPr="00A2059B">
        <w:rPr>
          <w:i/>
          <w:iCs/>
          <w:color w:val="000000" w:themeColor="text1"/>
        </w:rPr>
        <w:t>British Journal of Sports Medicine</w:t>
      </w:r>
      <w:r w:rsidR="00A00CCB" w:rsidRPr="00A2059B">
        <w:rPr>
          <w:color w:val="000000" w:themeColor="text1"/>
        </w:rPr>
        <w:t>, 40(8), pp.723–724. doi:10.1136/bjsm.2005.022749.</w:t>
      </w:r>
    </w:p>
    <w:p w14:paraId="10F122E5" w14:textId="77777777" w:rsidR="00C53CA7" w:rsidRPr="00A2059B" w:rsidRDefault="00C53CA7" w:rsidP="00C53CA7">
      <w:pPr>
        <w:pStyle w:val="NormalWeb"/>
        <w:spacing w:before="0" w:beforeAutospacing="0" w:after="240" w:afterAutospacing="0" w:line="360" w:lineRule="auto"/>
        <w:rPr>
          <w:color w:val="000000" w:themeColor="text1"/>
        </w:rPr>
      </w:pPr>
      <w:r w:rsidRPr="00A2059B">
        <w:rPr>
          <w:color w:val="000000" w:themeColor="text1"/>
        </w:rPr>
        <w:t xml:space="preserve">Liu, H., Garrett, W.E., Moorman, C.T. and Yu, B. (2012). Injury rate, mechanism, and risk factors of hamstring strain injuries in sports: A review of the literature. </w:t>
      </w:r>
      <w:r w:rsidRPr="00A2059B">
        <w:rPr>
          <w:i/>
          <w:iCs/>
          <w:color w:val="000000" w:themeColor="text1"/>
        </w:rPr>
        <w:t>Journal of Sport and Health Science</w:t>
      </w:r>
      <w:r w:rsidRPr="00A2059B">
        <w:rPr>
          <w:color w:val="000000" w:themeColor="text1"/>
        </w:rPr>
        <w:t xml:space="preserve">, [online] 1(2), pp.92–101. </w:t>
      </w:r>
      <w:proofErr w:type="gramStart"/>
      <w:r w:rsidRPr="00A2059B">
        <w:rPr>
          <w:color w:val="000000" w:themeColor="text1"/>
        </w:rPr>
        <w:t>doi:10.1016/j.jshs</w:t>
      </w:r>
      <w:proofErr w:type="gramEnd"/>
      <w:r w:rsidRPr="00A2059B">
        <w:rPr>
          <w:color w:val="000000" w:themeColor="text1"/>
        </w:rPr>
        <w:t>.2012.07.003.</w:t>
      </w:r>
    </w:p>
    <w:p w14:paraId="7DFAE534" w14:textId="77777777" w:rsidR="00567971" w:rsidRPr="00A2059B" w:rsidRDefault="00567971" w:rsidP="00567971">
      <w:pPr>
        <w:pStyle w:val="NormalWeb"/>
        <w:spacing w:before="0" w:beforeAutospacing="0" w:after="240" w:afterAutospacing="0" w:line="360" w:lineRule="auto"/>
        <w:rPr>
          <w:color w:val="000000" w:themeColor="text1"/>
        </w:rPr>
      </w:pPr>
      <w:r w:rsidRPr="00A2059B">
        <w:rPr>
          <w:color w:val="000000" w:themeColor="text1"/>
        </w:rPr>
        <w:t xml:space="preserve">Martin, R.L., </w:t>
      </w:r>
      <w:proofErr w:type="spellStart"/>
      <w:r w:rsidRPr="00A2059B">
        <w:rPr>
          <w:color w:val="000000" w:themeColor="text1"/>
        </w:rPr>
        <w:t>Schröder</w:t>
      </w:r>
      <w:proofErr w:type="spellEnd"/>
      <w:r w:rsidRPr="00A2059B">
        <w:rPr>
          <w:color w:val="000000" w:themeColor="text1"/>
        </w:rPr>
        <w:t>, R.G., Gomez-</w:t>
      </w:r>
      <w:proofErr w:type="spellStart"/>
      <w:r w:rsidRPr="00A2059B">
        <w:rPr>
          <w:color w:val="000000" w:themeColor="text1"/>
        </w:rPr>
        <w:t>Hoyos</w:t>
      </w:r>
      <w:proofErr w:type="spellEnd"/>
      <w:r w:rsidRPr="00A2059B">
        <w:rPr>
          <w:color w:val="000000" w:themeColor="text1"/>
        </w:rPr>
        <w:t xml:space="preserve">, J., Khoury, A.N., Palmer, I.J., McGovern, </w:t>
      </w:r>
      <w:proofErr w:type="gramStart"/>
      <w:r w:rsidRPr="00A2059B">
        <w:rPr>
          <w:color w:val="000000" w:themeColor="text1"/>
        </w:rPr>
        <w:t>R.P.</w:t>
      </w:r>
      <w:proofErr w:type="gramEnd"/>
      <w:r w:rsidRPr="00A2059B">
        <w:rPr>
          <w:color w:val="000000" w:themeColor="text1"/>
        </w:rPr>
        <w:t xml:space="preserve"> and Martin, H.D. (2018). Accuracy of 3 Clinical Tests to Diagnose Proximal Hamstrings Tears </w:t>
      </w:r>
      <w:proofErr w:type="gramStart"/>
      <w:r w:rsidRPr="00A2059B">
        <w:rPr>
          <w:color w:val="000000" w:themeColor="text1"/>
        </w:rPr>
        <w:t>With</w:t>
      </w:r>
      <w:proofErr w:type="gramEnd"/>
      <w:r w:rsidRPr="00A2059B">
        <w:rPr>
          <w:color w:val="000000" w:themeColor="text1"/>
        </w:rPr>
        <w:t xml:space="preserve"> and Without Sciatic Nerve Involvement in Patients With Posterior Hip Pain. </w:t>
      </w:r>
      <w:r w:rsidRPr="00A2059B">
        <w:rPr>
          <w:i/>
          <w:iCs/>
          <w:color w:val="000000" w:themeColor="text1"/>
        </w:rPr>
        <w:t>Arthroscopy: The Journal of Arthroscopic &amp; Related Surgery</w:t>
      </w:r>
      <w:r w:rsidRPr="00A2059B">
        <w:rPr>
          <w:color w:val="000000" w:themeColor="text1"/>
        </w:rPr>
        <w:t xml:space="preserve">, 34(1), pp.114–121. </w:t>
      </w:r>
      <w:proofErr w:type="gramStart"/>
      <w:r w:rsidRPr="00A2059B">
        <w:rPr>
          <w:color w:val="000000" w:themeColor="text1"/>
        </w:rPr>
        <w:t>doi:10.1016/j.arthro</w:t>
      </w:r>
      <w:proofErr w:type="gramEnd"/>
      <w:r w:rsidRPr="00A2059B">
        <w:rPr>
          <w:color w:val="000000" w:themeColor="text1"/>
        </w:rPr>
        <w:t>.2017.06.048.</w:t>
      </w:r>
    </w:p>
    <w:p w14:paraId="4852E8F7" w14:textId="77777777" w:rsidR="00BF0016" w:rsidRPr="00A2059B" w:rsidRDefault="00BF0016" w:rsidP="00BF0016">
      <w:pPr>
        <w:pStyle w:val="NormalWeb"/>
        <w:spacing w:before="0" w:beforeAutospacing="0" w:after="240" w:afterAutospacing="0" w:line="360" w:lineRule="auto"/>
        <w:rPr>
          <w:color w:val="000000" w:themeColor="text1"/>
        </w:rPr>
      </w:pPr>
      <w:r w:rsidRPr="00A2059B">
        <w:rPr>
          <w:color w:val="000000" w:themeColor="text1"/>
        </w:rPr>
        <w:t xml:space="preserve">Pasic, N., </w:t>
      </w:r>
      <w:proofErr w:type="spellStart"/>
      <w:r w:rsidRPr="00A2059B">
        <w:rPr>
          <w:color w:val="000000" w:themeColor="text1"/>
        </w:rPr>
        <w:t>Giffin</w:t>
      </w:r>
      <w:proofErr w:type="spellEnd"/>
      <w:r w:rsidRPr="00A2059B">
        <w:rPr>
          <w:color w:val="000000" w:themeColor="text1"/>
        </w:rPr>
        <w:t xml:space="preserve">, J.R. and Degen, R.M. (2019). Practice patterns for the treatment of acute proximal hamstring ruptures. </w:t>
      </w:r>
      <w:r w:rsidRPr="00A2059B">
        <w:rPr>
          <w:i/>
          <w:iCs/>
          <w:color w:val="000000" w:themeColor="text1"/>
        </w:rPr>
        <w:t xml:space="preserve">The Physician and </w:t>
      </w:r>
      <w:proofErr w:type="spellStart"/>
      <w:r w:rsidRPr="00A2059B">
        <w:rPr>
          <w:i/>
          <w:iCs/>
          <w:color w:val="000000" w:themeColor="text1"/>
        </w:rPr>
        <w:t>Sportsmedicine</w:t>
      </w:r>
      <w:proofErr w:type="spellEnd"/>
      <w:r w:rsidRPr="00A2059B">
        <w:rPr>
          <w:color w:val="000000" w:themeColor="text1"/>
        </w:rPr>
        <w:t>, 48(1), pp.116–122. doi:10.1080/00913847.2019.1645576.</w:t>
      </w:r>
    </w:p>
    <w:p w14:paraId="188CBBFE" w14:textId="77777777" w:rsidR="00447B6E" w:rsidRPr="00A2059B" w:rsidRDefault="00447B6E" w:rsidP="00447B6E">
      <w:pPr>
        <w:pStyle w:val="NormalWeb"/>
        <w:spacing w:before="0" w:beforeAutospacing="0" w:after="240" w:afterAutospacing="0" w:line="360" w:lineRule="auto"/>
        <w:rPr>
          <w:color w:val="000000" w:themeColor="text1"/>
        </w:rPr>
      </w:pPr>
      <w:r w:rsidRPr="00A2059B">
        <w:rPr>
          <w:color w:val="000000" w:themeColor="text1"/>
        </w:rPr>
        <w:t xml:space="preserve">Petersen, J. (2005). Evidence based prevention of hamstring injuries in sport. </w:t>
      </w:r>
      <w:r w:rsidRPr="00A2059B">
        <w:rPr>
          <w:i/>
          <w:iCs/>
          <w:color w:val="000000" w:themeColor="text1"/>
        </w:rPr>
        <w:t>British Journal of Sports Medicine</w:t>
      </w:r>
      <w:r w:rsidRPr="00A2059B">
        <w:rPr>
          <w:color w:val="000000" w:themeColor="text1"/>
        </w:rPr>
        <w:t>, [online] 39(6), pp.319–323. doi:10.1136/bjsm.2005.018549.</w:t>
      </w:r>
    </w:p>
    <w:p w14:paraId="7EADC615" w14:textId="2C716ECA" w:rsidR="007F4196" w:rsidRPr="00A2059B" w:rsidRDefault="007F4196" w:rsidP="007F4196">
      <w:pPr>
        <w:pStyle w:val="NormalWeb"/>
        <w:spacing w:before="0" w:beforeAutospacing="0" w:after="240" w:afterAutospacing="0" w:line="360" w:lineRule="auto"/>
        <w:rPr>
          <w:color w:val="000000" w:themeColor="text1"/>
        </w:rPr>
      </w:pPr>
      <w:r w:rsidRPr="00A2059B">
        <w:rPr>
          <w:color w:val="000000" w:themeColor="text1"/>
        </w:rPr>
        <w:t xml:space="preserve">Robinson, D.M. and </w:t>
      </w:r>
      <w:proofErr w:type="spellStart"/>
      <w:r w:rsidRPr="00A2059B">
        <w:rPr>
          <w:color w:val="000000" w:themeColor="text1"/>
        </w:rPr>
        <w:t>Mclnnis</w:t>
      </w:r>
      <w:proofErr w:type="spellEnd"/>
      <w:r w:rsidRPr="00A2059B">
        <w:rPr>
          <w:color w:val="000000" w:themeColor="text1"/>
        </w:rPr>
        <w:t xml:space="preserve">, K.C. (2021). Hamstring and Calf Injuries. </w:t>
      </w:r>
      <w:r w:rsidRPr="00A2059B">
        <w:rPr>
          <w:i/>
          <w:iCs/>
          <w:color w:val="000000" w:themeColor="text1"/>
        </w:rPr>
        <w:t xml:space="preserve">Principles of </w:t>
      </w:r>
      <w:proofErr w:type="spellStart"/>
      <w:r w:rsidRPr="00A2059B">
        <w:rPr>
          <w:i/>
          <w:iCs/>
          <w:color w:val="000000" w:themeColor="text1"/>
        </w:rPr>
        <w:t>Orthopedic</w:t>
      </w:r>
      <w:proofErr w:type="spellEnd"/>
      <w:r w:rsidRPr="00A2059B">
        <w:rPr>
          <w:i/>
          <w:iCs/>
          <w:color w:val="000000" w:themeColor="text1"/>
        </w:rPr>
        <w:t xml:space="preserve"> Practice for Primary Care Providers</w:t>
      </w:r>
      <w:r w:rsidRPr="00A2059B">
        <w:rPr>
          <w:color w:val="000000" w:themeColor="text1"/>
        </w:rPr>
        <w:t xml:space="preserve">, pp.351–368. </w:t>
      </w:r>
      <w:proofErr w:type="spellStart"/>
      <w:proofErr w:type="gramStart"/>
      <w:r w:rsidRPr="00A2059B">
        <w:rPr>
          <w:color w:val="000000" w:themeColor="text1"/>
        </w:rPr>
        <w:t>doi:https</w:t>
      </w:r>
      <w:proofErr w:type="spellEnd"/>
      <w:r w:rsidRPr="00A2059B">
        <w:rPr>
          <w:color w:val="000000" w:themeColor="text1"/>
        </w:rPr>
        <w:t>://doi.org/10.1007/978-3-030-74625-4_21</w:t>
      </w:r>
      <w:proofErr w:type="gramEnd"/>
      <w:r w:rsidRPr="00A2059B">
        <w:rPr>
          <w:color w:val="000000" w:themeColor="text1"/>
        </w:rPr>
        <w:t>.</w:t>
      </w:r>
    </w:p>
    <w:p w14:paraId="4E213EA6" w14:textId="77777777" w:rsidR="00612AB9" w:rsidRPr="00A2059B" w:rsidRDefault="00612AB9" w:rsidP="00612AB9">
      <w:pPr>
        <w:pStyle w:val="NormalWeb"/>
        <w:spacing w:before="0" w:beforeAutospacing="0" w:after="240" w:afterAutospacing="0" w:line="360" w:lineRule="auto"/>
        <w:rPr>
          <w:color w:val="000000" w:themeColor="text1"/>
        </w:rPr>
      </w:pPr>
      <w:proofErr w:type="spellStart"/>
      <w:r w:rsidRPr="00A2059B">
        <w:rPr>
          <w:color w:val="000000" w:themeColor="text1"/>
        </w:rPr>
        <w:t>Sarimo</w:t>
      </w:r>
      <w:proofErr w:type="spellEnd"/>
      <w:r w:rsidRPr="00A2059B">
        <w:rPr>
          <w:color w:val="000000" w:themeColor="text1"/>
        </w:rPr>
        <w:t xml:space="preserve">, J., </w:t>
      </w:r>
      <w:proofErr w:type="spellStart"/>
      <w:r w:rsidRPr="00A2059B">
        <w:rPr>
          <w:color w:val="000000" w:themeColor="text1"/>
        </w:rPr>
        <w:t>Lempainen</w:t>
      </w:r>
      <w:proofErr w:type="spellEnd"/>
      <w:r w:rsidRPr="00A2059B">
        <w:rPr>
          <w:color w:val="000000" w:themeColor="text1"/>
        </w:rPr>
        <w:t xml:space="preserve">, L., Mattila, K. and </w:t>
      </w:r>
      <w:proofErr w:type="spellStart"/>
      <w:r w:rsidRPr="00A2059B">
        <w:rPr>
          <w:color w:val="000000" w:themeColor="text1"/>
        </w:rPr>
        <w:t>Orava</w:t>
      </w:r>
      <w:proofErr w:type="spellEnd"/>
      <w:r w:rsidRPr="00A2059B">
        <w:rPr>
          <w:color w:val="000000" w:themeColor="text1"/>
        </w:rPr>
        <w:t xml:space="preserve">, S. (2008). Complete Proximal Hamstring Avulsions. </w:t>
      </w:r>
      <w:r w:rsidRPr="00A2059B">
        <w:rPr>
          <w:i/>
          <w:iCs/>
          <w:color w:val="000000" w:themeColor="text1"/>
        </w:rPr>
        <w:t>The American Journal of Sports Medicine</w:t>
      </w:r>
      <w:r w:rsidRPr="00A2059B">
        <w:rPr>
          <w:color w:val="000000" w:themeColor="text1"/>
        </w:rPr>
        <w:t>, [online] 36(6), pp.1110–1115. doi:10.1177/0363546508314427.</w:t>
      </w:r>
    </w:p>
    <w:p w14:paraId="250CE2A3" w14:textId="77777777" w:rsidR="00CC5B6D" w:rsidRPr="00A2059B" w:rsidRDefault="00CC5B6D" w:rsidP="00CC5B6D">
      <w:pPr>
        <w:pStyle w:val="NormalWeb"/>
        <w:spacing w:before="0" w:beforeAutospacing="0" w:after="240" w:afterAutospacing="0" w:line="360" w:lineRule="auto"/>
        <w:rPr>
          <w:color w:val="000000" w:themeColor="text1"/>
        </w:rPr>
      </w:pPr>
      <w:r w:rsidRPr="00A2059B">
        <w:rPr>
          <w:color w:val="000000" w:themeColor="text1"/>
        </w:rPr>
        <w:t xml:space="preserve">Wadsworth, N., </w:t>
      </w:r>
      <w:proofErr w:type="spellStart"/>
      <w:r w:rsidRPr="00A2059B">
        <w:rPr>
          <w:color w:val="000000" w:themeColor="text1"/>
        </w:rPr>
        <w:t>Paszkowec</w:t>
      </w:r>
      <w:proofErr w:type="spellEnd"/>
      <w:r w:rsidRPr="00A2059B">
        <w:rPr>
          <w:color w:val="000000" w:themeColor="text1"/>
        </w:rPr>
        <w:t xml:space="preserve">, B. and Eubank, M. (2020). One-to-One Support </w:t>
      </w:r>
      <w:proofErr w:type="gramStart"/>
      <w:r w:rsidRPr="00A2059B">
        <w:rPr>
          <w:color w:val="000000" w:themeColor="text1"/>
        </w:rPr>
        <w:t>With</w:t>
      </w:r>
      <w:proofErr w:type="gramEnd"/>
      <w:r w:rsidRPr="00A2059B">
        <w:rPr>
          <w:color w:val="000000" w:themeColor="text1"/>
        </w:rPr>
        <w:t xml:space="preserve"> a Professional Rugby League Player: A Case for Referral? </w:t>
      </w:r>
      <w:r w:rsidRPr="00A2059B">
        <w:rPr>
          <w:i/>
          <w:iCs/>
          <w:color w:val="000000" w:themeColor="text1"/>
        </w:rPr>
        <w:t>Case Studies in Sport and Exercise Psychology</w:t>
      </w:r>
      <w:r w:rsidRPr="00A2059B">
        <w:rPr>
          <w:color w:val="000000" w:themeColor="text1"/>
        </w:rPr>
        <w:t xml:space="preserve">, 4(S1), </w:t>
      </w:r>
      <w:proofErr w:type="gramStart"/>
      <w:r w:rsidRPr="00A2059B">
        <w:rPr>
          <w:color w:val="000000" w:themeColor="text1"/>
        </w:rPr>
        <w:t>pp.S</w:t>
      </w:r>
      <w:proofErr w:type="gramEnd"/>
      <w:r w:rsidRPr="00A2059B">
        <w:rPr>
          <w:color w:val="000000" w:themeColor="text1"/>
        </w:rPr>
        <w:t>1-1S1-7. doi:10.1123/cssep.2019-0012.</w:t>
      </w:r>
    </w:p>
    <w:p w14:paraId="5F4021B1" w14:textId="77777777" w:rsidR="00CC5B6D" w:rsidRPr="00655D57" w:rsidRDefault="00CC5B6D" w:rsidP="00612AB9">
      <w:pPr>
        <w:pStyle w:val="NormalWeb"/>
        <w:spacing w:before="0" w:beforeAutospacing="0" w:after="240" w:afterAutospacing="0" w:line="360" w:lineRule="auto"/>
        <w:rPr>
          <w:color w:val="FF0000"/>
        </w:rPr>
      </w:pPr>
    </w:p>
    <w:p w14:paraId="14292A26" w14:textId="77777777" w:rsidR="00826410" w:rsidRDefault="00826410" w:rsidP="00612AB9">
      <w:pPr>
        <w:pStyle w:val="NormalWeb"/>
        <w:spacing w:before="0" w:beforeAutospacing="0" w:after="240" w:afterAutospacing="0" w:line="360" w:lineRule="auto"/>
      </w:pPr>
    </w:p>
    <w:p w14:paraId="44BF5E96" w14:textId="77777777" w:rsidR="00612AB9" w:rsidRDefault="00612AB9" w:rsidP="007F4196">
      <w:pPr>
        <w:pStyle w:val="NormalWeb"/>
        <w:spacing w:before="0" w:beforeAutospacing="0" w:after="240" w:afterAutospacing="0" w:line="360" w:lineRule="auto"/>
      </w:pPr>
    </w:p>
    <w:p w14:paraId="300F266F" w14:textId="1886118E" w:rsidR="007F4196" w:rsidRDefault="007F4196" w:rsidP="00BF0016">
      <w:pPr>
        <w:pStyle w:val="NormalWeb"/>
        <w:spacing w:before="0" w:beforeAutospacing="0" w:after="240" w:afterAutospacing="0" w:line="360" w:lineRule="auto"/>
      </w:pPr>
    </w:p>
    <w:p w14:paraId="2CFFBE7B" w14:textId="77777777" w:rsidR="00BF0016" w:rsidRDefault="00BF0016" w:rsidP="00C53CA7">
      <w:pPr>
        <w:pStyle w:val="NormalWeb"/>
        <w:spacing w:before="0" w:beforeAutospacing="0" w:after="240" w:afterAutospacing="0" w:line="360" w:lineRule="auto"/>
      </w:pPr>
    </w:p>
    <w:p w14:paraId="71702D51" w14:textId="77777777" w:rsidR="00C53CA7" w:rsidRDefault="00C53CA7" w:rsidP="00F0029B">
      <w:pPr>
        <w:pStyle w:val="NormalWeb"/>
        <w:spacing w:before="0" w:beforeAutospacing="0" w:after="240" w:afterAutospacing="0" w:line="360" w:lineRule="auto"/>
      </w:pPr>
    </w:p>
    <w:p w14:paraId="6B6580C3" w14:textId="77777777" w:rsidR="006D313A" w:rsidRDefault="006D313A"/>
    <w:sectPr w:rsidR="006D313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parajita">
    <w:altName w:val="Aparajita"/>
    <w:charset w:val="00"/>
    <w:family w:val="roman"/>
    <w:pitch w:val="variable"/>
    <w:sig w:usb0="00008003" w:usb1="00000000" w:usb2="00000000" w:usb3="00000000" w:csb0="00000001" w:csb1="00000000"/>
  </w:font>
  <w:font w:name="Arial Nova Cond">
    <w:panose1 w:val="020B0506020202020204"/>
    <w:charset w:val="00"/>
    <w:family w:val="swiss"/>
    <w:pitch w:val="variable"/>
    <w:sig w:usb0="2000028F" w:usb1="00000002"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C01ED"/>
    <w:rsid w:val="00006F5F"/>
    <w:rsid w:val="00083344"/>
    <w:rsid w:val="0009103E"/>
    <w:rsid w:val="0009366A"/>
    <w:rsid w:val="0009370A"/>
    <w:rsid w:val="000C6884"/>
    <w:rsid w:val="000E37B3"/>
    <w:rsid w:val="000F55DD"/>
    <w:rsid w:val="00112AD2"/>
    <w:rsid w:val="00116970"/>
    <w:rsid w:val="00141640"/>
    <w:rsid w:val="001701E6"/>
    <w:rsid w:val="0017154A"/>
    <w:rsid w:val="001871E8"/>
    <w:rsid w:val="001A3062"/>
    <w:rsid w:val="001B4891"/>
    <w:rsid w:val="0020271D"/>
    <w:rsid w:val="00247905"/>
    <w:rsid w:val="00286501"/>
    <w:rsid w:val="002C70A3"/>
    <w:rsid w:val="0030416E"/>
    <w:rsid w:val="003115A8"/>
    <w:rsid w:val="00344C81"/>
    <w:rsid w:val="00352EB6"/>
    <w:rsid w:val="003733FE"/>
    <w:rsid w:val="003A384D"/>
    <w:rsid w:val="003E5F85"/>
    <w:rsid w:val="00403220"/>
    <w:rsid w:val="00447B6E"/>
    <w:rsid w:val="00450C29"/>
    <w:rsid w:val="0048161B"/>
    <w:rsid w:val="004A704A"/>
    <w:rsid w:val="004B29B3"/>
    <w:rsid w:val="004C6582"/>
    <w:rsid w:val="004E0C1D"/>
    <w:rsid w:val="004F3176"/>
    <w:rsid w:val="0051002D"/>
    <w:rsid w:val="00524A2A"/>
    <w:rsid w:val="005565F4"/>
    <w:rsid w:val="00567971"/>
    <w:rsid w:val="005812CE"/>
    <w:rsid w:val="005908FA"/>
    <w:rsid w:val="00595CC4"/>
    <w:rsid w:val="005C2492"/>
    <w:rsid w:val="00606915"/>
    <w:rsid w:val="00612AB9"/>
    <w:rsid w:val="006220A5"/>
    <w:rsid w:val="00645B82"/>
    <w:rsid w:val="00655D57"/>
    <w:rsid w:val="006919D4"/>
    <w:rsid w:val="006A190E"/>
    <w:rsid w:val="006D2880"/>
    <w:rsid w:val="006D313A"/>
    <w:rsid w:val="006E4353"/>
    <w:rsid w:val="006E68E7"/>
    <w:rsid w:val="006F75A2"/>
    <w:rsid w:val="007468CD"/>
    <w:rsid w:val="00757BF1"/>
    <w:rsid w:val="00774D6C"/>
    <w:rsid w:val="007951F5"/>
    <w:rsid w:val="007C411C"/>
    <w:rsid w:val="007F4196"/>
    <w:rsid w:val="00814B07"/>
    <w:rsid w:val="008230E6"/>
    <w:rsid w:val="00826410"/>
    <w:rsid w:val="00874CDA"/>
    <w:rsid w:val="00884CDC"/>
    <w:rsid w:val="008C3B0C"/>
    <w:rsid w:val="008C3DF0"/>
    <w:rsid w:val="008D0F93"/>
    <w:rsid w:val="009035C8"/>
    <w:rsid w:val="009444EA"/>
    <w:rsid w:val="00953513"/>
    <w:rsid w:val="00985EF4"/>
    <w:rsid w:val="009962A3"/>
    <w:rsid w:val="009C3E7F"/>
    <w:rsid w:val="009C4107"/>
    <w:rsid w:val="00A00CCB"/>
    <w:rsid w:val="00A127E9"/>
    <w:rsid w:val="00A2059B"/>
    <w:rsid w:val="00A23D0C"/>
    <w:rsid w:val="00A362F5"/>
    <w:rsid w:val="00A41914"/>
    <w:rsid w:val="00A8303C"/>
    <w:rsid w:val="00AA16DF"/>
    <w:rsid w:val="00AA3F96"/>
    <w:rsid w:val="00AA6AD9"/>
    <w:rsid w:val="00AB5D77"/>
    <w:rsid w:val="00AC01ED"/>
    <w:rsid w:val="00AF1B0B"/>
    <w:rsid w:val="00B17FC9"/>
    <w:rsid w:val="00B229A1"/>
    <w:rsid w:val="00B245B5"/>
    <w:rsid w:val="00B37857"/>
    <w:rsid w:val="00B738BD"/>
    <w:rsid w:val="00BB6C34"/>
    <w:rsid w:val="00BF0016"/>
    <w:rsid w:val="00C53C9D"/>
    <w:rsid w:val="00C53CA7"/>
    <w:rsid w:val="00C60132"/>
    <w:rsid w:val="00C94012"/>
    <w:rsid w:val="00CC5B6D"/>
    <w:rsid w:val="00CE0FD6"/>
    <w:rsid w:val="00CE3B55"/>
    <w:rsid w:val="00CE42C6"/>
    <w:rsid w:val="00D24D1A"/>
    <w:rsid w:val="00D7246A"/>
    <w:rsid w:val="00D82691"/>
    <w:rsid w:val="00D87E84"/>
    <w:rsid w:val="00D95691"/>
    <w:rsid w:val="00DC2856"/>
    <w:rsid w:val="00DD18CE"/>
    <w:rsid w:val="00DE0F68"/>
    <w:rsid w:val="00E9660C"/>
    <w:rsid w:val="00EB362E"/>
    <w:rsid w:val="00EC18D6"/>
    <w:rsid w:val="00EC79F1"/>
    <w:rsid w:val="00ED14FD"/>
    <w:rsid w:val="00ED60F5"/>
    <w:rsid w:val="00EF74DC"/>
    <w:rsid w:val="00F0029B"/>
    <w:rsid w:val="00F142E0"/>
    <w:rsid w:val="00F36ACB"/>
    <w:rsid w:val="00F41D6A"/>
    <w:rsid w:val="00F5222F"/>
    <w:rsid w:val="00F77FB7"/>
    <w:rsid w:val="00F81902"/>
    <w:rsid w:val="00F87099"/>
    <w:rsid w:val="00FC5FC6"/>
    <w:rsid w:val="00FD4ABF"/>
    <w:rsid w:val="00FE22E3"/>
    <w:rsid w:val="00FF3A74"/>
    <w:rsid w:val="00FF565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21A562"/>
  <w15:chartTrackingRefBased/>
  <w15:docId w15:val="{1DA32D13-04A8-4B86-B664-15C5EFA051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AC01E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F87099"/>
    <w:rPr>
      <w:i/>
      <w:iCs/>
    </w:rPr>
  </w:style>
  <w:style w:type="character" w:styleId="Hyperlink">
    <w:name w:val="Hyperlink"/>
    <w:basedOn w:val="DefaultParagraphFont"/>
    <w:uiPriority w:val="99"/>
    <w:semiHidden/>
    <w:unhideWhenUsed/>
    <w:rsid w:val="00F87099"/>
    <w:rPr>
      <w:color w:val="0000FF"/>
      <w:u w:val="single"/>
    </w:rPr>
  </w:style>
  <w:style w:type="paragraph" w:styleId="Title">
    <w:name w:val="Title"/>
    <w:basedOn w:val="Normal"/>
    <w:next w:val="Normal"/>
    <w:link w:val="TitleChar"/>
    <w:uiPriority w:val="10"/>
    <w:qFormat/>
    <w:rsid w:val="00884CDC"/>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84CDC"/>
    <w:rPr>
      <w:rFonts w:asciiTheme="majorHAnsi" w:eastAsiaTheme="majorEastAsia" w:hAnsiTheme="majorHAnsi" w:cstheme="majorBidi"/>
      <w:spacing w:val="-10"/>
      <w:kern w:val="28"/>
      <w:sz w:val="56"/>
      <w:szCs w:val="56"/>
    </w:rPr>
  </w:style>
  <w:style w:type="character" w:styleId="Strong">
    <w:name w:val="Strong"/>
    <w:basedOn w:val="DefaultParagraphFont"/>
    <w:uiPriority w:val="22"/>
    <w:qFormat/>
    <w:rsid w:val="00C94012"/>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8914531">
      <w:bodyDiv w:val="1"/>
      <w:marLeft w:val="0"/>
      <w:marRight w:val="0"/>
      <w:marTop w:val="0"/>
      <w:marBottom w:val="0"/>
      <w:divBdr>
        <w:top w:val="none" w:sz="0" w:space="0" w:color="auto"/>
        <w:left w:val="none" w:sz="0" w:space="0" w:color="auto"/>
        <w:bottom w:val="none" w:sz="0" w:space="0" w:color="auto"/>
        <w:right w:val="none" w:sz="0" w:space="0" w:color="auto"/>
      </w:divBdr>
      <w:divsChild>
        <w:div w:id="1244877610">
          <w:marLeft w:val="0"/>
          <w:marRight w:val="0"/>
          <w:marTop w:val="0"/>
          <w:marBottom w:val="0"/>
          <w:divBdr>
            <w:top w:val="none" w:sz="0" w:space="0" w:color="auto"/>
            <w:left w:val="none" w:sz="0" w:space="0" w:color="auto"/>
            <w:bottom w:val="none" w:sz="0" w:space="0" w:color="auto"/>
            <w:right w:val="none" w:sz="0" w:space="0" w:color="auto"/>
          </w:divBdr>
        </w:div>
      </w:divsChild>
    </w:div>
    <w:div w:id="170611298">
      <w:bodyDiv w:val="1"/>
      <w:marLeft w:val="0"/>
      <w:marRight w:val="0"/>
      <w:marTop w:val="0"/>
      <w:marBottom w:val="0"/>
      <w:divBdr>
        <w:top w:val="none" w:sz="0" w:space="0" w:color="auto"/>
        <w:left w:val="none" w:sz="0" w:space="0" w:color="auto"/>
        <w:bottom w:val="none" w:sz="0" w:space="0" w:color="auto"/>
        <w:right w:val="none" w:sz="0" w:space="0" w:color="auto"/>
      </w:divBdr>
      <w:divsChild>
        <w:div w:id="771776462">
          <w:marLeft w:val="0"/>
          <w:marRight w:val="0"/>
          <w:marTop w:val="0"/>
          <w:marBottom w:val="0"/>
          <w:divBdr>
            <w:top w:val="none" w:sz="0" w:space="0" w:color="auto"/>
            <w:left w:val="none" w:sz="0" w:space="0" w:color="auto"/>
            <w:bottom w:val="none" w:sz="0" w:space="0" w:color="auto"/>
            <w:right w:val="none" w:sz="0" w:space="0" w:color="auto"/>
          </w:divBdr>
        </w:div>
      </w:divsChild>
    </w:div>
    <w:div w:id="191455435">
      <w:bodyDiv w:val="1"/>
      <w:marLeft w:val="0"/>
      <w:marRight w:val="0"/>
      <w:marTop w:val="0"/>
      <w:marBottom w:val="0"/>
      <w:divBdr>
        <w:top w:val="none" w:sz="0" w:space="0" w:color="auto"/>
        <w:left w:val="none" w:sz="0" w:space="0" w:color="auto"/>
        <w:bottom w:val="none" w:sz="0" w:space="0" w:color="auto"/>
        <w:right w:val="none" w:sz="0" w:space="0" w:color="auto"/>
      </w:divBdr>
      <w:divsChild>
        <w:div w:id="1963727984">
          <w:marLeft w:val="0"/>
          <w:marRight w:val="0"/>
          <w:marTop w:val="0"/>
          <w:marBottom w:val="0"/>
          <w:divBdr>
            <w:top w:val="none" w:sz="0" w:space="0" w:color="auto"/>
            <w:left w:val="none" w:sz="0" w:space="0" w:color="auto"/>
            <w:bottom w:val="none" w:sz="0" w:space="0" w:color="auto"/>
            <w:right w:val="none" w:sz="0" w:space="0" w:color="auto"/>
          </w:divBdr>
        </w:div>
      </w:divsChild>
    </w:div>
    <w:div w:id="220139969">
      <w:bodyDiv w:val="1"/>
      <w:marLeft w:val="0"/>
      <w:marRight w:val="0"/>
      <w:marTop w:val="0"/>
      <w:marBottom w:val="0"/>
      <w:divBdr>
        <w:top w:val="none" w:sz="0" w:space="0" w:color="auto"/>
        <w:left w:val="none" w:sz="0" w:space="0" w:color="auto"/>
        <w:bottom w:val="none" w:sz="0" w:space="0" w:color="auto"/>
        <w:right w:val="none" w:sz="0" w:space="0" w:color="auto"/>
      </w:divBdr>
      <w:divsChild>
        <w:div w:id="632835655">
          <w:marLeft w:val="0"/>
          <w:marRight w:val="0"/>
          <w:marTop w:val="0"/>
          <w:marBottom w:val="0"/>
          <w:divBdr>
            <w:top w:val="none" w:sz="0" w:space="0" w:color="auto"/>
            <w:left w:val="none" w:sz="0" w:space="0" w:color="auto"/>
            <w:bottom w:val="none" w:sz="0" w:space="0" w:color="auto"/>
            <w:right w:val="none" w:sz="0" w:space="0" w:color="auto"/>
          </w:divBdr>
        </w:div>
      </w:divsChild>
    </w:div>
    <w:div w:id="251358866">
      <w:bodyDiv w:val="1"/>
      <w:marLeft w:val="0"/>
      <w:marRight w:val="0"/>
      <w:marTop w:val="0"/>
      <w:marBottom w:val="0"/>
      <w:divBdr>
        <w:top w:val="none" w:sz="0" w:space="0" w:color="auto"/>
        <w:left w:val="none" w:sz="0" w:space="0" w:color="auto"/>
        <w:bottom w:val="none" w:sz="0" w:space="0" w:color="auto"/>
        <w:right w:val="none" w:sz="0" w:space="0" w:color="auto"/>
      </w:divBdr>
      <w:divsChild>
        <w:div w:id="446244613">
          <w:marLeft w:val="0"/>
          <w:marRight w:val="0"/>
          <w:marTop w:val="0"/>
          <w:marBottom w:val="0"/>
          <w:divBdr>
            <w:top w:val="none" w:sz="0" w:space="0" w:color="auto"/>
            <w:left w:val="none" w:sz="0" w:space="0" w:color="auto"/>
            <w:bottom w:val="none" w:sz="0" w:space="0" w:color="auto"/>
            <w:right w:val="none" w:sz="0" w:space="0" w:color="auto"/>
          </w:divBdr>
        </w:div>
      </w:divsChild>
    </w:div>
    <w:div w:id="322438680">
      <w:bodyDiv w:val="1"/>
      <w:marLeft w:val="0"/>
      <w:marRight w:val="0"/>
      <w:marTop w:val="0"/>
      <w:marBottom w:val="0"/>
      <w:divBdr>
        <w:top w:val="none" w:sz="0" w:space="0" w:color="auto"/>
        <w:left w:val="none" w:sz="0" w:space="0" w:color="auto"/>
        <w:bottom w:val="none" w:sz="0" w:space="0" w:color="auto"/>
        <w:right w:val="none" w:sz="0" w:space="0" w:color="auto"/>
      </w:divBdr>
      <w:divsChild>
        <w:div w:id="1231309980">
          <w:marLeft w:val="0"/>
          <w:marRight w:val="0"/>
          <w:marTop w:val="0"/>
          <w:marBottom w:val="0"/>
          <w:divBdr>
            <w:top w:val="none" w:sz="0" w:space="0" w:color="auto"/>
            <w:left w:val="none" w:sz="0" w:space="0" w:color="auto"/>
            <w:bottom w:val="none" w:sz="0" w:space="0" w:color="auto"/>
            <w:right w:val="none" w:sz="0" w:space="0" w:color="auto"/>
          </w:divBdr>
        </w:div>
      </w:divsChild>
    </w:div>
    <w:div w:id="507139522">
      <w:bodyDiv w:val="1"/>
      <w:marLeft w:val="0"/>
      <w:marRight w:val="0"/>
      <w:marTop w:val="0"/>
      <w:marBottom w:val="0"/>
      <w:divBdr>
        <w:top w:val="none" w:sz="0" w:space="0" w:color="auto"/>
        <w:left w:val="none" w:sz="0" w:space="0" w:color="auto"/>
        <w:bottom w:val="none" w:sz="0" w:space="0" w:color="auto"/>
        <w:right w:val="none" w:sz="0" w:space="0" w:color="auto"/>
      </w:divBdr>
      <w:divsChild>
        <w:div w:id="1555702170">
          <w:marLeft w:val="0"/>
          <w:marRight w:val="0"/>
          <w:marTop w:val="0"/>
          <w:marBottom w:val="0"/>
          <w:divBdr>
            <w:top w:val="none" w:sz="0" w:space="0" w:color="auto"/>
            <w:left w:val="none" w:sz="0" w:space="0" w:color="auto"/>
            <w:bottom w:val="none" w:sz="0" w:space="0" w:color="auto"/>
            <w:right w:val="none" w:sz="0" w:space="0" w:color="auto"/>
          </w:divBdr>
        </w:div>
      </w:divsChild>
    </w:div>
    <w:div w:id="557858053">
      <w:bodyDiv w:val="1"/>
      <w:marLeft w:val="0"/>
      <w:marRight w:val="0"/>
      <w:marTop w:val="0"/>
      <w:marBottom w:val="0"/>
      <w:divBdr>
        <w:top w:val="none" w:sz="0" w:space="0" w:color="auto"/>
        <w:left w:val="none" w:sz="0" w:space="0" w:color="auto"/>
        <w:bottom w:val="none" w:sz="0" w:space="0" w:color="auto"/>
        <w:right w:val="none" w:sz="0" w:space="0" w:color="auto"/>
      </w:divBdr>
      <w:divsChild>
        <w:div w:id="1741949013">
          <w:marLeft w:val="0"/>
          <w:marRight w:val="0"/>
          <w:marTop w:val="0"/>
          <w:marBottom w:val="0"/>
          <w:divBdr>
            <w:top w:val="none" w:sz="0" w:space="0" w:color="auto"/>
            <w:left w:val="none" w:sz="0" w:space="0" w:color="auto"/>
            <w:bottom w:val="none" w:sz="0" w:space="0" w:color="auto"/>
            <w:right w:val="none" w:sz="0" w:space="0" w:color="auto"/>
          </w:divBdr>
        </w:div>
      </w:divsChild>
    </w:div>
    <w:div w:id="582379704">
      <w:bodyDiv w:val="1"/>
      <w:marLeft w:val="0"/>
      <w:marRight w:val="0"/>
      <w:marTop w:val="0"/>
      <w:marBottom w:val="0"/>
      <w:divBdr>
        <w:top w:val="none" w:sz="0" w:space="0" w:color="auto"/>
        <w:left w:val="none" w:sz="0" w:space="0" w:color="auto"/>
        <w:bottom w:val="none" w:sz="0" w:space="0" w:color="auto"/>
        <w:right w:val="none" w:sz="0" w:space="0" w:color="auto"/>
      </w:divBdr>
      <w:divsChild>
        <w:div w:id="1645163064">
          <w:marLeft w:val="0"/>
          <w:marRight w:val="0"/>
          <w:marTop w:val="0"/>
          <w:marBottom w:val="0"/>
          <w:divBdr>
            <w:top w:val="none" w:sz="0" w:space="0" w:color="auto"/>
            <w:left w:val="none" w:sz="0" w:space="0" w:color="auto"/>
            <w:bottom w:val="none" w:sz="0" w:space="0" w:color="auto"/>
            <w:right w:val="none" w:sz="0" w:space="0" w:color="auto"/>
          </w:divBdr>
        </w:div>
      </w:divsChild>
    </w:div>
    <w:div w:id="872232267">
      <w:bodyDiv w:val="1"/>
      <w:marLeft w:val="0"/>
      <w:marRight w:val="0"/>
      <w:marTop w:val="0"/>
      <w:marBottom w:val="0"/>
      <w:divBdr>
        <w:top w:val="none" w:sz="0" w:space="0" w:color="auto"/>
        <w:left w:val="none" w:sz="0" w:space="0" w:color="auto"/>
        <w:bottom w:val="none" w:sz="0" w:space="0" w:color="auto"/>
        <w:right w:val="none" w:sz="0" w:space="0" w:color="auto"/>
      </w:divBdr>
      <w:divsChild>
        <w:div w:id="1162545678">
          <w:marLeft w:val="0"/>
          <w:marRight w:val="0"/>
          <w:marTop w:val="0"/>
          <w:marBottom w:val="0"/>
          <w:divBdr>
            <w:top w:val="none" w:sz="0" w:space="0" w:color="auto"/>
            <w:left w:val="none" w:sz="0" w:space="0" w:color="auto"/>
            <w:bottom w:val="none" w:sz="0" w:space="0" w:color="auto"/>
            <w:right w:val="none" w:sz="0" w:space="0" w:color="auto"/>
          </w:divBdr>
        </w:div>
      </w:divsChild>
    </w:div>
    <w:div w:id="937448740">
      <w:bodyDiv w:val="1"/>
      <w:marLeft w:val="0"/>
      <w:marRight w:val="0"/>
      <w:marTop w:val="0"/>
      <w:marBottom w:val="0"/>
      <w:divBdr>
        <w:top w:val="none" w:sz="0" w:space="0" w:color="auto"/>
        <w:left w:val="none" w:sz="0" w:space="0" w:color="auto"/>
        <w:bottom w:val="none" w:sz="0" w:space="0" w:color="auto"/>
        <w:right w:val="none" w:sz="0" w:space="0" w:color="auto"/>
      </w:divBdr>
      <w:divsChild>
        <w:div w:id="1834953048">
          <w:marLeft w:val="0"/>
          <w:marRight w:val="0"/>
          <w:marTop w:val="0"/>
          <w:marBottom w:val="0"/>
          <w:divBdr>
            <w:top w:val="none" w:sz="0" w:space="0" w:color="auto"/>
            <w:left w:val="none" w:sz="0" w:space="0" w:color="auto"/>
            <w:bottom w:val="none" w:sz="0" w:space="0" w:color="auto"/>
            <w:right w:val="none" w:sz="0" w:space="0" w:color="auto"/>
          </w:divBdr>
        </w:div>
      </w:divsChild>
    </w:div>
    <w:div w:id="1005324271">
      <w:bodyDiv w:val="1"/>
      <w:marLeft w:val="0"/>
      <w:marRight w:val="0"/>
      <w:marTop w:val="0"/>
      <w:marBottom w:val="0"/>
      <w:divBdr>
        <w:top w:val="none" w:sz="0" w:space="0" w:color="auto"/>
        <w:left w:val="none" w:sz="0" w:space="0" w:color="auto"/>
        <w:bottom w:val="none" w:sz="0" w:space="0" w:color="auto"/>
        <w:right w:val="none" w:sz="0" w:space="0" w:color="auto"/>
      </w:divBdr>
      <w:divsChild>
        <w:div w:id="287125382">
          <w:marLeft w:val="0"/>
          <w:marRight w:val="0"/>
          <w:marTop w:val="0"/>
          <w:marBottom w:val="0"/>
          <w:divBdr>
            <w:top w:val="none" w:sz="0" w:space="0" w:color="auto"/>
            <w:left w:val="none" w:sz="0" w:space="0" w:color="auto"/>
            <w:bottom w:val="none" w:sz="0" w:space="0" w:color="auto"/>
            <w:right w:val="none" w:sz="0" w:space="0" w:color="auto"/>
          </w:divBdr>
        </w:div>
      </w:divsChild>
    </w:div>
    <w:div w:id="1027175925">
      <w:bodyDiv w:val="1"/>
      <w:marLeft w:val="0"/>
      <w:marRight w:val="0"/>
      <w:marTop w:val="0"/>
      <w:marBottom w:val="0"/>
      <w:divBdr>
        <w:top w:val="none" w:sz="0" w:space="0" w:color="auto"/>
        <w:left w:val="none" w:sz="0" w:space="0" w:color="auto"/>
        <w:bottom w:val="none" w:sz="0" w:space="0" w:color="auto"/>
        <w:right w:val="none" w:sz="0" w:space="0" w:color="auto"/>
      </w:divBdr>
    </w:div>
    <w:div w:id="1179193927">
      <w:bodyDiv w:val="1"/>
      <w:marLeft w:val="0"/>
      <w:marRight w:val="0"/>
      <w:marTop w:val="0"/>
      <w:marBottom w:val="0"/>
      <w:divBdr>
        <w:top w:val="none" w:sz="0" w:space="0" w:color="auto"/>
        <w:left w:val="none" w:sz="0" w:space="0" w:color="auto"/>
        <w:bottom w:val="none" w:sz="0" w:space="0" w:color="auto"/>
        <w:right w:val="none" w:sz="0" w:space="0" w:color="auto"/>
      </w:divBdr>
      <w:divsChild>
        <w:div w:id="1226602106">
          <w:marLeft w:val="0"/>
          <w:marRight w:val="0"/>
          <w:marTop w:val="0"/>
          <w:marBottom w:val="0"/>
          <w:divBdr>
            <w:top w:val="none" w:sz="0" w:space="0" w:color="auto"/>
            <w:left w:val="none" w:sz="0" w:space="0" w:color="auto"/>
            <w:bottom w:val="none" w:sz="0" w:space="0" w:color="auto"/>
            <w:right w:val="none" w:sz="0" w:space="0" w:color="auto"/>
          </w:divBdr>
        </w:div>
      </w:divsChild>
    </w:div>
    <w:div w:id="1233462594">
      <w:bodyDiv w:val="1"/>
      <w:marLeft w:val="0"/>
      <w:marRight w:val="0"/>
      <w:marTop w:val="0"/>
      <w:marBottom w:val="0"/>
      <w:divBdr>
        <w:top w:val="none" w:sz="0" w:space="0" w:color="auto"/>
        <w:left w:val="none" w:sz="0" w:space="0" w:color="auto"/>
        <w:bottom w:val="none" w:sz="0" w:space="0" w:color="auto"/>
        <w:right w:val="none" w:sz="0" w:space="0" w:color="auto"/>
      </w:divBdr>
      <w:divsChild>
        <w:div w:id="695235450">
          <w:marLeft w:val="0"/>
          <w:marRight w:val="0"/>
          <w:marTop w:val="0"/>
          <w:marBottom w:val="0"/>
          <w:divBdr>
            <w:top w:val="none" w:sz="0" w:space="0" w:color="auto"/>
            <w:left w:val="none" w:sz="0" w:space="0" w:color="auto"/>
            <w:bottom w:val="none" w:sz="0" w:space="0" w:color="auto"/>
            <w:right w:val="none" w:sz="0" w:space="0" w:color="auto"/>
          </w:divBdr>
        </w:div>
      </w:divsChild>
    </w:div>
    <w:div w:id="1315640912">
      <w:bodyDiv w:val="1"/>
      <w:marLeft w:val="0"/>
      <w:marRight w:val="0"/>
      <w:marTop w:val="0"/>
      <w:marBottom w:val="0"/>
      <w:divBdr>
        <w:top w:val="none" w:sz="0" w:space="0" w:color="auto"/>
        <w:left w:val="none" w:sz="0" w:space="0" w:color="auto"/>
        <w:bottom w:val="none" w:sz="0" w:space="0" w:color="auto"/>
        <w:right w:val="none" w:sz="0" w:space="0" w:color="auto"/>
      </w:divBdr>
      <w:divsChild>
        <w:div w:id="1125350544">
          <w:marLeft w:val="0"/>
          <w:marRight w:val="0"/>
          <w:marTop w:val="0"/>
          <w:marBottom w:val="0"/>
          <w:divBdr>
            <w:top w:val="none" w:sz="0" w:space="0" w:color="auto"/>
            <w:left w:val="none" w:sz="0" w:space="0" w:color="auto"/>
            <w:bottom w:val="none" w:sz="0" w:space="0" w:color="auto"/>
            <w:right w:val="none" w:sz="0" w:space="0" w:color="auto"/>
          </w:divBdr>
        </w:div>
      </w:divsChild>
    </w:div>
    <w:div w:id="1512915321">
      <w:bodyDiv w:val="1"/>
      <w:marLeft w:val="0"/>
      <w:marRight w:val="0"/>
      <w:marTop w:val="0"/>
      <w:marBottom w:val="0"/>
      <w:divBdr>
        <w:top w:val="none" w:sz="0" w:space="0" w:color="auto"/>
        <w:left w:val="none" w:sz="0" w:space="0" w:color="auto"/>
        <w:bottom w:val="none" w:sz="0" w:space="0" w:color="auto"/>
        <w:right w:val="none" w:sz="0" w:space="0" w:color="auto"/>
      </w:divBdr>
      <w:divsChild>
        <w:div w:id="501119107">
          <w:marLeft w:val="0"/>
          <w:marRight w:val="0"/>
          <w:marTop w:val="0"/>
          <w:marBottom w:val="0"/>
          <w:divBdr>
            <w:top w:val="none" w:sz="0" w:space="0" w:color="auto"/>
            <w:left w:val="none" w:sz="0" w:space="0" w:color="auto"/>
            <w:bottom w:val="none" w:sz="0" w:space="0" w:color="auto"/>
            <w:right w:val="none" w:sz="0" w:space="0" w:color="auto"/>
          </w:divBdr>
        </w:div>
      </w:divsChild>
    </w:div>
    <w:div w:id="1513493118">
      <w:bodyDiv w:val="1"/>
      <w:marLeft w:val="0"/>
      <w:marRight w:val="0"/>
      <w:marTop w:val="0"/>
      <w:marBottom w:val="0"/>
      <w:divBdr>
        <w:top w:val="none" w:sz="0" w:space="0" w:color="auto"/>
        <w:left w:val="none" w:sz="0" w:space="0" w:color="auto"/>
        <w:bottom w:val="none" w:sz="0" w:space="0" w:color="auto"/>
        <w:right w:val="none" w:sz="0" w:space="0" w:color="auto"/>
      </w:divBdr>
      <w:divsChild>
        <w:div w:id="214198742">
          <w:marLeft w:val="0"/>
          <w:marRight w:val="0"/>
          <w:marTop w:val="0"/>
          <w:marBottom w:val="0"/>
          <w:divBdr>
            <w:top w:val="none" w:sz="0" w:space="0" w:color="auto"/>
            <w:left w:val="none" w:sz="0" w:space="0" w:color="auto"/>
            <w:bottom w:val="none" w:sz="0" w:space="0" w:color="auto"/>
            <w:right w:val="none" w:sz="0" w:space="0" w:color="auto"/>
          </w:divBdr>
        </w:div>
      </w:divsChild>
    </w:div>
    <w:div w:id="1528643395">
      <w:bodyDiv w:val="1"/>
      <w:marLeft w:val="0"/>
      <w:marRight w:val="0"/>
      <w:marTop w:val="0"/>
      <w:marBottom w:val="0"/>
      <w:divBdr>
        <w:top w:val="none" w:sz="0" w:space="0" w:color="auto"/>
        <w:left w:val="none" w:sz="0" w:space="0" w:color="auto"/>
        <w:bottom w:val="none" w:sz="0" w:space="0" w:color="auto"/>
        <w:right w:val="none" w:sz="0" w:space="0" w:color="auto"/>
      </w:divBdr>
      <w:divsChild>
        <w:div w:id="542133813">
          <w:marLeft w:val="0"/>
          <w:marRight w:val="0"/>
          <w:marTop w:val="0"/>
          <w:marBottom w:val="0"/>
          <w:divBdr>
            <w:top w:val="none" w:sz="0" w:space="0" w:color="auto"/>
            <w:left w:val="none" w:sz="0" w:space="0" w:color="auto"/>
            <w:bottom w:val="none" w:sz="0" w:space="0" w:color="auto"/>
            <w:right w:val="none" w:sz="0" w:space="0" w:color="auto"/>
          </w:divBdr>
        </w:div>
      </w:divsChild>
    </w:div>
    <w:div w:id="1645885717">
      <w:bodyDiv w:val="1"/>
      <w:marLeft w:val="0"/>
      <w:marRight w:val="0"/>
      <w:marTop w:val="0"/>
      <w:marBottom w:val="0"/>
      <w:divBdr>
        <w:top w:val="none" w:sz="0" w:space="0" w:color="auto"/>
        <w:left w:val="none" w:sz="0" w:space="0" w:color="auto"/>
        <w:bottom w:val="none" w:sz="0" w:space="0" w:color="auto"/>
        <w:right w:val="none" w:sz="0" w:space="0" w:color="auto"/>
      </w:divBdr>
      <w:divsChild>
        <w:div w:id="1365056403">
          <w:marLeft w:val="0"/>
          <w:marRight w:val="0"/>
          <w:marTop w:val="0"/>
          <w:marBottom w:val="0"/>
          <w:divBdr>
            <w:top w:val="none" w:sz="0" w:space="0" w:color="auto"/>
            <w:left w:val="none" w:sz="0" w:space="0" w:color="auto"/>
            <w:bottom w:val="none" w:sz="0" w:space="0" w:color="auto"/>
            <w:right w:val="none" w:sz="0" w:space="0" w:color="auto"/>
          </w:divBdr>
        </w:div>
      </w:divsChild>
    </w:div>
    <w:div w:id="1771658440">
      <w:bodyDiv w:val="1"/>
      <w:marLeft w:val="0"/>
      <w:marRight w:val="0"/>
      <w:marTop w:val="0"/>
      <w:marBottom w:val="0"/>
      <w:divBdr>
        <w:top w:val="none" w:sz="0" w:space="0" w:color="auto"/>
        <w:left w:val="none" w:sz="0" w:space="0" w:color="auto"/>
        <w:bottom w:val="none" w:sz="0" w:space="0" w:color="auto"/>
        <w:right w:val="none" w:sz="0" w:space="0" w:color="auto"/>
      </w:divBdr>
      <w:divsChild>
        <w:div w:id="725688572">
          <w:marLeft w:val="0"/>
          <w:marRight w:val="0"/>
          <w:marTop w:val="0"/>
          <w:marBottom w:val="0"/>
          <w:divBdr>
            <w:top w:val="none" w:sz="0" w:space="0" w:color="auto"/>
            <w:left w:val="none" w:sz="0" w:space="0" w:color="auto"/>
            <w:bottom w:val="none" w:sz="0" w:space="0" w:color="auto"/>
            <w:right w:val="none" w:sz="0" w:space="0" w:color="auto"/>
          </w:divBdr>
        </w:div>
      </w:divsChild>
    </w:div>
    <w:div w:id="2001957850">
      <w:bodyDiv w:val="1"/>
      <w:marLeft w:val="0"/>
      <w:marRight w:val="0"/>
      <w:marTop w:val="0"/>
      <w:marBottom w:val="0"/>
      <w:divBdr>
        <w:top w:val="none" w:sz="0" w:space="0" w:color="auto"/>
        <w:left w:val="none" w:sz="0" w:space="0" w:color="auto"/>
        <w:bottom w:val="none" w:sz="0" w:space="0" w:color="auto"/>
        <w:right w:val="none" w:sz="0" w:space="0" w:color="auto"/>
      </w:divBdr>
      <w:divsChild>
        <w:div w:id="760300485">
          <w:marLeft w:val="0"/>
          <w:marRight w:val="0"/>
          <w:marTop w:val="0"/>
          <w:marBottom w:val="0"/>
          <w:divBdr>
            <w:top w:val="none" w:sz="0" w:space="0" w:color="auto"/>
            <w:left w:val="none" w:sz="0" w:space="0" w:color="auto"/>
            <w:bottom w:val="none" w:sz="0" w:space="0" w:color="auto"/>
            <w:right w:val="none" w:sz="0" w:space="0" w:color="auto"/>
          </w:divBdr>
        </w:div>
      </w:divsChild>
    </w:div>
    <w:div w:id="2052799181">
      <w:bodyDiv w:val="1"/>
      <w:marLeft w:val="0"/>
      <w:marRight w:val="0"/>
      <w:marTop w:val="0"/>
      <w:marBottom w:val="0"/>
      <w:divBdr>
        <w:top w:val="none" w:sz="0" w:space="0" w:color="auto"/>
        <w:left w:val="none" w:sz="0" w:space="0" w:color="auto"/>
        <w:bottom w:val="none" w:sz="0" w:space="0" w:color="auto"/>
        <w:right w:val="none" w:sz="0" w:space="0" w:color="auto"/>
      </w:divBdr>
      <w:divsChild>
        <w:div w:id="1170413686">
          <w:marLeft w:val="0"/>
          <w:marRight w:val="0"/>
          <w:marTop w:val="0"/>
          <w:marBottom w:val="0"/>
          <w:divBdr>
            <w:top w:val="none" w:sz="0" w:space="0" w:color="auto"/>
            <w:left w:val="none" w:sz="0" w:space="0" w:color="auto"/>
            <w:bottom w:val="none" w:sz="0" w:space="0" w:color="auto"/>
            <w:right w:val="none" w:sz="0" w:space="0" w:color="auto"/>
          </w:divBdr>
        </w:div>
      </w:divsChild>
    </w:div>
    <w:div w:id="2133358421">
      <w:bodyDiv w:val="1"/>
      <w:marLeft w:val="0"/>
      <w:marRight w:val="0"/>
      <w:marTop w:val="0"/>
      <w:marBottom w:val="0"/>
      <w:divBdr>
        <w:top w:val="none" w:sz="0" w:space="0" w:color="auto"/>
        <w:left w:val="none" w:sz="0" w:space="0" w:color="auto"/>
        <w:bottom w:val="none" w:sz="0" w:space="0" w:color="auto"/>
        <w:right w:val="none" w:sz="0" w:space="0" w:color="auto"/>
      </w:divBdr>
      <w:divsChild>
        <w:div w:id="57496961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365</TotalTime>
  <Pages>10</Pages>
  <Words>2513</Words>
  <Characters>14328</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Jaime Thomas</dc:creator>
  <cp:keywords/>
  <dc:description/>
  <cp:lastModifiedBy>Jaime Thomas</cp:lastModifiedBy>
  <cp:revision>129</cp:revision>
  <dcterms:created xsi:type="dcterms:W3CDTF">2022-12-05T16:39:00Z</dcterms:created>
  <dcterms:modified xsi:type="dcterms:W3CDTF">2022-12-16T17:20:00Z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93ccffe8-8289-4f70-8bd4-386913e7f8ae</vt:lpwstr>
  </property>
</Properties>
</file>