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7D648" w14:textId="77777777" w:rsidR="00EC6FE5" w:rsidRDefault="00000000" w:rsidP="00BB1606">
      <w:r>
        <w:rPr>
          <w:noProof/>
        </w:rPr>
        <w:drawing>
          <wp:inline distT="0" distB="0" distL="0" distR="0" wp14:anchorId="6307A574" wp14:editId="5242BD58">
            <wp:extent cx="3352800" cy="1284605"/>
            <wp:effectExtent l="0" t="0" r="0" b="0"/>
            <wp:docPr id="44"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8"/>
                    <a:stretch>
                      <a:fillRect/>
                    </a:stretch>
                  </pic:blipFill>
                  <pic:spPr>
                    <a:xfrm>
                      <a:off x="0" y="0"/>
                      <a:ext cx="3394017" cy="1300397"/>
                    </a:xfrm>
                    <a:prstGeom prst="rect">
                      <a:avLst/>
                    </a:prstGeom>
                  </pic:spPr>
                </pic:pic>
              </a:graphicData>
            </a:graphic>
          </wp:inline>
        </w:drawing>
      </w:r>
      <w:r>
        <w:rPr>
          <w:b/>
          <w:sz w:val="32"/>
        </w:rPr>
        <w:t xml:space="preserve"> </w:t>
      </w:r>
    </w:p>
    <w:p w14:paraId="0F545051" w14:textId="77777777" w:rsidR="00EC6FE5" w:rsidRDefault="00000000">
      <w:pPr>
        <w:spacing w:after="156" w:line="259" w:lineRule="auto"/>
        <w:ind w:left="82" w:firstLine="0"/>
        <w:jc w:val="center"/>
      </w:pPr>
      <w:r>
        <w:rPr>
          <w:b/>
          <w:sz w:val="32"/>
        </w:rPr>
        <w:t xml:space="preserve"> </w:t>
      </w:r>
    </w:p>
    <w:p w14:paraId="3099E3D5" w14:textId="77777777" w:rsidR="00EC6FE5" w:rsidRDefault="00000000">
      <w:pPr>
        <w:spacing w:after="82" w:line="259" w:lineRule="auto"/>
        <w:ind w:left="82" w:firstLine="0"/>
        <w:jc w:val="center"/>
      </w:pPr>
      <w:r>
        <w:rPr>
          <w:b/>
          <w:sz w:val="32"/>
        </w:rPr>
        <w:t xml:space="preserve"> </w:t>
      </w:r>
    </w:p>
    <w:p w14:paraId="1AC622E5" w14:textId="77777777" w:rsidR="00EC6FE5" w:rsidRDefault="00000000">
      <w:pPr>
        <w:spacing w:after="115" w:line="259" w:lineRule="auto"/>
        <w:ind w:left="0" w:firstLine="0"/>
        <w:jc w:val="left"/>
      </w:pPr>
      <w:r>
        <w:t xml:space="preserve"> </w:t>
      </w:r>
    </w:p>
    <w:p w14:paraId="3E356DBA" w14:textId="5A6BFDE4" w:rsidR="00EC6FE5" w:rsidRDefault="00000000">
      <w:pPr>
        <w:spacing w:after="116" w:line="259" w:lineRule="auto"/>
        <w:ind w:left="10" w:right="7"/>
        <w:jc w:val="center"/>
      </w:pPr>
      <w:r>
        <w:rPr>
          <w:b/>
        </w:rPr>
        <w:t xml:space="preserve">Student Name: </w:t>
      </w:r>
      <w:r w:rsidR="00BB1606">
        <w:rPr>
          <w:b/>
        </w:rPr>
        <w:t>Sadhana Kumari</w:t>
      </w:r>
    </w:p>
    <w:p w14:paraId="22BF5DCD" w14:textId="7EB757F8" w:rsidR="00EC6FE5" w:rsidRDefault="00000000">
      <w:pPr>
        <w:spacing w:after="116" w:line="259" w:lineRule="auto"/>
        <w:ind w:left="10" w:right="4"/>
        <w:jc w:val="center"/>
        <w:rPr>
          <w:b/>
        </w:rPr>
      </w:pPr>
      <w:r>
        <w:rPr>
          <w:b/>
        </w:rPr>
        <w:t xml:space="preserve">Student ID: </w:t>
      </w:r>
      <w:r w:rsidR="00BB1606">
        <w:rPr>
          <w:b/>
        </w:rPr>
        <w:t>241377</w:t>
      </w:r>
      <w:r w:rsidR="00476D51">
        <w:rPr>
          <w:b/>
        </w:rPr>
        <w:t>3</w:t>
      </w:r>
    </w:p>
    <w:p w14:paraId="31C9FA33" w14:textId="77777777" w:rsidR="00476D51" w:rsidRDefault="00476D51">
      <w:pPr>
        <w:spacing w:after="116" w:line="259" w:lineRule="auto"/>
        <w:ind w:left="10" w:right="4"/>
        <w:jc w:val="center"/>
      </w:pPr>
    </w:p>
    <w:p w14:paraId="227E4429" w14:textId="77777777" w:rsidR="00EC6FE5" w:rsidRDefault="00000000">
      <w:pPr>
        <w:spacing w:after="117" w:line="259" w:lineRule="auto"/>
        <w:ind w:left="60" w:firstLine="0"/>
        <w:jc w:val="center"/>
      </w:pPr>
      <w:r>
        <w:rPr>
          <w:b/>
        </w:rPr>
        <w:t xml:space="preserve"> </w:t>
      </w:r>
    </w:p>
    <w:p w14:paraId="6109A5B2" w14:textId="6B48D3BF" w:rsidR="00EC6FE5" w:rsidRDefault="00000000">
      <w:pPr>
        <w:spacing w:after="116" w:line="259" w:lineRule="auto"/>
        <w:ind w:left="10" w:right="6"/>
        <w:jc w:val="center"/>
      </w:pPr>
      <w:r>
        <w:rPr>
          <w:b/>
        </w:rPr>
        <w:t xml:space="preserve">Module Name:  </w:t>
      </w:r>
      <w:r w:rsidR="00BB1606">
        <w:rPr>
          <w:b/>
        </w:rPr>
        <w:t xml:space="preserve">Marketing Management </w:t>
      </w:r>
    </w:p>
    <w:p w14:paraId="4A267E79" w14:textId="7ED6B891" w:rsidR="00EC6FE5" w:rsidRDefault="00000000">
      <w:pPr>
        <w:spacing w:after="116" w:line="259" w:lineRule="auto"/>
        <w:ind w:left="10" w:right="4"/>
        <w:jc w:val="center"/>
        <w:rPr>
          <w:b/>
        </w:rPr>
      </w:pPr>
      <w:r>
        <w:rPr>
          <w:b/>
        </w:rPr>
        <w:t xml:space="preserve">Module Code:  </w:t>
      </w:r>
      <w:r w:rsidR="00BB1606">
        <w:rPr>
          <w:b/>
        </w:rPr>
        <w:t>LCMB7024_LON</w:t>
      </w:r>
    </w:p>
    <w:p w14:paraId="37D25309" w14:textId="77777777" w:rsidR="00476D51" w:rsidRDefault="00476D51">
      <w:pPr>
        <w:spacing w:after="116" w:line="259" w:lineRule="auto"/>
        <w:ind w:left="10" w:right="4"/>
        <w:jc w:val="center"/>
        <w:rPr>
          <w:b/>
        </w:rPr>
      </w:pPr>
    </w:p>
    <w:p w14:paraId="7FC5D6DD" w14:textId="77777777" w:rsidR="00BB1606" w:rsidRDefault="00BB1606" w:rsidP="008E10EE">
      <w:pPr>
        <w:spacing w:after="116" w:line="259" w:lineRule="auto"/>
        <w:ind w:left="10" w:right="4"/>
      </w:pPr>
    </w:p>
    <w:p w14:paraId="41CEB582" w14:textId="70BEB3F4" w:rsidR="00EC6FE5" w:rsidRDefault="008E10EE">
      <w:pPr>
        <w:spacing w:after="125"/>
        <w:ind w:right="3"/>
      </w:pPr>
      <w:r>
        <w:t>Lecturer</w:t>
      </w:r>
      <w:r w:rsidR="00880F2A">
        <w:t>’s Name: Dr</w:t>
      </w:r>
      <w:r w:rsidR="00950AEF">
        <w:t>.</w:t>
      </w:r>
      <w:r w:rsidR="00880F2A">
        <w:t xml:space="preserve"> Laila</w:t>
      </w:r>
      <w:r w:rsidR="00950AEF">
        <w:t xml:space="preserve"> Maazouz</w:t>
      </w:r>
    </w:p>
    <w:p w14:paraId="71019F37" w14:textId="77777777" w:rsidR="008E10EE" w:rsidRDefault="008E10EE" w:rsidP="008E10EE">
      <w:pPr>
        <w:spacing w:after="117" w:line="259" w:lineRule="auto"/>
        <w:ind w:left="10" w:right="724"/>
        <w:jc w:val="center"/>
        <w:rPr>
          <w:sz w:val="20"/>
        </w:rPr>
      </w:pPr>
    </w:p>
    <w:p w14:paraId="321615FE" w14:textId="1DFF94F1" w:rsidR="00EC6FE5" w:rsidRDefault="00000000" w:rsidP="008E10EE">
      <w:pPr>
        <w:spacing w:after="117" w:line="259" w:lineRule="auto"/>
        <w:ind w:left="10" w:right="724"/>
        <w:jc w:val="center"/>
        <w:rPr>
          <w:sz w:val="20"/>
        </w:rPr>
      </w:pPr>
      <w:r>
        <w:rPr>
          <w:sz w:val="20"/>
        </w:rPr>
        <w:t xml:space="preserve"> </w:t>
      </w:r>
    </w:p>
    <w:p w14:paraId="1349D4F1" w14:textId="77777777" w:rsidR="00476D51" w:rsidRDefault="00476D51">
      <w:pPr>
        <w:spacing w:after="117" w:line="259" w:lineRule="auto"/>
        <w:ind w:left="10" w:right="724"/>
        <w:jc w:val="right"/>
      </w:pPr>
    </w:p>
    <w:p w14:paraId="14567BFB" w14:textId="77777777" w:rsidR="00EC6FE5" w:rsidRDefault="00000000">
      <w:pPr>
        <w:spacing w:after="0" w:line="359" w:lineRule="auto"/>
        <w:ind w:left="4513" w:right="4452" w:firstLine="0"/>
        <w:jc w:val="center"/>
      </w:pPr>
      <w:r>
        <w:rPr>
          <w:b/>
        </w:rPr>
        <w:t xml:space="preserve">  </w:t>
      </w:r>
    </w:p>
    <w:p w14:paraId="54DF0354" w14:textId="70552CF1" w:rsidR="00EC6FE5" w:rsidRDefault="00D7628F" w:rsidP="00D7628F">
      <w:pPr>
        <w:ind w:left="0" w:firstLine="0"/>
      </w:pPr>
      <w:r>
        <w:t xml:space="preserve">                                         </w:t>
      </w:r>
    </w:p>
    <w:p w14:paraId="0A8FA1BC" w14:textId="77777777" w:rsidR="00EC6FE5" w:rsidRDefault="00000000">
      <w:pPr>
        <w:spacing w:after="115" w:line="259" w:lineRule="auto"/>
        <w:ind w:left="0" w:firstLine="0"/>
        <w:jc w:val="left"/>
      </w:pPr>
      <w:r>
        <w:rPr>
          <w:b/>
        </w:rPr>
        <w:t xml:space="preserve"> </w:t>
      </w:r>
    </w:p>
    <w:p w14:paraId="433C5235" w14:textId="045FCEE1" w:rsidR="00EC6FE5" w:rsidRDefault="00EC6FE5">
      <w:pPr>
        <w:spacing w:after="116" w:line="259" w:lineRule="auto"/>
        <w:ind w:left="10" w:right="7"/>
        <w:jc w:val="center"/>
      </w:pPr>
    </w:p>
    <w:p w14:paraId="7C2A9BD5" w14:textId="77777777" w:rsidR="00EC6FE5" w:rsidRDefault="00000000">
      <w:pPr>
        <w:spacing w:after="2" w:line="359" w:lineRule="auto"/>
        <w:ind w:left="0" w:right="8965" w:firstLine="0"/>
        <w:jc w:val="left"/>
        <w:rPr>
          <w:b/>
        </w:rPr>
      </w:pPr>
      <w:r>
        <w:rPr>
          <w:b/>
        </w:rPr>
        <w:t xml:space="preserve">  </w:t>
      </w:r>
    </w:p>
    <w:p w14:paraId="016D5B01" w14:textId="77777777" w:rsidR="00476D51" w:rsidRDefault="00476D51">
      <w:pPr>
        <w:spacing w:after="2" w:line="359" w:lineRule="auto"/>
        <w:ind w:left="0" w:right="8965" w:firstLine="0"/>
        <w:jc w:val="left"/>
        <w:rPr>
          <w:b/>
        </w:rPr>
      </w:pPr>
    </w:p>
    <w:p w14:paraId="17F0E815" w14:textId="77777777" w:rsidR="00476D51" w:rsidRDefault="00476D51">
      <w:pPr>
        <w:spacing w:after="2" w:line="359" w:lineRule="auto"/>
        <w:ind w:left="0" w:right="8965" w:firstLine="0"/>
        <w:jc w:val="left"/>
        <w:rPr>
          <w:b/>
        </w:rPr>
      </w:pPr>
    </w:p>
    <w:p w14:paraId="0ACA0B39" w14:textId="77777777" w:rsidR="00476D51" w:rsidRDefault="00476D51">
      <w:pPr>
        <w:spacing w:after="2" w:line="359" w:lineRule="auto"/>
        <w:ind w:left="0" w:right="8965" w:firstLine="0"/>
        <w:jc w:val="left"/>
        <w:rPr>
          <w:b/>
        </w:rPr>
      </w:pPr>
    </w:p>
    <w:p w14:paraId="728CF10D" w14:textId="77777777" w:rsidR="00476D51" w:rsidRDefault="00476D51">
      <w:pPr>
        <w:spacing w:after="2" w:line="359" w:lineRule="auto"/>
        <w:ind w:left="0" w:right="8965" w:firstLine="0"/>
        <w:jc w:val="left"/>
        <w:rPr>
          <w:b/>
        </w:rPr>
      </w:pPr>
    </w:p>
    <w:p w14:paraId="73FB4608" w14:textId="77777777" w:rsidR="00476D51" w:rsidRDefault="00476D51">
      <w:pPr>
        <w:spacing w:after="2" w:line="359" w:lineRule="auto"/>
        <w:ind w:left="0" w:right="8965" w:firstLine="0"/>
        <w:jc w:val="left"/>
        <w:rPr>
          <w:b/>
        </w:rPr>
      </w:pPr>
    </w:p>
    <w:p w14:paraId="587E5870" w14:textId="77777777" w:rsidR="00476D51" w:rsidRDefault="00476D51">
      <w:pPr>
        <w:spacing w:after="2" w:line="359" w:lineRule="auto"/>
        <w:ind w:left="0" w:right="8965" w:firstLine="0"/>
        <w:jc w:val="left"/>
        <w:rPr>
          <w:b/>
        </w:rPr>
      </w:pPr>
    </w:p>
    <w:p w14:paraId="45249E54" w14:textId="77777777" w:rsidR="00476D51" w:rsidRDefault="00476D51">
      <w:pPr>
        <w:spacing w:after="2" w:line="359" w:lineRule="auto"/>
        <w:ind w:left="0" w:right="8965" w:firstLine="0"/>
        <w:jc w:val="left"/>
        <w:rPr>
          <w:b/>
        </w:rPr>
      </w:pPr>
    </w:p>
    <w:p w14:paraId="6C72BFD9" w14:textId="77777777" w:rsidR="00476D51" w:rsidRDefault="00476D51">
      <w:pPr>
        <w:spacing w:after="2" w:line="359" w:lineRule="auto"/>
        <w:ind w:left="0" w:right="8965" w:firstLine="0"/>
        <w:jc w:val="left"/>
        <w:rPr>
          <w:b/>
        </w:rPr>
      </w:pPr>
    </w:p>
    <w:p w14:paraId="1562ED37" w14:textId="77777777" w:rsidR="00476D51" w:rsidRDefault="00476D51">
      <w:pPr>
        <w:spacing w:after="2" w:line="359" w:lineRule="auto"/>
        <w:ind w:left="0" w:right="8965" w:firstLine="0"/>
        <w:jc w:val="left"/>
        <w:rPr>
          <w:b/>
        </w:rPr>
      </w:pPr>
    </w:p>
    <w:p w14:paraId="1E257A2A" w14:textId="77777777" w:rsidR="00476D51" w:rsidRDefault="00476D51">
      <w:pPr>
        <w:spacing w:after="2" w:line="359" w:lineRule="auto"/>
        <w:ind w:left="0" w:right="8965" w:firstLine="0"/>
        <w:jc w:val="left"/>
      </w:pPr>
    </w:p>
    <w:p w14:paraId="09A93FC1" w14:textId="77777777" w:rsidR="00EC6FE5" w:rsidRDefault="00000000">
      <w:pPr>
        <w:spacing w:after="115" w:line="259" w:lineRule="auto"/>
        <w:ind w:left="0" w:firstLine="0"/>
        <w:jc w:val="left"/>
      </w:pPr>
      <w:r>
        <w:rPr>
          <w:b/>
        </w:rPr>
        <w:t xml:space="preserve"> </w:t>
      </w:r>
    </w:p>
    <w:p w14:paraId="3CFF8EE1" w14:textId="315ED5A2" w:rsidR="00EC6FE5" w:rsidRDefault="00EC6FE5">
      <w:pPr>
        <w:spacing w:after="116" w:line="259" w:lineRule="auto"/>
        <w:ind w:left="10" w:right="5"/>
        <w:jc w:val="center"/>
      </w:pPr>
    </w:p>
    <w:sdt>
      <w:sdtPr>
        <w:id w:val="1936480851"/>
        <w:docPartObj>
          <w:docPartGallery w:val="Table of Contents"/>
        </w:docPartObj>
      </w:sdtPr>
      <w:sdtContent>
        <w:p w14:paraId="33191752" w14:textId="77777777" w:rsidR="00EC6FE5" w:rsidRDefault="00000000">
          <w:pPr>
            <w:spacing w:after="0" w:line="259" w:lineRule="auto"/>
            <w:ind w:left="0" w:firstLine="0"/>
            <w:jc w:val="left"/>
          </w:pPr>
          <w:r>
            <w:rPr>
              <w:rFonts w:ascii="Calibri" w:eastAsia="Calibri" w:hAnsi="Calibri" w:cs="Calibri"/>
              <w:color w:val="0F4761"/>
              <w:sz w:val="32"/>
            </w:rPr>
            <w:t xml:space="preserve">Table of Contents </w:t>
          </w:r>
        </w:p>
        <w:p w14:paraId="64A06680" w14:textId="77777777" w:rsidR="00EC6FE5" w:rsidRDefault="00000000">
          <w:pPr>
            <w:pStyle w:val="TOC1"/>
            <w:tabs>
              <w:tab w:val="right" w:leader="dot" w:pos="9032"/>
            </w:tabs>
          </w:pPr>
          <w:r>
            <w:fldChar w:fldCharType="begin"/>
          </w:r>
          <w:r>
            <w:instrText xml:space="preserve"> TOC \o "1-2" \h \z \u </w:instrText>
          </w:r>
          <w:r>
            <w:fldChar w:fldCharType="separate"/>
          </w:r>
          <w:hyperlink w:anchor="_Toc13747">
            <w:r w:rsidR="00EC6FE5">
              <w:t>1. Introduction</w:t>
            </w:r>
            <w:r w:rsidR="00EC6FE5">
              <w:tab/>
            </w:r>
            <w:r w:rsidR="00EC6FE5">
              <w:fldChar w:fldCharType="begin"/>
            </w:r>
            <w:r w:rsidR="00EC6FE5">
              <w:instrText>PAGEREF _Toc13747 \h</w:instrText>
            </w:r>
            <w:r w:rsidR="00EC6FE5">
              <w:fldChar w:fldCharType="separate"/>
            </w:r>
            <w:r w:rsidR="00EC6FE5">
              <w:t xml:space="preserve">3 </w:t>
            </w:r>
            <w:r w:rsidR="00EC6FE5">
              <w:fldChar w:fldCharType="end"/>
            </w:r>
          </w:hyperlink>
        </w:p>
        <w:p w14:paraId="788921CD" w14:textId="77777777" w:rsidR="00EC6FE5" w:rsidRDefault="00EC6FE5">
          <w:pPr>
            <w:pStyle w:val="TOC1"/>
            <w:tabs>
              <w:tab w:val="right" w:leader="dot" w:pos="9032"/>
            </w:tabs>
          </w:pPr>
          <w:hyperlink w:anchor="_Toc13748">
            <w:r>
              <w:t>2. Task 1: Macro-Environmental Analysis</w:t>
            </w:r>
            <w:r>
              <w:tab/>
            </w:r>
            <w:r>
              <w:fldChar w:fldCharType="begin"/>
            </w:r>
            <w:r>
              <w:instrText>PAGEREF _Toc13748 \h</w:instrText>
            </w:r>
            <w:r>
              <w:fldChar w:fldCharType="separate"/>
            </w:r>
            <w:r>
              <w:t xml:space="preserve">3 </w:t>
            </w:r>
            <w:r>
              <w:fldChar w:fldCharType="end"/>
            </w:r>
          </w:hyperlink>
        </w:p>
        <w:p w14:paraId="3FE2A57E" w14:textId="77777777" w:rsidR="00EC6FE5" w:rsidRDefault="00EC6FE5">
          <w:pPr>
            <w:pStyle w:val="TOC2"/>
            <w:tabs>
              <w:tab w:val="right" w:leader="dot" w:pos="9032"/>
            </w:tabs>
          </w:pPr>
          <w:hyperlink w:anchor="_Toc13749">
            <w:r>
              <w:t>2.1 Technological Environment</w:t>
            </w:r>
            <w:r>
              <w:tab/>
            </w:r>
            <w:r>
              <w:fldChar w:fldCharType="begin"/>
            </w:r>
            <w:r>
              <w:instrText>PAGEREF _Toc13749 \h</w:instrText>
            </w:r>
            <w:r>
              <w:fldChar w:fldCharType="separate"/>
            </w:r>
            <w:r>
              <w:t xml:space="preserve">4 </w:t>
            </w:r>
            <w:r>
              <w:fldChar w:fldCharType="end"/>
            </w:r>
          </w:hyperlink>
        </w:p>
        <w:p w14:paraId="74F39B87" w14:textId="77777777" w:rsidR="00EC6FE5" w:rsidRDefault="00EC6FE5">
          <w:pPr>
            <w:pStyle w:val="TOC2"/>
            <w:tabs>
              <w:tab w:val="right" w:leader="dot" w:pos="9032"/>
            </w:tabs>
          </w:pPr>
          <w:hyperlink w:anchor="_Toc13750">
            <w:r>
              <w:t>2.2 Political and Legal Environment</w:t>
            </w:r>
            <w:r>
              <w:tab/>
            </w:r>
            <w:r>
              <w:fldChar w:fldCharType="begin"/>
            </w:r>
            <w:r>
              <w:instrText>PAGEREF _Toc13750 \h</w:instrText>
            </w:r>
            <w:r>
              <w:fldChar w:fldCharType="separate"/>
            </w:r>
            <w:r>
              <w:t xml:space="preserve">5 </w:t>
            </w:r>
            <w:r>
              <w:fldChar w:fldCharType="end"/>
            </w:r>
          </w:hyperlink>
        </w:p>
        <w:p w14:paraId="40A27232" w14:textId="77777777" w:rsidR="00EC6FE5" w:rsidRDefault="00EC6FE5">
          <w:pPr>
            <w:pStyle w:val="TOC1"/>
            <w:tabs>
              <w:tab w:val="right" w:leader="dot" w:pos="9032"/>
            </w:tabs>
          </w:pPr>
          <w:hyperlink w:anchor="_Toc13751">
            <w:r>
              <w:t>Task 2: Strategic Responses</w:t>
            </w:r>
            <w:r>
              <w:tab/>
            </w:r>
            <w:r>
              <w:fldChar w:fldCharType="begin"/>
            </w:r>
            <w:r>
              <w:instrText>PAGEREF _Toc13751 \h</w:instrText>
            </w:r>
            <w:r>
              <w:fldChar w:fldCharType="separate"/>
            </w:r>
            <w:r>
              <w:t xml:space="preserve">6 </w:t>
            </w:r>
            <w:r>
              <w:fldChar w:fldCharType="end"/>
            </w:r>
          </w:hyperlink>
        </w:p>
        <w:p w14:paraId="3303AE39" w14:textId="77777777" w:rsidR="00EC6FE5" w:rsidRDefault="00EC6FE5">
          <w:pPr>
            <w:pStyle w:val="TOC2"/>
            <w:tabs>
              <w:tab w:val="right" w:leader="dot" w:pos="9032"/>
            </w:tabs>
          </w:pPr>
          <w:hyperlink w:anchor="_Toc13752">
            <w:r>
              <w:t>3.1 Porter's Generic Strategies</w:t>
            </w:r>
            <w:r>
              <w:tab/>
            </w:r>
            <w:r>
              <w:fldChar w:fldCharType="begin"/>
            </w:r>
            <w:r>
              <w:instrText>PAGEREF _Toc13752 \h</w:instrText>
            </w:r>
            <w:r>
              <w:fldChar w:fldCharType="separate"/>
            </w:r>
            <w:r>
              <w:t xml:space="preserve">7 </w:t>
            </w:r>
            <w:r>
              <w:fldChar w:fldCharType="end"/>
            </w:r>
          </w:hyperlink>
        </w:p>
        <w:p w14:paraId="2F3F942E" w14:textId="77777777" w:rsidR="00EC6FE5" w:rsidRDefault="00EC6FE5">
          <w:pPr>
            <w:pStyle w:val="TOC2"/>
            <w:tabs>
              <w:tab w:val="right" w:leader="dot" w:pos="9032"/>
            </w:tabs>
          </w:pPr>
          <w:hyperlink w:anchor="_Toc13753">
            <w:r>
              <w:t>3.2 Ansoff's Growth Matrix</w:t>
            </w:r>
            <w:r>
              <w:tab/>
            </w:r>
            <w:r>
              <w:fldChar w:fldCharType="begin"/>
            </w:r>
            <w:r>
              <w:instrText>PAGEREF _Toc13753 \h</w:instrText>
            </w:r>
            <w:r>
              <w:fldChar w:fldCharType="separate"/>
            </w:r>
            <w:r>
              <w:t xml:space="preserve">8 </w:t>
            </w:r>
            <w:r>
              <w:fldChar w:fldCharType="end"/>
            </w:r>
          </w:hyperlink>
        </w:p>
        <w:p w14:paraId="35246986" w14:textId="77777777" w:rsidR="00EC6FE5" w:rsidRDefault="00EC6FE5">
          <w:pPr>
            <w:pStyle w:val="TOC1"/>
            <w:tabs>
              <w:tab w:val="right" w:leader="dot" w:pos="9032"/>
            </w:tabs>
          </w:pPr>
          <w:hyperlink w:anchor="_Toc13754">
            <w:r>
              <w:t>4. Conclusion</w:t>
            </w:r>
            <w:r>
              <w:tab/>
            </w:r>
            <w:r>
              <w:fldChar w:fldCharType="begin"/>
            </w:r>
            <w:r>
              <w:instrText>PAGEREF _Toc13754 \h</w:instrText>
            </w:r>
            <w:r>
              <w:fldChar w:fldCharType="separate"/>
            </w:r>
            <w:r>
              <w:t xml:space="preserve">11 </w:t>
            </w:r>
            <w:r>
              <w:fldChar w:fldCharType="end"/>
            </w:r>
          </w:hyperlink>
        </w:p>
        <w:p w14:paraId="50F11817" w14:textId="77777777" w:rsidR="00EC6FE5" w:rsidRDefault="00EC6FE5">
          <w:pPr>
            <w:pStyle w:val="TOC1"/>
            <w:tabs>
              <w:tab w:val="right" w:leader="dot" w:pos="9032"/>
            </w:tabs>
          </w:pPr>
          <w:hyperlink w:anchor="_Toc13755">
            <w:r>
              <w:t>5. Reference List</w:t>
            </w:r>
            <w:r>
              <w:tab/>
            </w:r>
            <w:r>
              <w:fldChar w:fldCharType="begin"/>
            </w:r>
            <w:r>
              <w:instrText>PAGEREF _Toc13755 \h</w:instrText>
            </w:r>
            <w:r>
              <w:fldChar w:fldCharType="separate"/>
            </w:r>
            <w:r>
              <w:t xml:space="preserve">12 </w:t>
            </w:r>
            <w:r>
              <w:fldChar w:fldCharType="end"/>
            </w:r>
          </w:hyperlink>
        </w:p>
        <w:p w14:paraId="4C35FF19" w14:textId="77777777" w:rsidR="00EC6FE5" w:rsidRDefault="00000000">
          <w:r>
            <w:fldChar w:fldCharType="end"/>
          </w:r>
        </w:p>
      </w:sdtContent>
    </w:sdt>
    <w:p w14:paraId="4E884CA1" w14:textId="77777777" w:rsidR="00EC6FE5" w:rsidRDefault="00000000">
      <w:pPr>
        <w:spacing w:after="115" w:line="259" w:lineRule="auto"/>
        <w:ind w:left="0" w:firstLine="0"/>
        <w:jc w:val="left"/>
      </w:pPr>
      <w:r>
        <w:t xml:space="preserve"> </w:t>
      </w:r>
    </w:p>
    <w:p w14:paraId="5DF0A191" w14:textId="77777777" w:rsidR="00EC6FE5" w:rsidRDefault="00000000">
      <w:pPr>
        <w:spacing w:after="127"/>
        <w:ind w:left="-5" w:right="3"/>
      </w:pPr>
      <w:r>
        <w:t xml:space="preserve">Table 1: PESTLE Macro-Environmental Analysis - Netflix vs Disney+ (Author's Own, </w:t>
      </w:r>
    </w:p>
    <w:p w14:paraId="737312C9" w14:textId="77777777" w:rsidR="00EC6FE5" w:rsidRDefault="00000000">
      <w:pPr>
        <w:ind w:left="-5" w:right="3"/>
      </w:pPr>
      <w:r>
        <w:t xml:space="preserve">2024) .......................................................................................................................... 3 </w:t>
      </w:r>
    </w:p>
    <w:p w14:paraId="20A4A46E" w14:textId="77777777" w:rsidR="00EC6FE5" w:rsidRDefault="00000000">
      <w:pPr>
        <w:spacing w:after="127"/>
        <w:ind w:left="-5" w:right="3"/>
      </w:pPr>
      <w:r>
        <w:t xml:space="preserve">Table 2:  Porter's Generic Strategies - Netflix vs Disney+ (Author's Own, adapted from </w:t>
      </w:r>
    </w:p>
    <w:p w14:paraId="6744C9BB" w14:textId="77777777" w:rsidR="00EC6FE5" w:rsidRDefault="00000000">
      <w:pPr>
        <w:spacing w:after="125"/>
        <w:ind w:left="-5" w:right="3"/>
      </w:pPr>
      <w:r>
        <w:t xml:space="preserve">Porter, 1980) .............................................................................................................. 7 </w:t>
      </w:r>
    </w:p>
    <w:p w14:paraId="54FBE67F" w14:textId="77777777" w:rsidR="00EC6FE5" w:rsidRDefault="00000000">
      <w:pPr>
        <w:spacing w:after="127"/>
        <w:ind w:left="-5" w:right="3"/>
      </w:pPr>
      <w:r>
        <w:t xml:space="preserve">Table 3: Ansoff's Growth Matrix - Netflix vs Disney+ (Author's Own, adapted from </w:t>
      </w:r>
    </w:p>
    <w:p w14:paraId="5EC66EA0" w14:textId="77777777" w:rsidR="00EC6FE5" w:rsidRDefault="00000000">
      <w:pPr>
        <w:spacing w:after="511" w:line="359" w:lineRule="auto"/>
        <w:ind w:left="-5" w:right="3"/>
      </w:pPr>
      <w:r>
        <w:t xml:space="preserve">Ansoff, 1957) .............................................................................................................. 9  </w:t>
      </w:r>
    </w:p>
    <w:p w14:paraId="7D8EDDD1" w14:textId="77777777" w:rsidR="00EC6FE5" w:rsidRDefault="00000000">
      <w:pPr>
        <w:spacing w:after="551" w:line="259" w:lineRule="auto"/>
        <w:ind w:left="0" w:firstLine="0"/>
        <w:jc w:val="left"/>
      </w:pPr>
      <w:r>
        <w:rPr>
          <w:b/>
          <w:color w:val="1565C0"/>
          <w:sz w:val="40"/>
        </w:rPr>
        <w:t xml:space="preserve"> </w:t>
      </w:r>
    </w:p>
    <w:p w14:paraId="6CE09821" w14:textId="77777777" w:rsidR="00EC6FE5" w:rsidRDefault="00000000">
      <w:pPr>
        <w:spacing w:after="554" w:line="259" w:lineRule="auto"/>
        <w:ind w:left="0" w:firstLine="0"/>
        <w:jc w:val="left"/>
      </w:pPr>
      <w:r>
        <w:rPr>
          <w:b/>
          <w:color w:val="1565C0"/>
          <w:sz w:val="40"/>
        </w:rPr>
        <w:t xml:space="preserve"> </w:t>
      </w:r>
    </w:p>
    <w:p w14:paraId="7F3917E8" w14:textId="76B7E39A" w:rsidR="00EC6FE5" w:rsidRDefault="00000000">
      <w:pPr>
        <w:spacing w:after="551" w:line="259" w:lineRule="auto"/>
        <w:ind w:left="0" w:firstLine="0"/>
        <w:jc w:val="left"/>
      </w:pPr>
      <w:r>
        <w:rPr>
          <w:b/>
          <w:color w:val="1565C0"/>
          <w:sz w:val="40"/>
        </w:rPr>
        <w:t xml:space="preserve"> </w:t>
      </w:r>
    </w:p>
    <w:p w14:paraId="4C570B1A" w14:textId="77777777" w:rsidR="00EC6FE5" w:rsidRDefault="00000000">
      <w:pPr>
        <w:spacing w:after="553" w:line="259" w:lineRule="auto"/>
        <w:ind w:left="0" w:firstLine="0"/>
        <w:jc w:val="left"/>
      </w:pPr>
      <w:r>
        <w:rPr>
          <w:b/>
          <w:color w:val="1565C0"/>
          <w:sz w:val="40"/>
        </w:rPr>
        <w:t xml:space="preserve"> </w:t>
      </w:r>
    </w:p>
    <w:p w14:paraId="4251CCF8" w14:textId="11272418" w:rsidR="00EC6FE5" w:rsidRDefault="00000000">
      <w:pPr>
        <w:spacing w:after="0" w:line="259" w:lineRule="auto"/>
        <w:ind w:left="0" w:firstLine="0"/>
        <w:jc w:val="left"/>
      </w:pPr>
      <w:r>
        <w:rPr>
          <w:b/>
          <w:color w:val="1565C0"/>
          <w:sz w:val="40"/>
        </w:rPr>
        <w:lastRenderedPageBreak/>
        <w:t xml:space="preserve"> </w:t>
      </w:r>
      <w:r w:rsidR="00D2408A">
        <w:rPr>
          <w:b/>
          <w:color w:val="1565C0"/>
          <w:sz w:val="40"/>
        </w:rPr>
        <w:t>I</w:t>
      </w:r>
      <w:r w:rsidR="00416A6C">
        <w:rPr>
          <w:b/>
          <w:color w:val="1565C0"/>
          <w:sz w:val="40"/>
        </w:rPr>
        <w:t>ntroduction</w:t>
      </w:r>
    </w:p>
    <w:p w14:paraId="57312ED8" w14:textId="77777777" w:rsidR="00EC6FE5" w:rsidRDefault="00000000">
      <w:pPr>
        <w:spacing w:after="2" w:line="359" w:lineRule="auto"/>
        <w:ind w:left="0" w:right="8965" w:firstLine="0"/>
        <w:jc w:val="left"/>
      </w:pPr>
      <w:r>
        <w:t xml:space="preserve">  </w:t>
      </w:r>
    </w:p>
    <w:p w14:paraId="71FABAB9" w14:textId="67E12607" w:rsidR="00497678" w:rsidRDefault="00561203" w:rsidP="00561203">
      <w:pPr>
        <w:spacing w:after="624" w:line="259" w:lineRule="auto"/>
        <w:ind w:left="0" w:firstLine="0"/>
        <w:jc w:val="left"/>
      </w:pPr>
      <w:r>
        <w:t>The global video streaming industry has grown into a USD 554 billion market projected to exceed USD 1.9 trillion by 2030 (Grand View Research, 2023), shaped by the interplay between pioneering organisations and strategic followers. This report compares Netflix pioneer of subscription-based video-on-demand streaming against Disney+, a follower that entered the market in November 2019 backed by one of the world’s most</w:t>
      </w:r>
      <w:r w:rsidR="00B517A6">
        <w:t xml:space="preserve"> </w:t>
      </w:r>
      <w:r>
        <w:t>powerful entertainment brands.</w:t>
      </w:r>
    </w:p>
    <w:p w14:paraId="14DEEBC3" w14:textId="776828C4" w:rsidR="00EC6FE5" w:rsidRDefault="00561203" w:rsidP="00561203">
      <w:pPr>
        <w:spacing w:after="624" w:line="259" w:lineRule="auto"/>
        <w:ind w:left="0" w:firstLine="0"/>
        <w:jc w:val="left"/>
      </w:pPr>
      <w:r>
        <w:t>Two macro-environmental factors are examined under the PESTLE framework: Technological and Political/Legal forces, selected for their measurable influence on streaming’s competitive dynamics. Task 1 analyses how these forces generate opportunities and threats for each organisation. Task 2 evaluates strategic responses through Porter’s Generic Strategies and Ansoff’s Growth Matrix.</w:t>
      </w:r>
    </w:p>
    <w:p w14:paraId="543A0BA6" w14:textId="68FB80D4" w:rsidR="00EC6FE5" w:rsidRDefault="00EC6FE5">
      <w:pPr>
        <w:spacing w:after="624" w:line="259" w:lineRule="auto"/>
        <w:ind w:left="0" w:firstLine="0"/>
        <w:jc w:val="left"/>
      </w:pPr>
    </w:p>
    <w:p w14:paraId="37EDA547" w14:textId="77777777" w:rsidR="00561203" w:rsidRDefault="00561203">
      <w:pPr>
        <w:pStyle w:val="Heading1"/>
        <w:ind w:left="-5"/>
      </w:pPr>
      <w:bookmarkStart w:id="0" w:name="_Toc13748"/>
    </w:p>
    <w:p w14:paraId="675B063F" w14:textId="77777777" w:rsidR="00561203" w:rsidRDefault="00561203">
      <w:pPr>
        <w:pStyle w:val="Heading1"/>
        <w:ind w:left="-5"/>
      </w:pPr>
    </w:p>
    <w:p w14:paraId="15CA01BF" w14:textId="77777777" w:rsidR="00561203" w:rsidRDefault="00561203">
      <w:pPr>
        <w:pStyle w:val="Heading1"/>
        <w:ind w:left="-5"/>
      </w:pPr>
    </w:p>
    <w:p w14:paraId="175012FF" w14:textId="77777777" w:rsidR="00561203" w:rsidRDefault="00561203">
      <w:pPr>
        <w:pStyle w:val="Heading1"/>
        <w:ind w:left="-5"/>
      </w:pPr>
    </w:p>
    <w:p w14:paraId="553A1589" w14:textId="77777777" w:rsidR="00561203" w:rsidRDefault="00561203" w:rsidP="00561203">
      <w:pPr>
        <w:pStyle w:val="Heading1"/>
        <w:ind w:left="0" w:firstLine="0"/>
      </w:pPr>
    </w:p>
    <w:p w14:paraId="429F6A75" w14:textId="77777777" w:rsidR="00561203" w:rsidRDefault="00561203" w:rsidP="00561203"/>
    <w:p w14:paraId="0BBA7110" w14:textId="77777777" w:rsidR="00561203" w:rsidRDefault="00561203" w:rsidP="00561203"/>
    <w:p w14:paraId="55C0C613" w14:textId="77777777" w:rsidR="00561203" w:rsidRDefault="00561203" w:rsidP="00561203"/>
    <w:p w14:paraId="242032B7" w14:textId="77777777" w:rsidR="00561203" w:rsidRDefault="00561203" w:rsidP="00561203"/>
    <w:p w14:paraId="614A62BD" w14:textId="77777777" w:rsidR="00561203" w:rsidRDefault="00561203" w:rsidP="00561203"/>
    <w:p w14:paraId="033B2FB6" w14:textId="77777777" w:rsidR="00561203" w:rsidRDefault="00561203" w:rsidP="00561203"/>
    <w:p w14:paraId="3356FA11" w14:textId="77777777" w:rsidR="00561203" w:rsidRPr="00561203" w:rsidRDefault="00561203" w:rsidP="00561203"/>
    <w:p w14:paraId="51DDC0D3" w14:textId="3F951457" w:rsidR="00EC6FE5" w:rsidRDefault="00000000">
      <w:pPr>
        <w:pStyle w:val="Heading1"/>
        <w:ind w:left="-5"/>
      </w:pPr>
      <w:r>
        <w:lastRenderedPageBreak/>
        <w:t xml:space="preserve">2. Task 1: Macro-Environmental Analysis </w:t>
      </w:r>
      <w:bookmarkEnd w:id="0"/>
    </w:p>
    <w:p w14:paraId="433B34D2" w14:textId="77777777" w:rsidR="00EC6FE5" w:rsidRDefault="00000000">
      <w:pPr>
        <w:spacing w:line="360" w:lineRule="auto"/>
        <w:ind w:left="-5" w:right="3"/>
      </w:pPr>
      <w:r>
        <w:t xml:space="preserve">Before examining each factor in depth, Table 1 maps the key macro-environmental forces Technological and Political/Legal against both organisations, illustrating where each faces meaningful opportunity and where exposure to threat is most pronounced. </w:t>
      </w:r>
    </w:p>
    <w:p w14:paraId="516631C8" w14:textId="77777777" w:rsidR="00EC6FE5" w:rsidRDefault="00000000">
      <w:pPr>
        <w:spacing w:after="160" w:line="259" w:lineRule="auto"/>
        <w:ind w:left="0" w:firstLine="0"/>
        <w:jc w:val="left"/>
      </w:pPr>
      <w:r>
        <w:t xml:space="preserve"> </w:t>
      </w:r>
    </w:p>
    <w:p w14:paraId="5890A929" w14:textId="77777777" w:rsidR="00EC6FE5" w:rsidRDefault="00000000">
      <w:pPr>
        <w:spacing w:after="0" w:line="259" w:lineRule="auto"/>
        <w:ind w:left="-5"/>
        <w:jc w:val="left"/>
      </w:pPr>
      <w:r>
        <w:rPr>
          <w:i/>
          <w:color w:val="0E2841"/>
          <w:sz w:val="18"/>
        </w:rPr>
        <w:t xml:space="preserve">Table 1: PESTLE Macro-Environmental Analysis - Netflix vs Disney+ (Author's Own, 2024) </w:t>
      </w:r>
    </w:p>
    <w:tbl>
      <w:tblPr>
        <w:tblStyle w:val="TableGrid"/>
        <w:tblW w:w="9362" w:type="dxa"/>
        <w:tblInd w:w="5" w:type="dxa"/>
        <w:tblCellMar>
          <w:top w:w="124" w:type="dxa"/>
          <w:left w:w="120" w:type="dxa"/>
          <w:right w:w="64" w:type="dxa"/>
        </w:tblCellMar>
        <w:tblLook w:val="04A0" w:firstRow="1" w:lastRow="0" w:firstColumn="1" w:lastColumn="0" w:noHBand="0" w:noVBand="1"/>
      </w:tblPr>
      <w:tblGrid>
        <w:gridCol w:w="1634"/>
        <w:gridCol w:w="1397"/>
        <w:gridCol w:w="3241"/>
        <w:gridCol w:w="3090"/>
      </w:tblGrid>
      <w:tr w:rsidR="00EC6FE5" w14:paraId="333A9883" w14:textId="77777777">
        <w:trPr>
          <w:trHeight w:val="557"/>
        </w:trPr>
        <w:tc>
          <w:tcPr>
            <w:tcW w:w="1634" w:type="dxa"/>
            <w:tcBorders>
              <w:top w:val="single" w:sz="4" w:space="0" w:color="000000"/>
              <w:left w:val="single" w:sz="4" w:space="0" w:color="000000"/>
              <w:bottom w:val="single" w:sz="4" w:space="0" w:color="000000"/>
              <w:right w:val="single" w:sz="4" w:space="0" w:color="000000"/>
            </w:tcBorders>
            <w:vAlign w:val="center"/>
          </w:tcPr>
          <w:p w14:paraId="40B66C20" w14:textId="77777777" w:rsidR="00EC6FE5" w:rsidRDefault="00000000">
            <w:pPr>
              <w:spacing w:after="0" w:line="259" w:lineRule="auto"/>
              <w:ind w:left="0" w:right="57" w:firstLine="0"/>
              <w:jc w:val="center"/>
            </w:pPr>
            <w:r>
              <w:rPr>
                <w:b/>
                <w:sz w:val="20"/>
              </w:rPr>
              <w:t>Factor</w:t>
            </w:r>
            <w:r>
              <w:t xml:space="preserve"> </w:t>
            </w:r>
          </w:p>
        </w:tc>
        <w:tc>
          <w:tcPr>
            <w:tcW w:w="1397" w:type="dxa"/>
            <w:tcBorders>
              <w:top w:val="single" w:sz="4" w:space="0" w:color="000000"/>
              <w:left w:val="single" w:sz="4" w:space="0" w:color="000000"/>
              <w:bottom w:val="single" w:sz="4" w:space="0" w:color="000000"/>
              <w:right w:val="single" w:sz="4" w:space="0" w:color="000000"/>
            </w:tcBorders>
            <w:vAlign w:val="center"/>
          </w:tcPr>
          <w:p w14:paraId="315EE67C" w14:textId="77777777" w:rsidR="00EC6FE5" w:rsidRDefault="00000000">
            <w:pPr>
              <w:spacing w:after="0" w:line="259" w:lineRule="auto"/>
              <w:ind w:left="0" w:right="60" w:firstLine="0"/>
              <w:jc w:val="center"/>
            </w:pPr>
            <w:r>
              <w:rPr>
                <w:b/>
                <w:sz w:val="20"/>
              </w:rPr>
              <w:t>Type</w:t>
            </w:r>
            <w:r>
              <w:t xml:space="preserve"> </w:t>
            </w:r>
          </w:p>
        </w:tc>
        <w:tc>
          <w:tcPr>
            <w:tcW w:w="3240" w:type="dxa"/>
            <w:tcBorders>
              <w:top w:val="single" w:sz="4" w:space="0" w:color="000000"/>
              <w:left w:val="single" w:sz="4" w:space="0" w:color="000000"/>
              <w:bottom w:val="single" w:sz="4" w:space="0" w:color="000000"/>
              <w:right w:val="single" w:sz="4" w:space="0" w:color="000000"/>
            </w:tcBorders>
            <w:vAlign w:val="center"/>
          </w:tcPr>
          <w:p w14:paraId="20BCFB3D" w14:textId="77777777" w:rsidR="00EC6FE5" w:rsidRDefault="00000000">
            <w:pPr>
              <w:spacing w:after="0" w:line="259" w:lineRule="auto"/>
              <w:ind w:left="0" w:right="57" w:firstLine="0"/>
              <w:jc w:val="center"/>
            </w:pPr>
            <w:r>
              <w:rPr>
                <w:b/>
                <w:sz w:val="20"/>
              </w:rPr>
              <w:t>Netflix (Pioneer)</w:t>
            </w:r>
            <w:r>
              <w:t xml:space="preserve"> </w:t>
            </w:r>
          </w:p>
        </w:tc>
        <w:tc>
          <w:tcPr>
            <w:tcW w:w="3089" w:type="dxa"/>
            <w:tcBorders>
              <w:top w:val="single" w:sz="4" w:space="0" w:color="000000"/>
              <w:left w:val="single" w:sz="4" w:space="0" w:color="000000"/>
              <w:bottom w:val="single" w:sz="4" w:space="0" w:color="000000"/>
              <w:right w:val="single" w:sz="4" w:space="0" w:color="000000"/>
            </w:tcBorders>
            <w:vAlign w:val="center"/>
          </w:tcPr>
          <w:p w14:paraId="0CFF24FC" w14:textId="77777777" w:rsidR="00EC6FE5" w:rsidRDefault="00000000">
            <w:pPr>
              <w:spacing w:after="0" w:line="259" w:lineRule="auto"/>
              <w:ind w:left="0" w:right="58" w:firstLine="0"/>
              <w:jc w:val="center"/>
            </w:pPr>
            <w:r>
              <w:rPr>
                <w:b/>
                <w:sz w:val="20"/>
              </w:rPr>
              <w:t>Disney+ (Follower)</w:t>
            </w:r>
            <w:r>
              <w:t xml:space="preserve"> </w:t>
            </w:r>
          </w:p>
        </w:tc>
      </w:tr>
      <w:tr w:rsidR="00EC6FE5" w14:paraId="4A3497A2" w14:textId="77777777">
        <w:trPr>
          <w:trHeight w:val="1550"/>
        </w:trPr>
        <w:tc>
          <w:tcPr>
            <w:tcW w:w="1634" w:type="dxa"/>
            <w:tcBorders>
              <w:top w:val="single" w:sz="4" w:space="0" w:color="000000"/>
              <w:left w:val="single" w:sz="4" w:space="0" w:color="000000"/>
              <w:bottom w:val="single" w:sz="4" w:space="0" w:color="000000"/>
              <w:right w:val="single" w:sz="4" w:space="0" w:color="000000"/>
            </w:tcBorders>
          </w:tcPr>
          <w:p w14:paraId="69F99F92" w14:textId="77777777" w:rsidR="00EC6FE5" w:rsidRDefault="00000000">
            <w:pPr>
              <w:spacing w:after="0" w:line="259" w:lineRule="auto"/>
              <w:ind w:left="0" w:firstLine="0"/>
              <w:jc w:val="left"/>
            </w:pPr>
            <w:r>
              <w:rPr>
                <w:b/>
                <w:sz w:val="20"/>
              </w:rPr>
              <w:t>Technological</w:t>
            </w:r>
            <w:r>
              <w:t xml:space="preserve"> </w:t>
            </w:r>
          </w:p>
        </w:tc>
        <w:tc>
          <w:tcPr>
            <w:tcW w:w="1397" w:type="dxa"/>
            <w:tcBorders>
              <w:top w:val="single" w:sz="4" w:space="0" w:color="000000"/>
              <w:left w:val="single" w:sz="4" w:space="0" w:color="000000"/>
              <w:bottom w:val="single" w:sz="4" w:space="0" w:color="000000"/>
              <w:right w:val="single" w:sz="4" w:space="0" w:color="000000"/>
            </w:tcBorders>
          </w:tcPr>
          <w:p w14:paraId="286B96E8" w14:textId="77777777" w:rsidR="00EC6FE5" w:rsidRDefault="00000000">
            <w:pPr>
              <w:spacing w:after="0" w:line="259" w:lineRule="auto"/>
              <w:ind w:left="0" w:firstLine="0"/>
              <w:jc w:val="left"/>
            </w:pPr>
            <w:r>
              <w:rPr>
                <w:sz w:val="20"/>
              </w:rPr>
              <w:t>Opportunity</w:t>
            </w:r>
            <w:r>
              <w:t xml:space="preserve"> </w:t>
            </w:r>
          </w:p>
        </w:tc>
        <w:tc>
          <w:tcPr>
            <w:tcW w:w="3240" w:type="dxa"/>
            <w:tcBorders>
              <w:top w:val="single" w:sz="4" w:space="0" w:color="000000"/>
              <w:left w:val="single" w:sz="4" w:space="0" w:color="000000"/>
              <w:bottom w:val="single" w:sz="4" w:space="0" w:color="000000"/>
              <w:right w:val="single" w:sz="4" w:space="0" w:color="000000"/>
            </w:tcBorders>
          </w:tcPr>
          <w:p w14:paraId="42890737" w14:textId="77777777" w:rsidR="00EC6FE5" w:rsidRDefault="00000000">
            <w:pPr>
              <w:spacing w:after="0" w:line="259" w:lineRule="auto"/>
              <w:ind w:left="0" w:right="58" w:firstLine="0"/>
            </w:pPr>
            <w:r>
              <w:rPr>
                <w:sz w:val="20"/>
              </w:rPr>
              <w:t>AI-driven personalisation engine; proprietary CDN infrastructure enabling global scale</w:t>
            </w:r>
            <w:r>
              <w:t xml:space="preserve"> </w:t>
            </w:r>
          </w:p>
        </w:tc>
        <w:tc>
          <w:tcPr>
            <w:tcW w:w="3089" w:type="dxa"/>
            <w:tcBorders>
              <w:top w:val="single" w:sz="4" w:space="0" w:color="000000"/>
              <w:left w:val="single" w:sz="4" w:space="0" w:color="000000"/>
              <w:bottom w:val="single" w:sz="4" w:space="0" w:color="000000"/>
              <w:right w:val="single" w:sz="4" w:space="0" w:color="000000"/>
            </w:tcBorders>
            <w:vAlign w:val="center"/>
          </w:tcPr>
          <w:p w14:paraId="1DE6A705" w14:textId="77777777" w:rsidR="00EC6FE5" w:rsidRDefault="00000000">
            <w:pPr>
              <w:spacing w:after="25" w:line="362" w:lineRule="auto"/>
              <w:ind w:left="0" w:right="59" w:firstLine="0"/>
            </w:pPr>
            <w:r>
              <w:rPr>
                <w:sz w:val="20"/>
              </w:rPr>
              <w:t xml:space="preserve">Adopted similar AI systems; leveraged Disney's existing tech ecosystem and Hotstar </w:t>
            </w:r>
          </w:p>
          <w:p w14:paraId="34A21CB8" w14:textId="77777777" w:rsidR="00EC6FE5" w:rsidRDefault="00000000">
            <w:pPr>
              <w:spacing w:after="0" w:line="259" w:lineRule="auto"/>
              <w:ind w:left="0" w:firstLine="0"/>
              <w:jc w:val="left"/>
            </w:pPr>
            <w:r>
              <w:rPr>
                <w:sz w:val="20"/>
              </w:rPr>
              <w:t>integration</w:t>
            </w:r>
            <w:r>
              <w:t xml:space="preserve"> </w:t>
            </w:r>
          </w:p>
        </w:tc>
      </w:tr>
      <w:tr w:rsidR="00EC6FE5" w14:paraId="70882A53" w14:textId="77777777">
        <w:trPr>
          <w:trHeight w:val="555"/>
        </w:trPr>
        <w:tc>
          <w:tcPr>
            <w:tcW w:w="1634" w:type="dxa"/>
            <w:tcBorders>
              <w:top w:val="single" w:sz="4" w:space="0" w:color="000000"/>
              <w:left w:val="single" w:sz="4" w:space="0" w:color="000000"/>
              <w:bottom w:val="single" w:sz="4" w:space="0" w:color="000000"/>
              <w:right w:val="single" w:sz="4" w:space="0" w:color="000000"/>
            </w:tcBorders>
            <w:vAlign w:val="center"/>
          </w:tcPr>
          <w:p w14:paraId="5EAA050E" w14:textId="77777777" w:rsidR="00EC6FE5" w:rsidRDefault="00000000">
            <w:pPr>
              <w:spacing w:after="0" w:line="259" w:lineRule="auto"/>
              <w:ind w:left="0" w:right="59" w:firstLine="0"/>
              <w:jc w:val="center"/>
            </w:pPr>
            <w:r>
              <w:rPr>
                <w:b/>
                <w:sz w:val="20"/>
              </w:rPr>
              <w:t>Factor</w:t>
            </w:r>
            <w:r>
              <w:t xml:space="preserve"> </w:t>
            </w:r>
          </w:p>
        </w:tc>
        <w:tc>
          <w:tcPr>
            <w:tcW w:w="1397" w:type="dxa"/>
            <w:tcBorders>
              <w:top w:val="single" w:sz="4" w:space="0" w:color="000000"/>
              <w:left w:val="single" w:sz="4" w:space="0" w:color="000000"/>
              <w:bottom w:val="single" w:sz="4" w:space="0" w:color="000000"/>
              <w:right w:val="single" w:sz="4" w:space="0" w:color="000000"/>
            </w:tcBorders>
            <w:vAlign w:val="center"/>
          </w:tcPr>
          <w:p w14:paraId="3B90D6CF" w14:textId="77777777" w:rsidR="00EC6FE5" w:rsidRDefault="00000000">
            <w:pPr>
              <w:spacing w:after="0" w:line="259" w:lineRule="auto"/>
              <w:ind w:left="0" w:right="62" w:firstLine="0"/>
              <w:jc w:val="center"/>
            </w:pPr>
            <w:r>
              <w:rPr>
                <w:b/>
                <w:sz w:val="20"/>
              </w:rPr>
              <w:t>Type</w:t>
            </w:r>
            <w:r>
              <w:t xml:space="preserve"> </w:t>
            </w:r>
          </w:p>
        </w:tc>
        <w:tc>
          <w:tcPr>
            <w:tcW w:w="3240" w:type="dxa"/>
            <w:tcBorders>
              <w:top w:val="single" w:sz="4" w:space="0" w:color="000000"/>
              <w:left w:val="single" w:sz="4" w:space="0" w:color="000000"/>
              <w:bottom w:val="single" w:sz="4" w:space="0" w:color="000000"/>
              <w:right w:val="single" w:sz="4" w:space="0" w:color="000000"/>
            </w:tcBorders>
            <w:vAlign w:val="center"/>
          </w:tcPr>
          <w:p w14:paraId="3E8D8C2E" w14:textId="77777777" w:rsidR="00EC6FE5" w:rsidRDefault="00000000">
            <w:pPr>
              <w:spacing w:after="0" w:line="259" w:lineRule="auto"/>
              <w:ind w:left="0" w:right="59" w:firstLine="0"/>
              <w:jc w:val="center"/>
            </w:pPr>
            <w:r>
              <w:rPr>
                <w:b/>
                <w:sz w:val="20"/>
              </w:rPr>
              <w:t>Netflix (Pioneer)</w:t>
            </w:r>
            <w:r>
              <w:t xml:space="preserve"> </w:t>
            </w:r>
          </w:p>
        </w:tc>
        <w:tc>
          <w:tcPr>
            <w:tcW w:w="3089" w:type="dxa"/>
            <w:tcBorders>
              <w:top w:val="single" w:sz="4" w:space="0" w:color="000000"/>
              <w:left w:val="single" w:sz="4" w:space="0" w:color="000000"/>
              <w:bottom w:val="single" w:sz="4" w:space="0" w:color="000000"/>
              <w:right w:val="single" w:sz="4" w:space="0" w:color="000000"/>
            </w:tcBorders>
            <w:vAlign w:val="center"/>
          </w:tcPr>
          <w:p w14:paraId="57479767" w14:textId="77777777" w:rsidR="00EC6FE5" w:rsidRDefault="00000000">
            <w:pPr>
              <w:spacing w:after="0" w:line="259" w:lineRule="auto"/>
              <w:ind w:left="0" w:right="59" w:firstLine="0"/>
              <w:jc w:val="center"/>
            </w:pPr>
            <w:r>
              <w:rPr>
                <w:b/>
                <w:sz w:val="20"/>
              </w:rPr>
              <w:t>Disney+ (Follower)</w:t>
            </w:r>
            <w:r>
              <w:t xml:space="preserve"> </w:t>
            </w:r>
          </w:p>
        </w:tc>
      </w:tr>
      <w:tr w:rsidR="00EC6FE5" w14:paraId="588F3979" w14:textId="77777777">
        <w:trPr>
          <w:trHeight w:val="1205"/>
        </w:trPr>
        <w:tc>
          <w:tcPr>
            <w:tcW w:w="1634" w:type="dxa"/>
            <w:tcBorders>
              <w:top w:val="single" w:sz="4" w:space="0" w:color="000000"/>
              <w:left w:val="single" w:sz="4" w:space="0" w:color="000000"/>
              <w:bottom w:val="single" w:sz="4" w:space="0" w:color="000000"/>
              <w:right w:val="single" w:sz="4" w:space="0" w:color="000000"/>
            </w:tcBorders>
          </w:tcPr>
          <w:p w14:paraId="32CC9F2D" w14:textId="77777777" w:rsidR="00EC6FE5" w:rsidRDefault="00000000">
            <w:pPr>
              <w:spacing w:after="0" w:line="259" w:lineRule="auto"/>
              <w:ind w:left="0" w:firstLine="0"/>
              <w:jc w:val="left"/>
            </w:pPr>
            <w:r>
              <w:rPr>
                <w:b/>
                <w:sz w:val="20"/>
              </w:rPr>
              <w:t>Technological</w:t>
            </w:r>
            <w:r>
              <w:t xml:space="preserve"> </w:t>
            </w:r>
          </w:p>
        </w:tc>
        <w:tc>
          <w:tcPr>
            <w:tcW w:w="1397" w:type="dxa"/>
            <w:tcBorders>
              <w:top w:val="single" w:sz="4" w:space="0" w:color="000000"/>
              <w:left w:val="single" w:sz="4" w:space="0" w:color="000000"/>
              <w:bottom w:val="single" w:sz="4" w:space="0" w:color="000000"/>
              <w:right w:val="single" w:sz="4" w:space="0" w:color="000000"/>
            </w:tcBorders>
          </w:tcPr>
          <w:p w14:paraId="6F033FE9" w14:textId="77777777" w:rsidR="00EC6FE5" w:rsidRDefault="00000000">
            <w:pPr>
              <w:spacing w:after="0" w:line="259" w:lineRule="auto"/>
              <w:ind w:left="0" w:firstLine="0"/>
              <w:jc w:val="left"/>
            </w:pPr>
            <w:r>
              <w:rPr>
                <w:sz w:val="20"/>
              </w:rPr>
              <w:t>Threat</w:t>
            </w:r>
            <w:r>
              <w:t xml:space="preserve"> </w:t>
            </w:r>
          </w:p>
        </w:tc>
        <w:tc>
          <w:tcPr>
            <w:tcW w:w="3240" w:type="dxa"/>
            <w:tcBorders>
              <w:top w:val="single" w:sz="4" w:space="0" w:color="000000"/>
              <w:left w:val="single" w:sz="4" w:space="0" w:color="000000"/>
              <w:bottom w:val="single" w:sz="4" w:space="0" w:color="000000"/>
              <w:right w:val="single" w:sz="4" w:space="0" w:color="000000"/>
            </w:tcBorders>
            <w:vAlign w:val="center"/>
          </w:tcPr>
          <w:p w14:paraId="6AB7C12F" w14:textId="77777777" w:rsidR="00EC6FE5" w:rsidRDefault="00000000">
            <w:pPr>
              <w:spacing w:after="0" w:line="259" w:lineRule="auto"/>
              <w:ind w:left="0" w:right="60" w:firstLine="0"/>
            </w:pPr>
            <w:r>
              <w:rPr>
                <w:sz w:val="20"/>
              </w:rPr>
              <w:t>Password-sharing crackdowns required heavy tech investment in household verification systems</w:t>
            </w:r>
            <w:r>
              <w:t xml:space="preserve"> </w:t>
            </w:r>
          </w:p>
        </w:tc>
        <w:tc>
          <w:tcPr>
            <w:tcW w:w="3089" w:type="dxa"/>
            <w:tcBorders>
              <w:top w:val="single" w:sz="4" w:space="0" w:color="000000"/>
              <w:left w:val="single" w:sz="4" w:space="0" w:color="000000"/>
              <w:bottom w:val="single" w:sz="4" w:space="0" w:color="000000"/>
              <w:right w:val="single" w:sz="4" w:space="0" w:color="000000"/>
            </w:tcBorders>
            <w:vAlign w:val="center"/>
          </w:tcPr>
          <w:p w14:paraId="267B0583" w14:textId="77777777" w:rsidR="00EC6FE5" w:rsidRDefault="00000000">
            <w:pPr>
              <w:spacing w:after="0" w:line="259" w:lineRule="auto"/>
              <w:ind w:left="0" w:right="59" w:firstLine="0"/>
            </w:pPr>
            <w:r>
              <w:rPr>
                <w:sz w:val="20"/>
              </w:rPr>
              <w:t>Same threat; Disney+ mirrored Netflix's paid-sharing model from 2024 onwards</w:t>
            </w:r>
            <w:r>
              <w:t xml:space="preserve"> </w:t>
            </w:r>
          </w:p>
        </w:tc>
      </w:tr>
      <w:tr w:rsidR="00EC6FE5" w14:paraId="69DA5F82" w14:textId="77777777">
        <w:trPr>
          <w:trHeight w:val="1550"/>
        </w:trPr>
        <w:tc>
          <w:tcPr>
            <w:tcW w:w="1634" w:type="dxa"/>
            <w:tcBorders>
              <w:top w:val="single" w:sz="4" w:space="0" w:color="000000"/>
              <w:left w:val="single" w:sz="4" w:space="0" w:color="000000"/>
              <w:bottom w:val="single" w:sz="4" w:space="0" w:color="000000"/>
              <w:right w:val="single" w:sz="4" w:space="0" w:color="000000"/>
            </w:tcBorders>
          </w:tcPr>
          <w:p w14:paraId="099CAA5B" w14:textId="77777777" w:rsidR="00EC6FE5" w:rsidRDefault="00000000">
            <w:pPr>
              <w:spacing w:after="0" w:line="259" w:lineRule="auto"/>
              <w:ind w:left="0" w:firstLine="0"/>
              <w:jc w:val="left"/>
            </w:pPr>
            <w:r>
              <w:rPr>
                <w:b/>
                <w:sz w:val="20"/>
              </w:rPr>
              <w:t>Political/Legal</w:t>
            </w:r>
            <w:r>
              <w:t xml:space="preserve"> </w:t>
            </w:r>
          </w:p>
        </w:tc>
        <w:tc>
          <w:tcPr>
            <w:tcW w:w="1397" w:type="dxa"/>
            <w:tcBorders>
              <w:top w:val="single" w:sz="4" w:space="0" w:color="000000"/>
              <w:left w:val="single" w:sz="4" w:space="0" w:color="000000"/>
              <w:bottom w:val="single" w:sz="4" w:space="0" w:color="000000"/>
              <w:right w:val="single" w:sz="4" w:space="0" w:color="000000"/>
            </w:tcBorders>
          </w:tcPr>
          <w:p w14:paraId="5A401EE7" w14:textId="77777777" w:rsidR="00EC6FE5" w:rsidRDefault="00000000">
            <w:pPr>
              <w:spacing w:after="0" w:line="259" w:lineRule="auto"/>
              <w:ind w:left="0" w:firstLine="0"/>
              <w:jc w:val="left"/>
            </w:pPr>
            <w:r>
              <w:rPr>
                <w:sz w:val="20"/>
              </w:rPr>
              <w:t>Opportunity</w:t>
            </w:r>
            <w:r>
              <w:t xml:space="preserve"> </w:t>
            </w:r>
          </w:p>
        </w:tc>
        <w:tc>
          <w:tcPr>
            <w:tcW w:w="3240" w:type="dxa"/>
            <w:tcBorders>
              <w:top w:val="single" w:sz="4" w:space="0" w:color="000000"/>
              <w:left w:val="single" w:sz="4" w:space="0" w:color="000000"/>
              <w:bottom w:val="single" w:sz="4" w:space="0" w:color="000000"/>
              <w:right w:val="single" w:sz="4" w:space="0" w:color="000000"/>
            </w:tcBorders>
          </w:tcPr>
          <w:p w14:paraId="68EE6672" w14:textId="77777777" w:rsidR="00EC6FE5" w:rsidRDefault="00000000">
            <w:pPr>
              <w:spacing w:after="0" w:line="259" w:lineRule="auto"/>
              <w:ind w:left="0" w:right="57" w:firstLine="0"/>
            </w:pPr>
            <w:r>
              <w:rPr>
                <w:sz w:val="20"/>
              </w:rPr>
              <w:t>EU local content mandates forced original investment - strengthened brand differentiation</w:t>
            </w:r>
            <w:r>
              <w:t xml:space="preserve"> </w:t>
            </w:r>
          </w:p>
        </w:tc>
        <w:tc>
          <w:tcPr>
            <w:tcW w:w="3089" w:type="dxa"/>
            <w:tcBorders>
              <w:top w:val="single" w:sz="4" w:space="0" w:color="000000"/>
              <w:left w:val="single" w:sz="4" w:space="0" w:color="000000"/>
              <w:bottom w:val="single" w:sz="4" w:space="0" w:color="000000"/>
              <w:right w:val="single" w:sz="4" w:space="0" w:color="000000"/>
            </w:tcBorders>
            <w:vAlign w:val="center"/>
          </w:tcPr>
          <w:p w14:paraId="1CDD1E26" w14:textId="77777777" w:rsidR="00EC6FE5" w:rsidRDefault="00000000">
            <w:pPr>
              <w:spacing w:after="0" w:line="259" w:lineRule="auto"/>
              <w:ind w:left="0" w:right="59" w:firstLine="0"/>
            </w:pPr>
            <w:r>
              <w:rPr>
                <w:sz w:val="20"/>
              </w:rPr>
              <w:t>Benefited from Netflix's regulatory groundwork; leveraged existing content compliance frameworks</w:t>
            </w:r>
            <w:r>
              <w:t xml:space="preserve"> </w:t>
            </w:r>
          </w:p>
        </w:tc>
      </w:tr>
      <w:tr w:rsidR="00EC6FE5" w14:paraId="1D2C4613" w14:textId="77777777">
        <w:trPr>
          <w:trHeight w:val="1551"/>
        </w:trPr>
        <w:tc>
          <w:tcPr>
            <w:tcW w:w="1634" w:type="dxa"/>
            <w:tcBorders>
              <w:top w:val="single" w:sz="4" w:space="0" w:color="000000"/>
              <w:left w:val="single" w:sz="4" w:space="0" w:color="000000"/>
              <w:bottom w:val="single" w:sz="4" w:space="0" w:color="000000"/>
              <w:right w:val="single" w:sz="4" w:space="0" w:color="000000"/>
            </w:tcBorders>
          </w:tcPr>
          <w:p w14:paraId="798EF7E8" w14:textId="77777777" w:rsidR="00EC6FE5" w:rsidRDefault="00000000">
            <w:pPr>
              <w:spacing w:after="0" w:line="259" w:lineRule="auto"/>
              <w:ind w:left="0" w:firstLine="0"/>
              <w:jc w:val="left"/>
            </w:pPr>
            <w:r>
              <w:rPr>
                <w:b/>
                <w:sz w:val="20"/>
              </w:rPr>
              <w:t>Political/Legal</w:t>
            </w:r>
            <w:r>
              <w:t xml:space="preserve"> </w:t>
            </w:r>
          </w:p>
        </w:tc>
        <w:tc>
          <w:tcPr>
            <w:tcW w:w="1397" w:type="dxa"/>
            <w:tcBorders>
              <w:top w:val="single" w:sz="4" w:space="0" w:color="000000"/>
              <w:left w:val="single" w:sz="4" w:space="0" w:color="000000"/>
              <w:bottom w:val="single" w:sz="4" w:space="0" w:color="000000"/>
              <w:right w:val="single" w:sz="4" w:space="0" w:color="000000"/>
            </w:tcBorders>
          </w:tcPr>
          <w:p w14:paraId="7CC97EE1" w14:textId="77777777" w:rsidR="00EC6FE5" w:rsidRDefault="00000000">
            <w:pPr>
              <w:spacing w:after="0" w:line="259" w:lineRule="auto"/>
              <w:ind w:left="0" w:firstLine="0"/>
              <w:jc w:val="left"/>
            </w:pPr>
            <w:r>
              <w:rPr>
                <w:sz w:val="20"/>
              </w:rPr>
              <w:t>Threat</w:t>
            </w:r>
            <w:r>
              <w:t xml:space="preserve"> </w:t>
            </w:r>
          </w:p>
        </w:tc>
        <w:tc>
          <w:tcPr>
            <w:tcW w:w="3240" w:type="dxa"/>
            <w:tcBorders>
              <w:top w:val="single" w:sz="4" w:space="0" w:color="000000"/>
              <w:left w:val="single" w:sz="4" w:space="0" w:color="000000"/>
              <w:bottom w:val="single" w:sz="4" w:space="0" w:color="000000"/>
              <w:right w:val="single" w:sz="4" w:space="0" w:color="000000"/>
            </w:tcBorders>
          </w:tcPr>
          <w:p w14:paraId="59158AD4" w14:textId="77777777" w:rsidR="00EC6FE5" w:rsidRDefault="00000000">
            <w:pPr>
              <w:spacing w:after="96" w:line="259" w:lineRule="auto"/>
              <w:ind w:left="0" w:firstLine="0"/>
              <w:jc w:val="left"/>
            </w:pPr>
            <w:r>
              <w:rPr>
                <w:sz w:val="20"/>
              </w:rPr>
              <w:t>GDPR compliance costs; geo-</w:t>
            </w:r>
          </w:p>
          <w:p w14:paraId="2A7BC20E" w14:textId="77777777" w:rsidR="00EC6FE5" w:rsidRDefault="00000000">
            <w:pPr>
              <w:spacing w:after="0" w:line="259" w:lineRule="auto"/>
              <w:ind w:left="0" w:firstLine="0"/>
              <w:jc w:val="left"/>
            </w:pPr>
            <w:r>
              <w:rPr>
                <w:sz w:val="20"/>
              </w:rPr>
              <w:t>blocking restricts revenue in key markets</w:t>
            </w:r>
            <w:r>
              <w:t xml:space="preserve"> </w:t>
            </w:r>
          </w:p>
        </w:tc>
        <w:tc>
          <w:tcPr>
            <w:tcW w:w="3089" w:type="dxa"/>
            <w:tcBorders>
              <w:top w:val="single" w:sz="4" w:space="0" w:color="000000"/>
              <w:left w:val="single" w:sz="4" w:space="0" w:color="000000"/>
              <w:bottom w:val="single" w:sz="4" w:space="0" w:color="000000"/>
              <w:right w:val="single" w:sz="4" w:space="0" w:color="000000"/>
            </w:tcBorders>
            <w:vAlign w:val="center"/>
          </w:tcPr>
          <w:p w14:paraId="68D06129" w14:textId="77777777" w:rsidR="00EC6FE5" w:rsidRDefault="00000000">
            <w:pPr>
              <w:spacing w:after="0" w:line="259" w:lineRule="auto"/>
              <w:ind w:left="0" w:right="62" w:firstLine="0"/>
            </w:pPr>
            <w:r>
              <w:rPr>
                <w:sz w:val="20"/>
              </w:rPr>
              <w:t>Greater regulatory scrutiny due to global reach of Disney IP; antitrust concerns in bundle offerings</w:t>
            </w:r>
            <w:r>
              <w:t xml:space="preserve"> </w:t>
            </w:r>
          </w:p>
        </w:tc>
      </w:tr>
    </w:tbl>
    <w:p w14:paraId="46891B1F" w14:textId="77777777" w:rsidR="00EC6FE5" w:rsidRDefault="00000000">
      <w:pPr>
        <w:spacing w:after="508" w:line="259" w:lineRule="auto"/>
        <w:ind w:left="0" w:firstLine="0"/>
        <w:jc w:val="left"/>
      </w:pPr>
      <w:r>
        <w:t xml:space="preserve"> </w:t>
      </w:r>
    </w:p>
    <w:p w14:paraId="14E25466" w14:textId="77777777" w:rsidR="00EC6FE5" w:rsidRDefault="00000000">
      <w:pPr>
        <w:pStyle w:val="Heading2"/>
        <w:ind w:left="-5"/>
      </w:pPr>
      <w:bookmarkStart w:id="1" w:name="_Toc13749"/>
      <w:r>
        <w:t xml:space="preserve">2.1 Technological Environment </w:t>
      </w:r>
      <w:bookmarkEnd w:id="1"/>
    </w:p>
    <w:p w14:paraId="49CC8241" w14:textId="77777777" w:rsidR="00EC6FE5" w:rsidRDefault="00000000">
      <w:pPr>
        <w:spacing w:after="199" w:line="259" w:lineRule="auto"/>
        <w:ind w:left="0" w:firstLine="0"/>
        <w:jc w:val="left"/>
      </w:pPr>
      <w:r>
        <w:t xml:space="preserve"> </w:t>
      </w:r>
    </w:p>
    <w:p w14:paraId="45ADD01B" w14:textId="77777777" w:rsidR="00EC6FE5" w:rsidRDefault="00000000">
      <w:pPr>
        <w:spacing w:after="78" w:line="360" w:lineRule="auto"/>
        <w:ind w:left="-5" w:right="3"/>
      </w:pPr>
      <w:r>
        <w:rPr>
          <w:b/>
        </w:rPr>
        <w:t>Netflix opportunity:</w:t>
      </w:r>
      <w:r>
        <w:t xml:space="preserve"> Netflix </w:t>
      </w:r>
      <w:proofErr w:type="gramStart"/>
      <w:r>
        <w:t>is has</w:t>
      </w:r>
      <w:proofErr w:type="gramEnd"/>
      <w:r>
        <w:t xml:space="preserve"> the strongest competitive moat of any streaming player, thanks to continued investment in proprietary tech since long before streaming was a thing. The recommendation algorithm of the organization based on machine learning and </w:t>
      </w:r>
      <w:proofErr w:type="spellStart"/>
      <w:r>
        <w:t>behavior</w:t>
      </w:r>
      <w:proofErr w:type="spellEnd"/>
      <w:r>
        <w:t xml:space="preserve"> analytics processes more than 500 billion user events per day, </w:t>
      </w:r>
      <w:r>
        <w:lastRenderedPageBreak/>
        <w:t xml:space="preserve">in order to create personalized content recommendations (Gomez-Uribe and Hunt, 2015). This system, which saves Netflix an estimated USD 1 billion each year in lower subscriber churn (Gomez-Uribe &amp; Hunt, 2015), is a technological moat that follower firms have found difficult to replicate at comparable level of depth. </w:t>
      </w:r>
    </w:p>
    <w:p w14:paraId="38156324" w14:textId="77777777" w:rsidR="00EC6FE5" w:rsidRDefault="00000000">
      <w:pPr>
        <w:spacing w:after="80" w:line="360" w:lineRule="auto"/>
        <w:ind w:left="-5" w:right="3"/>
      </w:pPr>
      <w:r>
        <w:t xml:space="preserve">Additionally, the company building its Open Connect content delivery network (CDN) has enabled the organisation to lower bandwidth costs and increase streaming quality globally. With its CDN servers embedded right inside the networks of internet service providers, it continues to achieve the best possible streaming experience, especially in bandwidth-challenged markets. The investment in infrastructure that has accumulated over the course of more than a decade represents a significant </w:t>
      </w:r>
      <w:proofErr w:type="spellStart"/>
      <w:r>
        <w:t>firstmover</w:t>
      </w:r>
      <w:proofErr w:type="spellEnd"/>
      <w:r>
        <w:t xml:space="preserve"> advantage that is hard, and expensive, for followers to duplicate. </w:t>
      </w:r>
    </w:p>
    <w:p w14:paraId="278932EC" w14:textId="77777777" w:rsidR="00EC6FE5" w:rsidRDefault="00000000">
      <w:pPr>
        <w:spacing w:after="127"/>
        <w:ind w:left="-5" w:right="3"/>
      </w:pPr>
      <w:r>
        <w:rPr>
          <w:b/>
        </w:rPr>
        <w:t>Opportunity for Disney+:</w:t>
      </w:r>
      <w:r>
        <w:t xml:space="preserve"> After entering the market more than a decade after Netflix, </w:t>
      </w:r>
    </w:p>
    <w:p w14:paraId="55734F37" w14:textId="77777777" w:rsidR="00EC6FE5" w:rsidRDefault="00000000">
      <w:pPr>
        <w:spacing w:after="81" w:line="360" w:lineRule="auto"/>
        <w:ind w:left="-5" w:right="3"/>
      </w:pPr>
      <w:r>
        <w:t xml:space="preserve">Disney+ had an entirely different technological problem to solve not how to create something from scratch, but how to create smart with what already existed. The organisation implemented sane cloud-based streaming architectures (working with the major cloud providers rather than spending capital on wholesale proprietary infrastructure) and focused its energy on content aggregation and platform convergence. This consolidation logic is represented by Hotstar’s inclusion amongst Asia-Pacific offerings and the gradual unification of ESPN+ and Hulu under a common technological platform instead of independently developed (Lotz, 2022) services beneath one umbrella. </w:t>
      </w:r>
    </w:p>
    <w:p w14:paraId="43B2D5C2" w14:textId="77777777" w:rsidR="00EC6FE5" w:rsidRDefault="00000000">
      <w:pPr>
        <w:spacing w:after="80" w:line="360" w:lineRule="auto"/>
        <w:ind w:left="-5" w:right="3"/>
      </w:pPr>
      <w:r>
        <w:rPr>
          <w:b/>
        </w:rPr>
        <w:t>Threat to both organizations:</w:t>
      </w:r>
      <w:r>
        <w:t xml:space="preserve"> Password-sharing turned out to be a more corrosive issue than either organisation expected. By 2023, Netflix’s own estimates had reported over 100 million households not paying for that service worldwide (Netflix, 2023) a level of revenue loss that could no longer be ignored. The solution was more than a simple shift in policy household verification systems had to be designed, tested and rolled out gradually, all while incurring expense and the persistent threat of subscribers leaving. Disney+ came to much the same conclusion in 2024, taking a similar approach and by doing so confirming that no platform within the space was immune. What this episode shows, maybe clearest of all, is that being an innovator affords no immunity from technological threats that apply across industries only the weight of having been first to face them. </w:t>
      </w:r>
    </w:p>
    <w:p w14:paraId="3EBF5914" w14:textId="77777777" w:rsidR="00EC6FE5" w:rsidRDefault="00000000">
      <w:pPr>
        <w:spacing w:after="508" w:line="259" w:lineRule="auto"/>
        <w:ind w:left="0" w:firstLine="0"/>
        <w:jc w:val="left"/>
      </w:pPr>
      <w:r>
        <w:t xml:space="preserve"> </w:t>
      </w:r>
    </w:p>
    <w:p w14:paraId="4DC939CB" w14:textId="77777777" w:rsidR="00EC6FE5" w:rsidRDefault="00000000">
      <w:pPr>
        <w:pStyle w:val="Heading2"/>
        <w:ind w:left="-5"/>
      </w:pPr>
      <w:bookmarkStart w:id="2" w:name="_Toc13750"/>
      <w:r>
        <w:lastRenderedPageBreak/>
        <w:t xml:space="preserve">2.2 Political and Legal Environment </w:t>
      </w:r>
      <w:bookmarkEnd w:id="2"/>
    </w:p>
    <w:p w14:paraId="3BBAFF4E" w14:textId="77777777" w:rsidR="00EC6FE5" w:rsidRDefault="00000000">
      <w:pPr>
        <w:spacing w:line="360" w:lineRule="auto"/>
        <w:ind w:left="-5" w:right="3"/>
      </w:pPr>
      <w:r>
        <w:rPr>
          <w:b/>
        </w:rPr>
        <w:t xml:space="preserve">Opportunity for Netflix: </w:t>
      </w:r>
      <w:r>
        <w:t xml:space="preserve">What might initially appear to be a regulatory constraint turned, for Netflix, into something of a strategic windfall. The EU’s revised Audiovisual Media Services Directive (AVMSD, 2018) required streaming platforms to maintain at least 30% European content in their catalogues (European Commission, 2018), yet Netflix had already been moving in that direction. Productions such as Dark (Germany), Money Heist (Spain), and Lupin (France) satisfied the quota whilst also becoming internationally celebrated series, pulling in audiences far outside their home markets. The directive, in other words, formalised what Netflix was already doing and in doing so, gave the organisation a legitimate basis to deepen local investment and widen its differentiated brand presence across Europe and beyond. </w:t>
      </w:r>
    </w:p>
    <w:p w14:paraId="0FE13605" w14:textId="77777777" w:rsidR="00EC6FE5" w:rsidRDefault="00000000">
      <w:pPr>
        <w:spacing w:line="360" w:lineRule="auto"/>
        <w:ind w:left="-5" w:right="3"/>
      </w:pPr>
      <w:r>
        <w:rPr>
          <w:b/>
        </w:rPr>
        <w:t xml:space="preserve">Opportunity for Disney+: </w:t>
      </w:r>
      <w:r>
        <w:t xml:space="preserve">Disney+ entered regulated markets with the benefit of Netflix's regulatory experience. The political and legal frameworks that Netflix had navigated - content quotas, data localisation requirements, and platform licensing regimes - were familiar to regulators by the time Disney+ launched internationally. Disney+ could therefore design its compliance frameworks proactively, incorporating local content partnerships and geo-specific catalogues from the outset (Evens and Donders, 2018). The Star brand, launched in 2021 as a sub-brand within the Disney+ platform across European and Asia-Pacific markets, serves as a direct vehicle for meeting local content mandates whilst extending the overall value proposition of the platform. </w:t>
      </w:r>
    </w:p>
    <w:p w14:paraId="4DE219C2" w14:textId="77777777" w:rsidR="00EC6FE5" w:rsidRDefault="00000000">
      <w:pPr>
        <w:spacing w:after="510" w:line="360" w:lineRule="auto"/>
        <w:ind w:left="-5" w:right="3"/>
      </w:pPr>
      <w:r>
        <w:rPr>
          <w:b/>
        </w:rPr>
        <w:t>Threat for both organizations:</w:t>
      </w:r>
      <w:r>
        <w:t xml:space="preserve"> Data privacy regulation comes as a much sharper threat especially for a platform where the entire value proposition lies in knowing its users to an almost intimate degree. The personalisation engine that makes Netflix tick relies on ever-more-detailed, granular data about user activity exactly the kind of processing that GDPR, which came into force across the EU in May 2018, imposes strict consent and storage obligations upon. In case of evasion, the financial implications are severe: fines can reach up to 4% of a company's global annual turnover (European Commission, 2016). Disney+ has a parallel set of obligations, exacerbated by the extent of its data ecosystem across Disney, Hulu, ESPN+, and Hotstar. Neither organisation operates in a vacuum divorced from geo-blocking rules, licensing disputes or the antitrust glare now cast on </w:t>
      </w:r>
      <w:proofErr w:type="spellStart"/>
      <w:r>
        <w:t>Disney+’s</w:t>
      </w:r>
      <w:proofErr w:type="spellEnd"/>
      <w:r>
        <w:t xml:space="preserve"> bundled pricing </w:t>
      </w:r>
      <w:r>
        <w:lastRenderedPageBreak/>
        <w:t xml:space="preserve">limitations that, taken together, materially constrain each platform’s room for manoeuvre as it pursues aggressive growth. </w:t>
      </w:r>
    </w:p>
    <w:p w14:paraId="76030D4D" w14:textId="77777777" w:rsidR="00EC6FE5" w:rsidRDefault="00000000">
      <w:pPr>
        <w:pStyle w:val="Heading1"/>
        <w:ind w:left="-5"/>
      </w:pPr>
      <w:bookmarkStart w:id="3" w:name="_Toc13751"/>
      <w:r>
        <w:t xml:space="preserve">Task 2: Strategic Responses </w:t>
      </w:r>
      <w:bookmarkEnd w:id="3"/>
    </w:p>
    <w:p w14:paraId="6E223D67" w14:textId="77777777" w:rsidR="00EC6FE5" w:rsidRDefault="00000000">
      <w:pPr>
        <w:spacing w:after="80" w:line="360" w:lineRule="auto"/>
        <w:ind w:left="-5" w:right="3"/>
      </w:pPr>
      <w:r>
        <w:t xml:space="preserve">Using the macro-environmental analysis presented in Task 1, this section assesses the strategic decisions made by Netflix and Disney+ in response to the identified opportunities and threats. The second part - the step comprises two well-known strategic marketing frameworks: Porters Generic Strategies and Ansoff`s growth matrix. </w:t>
      </w:r>
    </w:p>
    <w:p w14:paraId="329A9121" w14:textId="77777777" w:rsidR="00EC6FE5" w:rsidRDefault="00000000">
      <w:pPr>
        <w:spacing w:after="0" w:line="259" w:lineRule="auto"/>
        <w:ind w:left="0" w:firstLine="0"/>
        <w:jc w:val="left"/>
      </w:pPr>
      <w:r>
        <w:t xml:space="preserve"> </w:t>
      </w:r>
    </w:p>
    <w:p w14:paraId="6EBE6A70" w14:textId="77777777" w:rsidR="00EC6FE5" w:rsidRDefault="00000000">
      <w:pPr>
        <w:pStyle w:val="Heading2"/>
        <w:ind w:left="-5"/>
      </w:pPr>
      <w:bookmarkStart w:id="4" w:name="_Toc13752"/>
      <w:r>
        <w:t xml:space="preserve">3.1 Porter's Generic Strategies </w:t>
      </w:r>
      <w:bookmarkEnd w:id="4"/>
    </w:p>
    <w:p w14:paraId="1A064785" w14:textId="77777777" w:rsidR="00EC6FE5" w:rsidRDefault="00000000">
      <w:pPr>
        <w:spacing w:line="360" w:lineRule="auto"/>
        <w:ind w:left="-5" w:right="3"/>
      </w:pPr>
      <w:r>
        <w:t xml:space="preserve">Porter (1980) identifies three generic strategies through which organisations may achieve sustainable competitive advantage: Cost Leadership, Differentiation, and Focus. The streaming industry's economics - characterised by high fixed costs of content production and near-zero marginal distribution costs - make pure cost leadership difficult to sustain at scale. Accordingly, both Netflix and Disney+ have pursued differentiation-led strategies, though with notably different bases of differentiation. </w:t>
      </w:r>
    </w:p>
    <w:p w14:paraId="7DF28477" w14:textId="77777777" w:rsidR="00EC6FE5" w:rsidRDefault="00000000">
      <w:pPr>
        <w:spacing w:after="142" w:line="259" w:lineRule="auto"/>
        <w:ind w:left="0" w:firstLine="0"/>
        <w:jc w:val="left"/>
      </w:pPr>
      <w:r>
        <w:t xml:space="preserve"> </w:t>
      </w:r>
    </w:p>
    <w:p w14:paraId="5BD0D08D" w14:textId="77777777" w:rsidR="00EC6FE5" w:rsidRDefault="00000000">
      <w:pPr>
        <w:spacing w:after="0" w:line="259" w:lineRule="auto"/>
        <w:ind w:left="-5"/>
        <w:jc w:val="left"/>
      </w:pPr>
      <w:r>
        <w:rPr>
          <w:i/>
          <w:color w:val="0E2841"/>
          <w:sz w:val="18"/>
        </w:rPr>
        <w:t xml:space="preserve">Table 2:  Porter's Generic Strategies - Netflix vs Disney+ (Author's Own, adapted from Porter, 1980) </w:t>
      </w:r>
    </w:p>
    <w:tbl>
      <w:tblPr>
        <w:tblStyle w:val="TableGrid"/>
        <w:tblW w:w="9362" w:type="dxa"/>
        <w:tblInd w:w="5" w:type="dxa"/>
        <w:tblCellMar>
          <w:top w:w="93" w:type="dxa"/>
          <w:left w:w="118" w:type="dxa"/>
          <w:right w:w="67" w:type="dxa"/>
        </w:tblCellMar>
        <w:tblLook w:val="04A0" w:firstRow="1" w:lastRow="0" w:firstColumn="1" w:lastColumn="0" w:noHBand="0" w:noVBand="1"/>
      </w:tblPr>
      <w:tblGrid>
        <w:gridCol w:w="1731"/>
        <w:gridCol w:w="3805"/>
        <w:gridCol w:w="3826"/>
      </w:tblGrid>
      <w:tr w:rsidR="00EC6FE5" w14:paraId="6082B798" w14:textId="77777777">
        <w:trPr>
          <w:trHeight w:val="550"/>
        </w:trPr>
        <w:tc>
          <w:tcPr>
            <w:tcW w:w="1730" w:type="dxa"/>
            <w:tcBorders>
              <w:top w:val="single" w:sz="4" w:space="0" w:color="000000"/>
              <w:left w:val="single" w:sz="4" w:space="0" w:color="000000"/>
              <w:bottom w:val="single" w:sz="33" w:space="0" w:color="FFFFFF"/>
              <w:right w:val="single" w:sz="4" w:space="0" w:color="000000"/>
            </w:tcBorders>
          </w:tcPr>
          <w:p w14:paraId="74DD8CDB" w14:textId="77777777" w:rsidR="00EC6FE5" w:rsidRDefault="00000000">
            <w:pPr>
              <w:spacing w:after="0" w:line="259" w:lineRule="auto"/>
              <w:ind w:left="0" w:right="56" w:firstLine="0"/>
              <w:jc w:val="center"/>
            </w:pPr>
            <w:r>
              <w:rPr>
                <w:b/>
                <w:sz w:val="20"/>
              </w:rPr>
              <w:t>Dimension</w:t>
            </w:r>
            <w:r>
              <w:t xml:space="preserve"> </w:t>
            </w:r>
          </w:p>
        </w:tc>
        <w:tc>
          <w:tcPr>
            <w:tcW w:w="3805" w:type="dxa"/>
            <w:tcBorders>
              <w:top w:val="single" w:sz="4" w:space="0" w:color="000000"/>
              <w:left w:val="single" w:sz="4" w:space="0" w:color="000000"/>
              <w:bottom w:val="single" w:sz="33" w:space="0" w:color="FFFFFF"/>
              <w:right w:val="single" w:sz="4" w:space="0" w:color="000000"/>
            </w:tcBorders>
          </w:tcPr>
          <w:p w14:paraId="7271B361" w14:textId="77777777" w:rsidR="00EC6FE5" w:rsidRDefault="00000000">
            <w:pPr>
              <w:spacing w:after="0" w:line="259" w:lineRule="auto"/>
              <w:ind w:left="0" w:right="57" w:firstLine="0"/>
              <w:jc w:val="center"/>
            </w:pPr>
            <w:r>
              <w:rPr>
                <w:b/>
                <w:sz w:val="20"/>
              </w:rPr>
              <w:t>Netflix</w:t>
            </w:r>
            <w:r>
              <w:t xml:space="preserve"> </w:t>
            </w:r>
          </w:p>
        </w:tc>
        <w:tc>
          <w:tcPr>
            <w:tcW w:w="3826" w:type="dxa"/>
            <w:tcBorders>
              <w:top w:val="single" w:sz="4" w:space="0" w:color="000000"/>
              <w:left w:val="single" w:sz="4" w:space="0" w:color="000000"/>
              <w:bottom w:val="single" w:sz="33" w:space="0" w:color="FFFFFF"/>
              <w:right w:val="single" w:sz="4" w:space="0" w:color="000000"/>
            </w:tcBorders>
          </w:tcPr>
          <w:p w14:paraId="0EFB79F7" w14:textId="77777777" w:rsidR="00EC6FE5" w:rsidRDefault="00000000">
            <w:pPr>
              <w:spacing w:after="0" w:line="259" w:lineRule="auto"/>
              <w:ind w:left="0" w:right="54" w:firstLine="0"/>
              <w:jc w:val="center"/>
            </w:pPr>
            <w:r>
              <w:rPr>
                <w:b/>
                <w:sz w:val="20"/>
              </w:rPr>
              <w:t>Disney+</w:t>
            </w:r>
            <w:r>
              <w:t xml:space="preserve"> </w:t>
            </w:r>
          </w:p>
        </w:tc>
      </w:tr>
      <w:tr w:rsidR="00EC6FE5" w14:paraId="0C5C00E7" w14:textId="77777777">
        <w:trPr>
          <w:trHeight w:val="859"/>
        </w:trPr>
        <w:tc>
          <w:tcPr>
            <w:tcW w:w="1730" w:type="dxa"/>
            <w:tcBorders>
              <w:top w:val="single" w:sz="33" w:space="0" w:color="FFFFFF"/>
              <w:left w:val="single" w:sz="4" w:space="0" w:color="000000"/>
              <w:bottom w:val="single" w:sz="33" w:space="0" w:color="FFFFFF"/>
              <w:right w:val="single" w:sz="4" w:space="0" w:color="000000"/>
            </w:tcBorders>
          </w:tcPr>
          <w:p w14:paraId="11CA2B45" w14:textId="77777777" w:rsidR="00EC6FE5" w:rsidRDefault="00000000">
            <w:pPr>
              <w:spacing w:after="126" w:line="259" w:lineRule="auto"/>
              <w:ind w:left="2" w:firstLine="0"/>
              <w:jc w:val="left"/>
            </w:pPr>
            <w:r>
              <w:rPr>
                <w:b/>
                <w:sz w:val="20"/>
              </w:rPr>
              <w:t xml:space="preserve">Primary </w:t>
            </w:r>
          </w:p>
          <w:p w14:paraId="13EAC2DF" w14:textId="77777777" w:rsidR="00EC6FE5" w:rsidRDefault="00000000">
            <w:pPr>
              <w:spacing w:after="0" w:line="259" w:lineRule="auto"/>
              <w:ind w:left="2" w:firstLine="0"/>
              <w:jc w:val="left"/>
            </w:pPr>
            <w:r>
              <w:rPr>
                <w:b/>
                <w:sz w:val="20"/>
              </w:rPr>
              <w:t>Strategy</w:t>
            </w:r>
            <w:r>
              <w:t xml:space="preserve"> </w:t>
            </w:r>
          </w:p>
        </w:tc>
        <w:tc>
          <w:tcPr>
            <w:tcW w:w="3805" w:type="dxa"/>
            <w:tcBorders>
              <w:top w:val="single" w:sz="33" w:space="0" w:color="FFFFFF"/>
              <w:left w:val="single" w:sz="4" w:space="0" w:color="000000"/>
              <w:bottom w:val="single" w:sz="33" w:space="0" w:color="FFFFFF"/>
              <w:right w:val="single" w:sz="4" w:space="0" w:color="000000"/>
            </w:tcBorders>
          </w:tcPr>
          <w:p w14:paraId="30429F75" w14:textId="77777777" w:rsidR="00EC6FE5" w:rsidRDefault="00000000">
            <w:pPr>
              <w:tabs>
                <w:tab w:val="center" w:pos="1175"/>
                <w:tab w:val="center" w:pos="1998"/>
                <w:tab w:val="right" w:pos="3620"/>
              </w:tabs>
              <w:spacing w:after="132" w:line="259" w:lineRule="auto"/>
              <w:ind w:left="0" w:firstLine="0"/>
              <w:jc w:val="left"/>
            </w:pPr>
            <w:r>
              <w:rPr>
                <w:sz w:val="20"/>
              </w:rPr>
              <w:t xml:space="preserve">Cost </w:t>
            </w:r>
            <w:r>
              <w:rPr>
                <w:sz w:val="20"/>
              </w:rPr>
              <w:tab/>
              <w:t xml:space="preserve">Leadership </w:t>
            </w:r>
            <w:r>
              <w:rPr>
                <w:sz w:val="20"/>
              </w:rPr>
              <w:tab/>
              <w:t xml:space="preserve">+ </w:t>
            </w:r>
            <w:r>
              <w:rPr>
                <w:sz w:val="20"/>
              </w:rPr>
              <w:tab/>
              <w:t xml:space="preserve">Differentiation </w:t>
            </w:r>
          </w:p>
          <w:p w14:paraId="06EC190F" w14:textId="77777777" w:rsidR="00EC6FE5" w:rsidRDefault="00000000">
            <w:pPr>
              <w:spacing w:after="0" w:line="259" w:lineRule="auto"/>
              <w:ind w:left="0" w:firstLine="0"/>
              <w:jc w:val="left"/>
            </w:pPr>
            <w:r>
              <w:rPr>
                <w:sz w:val="20"/>
              </w:rPr>
              <w:t>(Hybrid)</w:t>
            </w:r>
            <w:r>
              <w:t xml:space="preserve"> </w:t>
            </w:r>
          </w:p>
        </w:tc>
        <w:tc>
          <w:tcPr>
            <w:tcW w:w="3826" w:type="dxa"/>
            <w:tcBorders>
              <w:top w:val="single" w:sz="33" w:space="0" w:color="FFFFFF"/>
              <w:left w:val="single" w:sz="4" w:space="0" w:color="000000"/>
              <w:bottom w:val="single" w:sz="33" w:space="0" w:color="FFFFFF"/>
              <w:right w:val="single" w:sz="4" w:space="0" w:color="000000"/>
            </w:tcBorders>
          </w:tcPr>
          <w:p w14:paraId="2A8A07DA" w14:textId="77777777" w:rsidR="00EC6FE5" w:rsidRDefault="00000000">
            <w:pPr>
              <w:spacing w:after="0" w:line="259" w:lineRule="auto"/>
              <w:ind w:left="2" w:firstLine="0"/>
              <w:jc w:val="left"/>
            </w:pPr>
            <w:r>
              <w:rPr>
                <w:sz w:val="20"/>
              </w:rPr>
              <w:t>Differentiation Focus</w:t>
            </w:r>
            <w:r>
              <w:t xml:space="preserve"> </w:t>
            </w:r>
          </w:p>
        </w:tc>
      </w:tr>
      <w:tr w:rsidR="00EC6FE5" w14:paraId="0191D2C2" w14:textId="77777777">
        <w:trPr>
          <w:trHeight w:val="859"/>
        </w:trPr>
        <w:tc>
          <w:tcPr>
            <w:tcW w:w="1730" w:type="dxa"/>
            <w:tcBorders>
              <w:top w:val="single" w:sz="33" w:space="0" w:color="FFFFFF"/>
              <w:left w:val="single" w:sz="4" w:space="0" w:color="000000"/>
              <w:bottom w:val="single" w:sz="33" w:space="0" w:color="FFFFFF"/>
              <w:right w:val="single" w:sz="4" w:space="0" w:color="000000"/>
            </w:tcBorders>
          </w:tcPr>
          <w:p w14:paraId="409B5511" w14:textId="77777777" w:rsidR="00EC6FE5" w:rsidRDefault="00000000">
            <w:pPr>
              <w:spacing w:after="125" w:line="259" w:lineRule="auto"/>
              <w:ind w:left="2" w:firstLine="0"/>
              <w:jc w:val="left"/>
            </w:pPr>
            <w:r>
              <w:rPr>
                <w:b/>
                <w:sz w:val="20"/>
              </w:rPr>
              <w:t xml:space="preserve">Competitive </w:t>
            </w:r>
          </w:p>
          <w:p w14:paraId="221B3B07" w14:textId="77777777" w:rsidR="00EC6FE5" w:rsidRDefault="00000000">
            <w:pPr>
              <w:spacing w:after="0" w:line="259" w:lineRule="auto"/>
              <w:ind w:left="2" w:firstLine="0"/>
              <w:jc w:val="left"/>
            </w:pPr>
            <w:r>
              <w:rPr>
                <w:b/>
                <w:sz w:val="20"/>
              </w:rPr>
              <w:t>Basis</w:t>
            </w:r>
            <w:r>
              <w:t xml:space="preserve"> </w:t>
            </w:r>
          </w:p>
        </w:tc>
        <w:tc>
          <w:tcPr>
            <w:tcW w:w="3805" w:type="dxa"/>
            <w:tcBorders>
              <w:top w:val="single" w:sz="33" w:space="0" w:color="FFFFFF"/>
              <w:left w:val="single" w:sz="4" w:space="0" w:color="000000"/>
              <w:bottom w:val="single" w:sz="33" w:space="0" w:color="FFFFFF"/>
              <w:right w:val="single" w:sz="4" w:space="0" w:color="000000"/>
            </w:tcBorders>
          </w:tcPr>
          <w:p w14:paraId="09B44AD2" w14:textId="77777777" w:rsidR="00EC6FE5" w:rsidRDefault="00000000">
            <w:pPr>
              <w:spacing w:after="127" w:line="259" w:lineRule="auto"/>
              <w:ind w:left="0" w:firstLine="0"/>
              <w:jc w:val="left"/>
            </w:pPr>
            <w:r>
              <w:rPr>
                <w:sz w:val="20"/>
              </w:rPr>
              <w:t xml:space="preserve">Scale efficiencies; ad-supported tier </w:t>
            </w:r>
          </w:p>
          <w:p w14:paraId="64A71482" w14:textId="77777777" w:rsidR="00EC6FE5" w:rsidRDefault="00000000">
            <w:pPr>
              <w:spacing w:after="0" w:line="259" w:lineRule="auto"/>
              <w:ind w:left="0" w:firstLine="0"/>
              <w:jc w:val="left"/>
            </w:pPr>
            <w:r>
              <w:rPr>
                <w:sz w:val="20"/>
              </w:rPr>
              <w:t>(2022) to broaden access</w:t>
            </w:r>
            <w:r>
              <w:t xml:space="preserve"> </w:t>
            </w:r>
          </w:p>
        </w:tc>
        <w:tc>
          <w:tcPr>
            <w:tcW w:w="3826" w:type="dxa"/>
            <w:tcBorders>
              <w:top w:val="single" w:sz="33" w:space="0" w:color="FFFFFF"/>
              <w:left w:val="single" w:sz="4" w:space="0" w:color="000000"/>
              <w:bottom w:val="single" w:sz="33" w:space="0" w:color="FFFFFF"/>
              <w:right w:val="single" w:sz="4" w:space="0" w:color="000000"/>
            </w:tcBorders>
          </w:tcPr>
          <w:p w14:paraId="78CA9E3C" w14:textId="77777777" w:rsidR="00EC6FE5" w:rsidRDefault="00000000">
            <w:pPr>
              <w:spacing w:after="127" w:line="259" w:lineRule="auto"/>
              <w:ind w:left="2" w:firstLine="0"/>
              <w:jc w:val="left"/>
            </w:pPr>
            <w:r>
              <w:rPr>
                <w:sz w:val="20"/>
              </w:rPr>
              <w:t xml:space="preserve">Unmatched IP portfolio: Marvel, Star </w:t>
            </w:r>
          </w:p>
          <w:p w14:paraId="102549ED" w14:textId="77777777" w:rsidR="00EC6FE5" w:rsidRDefault="00000000">
            <w:pPr>
              <w:spacing w:after="0" w:line="259" w:lineRule="auto"/>
              <w:ind w:left="2" w:firstLine="0"/>
              <w:jc w:val="left"/>
            </w:pPr>
            <w:r>
              <w:rPr>
                <w:sz w:val="20"/>
              </w:rPr>
              <w:t>Wars, Pixar, National Geographic</w:t>
            </w:r>
            <w:r>
              <w:t xml:space="preserve"> </w:t>
            </w:r>
          </w:p>
        </w:tc>
      </w:tr>
      <w:tr w:rsidR="00EC6FE5" w14:paraId="08D6AB50" w14:textId="77777777">
        <w:trPr>
          <w:trHeight w:val="1205"/>
        </w:trPr>
        <w:tc>
          <w:tcPr>
            <w:tcW w:w="1730" w:type="dxa"/>
            <w:tcBorders>
              <w:top w:val="single" w:sz="33" w:space="0" w:color="FFFFFF"/>
              <w:left w:val="single" w:sz="4" w:space="0" w:color="000000"/>
              <w:bottom w:val="single" w:sz="33" w:space="0" w:color="FFFFFF"/>
              <w:right w:val="single" w:sz="4" w:space="0" w:color="000000"/>
            </w:tcBorders>
          </w:tcPr>
          <w:p w14:paraId="524EFECB" w14:textId="77777777" w:rsidR="00EC6FE5" w:rsidRDefault="00000000">
            <w:pPr>
              <w:spacing w:after="0" w:line="259" w:lineRule="auto"/>
              <w:ind w:left="2" w:firstLine="0"/>
              <w:jc w:val="left"/>
            </w:pPr>
            <w:r>
              <w:rPr>
                <w:b/>
                <w:sz w:val="20"/>
              </w:rPr>
              <w:t>Pricing</w:t>
            </w:r>
            <w:r>
              <w:t xml:space="preserve"> </w:t>
            </w:r>
          </w:p>
        </w:tc>
        <w:tc>
          <w:tcPr>
            <w:tcW w:w="3805" w:type="dxa"/>
            <w:tcBorders>
              <w:top w:val="single" w:sz="33" w:space="0" w:color="FFFFFF"/>
              <w:left w:val="single" w:sz="4" w:space="0" w:color="000000"/>
              <w:bottom w:val="single" w:sz="33" w:space="0" w:color="FFFFFF"/>
              <w:right w:val="single" w:sz="4" w:space="0" w:color="000000"/>
            </w:tcBorders>
          </w:tcPr>
          <w:p w14:paraId="3B9192EE" w14:textId="77777777" w:rsidR="00EC6FE5" w:rsidRDefault="00000000">
            <w:pPr>
              <w:spacing w:after="96" w:line="259" w:lineRule="auto"/>
              <w:ind w:left="0" w:firstLine="0"/>
              <w:jc w:val="left"/>
            </w:pPr>
            <w:r>
              <w:rPr>
                <w:sz w:val="20"/>
              </w:rPr>
              <w:t xml:space="preserve">Tiered pricing: Basic with Ads ($6.99), </w:t>
            </w:r>
          </w:p>
          <w:p w14:paraId="5ABE89F4" w14:textId="77777777" w:rsidR="00EC6FE5" w:rsidRDefault="00000000">
            <w:pPr>
              <w:spacing w:after="126" w:line="259" w:lineRule="auto"/>
              <w:ind w:left="0" w:firstLine="0"/>
              <w:jc w:val="left"/>
            </w:pPr>
            <w:r>
              <w:rPr>
                <w:sz w:val="20"/>
              </w:rPr>
              <w:t xml:space="preserve">Standard ($15.49), Premium ($22.99) - </w:t>
            </w:r>
          </w:p>
          <w:p w14:paraId="5ABF3925" w14:textId="77777777" w:rsidR="00EC6FE5" w:rsidRDefault="00000000">
            <w:pPr>
              <w:spacing w:after="0" w:line="259" w:lineRule="auto"/>
              <w:ind w:left="0" w:firstLine="0"/>
              <w:jc w:val="left"/>
            </w:pPr>
            <w:r>
              <w:rPr>
                <w:sz w:val="20"/>
              </w:rPr>
              <w:t>US 2024</w:t>
            </w:r>
            <w:r>
              <w:t xml:space="preserve"> </w:t>
            </w:r>
          </w:p>
        </w:tc>
        <w:tc>
          <w:tcPr>
            <w:tcW w:w="3826" w:type="dxa"/>
            <w:tcBorders>
              <w:top w:val="single" w:sz="33" w:space="0" w:color="FFFFFF"/>
              <w:left w:val="single" w:sz="4" w:space="0" w:color="000000"/>
              <w:bottom w:val="single" w:sz="33" w:space="0" w:color="FFFFFF"/>
              <w:right w:val="single" w:sz="4" w:space="0" w:color="000000"/>
            </w:tcBorders>
          </w:tcPr>
          <w:p w14:paraId="750022AB" w14:textId="77777777" w:rsidR="00EC6FE5" w:rsidRDefault="00000000">
            <w:pPr>
              <w:spacing w:after="31" w:line="360" w:lineRule="auto"/>
              <w:ind w:left="2" w:firstLine="0"/>
            </w:pPr>
            <w:r>
              <w:rPr>
                <w:sz w:val="20"/>
              </w:rPr>
              <w:t xml:space="preserve">Basic with Ads ($7.99), Premium ($13.99); bundle with Hulu/ESPN+ </w:t>
            </w:r>
          </w:p>
          <w:p w14:paraId="213EFF59" w14:textId="77777777" w:rsidR="00EC6FE5" w:rsidRDefault="00000000">
            <w:pPr>
              <w:spacing w:after="0" w:line="259" w:lineRule="auto"/>
              <w:ind w:left="2" w:firstLine="0"/>
              <w:jc w:val="left"/>
            </w:pPr>
            <w:r>
              <w:rPr>
                <w:sz w:val="20"/>
              </w:rPr>
              <w:t>($14.99) - US 2024</w:t>
            </w:r>
            <w:r>
              <w:t xml:space="preserve"> </w:t>
            </w:r>
          </w:p>
        </w:tc>
      </w:tr>
      <w:tr w:rsidR="00EC6FE5" w14:paraId="0EB6BA84" w14:textId="77777777">
        <w:trPr>
          <w:trHeight w:val="859"/>
        </w:trPr>
        <w:tc>
          <w:tcPr>
            <w:tcW w:w="1730" w:type="dxa"/>
            <w:tcBorders>
              <w:top w:val="single" w:sz="33" w:space="0" w:color="FFFFFF"/>
              <w:left w:val="single" w:sz="4" w:space="0" w:color="000000"/>
              <w:bottom w:val="single" w:sz="33" w:space="0" w:color="FFFFFF"/>
              <w:right w:val="single" w:sz="4" w:space="0" w:color="000000"/>
            </w:tcBorders>
          </w:tcPr>
          <w:p w14:paraId="2E76D575" w14:textId="77777777" w:rsidR="00EC6FE5" w:rsidRDefault="00000000">
            <w:pPr>
              <w:spacing w:after="124" w:line="259" w:lineRule="auto"/>
              <w:ind w:left="2" w:firstLine="0"/>
              <w:jc w:val="left"/>
            </w:pPr>
            <w:r>
              <w:rPr>
                <w:b/>
                <w:sz w:val="20"/>
              </w:rPr>
              <w:t xml:space="preserve">Content </w:t>
            </w:r>
          </w:p>
          <w:p w14:paraId="1FE7C897" w14:textId="77777777" w:rsidR="00EC6FE5" w:rsidRDefault="00000000">
            <w:pPr>
              <w:spacing w:after="0" w:line="259" w:lineRule="auto"/>
              <w:ind w:left="2" w:firstLine="0"/>
              <w:jc w:val="left"/>
            </w:pPr>
            <w:r>
              <w:rPr>
                <w:b/>
                <w:sz w:val="20"/>
              </w:rPr>
              <w:t>Investment</w:t>
            </w:r>
            <w:r>
              <w:t xml:space="preserve"> </w:t>
            </w:r>
          </w:p>
        </w:tc>
        <w:tc>
          <w:tcPr>
            <w:tcW w:w="3805" w:type="dxa"/>
            <w:tcBorders>
              <w:top w:val="single" w:sz="33" w:space="0" w:color="FFFFFF"/>
              <w:left w:val="single" w:sz="4" w:space="0" w:color="000000"/>
              <w:bottom w:val="single" w:sz="33" w:space="0" w:color="FFFFFF"/>
              <w:right w:val="single" w:sz="4" w:space="0" w:color="000000"/>
            </w:tcBorders>
          </w:tcPr>
          <w:p w14:paraId="1A070F97" w14:textId="77777777" w:rsidR="00EC6FE5" w:rsidRDefault="00000000">
            <w:pPr>
              <w:spacing w:after="0" w:line="259" w:lineRule="auto"/>
              <w:ind w:left="0" w:firstLine="0"/>
            </w:pPr>
            <w:r>
              <w:rPr>
                <w:sz w:val="20"/>
              </w:rPr>
              <w:t>$17 billion content spend (2023); global originals strategy</w:t>
            </w:r>
            <w:r>
              <w:t xml:space="preserve"> </w:t>
            </w:r>
          </w:p>
        </w:tc>
        <w:tc>
          <w:tcPr>
            <w:tcW w:w="3826" w:type="dxa"/>
            <w:tcBorders>
              <w:top w:val="single" w:sz="33" w:space="0" w:color="FFFFFF"/>
              <w:left w:val="single" w:sz="4" w:space="0" w:color="000000"/>
              <w:bottom w:val="single" w:sz="33" w:space="0" w:color="FFFFFF"/>
              <w:right w:val="single" w:sz="4" w:space="0" w:color="000000"/>
            </w:tcBorders>
          </w:tcPr>
          <w:p w14:paraId="1BEDD951" w14:textId="77777777" w:rsidR="00EC6FE5" w:rsidRDefault="00000000">
            <w:pPr>
              <w:spacing w:after="0" w:line="259" w:lineRule="auto"/>
              <w:ind w:left="2" w:firstLine="0"/>
            </w:pPr>
            <w:r>
              <w:rPr>
                <w:sz w:val="20"/>
              </w:rPr>
              <w:t>$9 billion content spend (2023); focus on franchise extensions</w:t>
            </w:r>
            <w:r>
              <w:t xml:space="preserve"> </w:t>
            </w:r>
          </w:p>
        </w:tc>
      </w:tr>
      <w:tr w:rsidR="00EC6FE5" w14:paraId="469DB49E" w14:textId="77777777">
        <w:trPr>
          <w:trHeight w:val="830"/>
        </w:trPr>
        <w:tc>
          <w:tcPr>
            <w:tcW w:w="1730" w:type="dxa"/>
            <w:tcBorders>
              <w:top w:val="single" w:sz="33" w:space="0" w:color="FFFFFF"/>
              <w:left w:val="single" w:sz="4" w:space="0" w:color="000000"/>
              <w:bottom w:val="single" w:sz="4" w:space="0" w:color="000000"/>
              <w:right w:val="single" w:sz="4" w:space="0" w:color="000000"/>
            </w:tcBorders>
          </w:tcPr>
          <w:p w14:paraId="131E1560" w14:textId="77777777" w:rsidR="00EC6FE5" w:rsidRDefault="00000000">
            <w:pPr>
              <w:spacing w:after="0" w:line="259" w:lineRule="auto"/>
              <w:ind w:left="2" w:firstLine="0"/>
              <w:jc w:val="left"/>
            </w:pPr>
            <w:r>
              <w:rPr>
                <w:b/>
                <w:sz w:val="20"/>
              </w:rPr>
              <w:lastRenderedPageBreak/>
              <w:t>Limitation</w:t>
            </w:r>
            <w:r>
              <w:t xml:space="preserve"> </w:t>
            </w:r>
          </w:p>
        </w:tc>
        <w:tc>
          <w:tcPr>
            <w:tcW w:w="3805" w:type="dxa"/>
            <w:tcBorders>
              <w:top w:val="single" w:sz="33" w:space="0" w:color="FFFFFF"/>
              <w:left w:val="single" w:sz="4" w:space="0" w:color="000000"/>
              <w:bottom w:val="single" w:sz="4" w:space="0" w:color="000000"/>
              <w:right w:val="single" w:sz="4" w:space="0" w:color="000000"/>
            </w:tcBorders>
          </w:tcPr>
          <w:p w14:paraId="0426B8EE" w14:textId="77777777" w:rsidR="00EC6FE5" w:rsidRDefault="00000000">
            <w:pPr>
              <w:tabs>
                <w:tab w:val="center" w:pos="1116"/>
                <w:tab w:val="center" w:pos="1912"/>
                <w:tab w:val="center" w:pos="2638"/>
                <w:tab w:val="right" w:pos="3620"/>
              </w:tabs>
              <w:spacing w:after="133" w:line="259" w:lineRule="auto"/>
              <w:ind w:left="0" w:firstLine="0"/>
              <w:jc w:val="left"/>
            </w:pPr>
            <w:r>
              <w:rPr>
                <w:sz w:val="20"/>
              </w:rPr>
              <w:t xml:space="preserve">Rising </w:t>
            </w:r>
            <w:r>
              <w:rPr>
                <w:sz w:val="20"/>
              </w:rPr>
              <w:tab/>
              <w:t xml:space="preserve">content </w:t>
            </w:r>
            <w:r>
              <w:rPr>
                <w:sz w:val="20"/>
              </w:rPr>
              <w:tab/>
              <w:t xml:space="preserve">costs </w:t>
            </w:r>
            <w:r>
              <w:rPr>
                <w:sz w:val="20"/>
              </w:rPr>
              <w:tab/>
              <w:t xml:space="preserve">erode </w:t>
            </w:r>
            <w:r>
              <w:rPr>
                <w:sz w:val="20"/>
              </w:rPr>
              <w:tab/>
              <w:t>cost-</w:t>
            </w:r>
          </w:p>
          <w:p w14:paraId="5C9126A6" w14:textId="77777777" w:rsidR="00EC6FE5" w:rsidRDefault="00000000">
            <w:pPr>
              <w:spacing w:after="0" w:line="259" w:lineRule="auto"/>
              <w:ind w:left="0" w:firstLine="0"/>
              <w:jc w:val="left"/>
            </w:pPr>
            <w:r>
              <w:rPr>
                <w:sz w:val="20"/>
              </w:rPr>
              <w:t>leadership gains; churn risk</w:t>
            </w:r>
            <w:r>
              <w:t xml:space="preserve"> </w:t>
            </w:r>
          </w:p>
        </w:tc>
        <w:tc>
          <w:tcPr>
            <w:tcW w:w="3826" w:type="dxa"/>
            <w:tcBorders>
              <w:top w:val="single" w:sz="33" w:space="0" w:color="FFFFFF"/>
              <w:left w:val="single" w:sz="4" w:space="0" w:color="000000"/>
              <w:bottom w:val="single" w:sz="4" w:space="0" w:color="000000"/>
              <w:right w:val="single" w:sz="4" w:space="0" w:color="000000"/>
            </w:tcBorders>
          </w:tcPr>
          <w:p w14:paraId="4784A43E" w14:textId="77777777" w:rsidR="00EC6FE5" w:rsidRDefault="00000000">
            <w:pPr>
              <w:spacing w:after="0" w:line="259" w:lineRule="auto"/>
              <w:ind w:left="2" w:firstLine="0"/>
            </w:pPr>
            <w:r>
              <w:rPr>
                <w:sz w:val="20"/>
              </w:rPr>
              <w:t>Heavy IP reliance risks audience fatigue; slower original content pipeline</w:t>
            </w:r>
            <w:r>
              <w:t xml:space="preserve"> </w:t>
            </w:r>
          </w:p>
        </w:tc>
      </w:tr>
    </w:tbl>
    <w:p w14:paraId="2B26DFED" w14:textId="77777777" w:rsidR="00EC6FE5" w:rsidRDefault="00000000">
      <w:pPr>
        <w:spacing w:after="218" w:line="259" w:lineRule="auto"/>
        <w:ind w:left="0" w:firstLine="0"/>
        <w:jc w:val="left"/>
      </w:pPr>
      <w:r>
        <w:t xml:space="preserve"> </w:t>
      </w:r>
    </w:p>
    <w:p w14:paraId="0D69485D" w14:textId="77777777" w:rsidR="00EC6FE5" w:rsidRDefault="00000000">
      <w:pPr>
        <w:spacing w:line="360" w:lineRule="auto"/>
        <w:ind w:left="-5" w:right="3"/>
      </w:pPr>
      <w:r>
        <w:rPr>
          <w:b/>
        </w:rPr>
        <w:t xml:space="preserve">Netflix - Hybrid Cost Leadership and Differentiation: </w:t>
      </w:r>
      <w:r>
        <w:t xml:space="preserve">Scale has always been central to Netflix’s commercial model. With a subscriber base exceeding 260 million (Netflix, 2024), the organisation spreads content expenditure across a base wide enough to make per-user costs manageable a dynamic that underpins its pricing flexibility. The 2022 introduction of an ad-supported tier at a lower price point was not simply a concession to cost-sensitive consumers; it opened an entirely new revenue channel whilst keeping the door open to subscribers who might otherwise have cancelled. At the same time, USD 17 billion in content spend during 2023 funded a slate of global originals spanning drama, documentary, film, and latterly live sports a breadth that sustains differentiation even as the ad tier pulls toward volume. Bowman (2008) would recognise this as a ‘dual advantage’ play, though its critics rightly observe that holding cost and quality in balance grows harder as content markets inflate. </w:t>
      </w:r>
    </w:p>
    <w:p w14:paraId="1B09D348" w14:textId="77777777" w:rsidR="00EC6FE5" w:rsidRDefault="00000000">
      <w:pPr>
        <w:spacing w:after="80" w:line="360" w:lineRule="auto"/>
        <w:ind w:left="-5" w:right="3"/>
      </w:pPr>
      <w:r>
        <w:rPr>
          <w:b/>
        </w:rPr>
        <w:t>Disney+ Differentiation Focus:</w:t>
      </w:r>
      <w:r>
        <w:t xml:space="preserve"> </w:t>
      </w:r>
      <w:proofErr w:type="spellStart"/>
      <w:r>
        <w:t>Disney+’s</w:t>
      </w:r>
      <w:proofErr w:type="spellEnd"/>
      <w:r>
        <w:t xml:space="preserve"> strategic position is built on something no rival can simply order up: a content library curated over decades. Marvel, Star Wars, Pixar and National Geographic are not only popular franchises, but cultural properties so entrenched they play to multi-generational audiences as close to a form of monopolising competitive advantage on unique assets (Porter, 1980) as we detect. Where Netflix needs to greenlight new productions each cycle to keep subscribers interested, Disney+ can extend existing universes with sequels and prequels, spinoffs and tie-in series all at a much lower incremental cost. Still, the risk is there: overreliance on familiar intellectual property leads to diminishing returns when audiences tire of what they have seen before, and decline in eyeballs for Marvel content from 2022 (Variety, 2023) indicates that depth of franchise alone can never be a substitute for continual creative renewal. </w:t>
      </w:r>
    </w:p>
    <w:p w14:paraId="62FB2D2C" w14:textId="77777777" w:rsidR="00EC6FE5" w:rsidRDefault="00000000">
      <w:pPr>
        <w:spacing w:after="80" w:line="360" w:lineRule="auto"/>
        <w:ind w:left="-5" w:right="3"/>
      </w:pPr>
      <w:r>
        <w:t xml:space="preserve">A critical assessment shows that Netflix’s hybrid strategy while providing it with a wider reach is increasingly hard to maintain as content inflation carries on. The differentiation strategy of Disney+ is more defensible in the long run, so long as the organisation solves its comparatively sluggish pipeline of original intellectual property generation going beyond franchise extensions. </w:t>
      </w:r>
    </w:p>
    <w:p w14:paraId="5900DDC7" w14:textId="77777777" w:rsidR="00EC6FE5" w:rsidRDefault="00000000">
      <w:pPr>
        <w:spacing w:after="506" w:line="259" w:lineRule="auto"/>
        <w:ind w:left="0" w:firstLine="0"/>
        <w:jc w:val="left"/>
      </w:pPr>
      <w:r>
        <w:lastRenderedPageBreak/>
        <w:t xml:space="preserve"> </w:t>
      </w:r>
    </w:p>
    <w:p w14:paraId="1149119C" w14:textId="77777777" w:rsidR="00EC6FE5" w:rsidRDefault="00000000">
      <w:pPr>
        <w:pStyle w:val="Heading2"/>
        <w:ind w:left="-5"/>
      </w:pPr>
      <w:bookmarkStart w:id="5" w:name="_Toc13753"/>
      <w:r>
        <w:t xml:space="preserve">3.2 Ansoff's Growth Matrix </w:t>
      </w:r>
      <w:bookmarkEnd w:id="5"/>
    </w:p>
    <w:p w14:paraId="3B3539E1" w14:textId="77777777" w:rsidR="00EC6FE5" w:rsidRDefault="00000000">
      <w:pPr>
        <w:spacing w:line="360" w:lineRule="auto"/>
        <w:ind w:left="-5" w:right="3"/>
      </w:pPr>
      <w:r>
        <w:t xml:space="preserve">Ansoff’s Growth Matrix (1957) offers a useful lens for understanding how each organisation has chosen to grow and at what level of risk. The four quadrants, defined by product and market novelty, map onto Netflix and Disney+ in ways that reflect not only their strategies but the structural differences that separate a pure-play streamer from a diversified entertainment conglomerate. What emerges is less a direct rivalry than two organisations operating from fundamentally different positions within the same framework, each shaped by the macro-environmental pressures examined in Task 1. </w:t>
      </w:r>
    </w:p>
    <w:p w14:paraId="03FA4D06" w14:textId="77777777" w:rsidR="00EC6FE5" w:rsidRDefault="00000000">
      <w:pPr>
        <w:spacing w:after="142" w:line="259" w:lineRule="auto"/>
        <w:ind w:left="0" w:firstLine="0"/>
        <w:jc w:val="left"/>
      </w:pPr>
      <w:r>
        <w:t xml:space="preserve"> </w:t>
      </w:r>
    </w:p>
    <w:p w14:paraId="3469A251" w14:textId="77777777" w:rsidR="00EC6FE5" w:rsidRDefault="00000000">
      <w:pPr>
        <w:spacing w:after="0" w:line="259" w:lineRule="auto"/>
        <w:ind w:left="-5"/>
        <w:jc w:val="left"/>
      </w:pPr>
      <w:r>
        <w:rPr>
          <w:i/>
          <w:color w:val="0E2841"/>
          <w:sz w:val="18"/>
        </w:rPr>
        <w:t xml:space="preserve">Table 3: Ansoff's Growth Matrix - Netflix vs Disney+ (Author's Own, adapted from Ansoff, 1957) </w:t>
      </w:r>
    </w:p>
    <w:tbl>
      <w:tblPr>
        <w:tblStyle w:val="TableGrid"/>
        <w:tblW w:w="9362" w:type="dxa"/>
        <w:tblInd w:w="5" w:type="dxa"/>
        <w:tblCellMar>
          <w:top w:w="126" w:type="dxa"/>
          <w:left w:w="120" w:type="dxa"/>
          <w:right w:w="65" w:type="dxa"/>
        </w:tblCellMar>
        <w:tblLook w:val="04A0" w:firstRow="1" w:lastRow="0" w:firstColumn="1" w:lastColumn="0" w:noHBand="0" w:noVBand="1"/>
      </w:tblPr>
      <w:tblGrid>
        <w:gridCol w:w="1844"/>
        <w:gridCol w:w="3872"/>
        <w:gridCol w:w="3646"/>
      </w:tblGrid>
      <w:tr w:rsidR="00EC6FE5" w14:paraId="36D675FA" w14:textId="77777777">
        <w:trPr>
          <w:trHeight w:val="557"/>
        </w:trPr>
        <w:tc>
          <w:tcPr>
            <w:tcW w:w="1843" w:type="dxa"/>
            <w:tcBorders>
              <w:top w:val="single" w:sz="4" w:space="0" w:color="000000"/>
              <w:left w:val="single" w:sz="4" w:space="0" w:color="000000"/>
              <w:bottom w:val="single" w:sz="4" w:space="0" w:color="000000"/>
              <w:right w:val="single" w:sz="4" w:space="0" w:color="000000"/>
            </w:tcBorders>
            <w:vAlign w:val="center"/>
          </w:tcPr>
          <w:p w14:paraId="5384CDAC" w14:textId="77777777" w:rsidR="00EC6FE5" w:rsidRDefault="00000000">
            <w:pPr>
              <w:spacing w:after="0" w:line="259" w:lineRule="auto"/>
              <w:ind w:left="12" w:firstLine="0"/>
              <w:jc w:val="left"/>
            </w:pPr>
            <w:r>
              <w:rPr>
                <w:b/>
                <w:sz w:val="20"/>
              </w:rPr>
              <w:t>Ansoff Quadrant</w:t>
            </w:r>
            <w:r>
              <w:t xml:space="preserve"> </w:t>
            </w:r>
          </w:p>
        </w:tc>
        <w:tc>
          <w:tcPr>
            <w:tcW w:w="3872" w:type="dxa"/>
            <w:tcBorders>
              <w:top w:val="single" w:sz="4" w:space="0" w:color="000000"/>
              <w:left w:val="single" w:sz="4" w:space="0" w:color="000000"/>
              <w:bottom w:val="single" w:sz="4" w:space="0" w:color="000000"/>
              <w:right w:val="single" w:sz="4" w:space="0" w:color="000000"/>
            </w:tcBorders>
            <w:vAlign w:val="center"/>
          </w:tcPr>
          <w:p w14:paraId="28D32DEE" w14:textId="77777777" w:rsidR="00EC6FE5" w:rsidRDefault="00000000">
            <w:pPr>
              <w:spacing w:after="0" w:line="259" w:lineRule="auto"/>
              <w:ind w:left="0" w:right="57" w:firstLine="0"/>
              <w:jc w:val="center"/>
            </w:pPr>
            <w:r>
              <w:rPr>
                <w:b/>
                <w:sz w:val="20"/>
              </w:rPr>
              <w:t>Netflix</w:t>
            </w:r>
            <w:r>
              <w:t xml:space="preserve"> </w:t>
            </w:r>
          </w:p>
        </w:tc>
        <w:tc>
          <w:tcPr>
            <w:tcW w:w="3646" w:type="dxa"/>
            <w:tcBorders>
              <w:top w:val="single" w:sz="4" w:space="0" w:color="000000"/>
              <w:left w:val="single" w:sz="4" w:space="0" w:color="000000"/>
              <w:bottom w:val="single" w:sz="4" w:space="0" w:color="000000"/>
              <w:right w:val="single" w:sz="4" w:space="0" w:color="000000"/>
            </w:tcBorders>
            <w:vAlign w:val="center"/>
          </w:tcPr>
          <w:p w14:paraId="4895D342" w14:textId="77777777" w:rsidR="00EC6FE5" w:rsidRDefault="00000000">
            <w:pPr>
              <w:spacing w:after="0" w:line="259" w:lineRule="auto"/>
              <w:ind w:left="0" w:right="61" w:firstLine="0"/>
              <w:jc w:val="center"/>
            </w:pPr>
            <w:r>
              <w:rPr>
                <w:b/>
                <w:sz w:val="20"/>
              </w:rPr>
              <w:t>Disney+</w:t>
            </w:r>
            <w:r>
              <w:t xml:space="preserve"> </w:t>
            </w:r>
          </w:p>
        </w:tc>
      </w:tr>
      <w:tr w:rsidR="00EC6FE5" w14:paraId="2B8F6361" w14:textId="77777777">
        <w:trPr>
          <w:trHeight w:val="1894"/>
        </w:trPr>
        <w:tc>
          <w:tcPr>
            <w:tcW w:w="1843" w:type="dxa"/>
            <w:tcBorders>
              <w:top w:val="single" w:sz="4" w:space="0" w:color="000000"/>
              <w:left w:val="single" w:sz="4" w:space="0" w:color="000000"/>
              <w:bottom w:val="single" w:sz="4" w:space="0" w:color="000000"/>
              <w:right w:val="single" w:sz="4" w:space="0" w:color="000000"/>
            </w:tcBorders>
            <w:vAlign w:val="center"/>
          </w:tcPr>
          <w:p w14:paraId="5C78B9FB" w14:textId="77777777" w:rsidR="00EC6FE5" w:rsidRDefault="00000000">
            <w:pPr>
              <w:spacing w:after="98" w:line="259" w:lineRule="auto"/>
              <w:ind w:left="0" w:firstLine="0"/>
              <w:jc w:val="left"/>
            </w:pPr>
            <w:r>
              <w:rPr>
                <w:b/>
                <w:sz w:val="20"/>
              </w:rPr>
              <w:t xml:space="preserve">Market </w:t>
            </w:r>
          </w:p>
          <w:p w14:paraId="1E83BAF0" w14:textId="77777777" w:rsidR="00EC6FE5" w:rsidRDefault="00000000">
            <w:pPr>
              <w:spacing w:after="98" w:line="259" w:lineRule="auto"/>
              <w:ind w:left="0" w:firstLine="0"/>
              <w:jc w:val="left"/>
            </w:pPr>
            <w:r>
              <w:rPr>
                <w:b/>
                <w:sz w:val="20"/>
              </w:rPr>
              <w:t xml:space="preserve">Penetration </w:t>
            </w:r>
          </w:p>
          <w:p w14:paraId="3EA73A1E" w14:textId="77777777" w:rsidR="00EC6FE5" w:rsidRDefault="00000000">
            <w:pPr>
              <w:spacing w:after="113" w:line="259" w:lineRule="auto"/>
              <w:ind w:left="0" w:firstLine="0"/>
              <w:jc w:val="left"/>
            </w:pPr>
            <w:r>
              <w:rPr>
                <w:b/>
                <w:sz w:val="20"/>
              </w:rPr>
              <w:t xml:space="preserve">(Existing </w:t>
            </w:r>
          </w:p>
          <w:p w14:paraId="306D5BD4" w14:textId="77777777" w:rsidR="00EC6FE5" w:rsidRDefault="00000000">
            <w:pPr>
              <w:tabs>
                <w:tab w:val="right" w:pos="1658"/>
              </w:tabs>
              <w:spacing w:after="133" w:line="259" w:lineRule="auto"/>
              <w:ind w:left="0" w:firstLine="0"/>
              <w:jc w:val="left"/>
            </w:pPr>
            <w:r>
              <w:rPr>
                <w:b/>
                <w:sz w:val="20"/>
              </w:rPr>
              <w:t xml:space="preserve">Product </w:t>
            </w:r>
            <w:r>
              <w:rPr>
                <w:b/>
                <w:sz w:val="20"/>
              </w:rPr>
              <w:tab/>
              <w:t xml:space="preserve">/ </w:t>
            </w:r>
          </w:p>
          <w:p w14:paraId="6E68A011" w14:textId="77777777" w:rsidR="00EC6FE5" w:rsidRDefault="00000000">
            <w:pPr>
              <w:spacing w:after="0" w:line="259" w:lineRule="auto"/>
              <w:ind w:left="0" w:firstLine="0"/>
              <w:jc w:val="left"/>
            </w:pPr>
            <w:r>
              <w:rPr>
                <w:b/>
                <w:sz w:val="20"/>
              </w:rPr>
              <w:t>Existing Market)</w:t>
            </w:r>
            <w:r>
              <w:t xml:space="preserve"> </w:t>
            </w:r>
          </w:p>
        </w:tc>
        <w:tc>
          <w:tcPr>
            <w:tcW w:w="3872" w:type="dxa"/>
            <w:tcBorders>
              <w:top w:val="single" w:sz="4" w:space="0" w:color="000000"/>
              <w:left w:val="single" w:sz="4" w:space="0" w:color="000000"/>
              <w:bottom w:val="single" w:sz="4" w:space="0" w:color="000000"/>
              <w:right w:val="single" w:sz="4" w:space="0" w:color="000000"/>
            </w:tcBorders>
          </w:tcPr>
          <w:p w14:paraId="3ED19407" w14:textId="77777777" w:rsidR="00EC6FE5" w:rsidRDefault="00000000">
            <w:pPr>
              <w:spacing w:after="0" w:line="259" w:lineRule="auto"/>
              <w:ind w:left="0" w:right="55" w:firstLine="0"/>
            </w:pPr>
            <w:r>
              <w:rPr>
                <w:sz w:val="20"/>
              </w:rPr>
              <w:t xml:space="preserve">Password-sharing paid tier (2023); </w:t>
            </w:r>
            <w:proofErr w:type="spellStart"/>
            <w:r>
              <w:rPr>
                <w:sz w:val="20"/>
              </w:rPr>
              <w:t>adsupported</w:t>
            </w:r>
            <w:proofErr w:type="spellEnd"/>
            <w:r>
              <w:rPr>
                <w:sz w:val="20"/>
              </w:rPr>
              <w:t xml:space="preserve"> plan to retain price-sensitive subscribers</w:t>
            </w:r>
            <w:r>
              <w:t xml:space="preserve"> </w:t>
            </w:r>
          </w:p>
        </w:tc>
        <w:tc>
          <w:tcPr>
            <w:tcW w:w="3646" w:type="dxa"/>
            <w:tcBorders>
              <w:top w:val="single" w:sz="4" w:space="0" w:color="000000"/>
              <w:left w:val="single" w:sz="4" w:space="0" w:color="000000"/>
              <w:bottom w:val="single" w:sz="4" w:space="0" w:color="000000"/>
              <w:right w:val="single" w:sz="4" w:space="0" w:color="000000"/>
            </w:tcBorders>
          </w:tcPr>
          <w:p w14:paraId="0928A118" w14:textId="77777777" w:rsidR="00EC6FE5" w:rsidRDefault="00000000">
            <w:pPr>
              <w:spacing w:after="29" w:line="362" w:lineRule="auto"/>
              <w:ind w:left="0" w:firstLine="0"/>
            </w:pPr>
            <w:r>
              <w:rPr>
                <w:sz w:val="20"/>
              </w:rPr>
              <w:t xml:space="preserve">Aggressive pricing through Hulu/ESPN+ bundle to deepen </w:t>
            </w:r>
          </w:p>
          <w:p w14:paraId="76B8D34F" w14:textId="77777777" w:rsidR="00EC6FE5" w:rsidRDefault="00000000">
            <w:pPr>
              <w:spacing w:after="0" w:line="259" w:lineRule="auto"/>
              <w:ind w:left="0" w:firstLine="0"/>
              <w:jc w:val="left"/>
            </w:pPr>
            <w:r>
              <w:rPr>
                <w:sz w:val="20"/>
              </w:rPr>
              <w:t>penetration in US households</w:t>
            </w:r>
            <w:r>
              <w:t xml:space="preserve"> </w:t>
            </w:r>
          </w:p>
        </w:tc>
      </w:tr>
      <w:tr w:rsidR="00EC6FE5" w14:paraId="450D9A90" w14:textId="77777777">
        <w:trPr>
          <w:trHeight w:val="1551"/>
        </w:trPr>
        <w:tc>
          <w:tcPr>
            <w:tcW w:w="1843" w:type="dxa"/>
            <w:tcBorders>
              <w:top w:val="single" w:sz="4" w:space="0" w:color="000000"/>
              <w:left w:val="single" w:sz="4" w:space="0" w:color="000000"/>
              <w:bottom w:val="single" w:sz="4" w:space="0" w:color="000000"/>
              <w:right w:val="single" w:sz="4" w:space="0" w:color="000000"/>
            </w:tcBorders>
            <w:vAlign w:val="center"/>
          </w:tcPr>
          <w:p w14:paraId="36E44672" w14:textId="77777777" w:rsidR="00EC6FE5" w:rsidRDefault="00000000">
            <w:pPr>
              <w:spacing w:after="96" w:line="259" w:lineRule="auto"/>
              <w:ind w:left="0" w:firstLine="0"/>
              <w:jc w:val="left"/>
            </w:pPr>
            <w:r>
              <w:rPr>
                <w:b/>
                <w:sz w:val="20"/>
              </w:rPr>
              <w:t xml:space="preserve">Product </w:t>
            </w:r>
          </w:p>
          <w:p w14:paraId="6E6F64D1" w14:textId="77777777" w:rsidR="00EC6FE5" w:rsidRDefault="00000000">
            <w:pPr>
              <w:spacing w:after="98" w:line="259" w:lineRule="auto"/>
              <w:ind w:left="0" w:firstLine="0"/>
              <w:jc w:val="left"/>
            </w:pPr>
            <w:r>
              <w:rPr>
                <w:b/>
                <w:sz w:val="20"/>
              </w:rPr>
              <w:t xml:space="preserve">Development </w:t>
            </w:r>
          </w:p>
          <w:p w14:paraId="427BAB39" w14:textId="77777777" w:rsidR="00EC6FE5" w:rsidRDefault="00000000">
            <w:pPr>
              <w:spacing w:after="0" w:line="259" w:lineRule="auto"/>
              <w:ind w:left="0" w:firstLine="0"/>
            </w:pPr>
            <w:r>
              <w:rPr>
                <w:b/>
                <w:sz w:val="20"/>
              </w:rPr>
              <w:t>(New Product / Existing Market)</w:t>
            </w:r>
            <w:r>
              <w:t xml:space="preserve"> </w:t>
            </w:r>
          </w:p>
        </w:tc>
        <w:tc>
          <w:tcPr>
            <w:tcW w:w="3872" w:type="dxa"/>
            <w:tcBorders>
              <w:top w:val="single" w:sz="4" w:space="0" w:color="000000"/>
              <w:left w:val="single" w:sz="4" w:space="0" w:color="000000"/>
              <w:bottom w:val="single" w:sz="4" w:space="0" w:color="000000"/>
              <w:right w:val="single" w:sz="4" w:space="0" w:color="000000"/>
            </w:tcBorders>
          </w:tcPr>
          <w:p w14:paraId="1D6488F1" w14:textId="77777777" w:rsidR="00EC6FE5" w:rsidRDefault="00000000">
            <w:pPr>
              <w:tabs>
                <w:tab w:val="center" w:pos="1386"/>
                <w:tab w:val="center" w:pos="2384"/>
                <w:tab w:val="right" w:pos="3687"/>
              </w:tabs>
              <w:spacing w:after="103" w:line="259" w:lineRule="auto"/>
              <w:ind w:left="0" w:firstLine="0"/>
              <w:jc w:val="left"/>
            </w:pPr>
            <w:r>
              <w:rPr>
                <w:sz w:val="20"/>
              </w:rPr>
              <w:t xml:space="preserve">Gaming </w:t>
            </w:r>
            <w:r>
              <w:rPr>
                <w:sz w:val="20"/>
              </w:rPr>
              <w:tab/>
              <w:t xml:space="preserve">expansion </w:t>
            </w:r>
            <w:r>
              <w:rPr>
                <w:sz w:val="20"/>
              </w:rPr>
              <w:tab/>
              <w:t xml:space="preserve">(Netflix </w:t>
            </w:r>
            <w:r>
              <w:rPr>
                <w:sz w:val="20"/>
              </w:rPr>
              <w:tab/>
              <w:t xml:space="preserve">Games, </w:t>
            </w:r>
          </w:p>
          <w:p w14:paraId="34E65A39" w14:textId="77777777" w:rsidR="00EC6FE5" w:rsidRDefault="00000000">
            <w:pPr>
              <w:spacing w:after="127" w:line="259" w:lineRule="auto"/>
              <w:ind w:left="0" w:firstLine="0"/>
              <w:jc w:val="left"/>
            </w:pPr>
            <w:r>
              <w:rPr>
                <w:sz w:val="20"/>
              </w:rPr>
              <w:t xml:space="preserve">2021); live sports and events (2024 NFL </w:t>
            </w:r>
          </w:p>
          <w:p w14:paraId="041FF9ED" w14:textId="77777777" w:rsidR="00EC6FE5" w:rsidRDefault="00000000">
            <w:pPr>
              <w:spacing w:after="0" w:line="259" w:lineRule="auto"/>
              <w:ind w:left="0" w:firstLine="0"/>
              <w:jc w:val="left"/>
            </w:pPr>
            <w:r>
              <w:rPr>
                <w:sz w:val="20"/>
              </w:rPr>
              <w:t>Christmas games)</w:t>
            </w:r>
            <w:r>
              <w:t xml:space="preserve"> </w:t>
            </w:r>
          </w:p>
        </w:tc>
        <w:tc>
          <w:tcPr>
            <w:tcW w:w="3646" w:type="dxa"/>
            <w:tcBorders>
              <w:top w:val="single" w:sz="4" w:space="0" w:color="000000"/>
              <w:left w:val="single" w:sz="4" w:space="0" w:color="000000"/>
              <w:bottom w:val="single" w:sz="4" w:space="0" w:color="000000"/>
              <w:right w:val="single" w:sz="4" w:space="0" w:color="000000"/>
            </w:tcBorders>
          </w:tcPr>
          <w:p w14:paraId="59C3BBEF" w14:textId="77777777" w:rsidR="00EC6FE5" w:rsidRDefault="00000000">
            <w:pPr>
              <w:spacing w:after="0" w:line="259" w:lineRule="auto"/>
              <w:ind w:left="0" w:right="58" w:firstLine="0"/>
            </w:pPr>
            <w:r>
              <w:rPr>
                <w:sz w:val="20"/>
              </w:rPr>
              <w:t>ESPN+ integration; theatrical-</w:t>
            </w:r>
            <w:proofErr w:type="spellStart"/>
            <w:r>
              <w:rPr>
                <w:sz w:val="20"/>
              </w:rPr>
              <w:t>tostreaming</w:t>
            </w:r>
            <w:proofErr w:type="spellEnd"/>
            <w:r>
              <w:rPr>
                <w:sz w:val="20"/>
              </w:rPr>
              <w:t xml:space="preserve"> pipeline acceleration for franchise films</w:t>
            </w:r>
            <w:r>
              <w:t xml:space="preserve"> </w:t>
            </w:r>
          </w:p>
        </w:tc>
      </w:tr>
      <w:tr w:rsidR="00EC6FE5" w14:paraId="316BDBCA" w14:textId="77777777">
        <w:trPr>
          <w:trHeight w:val="1894"/>
        </w:trPr>
        <w:tc>
          <w:tcPr>
            <w:tcW w:w="1843" w:type="dxa"/>
            <w:tcBorders>
              <w:top w:val="single" w:sz="4" w:space="0" w:color="000000"/>
              <w:left w:val="single" w:sz="4" w:space="0" w:color="000000"/>
              <w:bottom w:val="single" w:sz="4" w:space="0" w:color="000000"/>
              <w:right w:val="single" w:sz="4" w:space="0" w:color="000000"/>
            </w:tcBorders>
            <w:vAlign w:val="center"/>
          </w:tcPr>
          <w:p w14:paraId="35EF5EE1" w14:textId="77777777" w:rsidR="00EC6FE5" w:rsidRDefault="00000000">
            <w:pPr>
              <w:spacing w:after="98" w:line="259" w:lineRule="auto"/>
              <w:ind w:left="0" w:firstLine="0"/>
              <w:jc w:val="left"/>
            </w:pPr>
            <w:r>
              <w:rPr>
                <w:b/>
                <w:sz w:val="20"/>
              </w:rPr>
              <w:t xml:space="preserve">Market </w:t>
            </w:r>
          </w:p>
          <w:p w14:paraId="3B17AC0A" w14:textId="77777777" w:rsidR="00EC6FE5" w:rsidRDefault="00000000">
            <w:pPr>
              <w:spacing w:after="98" w:line="259" w:lineRule="auto"/>
              <w:ind w:left="0" w:firstLine="0"/>
              <w:jc w:val="left"/>
            </w:pPr>
            <w:r>
              <w:rPr>
                <w:b/>
                <w:sz w:val="20"/>
              </w:rPr>
              <w:t xml:space="preserve">Development </w:t>
            </w:r>
          </w:p>
          <w:p w14:paraId="162FCE5B" w14:textId="77777777" w:rsidR="00EC6FE5" w:rsidRDefault="00000000">
            <w:pPr>
              <w:spacing w:after="98" w:line="259" w:lineRule="auto"/>
              <w:ind w:left="0" w:firstLine="0"/>
              <w:jc w:val="left"/>
            </w:pPr>
            <w:r>
              <w:rPr>
                <w:b/>
                <w:sz w:val="20"/>
              </w:rPr>
              <w:t xml:space="preserve">(Existing </w:t>
            </w:r>
          </w:p>
          <w:p w14:paraId="430C40EA" w14:textId="77777777" w:rsidR="00EC6FE5" w:rsidRDefault="00000000">
            <w:pPr>
              <w:spacing w:after="123" w:line="259" w:lineRule="auto"/>
              <w:ind w:left="0" w:firstLine="0"/>
              <w:jc w:val="left"/>
            </w:pPr>
            <w:r>
              <w:rPr>
                <w:b/>
                <w:sz w:val="20"/>
              </w:rPr>
              <w:t xml:space="preserve">Product / New </w:t>
            </w:r>
          </w:p>
          <w:p w14:paraId="48233244" w14:textId="77777777" w:rsidR="00EC6FE5" w:rsidRDefault="00000000">
            <w:pPr>
              <w:spacing w:after="0" w:line="259" w:lineRule="auto"/>
              <w:ind w:left="0" w:firstLine="0"/>
              <w:jc w:val="left"/>
            </w:pPr>
            <w:r>
              <w:rPr>
                <w:b/>
                <w:sz w:val="20"/>
              </w:rPr>
              <w:t>Market)</w:t>
            </w:r>
            <w:r>
              <w:t xml:space="preserve"> </w:t>
            </w:r>
          </w:p>
        </w:tc>
        <w:tc>
          <w:tcPr>
            <w:tcW w:w="3872" w:type="dxa"/>
            <w:tcBorders>
              <w:top w:val="single" w:sz="4" w:space="0" w:color="000000"/>
              <w:left w:val="single" w:sz="4" w:space="0" w:color="000000"/>
              <w:bottom w:val="single" w:sz="4" w:space="0" w:color="000000"/>
              <w:right w:val="single" w:sz="4" w:space="0" w:color="000000"/>
            </w:tcBorders>
          </w:tcPr>
          <w:p w14:paraId="094C2BB4" w14:textId="77777777" w:rsidR="00EC6FE5" w:rsidRDefault="00000000">
            <w:pPr>
              <w:spacing w:after="0" w:line="259" w:lineRule="auto"/>
              <w:ind w:left="0" w:firstLine="0"/>
              <w:jc w:val="left"/>
            </w:pPr>
            <w:r>
              <w:rPr>
                <w:sz w:val="20"/>
              </w:rPr>
              <w:t>Penetration of South/Southeast Asia; local-language originals for emerging markets</w:t>
            </w:r>
            <w:r>
              <w:t xml:space="preserve"> </w:t>
            </w:r>
          </w:p>
        </w:tc>
        <w:tc>
          <w:tcPr>
            <w:tcW w:w="3646" w:type="dxa"/>
            <w:tcBorders>
              <w:top w:val="single" w:sz="4" w:space="0" w:color="000000"/>
              <w:left w:val="single" w:sz="4" w:space="0" w:color="000000"/>
              <w:bottom w:val="single" w:sz="4" w:space="0" w:color="000000"/>
              <w:right w:val="single" w:sz="4" w:space="0" w:color="000000"/>
            </w:tcBorders>
          </w:tcPr>
          <w:p w14:paraId="4A35596E" w14:textId="77777777" w:rsidR="00EC6FE5" w:rsidRDefault="00000000">
            <w:pPr>
              <w:spacing w:after="98" w:line="259" w:lineRule="auto"/>
              <w:ind w:left="0" w:firstLine="0"/>
              <w:jc w:val="left"/>
            </w:pPr>
            <w:r>
              <w:rPr>
                <w:sz w:val="20"/>
              </w:rPr>
              <w:t xml:space="preserve">International rollout with Star brand </w:t>
            </w:r>
          </w:p>
          <w:p w14:paraId="7BB49DE9" w14:textId="77777777" w:rsidR="00EC6FE5" w:rsidRDefault="00000000">
            <w:pPr>
              <w:spacing w:after="124" w:line="259" w:lineRule="auto"/>
              <w:ind w:left="0" w:firstLine="0"/>
              <w:jc w:val="left"/>
            </w:pPr>
            <w:r>
              <w:rPr>
                <w:sz w:val="20"/>
              </w:rPr>
              <w:t xml:space="preserve">(Europe, Latin America, Asia-Pacific, </w:t>
            </w:r>
          </w:p>
          <w:p w14:paraId="5B1AE263" w14:textId="77777777" w:rsidR="00EC6FE5" w:rsidRDefault="00000000">
            <w:pPr>
              <w:spacing w:after="0" w:line="259" w:lineRule="auto"/>
              <w:ind w:left="0" w:firstLine="0"/>
              <w:jc w:val="left"/>
            </w:pPr>
            <w:r>
              <w:rPr>
                <w:sz w:val="20"/>
              </w:rPr>
              <w:t>2021)</w:t>
            </w:r>
            <w:r>
              <w:t xml:space="preserve"> </w:t>
            </w:r>
          </w:p>
        </w:tc>
      </w:tr>
      <w:tr w:rsidR="00EC6FE5" w14:paraId="76CB4294" w14:textId="77777777">
        <w:trPr>
          <w:trHeight w:val="1208"/>
        </w:trPr>
        <w:tc>
          <w:tcPr>
            <w:tcW w:w="1843" w:type="dxa"/>
            <w:tcBorders>
              <w:top w:val="single" w:sz="4" w:space="0" w:color="000000"/>
              <w:left w:val="single" w:sz="4" w:space="0" w:color="000000"/>
              <w:bottom w:val="single" w:sz="4" w:space="0" w:color="000000"/>
              <w:right w:val="single" w:sz="4" w:space="0" w:color="000000"/>
            </w:tcBorders>
            <w:vAlign w:val="center"/>
          </w:tcPr>
          <w:p w14:paraId="11DB9679" w14:textId="77777777" w:rsidR="00EC6FE5" w:rsidRDefault="00000000">
            <w:pPr>
              <w:spacing w:after="99" w:line="259" w:lineRule="auto"/>
              <w:ind w:left="0" w:firstLine="0"/>
              <w:jc w:val="left"/>
            </w:pPr>
            <w:r>
              <w:rPr>
                <w:b/>
                <w:sz w:val="20"/>
              </w:rPr>
              <w:t xml:space="preserve">Diversification </w:t>
            </w:r>
          </w:p>
          <w:p w14:paraId="30285B60" w14:textId="77777777" w:rsidR="00EC6FE5" w:rsidRDefault="00000000">
            <w:pPr>
              <w:spacing w:after="124" w:line="259" w:lineRule="auto"/>
              <w:ind w:left="0" w:firstLine="0"/>
              <w:jc w:val="left"/>
            </w:pPr>
            <w:r>
              <w:rPr>
                <w:b/>
                <w:sz w:val="20"/>
              </w:rPr>
              <w:t xml:space="preserve">(New Product / </w:t>
            </w:r>
          </w:p>
          <w:p w14:paraId="17464D4A" w14:textId="77777777" w:rsidR="00EC6FE5" w:rsidRDefault="00000000">
            <w:pPr>
              <w:spacing w:after="0" w:line="259" w:lineRule="auto"/>
              <w:ind w:left="0" w:firstLine="0"/>
              <w:jc w:val="left"/>
            </w:pPr>
            <w:r>
              <w:rPr>
                <w:b/>
                <w:sz w:val="20"/>
              </w:rPr>
              <w:t>New Market)</w:t>
            </w:r>
            <w:r>
              <w:t xml:space="preserve"> </w:t>
            </w:r>
          </w:p>
        </w:tc>
        <w:tc>
          <w:tcPr>
            <w:tcW w:w="3872" w:type="dxa"/>
            <w:tcBorders>
              <w:top w:val="single" w:sz="4" w:space="0" w:color="000000"/>
              <w:left w:val="single" w:sz="4" w:space="0" w:color="000000"/>
              <w:bottom w:val="single" w:sz="4" w:space="0" w:color="000000"/>
              <w:right w:val="single" w:sz="4" w:space="0" w:color="000000"/>
            </w:tcBorders>
            <w:vAlign w:val="center"/>
          </w:tcPr>
          <w:p w14:paraId="7F0FDA6F" w14:textId="77777777" w:rsidR="00EC6FE5" w:rsidRDefault="00000000">
            <w:pPr>
              <w:spacing w:after="0" w:line="259" w:lineRule="auto"/>
              <w:ind w:left="0" w:firstLine="0"/>
              <w:jc w:val="left"/>
            </w:pPr>
            <w:r>
              <w:rPr>
                <w:sz w:val="20"/>
              </w:rPr>
              <w:t>Live events and interactive content; potential foray into short-form/mobile content</w:t>
            </w:r>
            <w:r>
              <w:t xml:space="preserve"> </w:t>
            </w:r>
          </w:p>
        </w:tc>
        <w:tc>
          <w:tcPr>
            <w:tcW w:w="3646" w:type="dxa"/>
            <w:tcBorders>
              <w:top w:val="single" w:sz="4" w:space="0" w:color="000000"/>
              <w:left w:val="single" w:sz="4" w:space="0" w:color="000000"/>
              <w:bottom w:val="single" w:sz="4" w:space="0" w:color="000000"/>
              <w:right w:val="single" w:sz="4" w:space="0" w:color="000000"/>
            </w:tcBorders>
            <w:vAlign w:val="center"/>
          </w:tcPr>
          <w:p w14:paraId="1E3BCA44" w14:textId="77777777" w:rsidR="00EC6FE5" w:rsidRDefault="00000000">
            <w:pPr>
              <w:spacing w:after="0" w:line="259" w:lineRule="auto"/>
              <w:ind w:left="0" w:right="58" w:firstLine="0"/>
            </w:pPr>
            <w:r>
              <w:rPr>
                <w:sz w:val="20"/>
              </w:rPr>
              <w:t>Theme parks cross-promotion; Disney+ integration with physical experiences and merchandise</w:t>
            </w:r>
            <w:r>
              <w:t xml:space="preserve"> </w:t>
            </w:r>
          </w:p>
        </w:tc>
      </w:tr>
    </w:tbl>
    <w:p w14:paraId="6EC62A97" w14:textId="77777777" w:rsidR="00EC6FE5" w:rsidRDefault="00000000">
      <w:pPr>
        <w:spacing w:after="218" w:line="259" w:lineRule="auto"/>
        <w:ind w:left="0" w:firstLine="0"/>
        <w:jc w:val="left"/>
      </w:pPr>
      <w:r>
        <w:t xml:space="preserve"> </w:t>
      </w:r>
    </w:p>
    <w:p w14:paraId="435CC264" w14:textId="77777777" w:rsidR="00EC6FE5" w:rsidRDefault="00000000">
      <w:pPr>
        <w:spacing w:line="360" w:lineRule="auto"/>
        <w:ind w:left="-5" w:right="3"/>
      </w:pPr>
      <w:r>
        <w:rPr>
          <w:b/>
        </w:rPr>
        <w:lastRenderedPageBreak/>
        <w:t xml:space="preserve">Market Penetration: </w:t>
      </w:r>
      <w:r>
        <w:t xml:space="preserve">The most consequential penetration move of recent years was Netflix’s decision to monetise its password-sharing problem. Rather than tolerating account sharing as a soft acquisition channel, the organisation moved from 2023 to require payment from users outside the primary household a shift that converted a vast pool of non-paying viewers into revenue-generating subscribers. The results were striking: 13.1 million net additions in Q3 2023 alone, the single largest quarterly intake in Netflix’s history (Netflix, 2023). Disney+, working from a different market position, pursued penetration less through enforcement and more through value aggregation bundling Disney+, Hulu, and ESPN+ at a combined price point calibrated to make the package difficult to refuse for US households. </w:t>
      </w:r>
    </w:p>
    <w:p w14:paraId="589A4095" w14:textId="77777777" w:rsidR="00EC6FE5" w:rsidRDefault="00000000">
      <w:pPr>
        <w:spacing w:line="359" w:lineRule="auto"/>
        <w:ind w:left="-5" w:right="3"/>
      </w:pPr>
      <w:r>
        <w:rPr>
          <w:b/>
        </w:rPr>
        <w:t xml:space="preserve">Product Development: </w:t>
      </w:r>
      <w:r>
        <w:t xml:space="preserve">Netflix Games, launched in 2021 and included at no additional cost within the standard subscription, represents an early and </w:t>
      </w:r>
      <w:proofErr w:type="spellStart"/>
      <w:r>
        <w:t>stilldeveloping</w:t>
      </w:r>
      <w:proofErr w:type="spellEnd"/>
      <w:r>
        <w:t xml:space="preserve"> attempt to reposition Netflix as something broader than a television platform. The initiative is modest in scale for now, yet its intent is clear: to occupy more of the subscriber’s leisure time and, in doing so, raise the perceived value of membership. The broadcast of two NFL Christmas Day games in December 2024 extends this logic into live sports a domain that had, until recently, remained firmly outside Netflix’s remit. Disney+ takes a different path. Rather than venturing into new categories, it deepens what it already does: pushing films from theatrical release to streaming faster, and weaving ESPN+ live sports into the same platform experience that delivers Marvel and Star Wars to its subscribers. </w:t>
      </w:r>
    </w:p>
    <w:p w14:paraId="30AC6E32" w14:textId="77777777" w:rsidR="00EC6FE5" w:rsidRDefault="00000000">
      <w:pPr>
        <w:spacing w:line="360" w:lineRule="auto"/>
        <w:ind w:left="-5" w:right="3"/>
      </w:pPr>
      <w:r>
        <w:rPr>
          <w:b/>
        </w:rPr>
        <w:t xml:space="preserve">Market Development: </w:t>
      </w:r>
      <w:r>
        <w:t xml:space="preserve">The two organisations have approached geographic expansion in ways that reflect their broader strategic identities. Netflix committed early to local-language production as the vehicle for market entry, commissioning titles such as Squid Game (South Korea) and Sacred Games (India) not as cultural gestures, but as deliberate attempts to acquire subscribers in price-sensitive, high-growth regions of South Asia, Southeast Asia, and Latin America. Disney+ took a structurally different route. The 2021 launch of the Star brand within the Disney+ platform allowed the organisation to serve audiences in Europe and Asia-Pacific with a wider, more </w:t>
      </w:r>
      <w:proofErr w:type="spellStart"/>
      <w:r>
        <w:t>adultoriented</w:t>
      </w:r>
      <w:proofErr w:type="spellEnd"/>
      <w:r>
        <w:t xml:space="preserve"> catalogue a necessary move in markets where the family-focused Disney identity carries inherently limited commercial reach (Lotz, 2022). </w:t>
      </w:r>
    </w:p>
    <w:p w14:paraId="620C3460" w14:textId="77777777" w:rsidR="00EC6FE5" w:rsidRDefault="00000000">
      <w:pPr>
        <w:spacing w:line="360" w:lineRule="auto"/>
        <w:ind w:left="-5" w:right="3"/>
      </w:pPr>
      <w:r>
        <w:rPr>
          <w:b/>
        </w:rPr>
        <w:t xml:space="preserve">Diversification: </w:t>
      </w:r>
      <w:r>
        <w:t xml:space="preserve">Diversification the riskiest of Ansoff’s quadrants involves moving simultaneously into unfamiliar products and unfamiliar markets. For Netflix, this </w:t>
      </w:r>
      <w:r>
        <w:lastRenderedPageBreak/>
        <w:t xml:space="preserve">territory remains largely experimental: live events, the interactive storytelling format piloted with Bandersnatch (2018), and the possibility of short-form mobile content all point toward a platform still testing where its boundaries might extend. </w:t>
      </w:r>
      <w:proofErr w:type="spellStart"/>
      <w:r>
        <w:t>Disney+’s</w:t>
      </w:r>
      <w:proofErr w:type="spellEnd"/>
      <w:r>
        <w:t xml:space="preserve"> diversification logic operates on an entirely different plane. The streaming platform sits within an ecosystem that includes theme parks, retail merchandise, and live experiences and Disney has been deliberate about using each to reinforce the others. Streaming engagement flows into physical visits; park experiences deepen attachment to characters and franchises; both feed merchandise sales. No pure-play competitor can replicate this circuit (Evens and Donders, 2018). </w:t>
      </w:r>
    </w:p>
    <w:p w14:paraId="09423A45" w14:textId="77777777" w:rsidR="00EC6FE5" w:rsidRDefault="00000000">
      <w:pPr>
        <w:spacing w:line="360" w:lineRule="auto"/>
        <w:ind w:left="-5" w:right="3"/>
      </w:pPr>
      <w:r>
        <w:t xml:space="preserve">What the Ansoff framework ultimately reveals is a structural asymmetry that goes beyond strategy. Netflix’s growth options are largely contained within the streaming domain, meaning that each step towards diversification requires building into genuinely new territory. Disney+, by contrast, does not need to venture far its conglomerate infrastructure already provides the business units through which adjacent diversification can occur with considerably less risk. This structural difference, it may be argued, makes </w:t>
      </w:r>
      <w:proofErr w:type="spellStart"/>
      <w:r>
        <w:t>Disney+’s</w:t>
      </w:r>
      <w:proofErr w:type="spellEnd"/>
      <w:r>
        <w:t xml:space="preserve"> long-term growth prospects materially more resilient than those of its pioneer rival. </w:t>
      </w:r>
    </w:p>
    <w:p w14:paraId="4CC2120D" w14:textId="77777777" w:rsidR="00EC6FE5" w:rsidRDefault="00000000">
      <w:pPr>
        <w:spacing w:after="626" w:line="259" w:lineRule="auto"/>
        <w:ind w:left="0" w:firstLine="0"/>
        <w:jc w:val="left"/>
      </w:pPr>
      <w:r>
        <w:t xml:space="preserve"> </w:t>
      </w:r>
    </w:p>
    <w:p w14:paraId="4C3B6446" w14:textId="77777777" w:rsidR="00EC6FE5" w:rsidRDefault="00000000">
      <w:pPr>
        <w:pStyle w:val="Heading1"/>
        <w:ind w:left="-5"/>
      </w:pPr>
      <w:bookmarkStart w:id="6" w:name="_Toc13754"/>
      <w:r>
        <w:t xml:space="preserve">4. Conclusion </w:t>
      </w:r>
      <w:bookmarkEnd w:id="6"/>
    </w:p>
    <w:p w14:paraId="1D82AC52" w14:textId="77777777" w:rsidR="00EC6FE5" w:rsidRDefault="00000000">
      <w:pPr>
        <w:spacing w:line="360" w:lineRule="auto"/>
        <w:ind w:left="-5" w:right="3"/>
      </w:pPr>
      <w:r>
        <w:t xml:space="preserve">Across both tasks, a consistent picture emerges. Netflix’s pioneering status has delivered genuine technological advantages proprietary infrastructure, a mature recommendation engine, CDN depth yet these have not insulated the organisation from the same regulatory and technological pressures bearing down on every major platform. Disney+ entered the market later and lighter, inheriting a more navigable compliance environment and redirecting investment toward ecosystem integration rather than infrastructure reinvention. Regulatory mandates, rather than constraining either organisation, have in practice reinforced Netflix’s content differentiation and given Disney+ a structured path into new markets though both carry the ongoing compliance burden of operating at global scale. </w:t>
      </w:r>
    </w:p>
    <w:p w14:paraId="391985EE" w14:textId="77777777" w:rsidR="00EC6FE5" w:rsidRDefault="00000000">
      <w:pPr>
        <w:spacing w:after="80" w:line="360" w:lineRule="auto"/>
        <w:ind w:left="-5" w:right="3"/>
      </w:pPr>
      <w:r>
        <w:t xml:space="preserve">In this way, Porter’s framework casts Netflix as a hybrid player whose ambitious pursuit of both cost and differentiation is increasingly hard to keep in tension under inflationary </w:t>
      </w:r>
      <w:r>
        <w:lastRenderedPageBreak/>
        <w:t xml:space="preserve">content conditions, while Disney+ emerges as a focused differentiator whose IP fortress if hoed with creative discipline boasts more enduring competitive standing. Ansoff’s lens buttresses this reading: Netflix must earn its way into new and growing territory, whereas Disney+ can rely on existing conglomerate infrastructure to diversify with far less exposure. That Disney+ had hit 150mm+ subscribers in under four years post-launch (Disney, 2024)-was telling it tells us entering second is no disqualifier if the follower has sufficient brand equity and strategic patience. In the end, the long-run order in streaming will be less about who created the market than it is about who proves best able to adjust and adapt as its technological and regulatory conditions continue to change. </w:t>
      </w:r>
    </w:p>
    <w:p w14:paraId="2333C185" w14:textId="77777777" w:rsidR="00EC6FE5" w:rsidRDefault="00000000">
      <w:pPr>
        <w:spacing w:after="0" w:line="259" w:lineRule="auto"/>
        <w:ind w:left="0" w:firstLine="0"/>
        <w:jc w:val="left"/>
      </w:pPr>
      <w:r>
        <w:t xml:space="preserve"> </w:t>
      </w:r>
    </w:p>
    <w:p w14:paraId="1393DECA" w14:textId="77777777" w:rsidR="00EC6FE5" w:rsidRDefault="00000000">
      <w:pPr>
        <w:pStyle w:val="Heading1"/>
        <w:ind w:left="-5"/>
      </w:pPr>
      <w:bookmarkStart w:id="7" w:name="_Toc13755"/>
      <w:r>
        <w:t xml:space="preserve">5. Reference List </w:t>
      </w:r>
      <w:bookmarkEnd w:id="7"/>
    </w:p>
    <w:p w14:paraId="2AD6AC33" w14:textId="77777777" w:rsidR="00EC6FE5" w:rsidRDefault="00000000">
      <w:pPr>
        <w:numPr>
          <w:ilvl w:val="0"/>
          <w:numId w:val="1"/>
        </w:numPr>
        <w:ind w:right="3" w:hanging="360"/>
      </w:pPr>
      <w:r>
        <w:t xml:space="preserve">Ansoff, H.I. (1957) 'Strategies for diversification', Harvard Business Review, 35(5), pp. 113 -124. </w:t>
      </w:r>
    </w:p>
    <w:p w14:paraId="0898D894" w14:textId="77777777" w:rsidR="00EC6FE5" w:rsidRDefault="00000000">
      <w:pPr>
        <w:numPr>
          <w:ilvl w:val="0"/>
          <w:numId w:val="1"/>
        </w:numPr>
        <w:ind w:right="3" w:hanging="360"/>
      </w:pPr>
      <w:r>
        <w:t xml:space="preserve">Bowman, C. (2008) Generic strategies: A substitute for thinking? The Ashridge Journal, Spring, pp. 6 -11. </w:t>
      </w:r>
    </w:p>
    <w:p w14:paraId="6AB95425" w14:textId="77777777" w:rsidR="00EC6FE5" w:rsidRDefault="00000000">
      <w:pPr>
        <w:numPr>
          <w:ilvl w:val="0"/>
          <w:numId w:val="1"/>
        </w:numPr>
        <w:spacing w:after="10"/>
        <w:ind w:right="3" w:hanging="360"/>
      </w:pPr>
      <w:r>
        <w:t xml:space="preserve">Disney (2024) The Walt Disney Company Q1 FY2024 Earnings Results. </w:t>
      </w:r>
    </w:p>
    <w:p w14:paraId="62DDF9FD" w14:textId="77777777" w:rsidR="00EC6FE5" w:rsidRDefault="00000000">
      <w:pPr>
        <w:ind w:left="730" w:right="3"/>
      </w:pPr>
      <w:r>
        <w:t xml:space="preserve">Available at: https://thewaltdisneycompany.com/investor-relations/ (Accessed: 10 March 2024). </w:t>
      </w:r>
    </w:p>
    <w:p w14:paraId="78CC43FC" w14:textId="77777777" w:rsidR="00EC6FE5" w:rsidRDefault="00000000">
      <w:pPr>
        <w:numPr>
          <w:ilvl w:val="0"/>
          <w:numId w:val="1"/>
        </w:numPr>
        <w:spacing w:after="117" w:line="241" w:lineRule="auto"/>
        <w:ind w:right="3" w:hanging="360"/>
      </w:pPr>
      <w:r>
        <w:t xml:space="preserve">European Commission (2016) Regulation (EU) 2016/679 of the European Parliament and of the Council - General Data Protection Regulation. Brussels: European Commission. </w:t>
      </w:r>
    </w:p>
    <w:p w14:paraId="4F591C06" w14:textId="77777777" w:rsidR="00EC6FE5" w:rsidRDefault="00000000">
      <w:pPr>
        <w:numPr>
          <w:ilvl w:val="0"/>
          <w:numId w:val="1"/>
        </w:numPr>
        <w:ind w:right="3" w:hanging="360"/>
      </w:pPr>
      <w:r>
        <w:t xml:space="preserve">European Commission (2018) Audiovisual Media Services Directive. Brussels: European Commission. </w:t>
      </w:r>
    </w:p>
    <w:p w14:paraId="2894E73A" w14:textId="77777777" w:rsidR="00EC6FE5" w:rsidRDefault="00000000">
      <w:pPr>
        <w:numPr>
          <w:ilvl w:val="0"/>
          <w:numId w:val="1"/>
        </w:numPr>
        <w:ind w:right="3" w:hanging="360"/>
      </w:pPr>
      <w:r>
        <w:t xml:space="preserve">Evens, T. and Donders, K. (2018) Platform Power and Policy in Transforming Television Markets. Cham: Palgrave Macmillan. </w:t>
      </w:r>
    </w:p>
    <w:p w14:paraId="737755C3" w14:textId="77777777" w:rsidR="00EC6FE5" w:rsidRDefault="00000000">
      <w:pPr>
        <w:numPr>
          <w:ilvl w:val="0"/>
          <w:numId w:val="1"/>
        </w:numPr>
        <w:spacing w:after="117" w:line="241" w:lineRule="auto"/>
        <w:ind w:right="3" w:hanging="360"/>
      </w:pPr>
      <w:r>
        <w:t xml:space="preserve">Gomez-Uribe, C.A. and Hunt, N. (2015) 'The Netflix recommender system: Algorithms, business value, and innovation', ACM Transactions on Management Information Systems, 6(4), pp. 1 -19. </w:t>
      </w:r>
    </w:p>
    <w:p w14:paraId="442214CC" w14:textId="77777777" w:rsidR="00EC6FE5" w:rsidRDefault="00000000">
      <w:pPr>
        <w:numPr>
          <w:ilvl w:val="0"/>
          <w:numId w:val="1"/>
        </w:numPr>
        <w:ind w:right="3" w:hanging="360"/>
      </w:pPr>
      <w:r>
        <w:t xml:space="preserve">Grand View Research (2023) Video Streaming Market Size, Share &amp; Trends Analysis Report 2023 -2030. San Francisco: Grand View Research. </w:t>
      </w:r>
    </w:p>
    <w:p w14:paraId="6A84B2CB" w14:textId="02153665" w:rsidR="00EC6FE5" w:rsidRDefault="00000000">
      <w:pPr>
        <w:numPr>
          <w:ilvl w:val="0"/>
          <w:numId w:val="1"/>
        </w:numPr>
        <w:ind w:right="3" w:hanging="360"/>
      </w:pPr>
      <w:r>
        <w:t>Lotz, A.D. (2022) Netflix and Streaming Video: The Business of Subscriber</w:t>
      </w:r>
      <w:r w:rsidR="002F5542">
        <w:t xml:space="preserve"> </w:t>
      </w:r>
      <w:r>
        <w:t xml:space="preserve">Funded Video on Demand. Cambridge: Polity Press. </w:t>
      </w:r>
    </w:p>
    <w:p w14:paraId="7FCC0A08" w14:textId="77777777" w:rsidR="00EC6FE5" w:rsidRDefault="00000000">
      <w:pPr>
        <w:numPr>
          <w:ilvl w:val="0"/>
          <w:numId w:val="1"/>
        </w:numPr>
        <w:ind w:right="3" w:hanging="360"/>
      </w:pPr>
      <w:r>
        <w:t xml:space="preserve">Netflix (2023) Netflix Q3 2023 Shareholder Letter. Available at: https://ir.netflix.net/ (Accessed: 5 March 2024). </w:t>
      </w:r>
    </w:p>
    <w:p w14:paraId="51A9D183" w14:textId="77777777" w:rsidR="00EC6FE5" w:rsidRDefault="00000000">
      <w:pPr>
        <w:numPr>
          <w:ilvl w:val="0"/>
          <w:numId w:val="1"/>
        </w:numPr>
        <w:ind w:right="3" w:hanging="360"/>
      </w:pPr>
      <w:r>
        <w:t xml:space="preserve">Netflix (2024) Netflix Q4 2023 Shareholder Letter. Available at: https://ir.netflix.net/ (Accessed: 5 March 2024). </w:t>
      </w:r>
    </w:p>
    <w:p w14:paraId="7AD76B1F" w14:textId="77777777" w:rsidR="00EC6FE5" w:rsidRDefault="00000000">
      <w:pPr>
        <w:numPr>
          <w:ilvl w:val="0"/>
          <w:numId w:val="1"/>
        </w:numPr>
        <w:ind w:right="3" w:hanging="360"/>
      </w:pPr>
      <w:r>
        <w:lastRenderedPageBreak/>
        <w:t xml:space="preserve">Porter, M.E. (1980) Competitive Strategy: Techniques for </w:t>
      </w:r>
      <w:proofErr w:type="spellStart"/>
      <w:r>
        <w:t>Analyzing</w:t>
      </w:r>
      <w:proofErr w:type="spellEnd"/>
      <w:r>
        <w:t xml:space="preserve"> Industries and Competitors. New York: Free Press. </w:t>
      </w:r>
    </w:p>
    <w:p w14:paraId="353590FA" w14:textId="77777777" w:rsidR="00EC6FE5" w:rsidRDefault="00000000">
      <w:pPr>
        <w:numPr>
          <w:ilvl w:val="0"/>
          <w:numId w:val="1"/>
        </w:numPr>
        <w:ind w:right="3" w:hanging="360"/>
      </w:pPr>
      <w:r>
        <w:t xml:space="preserve">Variety (2023) 'Marvel fatigue: Is the MCU losing its golden touch?', Variety, 14 September. Available at: https://variety.com/ (Accessed: 8 March 2024). </w:t>
      </w:r>
    </w:p>
    <w:sectPr w:rsidR="00EC6FE5">
      <w:headerReference w:type="even" r:id="rId9"/>
      <w:headerReference w:type="default" r:id="rId10"/>
      <w:footerReference w:type="even" r:id="rId11"/>
      <w:footerReference w:type="default" r:id="rId12"/>
      <w:headerReference w:type="first" r:id="rId13"/>
      <w:footerReference w:type="first" r:id="rId14"/>
      <w:pgSz w:w="11906" w:h="16838"/>
      <w:pgMar w:top="1440" w:right="1434" w:bottom="1553" w:left="1440" w:header="480" w:footer="4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5257E" w14:textId="77777777" w:rsidR="00AB4252" w:rsidRDefault="00AB4252">
      <w:pPr>
        <w:spacing w:after="0" w:line="240" w:lineRule="auto"/>
      </w:pPr>
      <w:r>
        <w:separator/>
      </w:r>
    </w:p>
  </w:endnote>
  <w:endnote w:type="continuationSeparator" w:id="0">
    <w:p w14:paraId="2058D73D" w14:textId="77777777" w:rsidR="00AB4252" w:rsidRDefault="00AB42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6FB55" w14:textId="77777777" w:rsidR="00EC6FE5" w:rsidRDefault="00000000">
    <w:pPr>
      <w:spacing w:after="115" w:line="259" w:lineRule="auto"/>
      <w:ind w:left="0" w:right="7" w:firstLine="0"/>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58B0A98" wp14:editId="1222204B">
              <wp:simplePos x="0" y="0"/>
              <wp:positionH relativeFrom="page">
                <wp:posOffset>304800</wp:posOffset>
              </wp:positionH>
              <wp:positionV relativeFrom="page">
                <wp:posOffset>10383012</wp:posOffset>
              </wp:positionV>
              <wp:extent cx="6952488" cy="6096"/>
              <wp:effectExtent l="0" t="0" r="0" b="0"/>
              <wp:wrapSquare wrapText="bothSides"/>
              <wp:docPr id="13477" name="Group 1347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4038" name="Shape 1403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9" name="Shape 14039"/>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40" name="Shape 14040"/>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77" style="width:547.44pt;height:0.47998pt;position:absolute;mso-position-horizontal-relative:page;mso-position-horizontal:absolute;margin-left:24pt;mso-position-vertical-relative:page;margin-top:817.56pt;" coordsize="69524,60">
              <v:shape id="Shape 14041" style="position:absolute;width:91;height:91;left:0;top:0;" coordsize="9144,9144" path="m0,0l9144,0l9144,9144l0,9144l0,0">
                <v:stroke weight="0pt" endcap="flat" joinstyle="miter" miterlimit="10" on="false" color="#000000" opacity="0"/>
                <v:fill on="true" color="#000000"/>
              </v:shape>
              <v:shape id="Shape 14042" style="position:absolute;width:69402;height:91;left:60;top:0;" coordsize="6940296,9144" path="m0,0l6940296,0l6940296,9144l0,9144l0,0">
                <v:stroke weight="0pt" endcap="flat" joinstyle="miter" miterlimit="10" on="false" color="#000000" opacity="0"/>
                <v:fill on="true" color="#000000"/>
              </v:shape>
              <v:shape id="Shape 14043"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color w:val="156082"/>
      </w:rPr>
      <w:t>1</w:t>
    </w:r>
    <w:r>
      <w:rPr>
        <w:color w:val="156082"/>
      </w:rPr>
      <w:fldChar w:fldCharType="end"/>
    </w:r>
    <w:r>
      <w:rPr>
        <w:color w:val="156082"/>
      </w:rPr>
      <w:t xml:space="preserve"> </w:t>
    </w:r>
  </w:p>
  <w:p w14:paraId="37B4C4F8" w14:textId="77777777" w:rsidR="00EC6FE5" w:rsidRDefault="00000000">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47F6F" w14:textId="77777777" w:rsidR="00EC6FE5" w:rsidRDefault="00000000">
    <w:pPr>
      <w:spacing w:after="115" w:line="259" w:lineRule="auto"/>
      <w:ind w:left="0" w:right="7" w:firstLine="0"/>
      <w:jc w:val="center"/>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423DA421" wp14:editId="51CE5962">
              <wp:simplePos x="0" y="0"/>
              <wp:positionH relativeFrom="page">
                <wp:posOffset>304800</wp:posOffset>
              </wp:positionH>
              <wp:positionV relativeFrom="page">
                <wp:posOffset>10383012</wp:posOffset>
              </wp:positionV>
              <wp:extent cx="6952488" cy="6096"/>
              <wp:effectExtent l="0" t="0" r="0" b="0"/>
              <wp:wrapSquare wrapText="bothSides"/>
              <wp:docPr id="13452" name="Group 13452"/>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4032" name="Shape 1403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3" name="Shape 14033"/>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34" name="Shape 14034"/>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52" style="width:547.44pt;height:0.47998pt;position:absolute;mso-position-horizontal-relative:page;mso-position-horizontal:absolute;margin-left:24pt;mso-position-vertical-relative:page;margin-top:817.56pt;" coordsize="69524,60">
              <v:shape id="Shape 14035" style="position:absolute;width:91;height:91;left:0;top:0;" coordsize="9144,9144" path="m0,0l9144,0l9144,9144l0,9144l0,0">
                <v:stroke weight="0pt" endcap="flat" joinstyle="miter" miterlimit="10" on="false" color="#000000" opacity="0"/>
                <v:fill on="true" color="#000000"/>
              </v:shape>
              <v:shape id="Shape 14036" style="position:absolute;width:69402;height:91;left:60;top:0;" coordsize="6940296,9144" path="m0,0l6940296,0l6940296,9144l0,9144l0,0">
                <v:stroke weight="0pt" endcap="flat" joinstyle="miter" miterlimit="10" on="false" color="#000000" opacity="0"/>
                <v:fill on="true" color="#000000"/>
              </v:shape>
              <v:shape id="Shape 14037"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color w:val="156082"/>
      </w:rPr>
      <w:t>1</w:t>
    </w:r>
    <w:r>
      <w:rPr>
        <w:color w:val="156082"/>
      </w:rPr>
      <w:fldChar w:fldCharType="end"/>
    </w:r>
    <w:r>
      <w:rPr>
        <w:color w:val="156082"/>
      </w:rPr>
      <w:t xml:space="preserve"> </w:t>
    </w:r>
  </w:p>
  <w:p w14:paraId="1CD9B62B" w14:textId="77777777" w:rsidR="00EC6FE5" w:rsidRDefault="00000000">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430A" w14:textId="77777777" w:rsidR="00EC6FE5" w:rsidRDefault="00000000">
    <w:pPr>
      <w:spacing w:after="115" w:line="259" w:lineRule="auto"/>
      <w:ind w:left="0" w:right="7" w:firstLine="0"/>
      <w:jc w:val="center"/>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39CE4C5C" wp14:editId="3A5426AF">
              <wp:simplePos x="0" y="0"/>
              <wp:positionH relativeFrom="page">
                <wp:posOffset>304800</wp:posOffset>
              </wp:positionH>
              <wp:positionV relativeFrom="page">
                <wp:posOffset>10383012</wp:posOffset>
              </wp:positionV>
              <wp:extent cx="6952488" cy="6096"/>
              <wp:effectExtent l="0" t="0" r="0" b="0"/>
              <wp:wrapSquare wrapText="bothSides"/>
              <wp:docPr id="13427" name="Group 13427"/>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4026" name="Shape 1402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27" name="Shape 14027"/>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28" name="Shape 14028"/>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27" style="width:547.44pt;height:0.47998pt;position:absolute;mso-position-horizontal-relative:page;mso-position-horizontal:absolute;margin-left:24pt;mso-position-vertical-relative:page;margin-top:817.56pt;" coordsize="69524,60">
              <v:shape id="Shape 14029" style="position:absolute;width:91;height:91;left:0;top:0;" coordsize="9144,9144" path="m0,0l9144,0l9144,9144l0,9144l0,0">
                <v:stroke weight="0pt" endcap="flat" joinstyle="miter" miterlimit="10" on="false" color="#000000" opacity="0"/>
                <v:fill on="true" color="#000000"/>
              </v:shape>
              <v:shape id="Shape 14030" style="position:absolute;width:69402;height:91;left:60;top:0;" coordsize="6940296,9144" path="m0,0l6940296,0l6940296,9144l0,9144l0,0">
                <v:stroke weight="0pt" endcap="flat" joinstyle="miter" miterlimit="10" on="false" color="#000000" opacity="0"/>
                <v:fill on="true" color="#000000"/>
              </v:shape>
              <v:shape id="Shape 14031"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color w:val="156082"/>
      </w:rPr>
      <w:t>1</w:t>
    </w:r>
    <w:r>
      <w:rPr>
        <w:color w:val="156082"/>
      </w:rPr>
      <w:fldChar w:fldCharType="end"/>
    </w:r>
    <w:r>
      <w:rPr>
        <w:color w:val="156082"/>
      </w:rPr>
      <w:t xml:space="preserve"> </w:t>
    </w:r>
  </w:p>
  <w:p w14:paraId="7F608CA7" w14:textId="77777777" w:rsidR="00EC6FE5" w:rsidRDefault="00000000">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6CFDB" w14:textId="77777777" w:rsidR="00AB4252" w:rsidRDefault="00AB4252">
      <w:pPr>
        <w:spacing w:after="0" w:line="240" w:lineRule="auto"/>
      </w:pPr>
      <w:r>
        <w:separator/>
      </w:r>
    </w:p>
  </w:footnote>
  <w:footnote w:type="continuationSeparator" w:id="0">
    <w:p w14:paraId="5BB7E6F3" w14:textId="77777777" w:rsidR="00AB4252" w:rsidRDefault="00AB42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877139" w14:textId="77777777" w:rsidR="00EC6FE5" w:rsidRDefault="00000000">
    <w:pPr>
      <w:spacing w:after="0" w:line="259" w:lineRule="auto"/>
      <w:ind w:left="-1440" w:right="10472"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42C750A" wp14:editId="4892EE1A">
              <wp:simplePos x="0" y="0"/>
              <wp:positionH relativeFrom="page">
                <wp:posOffset>304800</wp:posOffset>
              </wp:positionH>
              <wp:positionV relativeFrom="page">
                <wp:posOffset>304800</wp:posOffset>
              </wp:positionV>
              <wp:extent cx="6952488" cy="6096"/>
              <wp:effectExtent l="0" t="0" r="0" b="0"/>
              <wp:wrapSquare wrapText="bothSides"/>
              <wp:docPr id="13463" name="Group 13463"/>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4016" name="Shape 1401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17" name="Shape 14017"/>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18" name="Shape 14018"/>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63" style="width:547.44pt;height:0.47998pt;position:absolute;mso-position-horizontal-relative:page;mso-position-horizontal:absolute;margin-left:24pt;mso-position-vertical-relative:page;margin-top:24pt;" coordsize="69524,60">
              <v:shape id="Shape 14019" style="position:absolute;width:91;height:91;left:0;top:0;" coordsize="9144,9144" path="m0,0l9144,0l9144,9144l0,9144l0,0">
                <v:stroke weight="0pt" endcap="flat" joinstyle="miter" miterlimit="10" on="false" color="#000000" opacity="0"/>
                <v:fill on="true" color="#000000"/>
              </v:shape>
              <v:shape id="Shape 14020" style="position:absolute;width:69402;height:91;left:60;top:0;" coordsize="6940296,9144" path="m0,0l6940296,0l6940296,9144l0,9144l0,0">
                <v:stroke weight="0pt" endcap="flat" joinstyle="miter" miterlimit="10" on="false" color="#000000" opacity="0"/>
                <v:fill on="true" color="#000000"/>
              </v:shape>
              <v:shape id="Shape 14021"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p w14:paraId="260F64F6" w14:textId="77777777" w:rsidR="00EC6FE5"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47C543BF" wp14:editId="75C4CA3B">
              <wp:simplePos x="0" y="0"/>
              <wp:positionH relativeFrom="page">
                <wp:posOffset>304800</wp:posOffset>
              </wp:positionH>
              <wp:positionV relativeFrom="page">
                <wp:posOffset>310896</wp:posOffset>
              </wp:positionV>
              <wp:extent cx="6952488" cy="10072116"/>
              <wp:effectExtent l="0" t="0" r="0" b="0"/>
              <wp:wrapNone/>
              <wp:docPr id="13467" name="Group 13467"/>
              <wp:cNvGraphicFramePr/>
              <a:graphic xmlns:a="http://schemas.openxmlformats.org/drawingml/2006/main">
                <a:graphicData uri="http://schemas.microsoft.com/office/word/2010/wordprocessingGroup">
                  <wpg:wgp>
                    <wpg:cNvGrpSpPr/>
                    <wpg:grpSpPr>
                      <a:xfrm>
                        <a:off x="0" y="0"/>
                        <a:ext cx="6952488" cy="10072116"/>
                        <a:chOff x="0" y="0"/>
                        <a:chExt cx="6952488" cy="10072116"/>
                      </a:xfrm>
                    </wpg:grpSpPr>
                    <wps:wsp>
                      <wps:cNvPr id="14022" name="Shape 14022"/>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23" name="Shape 14023"/>
                      <wps:cNvSpPr/>
                      <wps:spPr>
                        <a:xfrm>
                          <a:off x="6946393"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67" style="width:547.44pt;height:793.08pt;position:absolute;z-index:-2147483648;mso-position-horizontal-relative:page;mso-position-horizontal:absolute;margin-left:24pt;mso-position-vertical-relative:page;margin-top:24.48pt;" coordsize="69524,100721">
              <v:shape id="Shape 14024" style="position:absolute;width:91;height:100721;left:0;top:0;" coordsize="9144,10072116" path="m0,0l9144,0l9144,10072116l0,10072116l0,0">
                <v:stroke weight="0pt" endcap="flat" joinstyle="miter" miterlimit="10" on="false" color="#000000" opacity="0"/>
                <v:fill on="true" color="#000000"/>
              </v:shape>
              <v:shape id="Shape 14025" style="position:absolute;width:91;height:100721;left:69463;top:0;" coordsize="9144,10072116" path="m0,0l9144,0l9144,10072116l0,10072116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7922A" w14:textId="77777777" w:rsidR="00EC6FE5" w:rsidRDefault="00000000">
    <w:pPr>
      <w:spacing w:after="0" w:line="259" w:lineRule="auto"/>
      <w:ind w:left="-1440" w:right="10472"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98F1D17" wp14:editId="225BC550">
              <wp:simplePos x="0" y="0"/>
              <wp:positionH relativeFrom="page">
                <wp:posOffset>304800</wp:posOffset>
              </wp:positionH>
              <wp:positionV relativeFrom="page">
                <wp:posOffset>304800</wp:posOffset>
              </wp:positionV>
              <wp:extent cx="6952488" cy="6096"/>
              <wp:effectExtent l="0" t="0" r="0" b="0"/>
              <wp:wrapSquare wrapText="bothSides"/>
              <wp:docPr id="13438" name="Group 13438"/>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4006" name="Shape 1400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07" name="Shape 14007"/>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08" name="Shape 14008"/>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38" style="width:547.44pt;height:0.47998pt;position:absolute;mso-position-horizontal-relative:page;mso-position-horizontal:absolute;margin-left:24pt;mso-position-vertical-relative:page;margin-top:24pt;" coordsize="69524,60">
              <v:shape id="Shape 14009" style="position:absolute;width:91;height:91;left:0;top:0;" coordsize="9144,9144" path="m0,0l9144,0l9144,9144l0,9144l0,0">
                <v:stroke weight="0pt" endcap="flat" joinstyle="miter" miterlimit="10" on="false" color="#000000" opacity="0"/>
                <v:fill on="true" color="#000000"/>
              </v:shape>
              <v:shape id="Shape 14010" style="position:absolute;width:69402;height:91;left:60;top:0;" coordsize="6940296,9144" path="m0,0l6940296,0l6940296,9144l0,9144l0,0">
                <v:stroke weight="0pt" endcap="flat" joinstyle="miter" miterlimit="10" on="false" color="#000000" opacity="0"/>
                <v:fill on="true" color="#000000"/>
              </v:shape>
              <v:shape id="Shape 14011"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p w14:paraId="217F3146" w14:textId="77777777" w:rsidR="00EC6FE5"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5AD4C41" wp14:editId="54532A4F">
              <wp:simplePos x="0" y="0"/>
              <wp:positionH relativeFrom="page">
                <wp:posOffset>304800</wp:posOffset>
              </wp:positionH>
              <wp:positionV relativeFrom="page">
                <wp:posOffset>310896</wp:posOffset>
              </wp:positionV>
              <wp:extent cx="6952488" cy="10072116"/>
              <wp:effectExtent l="0" t="0" r="0" b="0"/>
              <wp:wrapNone/>
              <wp:docPr id="13442" name="Group 13442"/>
              <wp:cNvGraphicFramePr/>
              <a:graphic xmlns:a="http://schemas.openxmlformats.org/drawingml/2006/main">
                <a:graphicData uri="http://schemas.microsoft.com/office/word/2010/wordprocessingGroup">
                  <wpg:wgp>
                    <wpg:cNvGrpSpPr/>
                    <wpg:grpSpPr>
                      <a:xfrm>
                        <a:off x="0" y="0"/>
                        <a:ext cx="6952488" cy="10072116"/>
                        <a:chOff x="0" y="0"/>
                        <a:chExt cx="6952488" cy="10072116"/>
                      </a:xfrm>
                    </wpg:grpSpPr>
                    <wps:wsp>
                      <wps:cNvPr id="14012" name="Shape 14012"/>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13" name="Shape 14013"/>
                      <wps:cNvSpPr/>
                      <wps:spPr>
                        <a:xfrm>
                          <a:off x="6946393"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42" style="width:547.44pt;height:793.08pt;position:absolute;z-index:-2147483648;mso-position-horizontal-relative:page;mso-position-horizontal:absolute;margin-left:24pt;mso-position-vertical-relative:page;margin-top:24.48pt;" coordsize="69524,100721">
              <v:shape id="Shape 14014" style="position:absolute;width:91;height:100721;left:0;top:0;" coordsize="9144,10072116" path="m0,0l9144,0l9144,10072116l0,10072116l0,0">
                <v:stroke weight="0pt" endcap="flat" joinstyle="miter" miterlimit="10" on="false" color="#000000" opacity="0"/>
                <v:fill on="true" color="#000000"/>
              </v:shape>
              <v:shape id="Shape 14015" style="position:absolute;width:91;height:100721;left:69463;top:0;" coordsize="9144,10072116" path="m0,0l9144,0l9144,10072116l0,10072116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B8348" w14:textId="77777777" w:rsidR="00EC6FE5" w:rsidRDefault="00000000">
    <w:pPr>
      <w:spacing w:after="0" w:line="259" w:lineRule="auto"/>
      <w:ind w:left="-1440" w:right="10472" w:firstLine="0"/>
      <w:jc w:val="left"/>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7447E4CE" wp14:editId="0521BBBC">
              <wp:simplePos x="0" y="0"/>
              <wp:positionH relativeFrom="page">
                <wp:posOffset>304800</wp:posOffset>
              </wp:positionH>
              <wp:positionV relativeFrom="page">
                <wp:posOffset>304800</wp:posOffset>
              </wp:positionV>
              <wp:extent cx="6952488" cy="6096"/>
              <wp:effectExtent l="0" t="0" r="0" b="0"/>
              <wp:wrapSquare wrapText="bothSides"/>
              <wp:docPr id="13413" name="Group 13413"/>
              <wp:cNvGraphicFramePr/>
              <a:graphic xmlns:a="http://schemas.openxmlformats.org/drawingml/2006/main">
                <a:graphicData uri="http://schemas.microsoft.com/office/word/2010/wordprocessingGroup">
                  <wpg:wgp>
                    <wpg:cNvGrpSpPr/>
                    <wpg:grpSpPr>
                      <a:xfrm>
                        <a:off x="0" y="0"/>
                        <a:ext cx="6952488" cy="6096"/>
                        <a:chOff x="0" y="0"/>
                        <a:chExt cx="6952488" cy="6096"/>
                      </a:xfrm>
                    </wpg:grpSpPr>
                    <wps:wsp>
                      <wps:cNvPr id="13996" name="Shape 13996"/>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97" name="Shape 13997"/>
                      <wps:cNvSpPr/>
                      <wps:spPr>
                        <a:xfrm>
                          <a:off x="6096" y="0"/>
                          <a:ext cx="6940296" cy="9144"/>
                        </a:xfrm>
                        <a:custGeom>
                          <a:avLst/>
                          <a:gdLst/>
                          <a:ahLst/>
                          <a:cxnLst/>
                          <a:rect l="0" t="0" r="0" b="0"/>
                          <a:pathLst>
                            <a:path w="6940296" h="9144">
                              <a:moveTo>
                                <a:pt x="0" y="0"/>
                              </a:moveTo>
                              <a:lnTo>
                                <a:pt x="6940296" y="0"/>
                              </a:lnTo>
                              <a:lnTo>
                                <a:pt x="6940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998" name="Shape 13998"/>
                      <wps:cNvSpPr/>
                      <wps:spPr>
                        <a:xfrm>
                          <a:off x="694639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13" style="width:547.44pt;height:0.47998pt;position:absolute;mso-position-horizontal-relative:page;mso-position-horizontal:absolute;margin-left:24pt;mso-position-vertical-relative:page;margin-top:24pt;" coordsize="69524,60">
              <v:shape id="Shape 13999" style="position:absolute;width:91;height:91;left:0;top:0;" coordsize="9144,9144" path="m0,0l9144,0l9144,9144l0,9144l0,0">
                <v:stroke weight="0pt" endcap="flat" joinstyle="miter" miterlimit="10" on="false" color="#000000" opacity="0"/>
                <v:fill on="true" color="#000000"/>
              </v:shape>
              <v:shape id="Shape 14000" style="position:absolute;width:69402;height:91;left:60;top:0;" coordsize="6940296,9144" path="m0,0l6940296,0l6940296,9144l0,9144l0,0">
                <v:stroke weight="0pt" endcap="flat" joinstyle="miter" miterlimit="10" on="false" color="#000000" opacity="0"/>
                <v:fill on="true" color="#000000"/>
              </v:shape>
              <v:shape id="Shape 14001" style="position:absolute;width:91;height:91;left:69463;top:0;" coordsize="9144,9144" path="m0,0l9144,0l9144,9144l0,9144l0,0">
                <v:stroke weight="0pt" endcap="flat" joinstyle="miter" miterlimit="10" on="false" color="#000000" opacity="0"/>
                <v:fill on="true" color="#000000"/>
              </v:shape>
              <w10:wrap type="square"/>
            </v:group>
          </w:pict>
        </mc:Fallback>
      </mc:AlternateContent>
    </w:r>
  </w:p>
  <w:p w14:paraId="06E855AC" w14:textId="77777777" w:rsidR="00EC6FE5"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7A2BC960" wp14:editId="7CD95CE9">
              <wp:simplePos x="0" y="0"/>
              <wp:positionH relativeFrom="page">
                <wp:posOffset>304800</wp:posOffset>
              </wp:positionH>
              <wp:positionV relativeFrom="page">
                <wp:posOffset>310896</wp:posOffset>
              </wp:positionV>
              <wp:extent cx="6952488" cy="10072116"/>
              <wp:effectExtent l="0" t="0" r="0" b="0"/>
              <wp:wrapNone/>
              <wp:docPr id="13417" name="Group 13417"/>
              <wp:cNvGraphicFramePr/>
              <a:graphic xmlns:a="http://schemas.openxmlformats.org/drawingml/2006/main">
                <a:graphicData uri="http://schemas.microsoft.com/office/word/2010/wordprocessingGroup">
                  <wpg:wgp>
                    <wpg:cNvGrpSpPr/>
                    <wpg:grpSpPr>
                      <a:xfrm>
                        <a:off x="0" y="0"/>
                        <a:ext cx="6952488" cy="10072116"/>
                        <a:chOff x="0" y="0"/>
                        <a:chExt cx="6952488" cy="10072116"/>
                      </a:xfrm>
                    </wpg:grpSpPr>
                    <wps:wsp>
                      <wps:cNvPr id="14002" name="Shape 14002"/>
                      <wps:cNvSpPr/>
                      <wps:spPr>
                        <a:xfrm>
                          <a:off x="0"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03" name="Shape 14003"/>
                      <wps:cNvSpPr/>
                      <wps:spPr>
                        <a:xfrm>
                          <a:off x="6946393" y="0"/>
                          <a:ext cx="9144" cy="10072116"/>
                        </a:xfrm>
                        <a:custGeom>
                          <a:avLst/>
                          <a:gdLst/>
                          <a:ahLst/>
                          <a:cxnLst/>
                          <a:rect l="0" t="0" r="0" b="0"/>
                          <a:pathLst>
                            <a:path w="9144" h="10072116">
                              <a:moveTo>
                                <a:pt x="0" y="0"/>
                              </a:moveTo>
                              <a:lnTo>
                                <a:pt x="9144" y="0"/>
                              </a:lnTo>
                              <a:lnTo>
                                <a:pt x="9144" y="10072116"/>
                              </a:lnTo>
                              <a:lnTo>
                                <a:pt x="0" y="100721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3417" style="width:547.44pt;height:793.08pt;position:absolute;z-index:-2147483648;mso-position-horizontal-relative:page;mso-position-horizontal:absolute;margin-left:24pt;mso-position-vertical-relative:page;margin-top:24.48pt;" coordsize="69524,100721">
              <v:shape id="Shape 14004" style="position:absolute;width:91;height:100721;left:0;top:0;" coordsize="9144,10072116" path="m0,0l9144,0l9144,10072116l0,10072116l0,0">
                <v:stroke weight="0pt" endcap="flat" joinstyle="miter" miterlimit="10" on="false" color="#000000" opacity="0"/>
                <v:fill on="true" color="#000000"/>
              </v:shape>
              <v:shape id="Shape 14005" style="position:absolute;width:91;height:100721;left:69463;top:0;" coordsize="9144,10072116" path="m0,0l9144,0l9144,10072116l0,10072116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3E510C"/>
    <w:multiLevelType w:val="hybridMultilevel"/>
    <w:tmpl w:val="88186CDA"/>
    <w:lvl w:ilvl="0" w:tplc="48E00E1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E0A2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A30623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4CB31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EC186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1EA63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C68D1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1DEEB2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33212B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888809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FE5"/>
    <w:rsid w:val="00160931"/>
    <w:rsid w:val="002F5542"/>
    <w:rsid w:val="003F0FC9"/>
    <w:rsid w:val="003F61ED"/>
    <w:rsid w:val="00416A6C"/>
    <w:rsid w:val="00476D51"/>
    <w:rsid w:val="00493DA5"/>
    <w:rsid w:val="00497678"/>
    <w:rsid w:val="004B7082"/>
    <w:rsid w:val="00561203"/>
    <w:rsid w:val="00763417"/>
    <w:rsid w:val="008029F0"/>
    <w:rsid w:val="00880F2A"/>
    <w:rsid w:val="008E10EE"/>
    <w:rsid w:val="008E6A21"/>
    <w:rsid w:val="008F27E3"/>
    <w:rsid w:val="00950AEF"/>
    <w:rsid w:val="00A22682"/>
    <w:rsid w:val="00AB4252"/>
    <w:rsid w:val="00AE4938"/>
    <w:rsid w:val="00B517A6"/>
    <w:rsid w:val="00BB1606"/>
    <w:rsid w:val="00BF7648"/>
    <w:rsid w:val="00C94282"/>
    <w:rsid w:val="00D15135"/>
    <w:rsid w:val="00D2408A"/>
    <w:rsid w:val="00D7628F"/>
    <w:rsid w:val="00EC6FE5"/>
    <w:rsid w:val="00F21B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BF85D"/>
  <w15:docId w15:val="{E2573662-CE0D-4642-A278-07865F51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en-I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4" w:line="250" w:lineRule="auto"/>
      <w:ind w:left="2377"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224" w:line="259" w:lineRule="auto"/>
      <w:ind w:left="10" w:hanging="10"/>
      <w:outlineLvl w:val="0"/>
    </w:pPr>
    <w:rPr>
      <w:rFonts w:ascii="Arial" w:eastAsia="Arial" w:hAnsi="Arial" w:cs="Arial"/>
      <w:b/>
      <w:color w:val="1565C0"/>
      <w:sz w:val="40"/>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Arial" w:eastAsia="Arial" w:hAnsi="Arial" w:cs="Arial"/>
      <w:b/>
      <w:color w:val="0B769F"/>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B769F"/>
      <w:sz w:val="36"/>
    </w:rPr>
  </w:style>
  <w:style w:type="character" w:customStyle="1" w:styleId="Heading1Char">
    <w:name w:val="Heading 1 Char"/>
    <w:link w:val="Heading1"/>
    <w:rPr>
      <w:rFonts w:ascii="Arial" w:eastAsia="Arial" w:hAnsi="Arial" w:cs="Arial"/>
      <w:b/>
      <w:color w:val="1565C0"/>
      <w:sz w:val="40"/>
    </w:rPr>
  </w:style>
  <w:style w:type="paragraph" w:styleId="TOC1">
    <w:name w:val="toc 1"/>
    <w:hidden/>
    <w:pPr>
      <w:spacing w:after="274" w:line="250" w:lineRule="auto"/>
      <w:ind w:left="25" w:right="24" w:hanging="10"/>
      <w:jc w:val="both"/>
    </w:pPr>
    <w:rPr>
      <w:rFonts w:ascii="Arial" w:eastAsia="Arial" w:hAnsi="Arial" w:cs="Arial"/>
      <w:color w:val="000000"/>
    </w:rPr>
  </w:style>
  <w:style w:type="paragraph" w:styleId="TOC2">
    <w:name w:val="toc 2"/>
    <w:hidden/>
    <w:pPr>
      <w:spacing w:after="266" w:line="259" w:lineRule="auto"/>
      <w:ind w:left="250" w:right="29" w:hanging="10"/>
      <w:jc w:val="right"/>
    </w:pPr>
    <w:rPr>
      <w:rFonts w:ascii="Arial" w:eastAsia="Arial" w:hAnsi="Arial" w:cs="Arial"/>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Spacing">
    <w:name w:val="No Spacing"/>
    <w:uiPriority w:val="1"/>
    <w:qFormat/>
    <w:rsid w:val="00BB1606"/>
    <w:pPr>
      <w:spacing w:after="0" w:line="240" w:lineRule="auto"/>
      <w:ind w:left="2377" w:hanging="10"/>
      <w:jc w:val="both"/>
    </w:pPr>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D05B1-62F2-41B8-8945-F152D2C8E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13</Pages>
  <Words>3392</Words>
  <Characters>19336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cp:lastModifiedBy>Sadhana Kumari</cp:lastModifiedBy>
  <cp:revision>26</cp:revision>
  <dcterms:created xsi:type="dcterms:W3CDTF">2026-03-26T12:02:00Z</dcterms:created>
  <dcterms:modified xsi:type="dcterms:W3CDTF">2026-03-26T16:03:00Z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d40f8148-2692-4b13-90fd-76cf02722405</vt:lpwstr>
  </property>
</Properties>
</file>