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195A" w:rsidRDefault="001C195A" w:rsidP="001C195A">
      <w:r>
        <w:rPr>
          <w:noProof/>
          <w:lang w:val="bg-BG" w:eastAsia="bg-BG"/>
        </w:rPr>
        <w:drawing>
          <wp:inline distT="0" distB="0" distL="0" distR="0">
            <wp:extent cx="2304000" cy="920380"/>
            <wp:effectExtent l="0" t="0" r="1270" b="0"/>
            <wp:docPr id="3"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04000" cy="920380"/>
                    </a:xfrm>
                    <a:prstGeom prst="rect">
                      <a:avLst/>
                    </a:prstGeom>
                    <a:noFill/>
                    <a:ln>
                      <a:noFill/>
                    </a:ln>
                  </pic:spPr>
                </pic:pic>
              </a:graphicData>
            </a:graphic>
          </wp:inline>
        </w:drawing>
      </w:r>
    </w:p>
    <w:p w:rsidR="001C195A" w:rsidRDefault="001C195A" w:rsidP="001C195A"/>
    <w:p w:rsidR="001C195A" w:rsidRDefault="001C195A" w:rsidP="001C195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908"/>
        <w:gridCol w:w="4259"/>
      </w:tblGrid>
      <w:tr w:rsidR="001C195A" w:rsidRPr="00405A9E" w:rsidTr="00786C1C">
        <w:trPr>
          <w:cantSplit/>
          <w:trHeight w:val="469"/>
        </w:trPr>
        <w:tc>
          <w:tcPr>
            <w:tcW w:w="4908" w:type="dxa"/>
          </w:tcPr>
          <w:p w:rsidR="001C195A" w:rsidRPr="00A662B9" w:rsidRDefault="001C195A" w:rsidP="00786C1C">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b w:val="0"/>
                <w:sz w:val="24"/>
                <w:szCs w:val="24"/>
              </w:rPr>
              <w:t>SWANSEA</w:t>
            </w:r>
            <w:r>
              <w:rPr>
                <w:color w:val="FF0000"/>
                <w:sz w:val="24"/>
                <w:szCs w:val="24"/>
              </w:rPr>
              <w:t xml:space="preserve"> </w:t>
            </w:r>
          </w:p>
        </w:tc>
        <w:tc>
          <w:tcPr>
            <w:tcW w:w="4259" w:type="dxa"/>
          </w:tcPr>
          <w:p w:rsidR="001C195A" w:rsidRPr="00CB4484" w:rsidRDefault="001C195A" w:rsidP="00786C1C">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sidRPr="00085FE0">
              <w:rPr>
                <w:color w:val="000000" w:themeColor="text1"/>
                <w:sz w:val="24"/>
                <w:szCs w:val="24"/>
              </w:rPr>
              <w:t>abertawe</w:t>
            </w:r>
          </w:p>
        </w:tc>
      </w:tr>
      <w:tr w:rsidR="001C195A" w:rsidRPr="007E3A8E" w:rsidTr="00786C1C">
        <w:trPr>
          <w:trHeight w:val="542"/>
        </w:trPr>
        <w:tc>
          <w:tcPr>
            <w:tcW w:w="4908" w:type="dxa"/>
          </w:tcPr>
          <w:p w:rsidR="001C195A" w:rsidRPr="00931114" w:rsidRDefault="001C195A" w:rsidP="00786C1C">
            <w:pPr>
              <w:pStyle w:val="Trinity"/>
              <w:ind w:left="5760" w:hanging="5760"/>
            </w:pPr>
            <w:r w:rsidRPr="00931114">
              <w:t xml:space="preserve">LEVEL </w:t>
            </w:r>
            <w:r>
              <w:t>6</w:t>
            </w:r>
          </w:p>
        </w:tc>
        <w:tc>
          <w:tcPr>
            <w:tcW w:w="4259" w:type="dxa"/>
          </w:tcPr>
          <w:p w:rsidR="001C195A" w:rsidRPr="007E3A8E" w:rsidRDefault="001C195A" w:rsidP="00786C1C">
            <w:pPr>
              <w:pStyle w:val="Trinity"/>
              <w:ind w:left="5760" w:hanging="5760"/>
              <w:jc w:val="right"/>
            </w:pPr>
            <w:r w:rsidRPr="007E3A8E">
              <w:t xml:space="preserve">LEFEL </w:t>
            </w:r>
            <w:r>
              <w:t>6</w:t>
            </w:r>
          </w:p>
        </w:tc>
      </w:tr>
      <w:tr w:rsidR="001C195A" w:rsidRPr="007E3A8E" w:rsidTr="00786C1C">
        <w:trPr>
          <w:trHeight w:val="302"/>
        </w:trPr>
        <w:tc>
          <w:tcPr>
            <w:tcW w:w="4908" w:type="dxa"/>
          </w:tcPr>
          <w:p w:rsidR="001C195A" w:rsidRPr="00931114" w:rsidRDefault="001C195A" w:rsidP="00786C1C">
            <w:pPr>
              <w:pStyle w:val="Exam"/>
            </w:pPr>
            <w:r w:rsidRPr="00931114">
              <w:t>EXAMINATION PERIOD</w:t>
            </w:r>
          </w:p>
        </w:tc>
        <w:tc>
          <w:tcPr>
            <w:tcW w:w="4259" w:type="dxa"/>
          </w:tcPr>
          <w:p w:rsidR="001C195A" w:rsidRPr="007E3A8E" w:rsidRDefault="001C195A" w:rsidP="00786C1C">
            <w:pPr>
              <w:pStyle w:val="Exam"/>
              <w:jc w:val="right"/>
            </w:pPr>
            <w:r w:rsidRPr="007E3A8E">
              <w:t>CYFNOD ARHOLIADAU</w:t>
            </w:r>
          </w:p>
        </w:tc>
      </w:tr>
      <w:tr w:rsidR="001C195A" w:rsidRPr="007E3A8E" w:rsidTr="00786C1C">
        <w:trPr>
          <w:trHeight w:val="863"/>
        </w:trPr>
        <w:tc>
          <w:tcPr>
            <w:tcW w:w="4908" w:type="dxa"/>
          </w:tcPr>
          <w:p w:rsidR="001C195A" w:rsidRPr="00931114" w:rsidRDefault="001C195A" w:rsidP="00786C1C">
            <w:pPr>
              <w:pStyle w:val="Month"/>
              <w:jc w:val="both"/>
              <w:rPr>
                <w:color w:val="FF0000"/>
              </w:rPr>
            </w:pPr>
            <w:r w:rsidRPr="00085FE0">
              <w:rPr>
                <w:color w:val="000000" w:themeColor="text1"/>
              </w:rPr>
              <w:t>may 20</w:t>
            </w:r>
            <w:r>
              <w:rPr>
                <w:color w:val="000000" w:themeColor="text1"/>
              </w:rPr>
              <w:t>20</w:t>
            </w:r>
          </w:p>
        </w:tc>
        <w:tc>
          <w:tcPr>
            <w:tcW w:w="4259" w:type="dxa"/>
          </w:tcPr>
          <w:p w:rsidR="001C195A" w:rsidRPr="00EC0A0F" w:rsidRDefault="001C195A" w:rsidP="00786C1C">
            <w:pPr>
              <w:pStyle w:val="Month"/>
              <w:jc w:val="right"/>
              <w:rPr>
                <w:color w:val="FF0000"/>
              </w:rPr>
            </w:pPr>
            <w:r w:rsidRPr="00085FE0">
              <w:rPr>
                <w:color w:val="000000" w:themeColor="text1"/>
              </w:rPr>
              <w:t>mai 20</w:t>
            </w:r>
            <w:r>
              <w:rPr>
                <w:color w:val="000000" w:themeColor="text1"/>
              </w:rPr>
              <w:t>20</w:t>
            </w:r>
          </w:p>
        </w:tc>
      </w:tr>
      <w:tr w:rsidR="001C195A" w:rsidRPr="007E3A8E" w:rsidTr="00786C1C">
        <w:trPr>
          <w:trHeight w:val="863"/>
        </w:trPr>
        <w:tc>
          <w:tcPr>
            <w:tcW w:w="4908" w:type="dxa"/>
          </w:tcPr>
          <w:p w:rsidR="001C195A" w:rsidRPr="00931114" w:rsidRDefault="001C195A" w:rsidP="00786C1C">
            <w:pPr>
              <w:pStyle w:val="Month"/>
              <w:jc w:val="both"/>
              <w:rPr>
                <w:color w:val="FF0000"/>
              </w:rPr>
            </w:pPr>
          </w:p>
        </w:tc>
        <w:tc>
          <w:tcPr>
            <w:tcW w:w="4259" w:type="dxa"/>
          </w:tcPr>
          <w:p w:rsidR="001C195A" w:rsidRPr="001C195A" w:rsidRDefault="001C195A" w:rsidP="001C195A">
            <w:pPr>
              <w:pStyle w:val="Month"/>
              <w:jc w:val="right"/>
              <w:rPr>
                <w:rFonts w:ascii="Arial" w:hAnsi="Arial" w:cs="Arial"/>
                <w:b w:val="0"/>
                <w:sz w:val="28"/>
                <w:szCs w:val="28"/>
              </w:rPr>
            </w:pPr>
            <w:proofErr w:type="spellStart"/>
            <w:r w:rsidRPr="001C195A">
              <w:rPr>
                <w:rFonts w:ascii="Arial" w:hAnsi="Arial" w:cs="Arial"/>
                <w:b w:val="0"/>
                <w:caps w:val="0"/>
                <w:sz w:val="28"/>
                <w:szCs w:val="28"/>
              </w:rPr>
              <w:t>Todor</w:t>
            </w:r>
            <w:proofErr w:type="spellEnd"/>
            <w:r w:rsidRPr="001C195A">
              <w:rPr>
                <w:rFonts w:ascii="Arial" w:hAnsi="Arial" w:cs="Arial"/>
                <w:b w:val="0"/>
                <w:caps w:val="0"/>
                <w:sz w:val="28"/>
                <w:szCs w:val="28"/>
              </w:rPr>
              <w:t xml:space="preserve"> </w:t>
            </w:r>
            <w:proofErr w:type="spellStart"/>
            <w:r w:rsidRPr="001C195A">
              <w:rPr>
                <w:rFonts w:ascii="Arial" w:hAnsi="Arial" w:cs="Arial"/>
                <w:b w:val="0"/>
                <w:caps w:val="0"/>
                <w:sz w:val="28"/>
                <w:szCs w:val="28"/>
              </w:rPr>
              <w:t>stoykov</w:t>
            </w:r>
            <w:proofErr w:type="spellEnd"/>
            <w:r w:rsidRPr="001C195A">
              <w:rPr>
                <w:rFonts w:ascii="Arial" w:hAnsi="Arial" w:cs="Arial"/>
                <w:b w:val="0"/>
                <w:caps w:val="0"/>
                <w:sz w:val="28"/>
                <w:szCs w:val="28"/>
              </w:rPr>
              <w:t xml:space="preserve"> 170264</w:t>
            </w:r>
            <w:r w:rsidRPr="001C195A">
              <w:rPr>
                <w:rFonts w:ascii="Arial" w:hAnsi="Arial" w:cs="Arial"/>
                <w:b w:val="0"/>
                <w:sz w:val="28"/>
                <w:szCs w:val="28"/>
              </w:rPr>
              <w:t>3</w:t>
            </w:r>
          </w:p>
        </w:tc>
      </w:tr>
    </w:tbl>
    <w:p w:rsidR="001C195A" w:rsidRPr="007E3A8E" w:rsidRDefault="001C195A" w:rsidP="001C195A">
      <w:pPr>
        <w:pStyle w:val="Modcode"/>
      </w:pPr>
    </w:p>
    <w:p w:rsidR="001C195A" w:rsidRDefault="001C195A" w:rsidP="001C195A">
      <w:pPr>
        <w:pStyle w:val="Modcode"/>
      </w:pPr>
      <w:r w:rsidRPr="007E3A8E">
        <w:t>MODULE CODE</w:t>
      </w:r>
      <w:r>
        <w:t>: M6X01292</w:t>
      </w:r>
    </w:p>
    <w:p w:rsidR="001C195A" w:rsidRDefault="001C195A" w:rsidP="001C195A">
      <w:pPr>
        <w:pStyle w:val="Modcode"/>
      </w:pPr>
      <w:r>
        <w:t xml:space="preserve"> PROCUREMENT AND CONTRACT LAW</w:t>
      </w:r>
    </w:p>
    <w:p w:rsidR="001C195A" w:rsidRPr="009948F4" w:rsidRDefault="001C195A" w:rsidP="001C195A">
      <w:pPr>
        <w:pStyle w:val="Modcode"/>
        <w:rPr>
          <w:color w:val="FF0000"/>
        </w:rPr>
      </w:pPr>
    </w:p>
    <w:p w:rsidR="001C195A" w:rsidRPr="007E3A8E" w:rsidRDefault="001C195A" w:rsidP="001C195A">
      <w:pPr>
        <w:pStyle w:val="Time"/>
      </w:pPr>
      <w:r w:rsidRPr="007E3A8E">
        <w:t xml:space="preserve">TIME:  </w:t>
      </w:r>
      <w:r>
        <w:t>4 HOURS   (09:00 WEDNESDAY 13</w:t>
      </w:r>
      <w:r w:rsidRPr="00614BD2">
        <w:rPr>
          <w:vertAlign w:val="superscript"/>
        </w:rPr>
        <w:t>TH</w:t>
      </w:r>
      <w:r>
        <w:t xml:space="preserve"> MAY 2020 – 13:00 WEDNESDAY 13</w:t>
      </w:r>
      <w:r w:rsidRPr="00614BD2">
        <w:rPr>
          <w:vertAlign w:val="superscript"/>
        </w:rPr>
        <w:t>TH</w:t>
      </w:r>
      <w:r>
        <w:t xml:space="preserve"> MAY 2020)</w:t>
      </w:r>
    </w:p>
    <w:p w:rsidR="001C195A" w:rsidRDefault="001C195A" w:rsidP="001C195A">
      <w:pPr>
        <w:pStyle w:val="Answer"/>
      </w:pPr>
      <w:r>
        <w:t>ATTEMPT ALL FOUR (4) QUESTIONS</w:t>
      </w:r>
    </w:p>
    <w:p w:rsidR="00D401BA" w:rsidRDefault="00D401BA"/>
    <w:p w:rsidR="001C195A" w:rsidRDefault="001C195A"/>
    <w:p w:rsidR="001C195A" w:rsidRDefault="001C195A"/>
    <w:p w:rsidR="001C195A" w:rsidRDefault="001C195A">
      <w:pPr>
        <w:rPr>
          <w:rFonts w:ascii="Arial" w:hAnsi="Arial" w:cs="Arial"/>
          <w:sz w:val="22"/>
          <w:szCs w:val="22"/>
        </w:rPr>
      </w:pPr>
      <w:r>
        <w:rPr>
          <w:rFonts w:ascii="Arial" w:hAnsi="Arial" w:cs="Arial"/>
          <w:sz w:val="22"/>
          <w:szCs w:val="22"/>
        </w:rPr>
        <w:t xml:space="preserve">Question 1 </w:t>
      </w:r>
    </w:p>
    <w:p w:rsidR="001C195A" w:rsidRDefault="001C195A">
      <w:pPr>
        <w:rPr>
          <w:rFonts w:ascii="Arial" w:hAnsi="Arial" w:cs="Arial"/>
          <w:sz w:val="22"/>
          <w:szCs w:val="22"/>
        </w:rPr>
      </w:pPr>
    </w:p>
    <w:p w:rsidR="001C195A" w:rsidRPr="001C195A" w:rsidRDefault="001C195A">
      <w:pPr>
        <w:rPr>
          <w:rFonts w:ascii="Arial" w:hAnsi="Arial" w:cs="Arial"/>
          <w:sz w:val="22"/>
          <w:szCs w:val="22"/>
        </w:rPr>
      </w:pPr>
    </w:p>
    <w:p w:rsidR="004232DD" w:rsidRDefault="001C195A" w:rsidP="004232DD">
      <w:pPr>
        <w:jc w:val="both"/>
        <w:rPr>
          <w:rFonts w:ascii="Arial" w:hAnsi="Arial" w:cs="Arial"/>
          <w:sz w:val="22"/>
          <w:szCs w:val="22"/>
        </w:rPr>
      </w:pPr>
      <w:r>
        <w:rPr>
          <w:rFonts w:ascii="Arial" w:hAnsi="Arial" w:cs="Arial"/>
          <w:sz w:val="22"/>
          <w:szCs w:val="22"/>
        </w:rPr>
        <w:t>Fred makes an invitation to treat</w:t>
      </w:r>
      <w:r w:rsidR="00D229F8">
        <w:rPr>
          <w:rFonts w:ascii="Arial" w:hAnsi="Arial" w:cs="Arial"/>
          <w:sz w:val="22"/>
          <w:szCs w:val="22"/>
        </w:rPr>
        <w:t xml:space="preserve"> by advertising</w:t>
      </w:r>
      <w:r w:rsidR="00670ABD">
        <w:rPr>
          <w:rFonts w:ascii="Arial" w:hAnsi="Arial" w:cs="Arial"/>
          <w:sz w:val="22"/>
          <w:szCs w:val="22"/>
        </w:rPr>
        <w:t xml:space="preserve"> that he is selling his </w:t>
      </w:r>
      <w:proofErr w:type="spellStart"/>
      <w:r w:rsidR="00670ABD">
        <w:rPr>
          <w:rFonts w:ascii="Arial" w:hAnsi="Arial" w:cs="Arial"/>
          <w:sz w:val="22"/>
          <w:szCs w:val="22"/>
        </w:rPr>
        <w:t>Blueray</w:t>
      </w:r>
      <w:proofErr w:type="spellEnd"/>
      <w:r w:rsidR="00670ABD">
        <w:rPr>
          <w:rFonts w:ascii="Arial" w:hAnsi="Arial" w:cs="Arial"/>
          <w:sz w:val="22"/>
          <w:szCs w:val="22"/>
        </w:rPr>
        <w:t xml:space="preserve"> player. </w:t>
      </w:r>
      <w:r w:rsidR="00D229F8">
        <w:rPr>
          <w:rFonts w:ascii="Arial" w:hAnsi="Arial" w:cs="Arial"/>
          <w:sz w:val="22"/>
          <w:szCs w:val="22"/>
        </w:rPr>
        <w:t xml:space="preserve">His friend George makes him an offer by saying he would pay </w:t>
      </w:r>
      <w:r w:rsidR="008C3605" w:rsidRPr="00D229F8">
        <w:rPr>
          <w:rFonts w:ascii="Arial" w:hAnsi="Arial" w:cs="Arial"/>
          <w:sz w:val="22"/>
          <w:szCs w:val="22"/>
        </w:rPr>
        <w:t>£</w:t>
      </w:r>
      <w:r w:rsidR="00D229F8">
        <w:rPr>
          <w:rFonts w:ascii="Arial" w:hAnsi="Arial" w:cs="Arial"/>
          <w:sz w:val="22"/>
          <w:szCs w:val="22"/>
        </w:rPr>
        <w:t>20</w:t>
      </w:r>
      <w:r w:rsidR="008C3605">
        <w:rPr>
          <w:rFonts w:ascii="Arial" w:hAnsi="Arial" w:cs="Arial"/>
          <w:sz w:val="22"/>
          <w:szCs w:val="22"/>
        </w:rPr>
        <w:t xml:space="preserve"> </w:t>
      </w:r>
      <w:r w:rsidR="00D229F8">
        <w:rPr>
          <w:rFonts w:ascii="Arial" w:hAnsi="Arial" w:cs="Arial"/>
          <w:sz w:val="22"/>
          <w:szCs w:val="22"/>
        </w:rPr>
        <w:t xml:space="preserve">for the player because his recently broken. Fred rejects his friend’s offer by making a counter offer simply saying that </w:t>
      </w:r>
      <w:r w:rsidR="008C3605" w:rsidRPr="00D229F8">
        <w:rPr>
          <w:rFonts w:ascii="Arial" w:hAnsi="Arial" w:cs="Arial"/>
          <w:sz w:val="22"/>
          <w:szCs w:val="22"/>
        </w:rPr>
        <w:t>£</w:t>
      </w:r>
      <w:r w:rsidR="00D229F8">
        <w:rPr>
          <w:rFonts w:ascii="Arial" w:hAnsi="Arial" w:cs="Arial"/>
          <w:sz w:val="22"/>
          <w:szCs w:val="22"/>
        </w:rPr>
        <w:t xml:space="preserve">20 </w:t>
      </w:r>
      <w:r w:rsidR="008C3605">
        <w:rPr>
          <w:rFonts w:ascii="Arial" w:hAnsi="Arial" w:cs="Arial"/>
          <w:sz w:val="22"/>
          <w:szCs w:val="22"/>
        </w:rPr>
        <w:t xml:space="preserve">is not enough for the player and that the least he would accept is </w:t>
      </w:r>
      <w:r w:rsidR="008C3605" w:rsidRPr="00D229F8">
        <w:rPr>
          <w:rFonts w:ascii="Arial" w:hAnsi="Arial" w:cs="Arial"/>
          <w:sz w:val="22"/>
          <w:szCs w:val="22"/>
        </w:rPr>
        <w:t>£</w:t>
      </w:r>
      <w:r w:rsidR="008C3605">
        <w:rPr>
          <w:rFonts w:ascii="Arial" w:hAnsi="Arial" w:cs="Arial"/>
          <w:sz w:val="22"/>
          <w:szCs w:val="22"/>
        </w:rPr>
        <w:t xml:space="preserve">35. </w:t>
      </w:r>
    </w:p>
    <w:p w:rsidR="004232DD" w:rsidRDefault="004232DD" w:rsidP="004232DD">
      <w:pPr>
        <w:jc w:val="both"/>
        <w:rPr>
          <w:rFonts w:ascii="Arial" w:hAnsi="Arial" w:cs="Arial"/>
          <w:sz w:val="22"/>
          <w:szCs w:val="22"/>
        </w:rPr>
      </w:pPr>
    </w:p>
    <w:p w:rsidR="004232DD" w:rsidRDefault="004232DD" w:rsidP="004232DD">
      <w:pPr>
        <w:jc w:val="both"/>
        <w:rPr>
          <w:rFonts w:ascii="Arial" w:hAnsi="Arial" w:cs="Arial"/>
          <w:sz w:val="22"/>
          <w:szCs w:val="22"/>
        </w:rPr>
      </w:pPr>
      <w:r>
        <w:rPr>
          <w:rFonts w:ascii="Arial" w:hAnsi="Arial" w:cs="Arial"/>
          <w:sz w:val="22"/>
          <w:szCs w:val="22"/>
        </w:rPr>
        <w:t xml:space="preserve">George walks past a TV and video shop when he sees a DVD player on the window shelves with the price tag of </w:t>
      </w:r>
      <w:r w:rsidRPr="00D229F8">
        <w:rPr>
          <w:rFonts w:ascii="Arial" w:hAnsi="Arial" w:cs="Arial"/>
          <w:sz w:val="22"/>
          <w:szCs w:val="22"/>
        </w:rPr>
        <w:t>£</w:t>
      </w:r>
      <w:r>
        <w:rPr>
          <w:rFonts w:ascii="Arial" w:hAnsi="Arial" w:cs="Arial"/>
          <w:sz w:val="22"/>
          <w:szCs w:val="22"/>
        </w:rPr>
        <w:t xml:space="preserve">30. He enters with the intention to buy it, but the owner of the shop, Mike realises that the price tag on the item is wrong and he tells George that the price is </w:t>
      </w:r>
      <w:r w:rsidRPr="00D229F8">
        <w:rPr>
          <w:rFonts w:ascii="Arial" w:hAnsi="Arial" w:cs="Arial"/>
          <w:sz w:val="22"/>
          <w:szCs w:val="22"/>
        </w:rPr>
        <w:t>£</w:t>
      </w:r>
      <w:r>
        <w:rPr>
          <w:rFonts w:ascii="Arial" w:hAnsi="Arial" w:cs="Arial"/>
          <w:sz w:val="22"/>
          <w:szCs w:val="22"/>
        </w:rPr>
        <w:t xml:space="preserve">40. </w:t>
      </w:r>
    </w:p>
    <w:p w:rsidR="004232DD" w:rsidRDefault="004232DD" w:rsidP="004232DD">
      <w:pPr>
        <w:jc w:val="both"/>
        <w:rPr>
          <w:rFonts w:ascii="Arial" w:hAnsi="Arial" w:cs="Arial"/>
          <w:sz w:val="22"/>
          <w:szCs w:val="22"/>
        </w:rPr>
      </w:pPr>
      <w:r>
        <w:rPr>
          <w:rFonts w:ascii="Arial" w:hAnsi="Arial" w:cs="Arial"/>
          <w:sz w:val="22"/>
          <w:szCs w:val="22"/>
        </w:rPr>
        <w:t xml:space="preserve">After arguing, George leaves empty handed because Mike wouldn’t agree to sell the item for any less than </w:t>
      </w:r>
      <w:r w:rsidRPr="00D229F8">
        <w:rPr>
          <w:rFonts w:ascii="Arial" w:hAnsi="Arial" w:cs="Arial"/>
          <w:sz w:val="22"/>
          <w:szCs w:val="22"/>
        </w:rPr>
        <w:t>£</w:t>
      </w:r>
      <w:r>
        <w:rPr>
          <w:rFonts w:ascii="Arial" w:hAnsi="Arial" w:cs="Arial"/>
          <w:sz w:val="22"/>
          <w:szCs w:val="22"/>
        </w:rPr>
        <w:t xml:space="preserve">30. Goods on the shelf constitute an invitation to treat not an offer. A customer takes the items to the till and then makes an offer to buy. The shop owner or the person working at the time in the shop then chooses whether to accept the offer </w:t>
      </w:r>
      <w:r w:rsidR="000C7DB9">
        <w:rPr>
          <w:rFonts w:ascii="Arial" w:hAnsi="Arial" w:cs="Arial"/>
          <w:sz w:val="22"/>
          <w:szCs w:val="22"/>
        </w:rPr>
        <w:t>“</w:t>
      </w:r>
      <w:r w:rsidRPr="004232DD">
        <w:rPr>
          <w:rFonts w:ascii="Arial" w:hAnsi="Arial" w:cs="Arial"/>
          <w:sz w:val="22"/>
          <w:szCs w:val="22"/>
        </w:rPr>
        <w:t>Pharmaceutical Society of Great Britain v Boots [1953]</w:t>
      </w:r>
      <w:r w:rsidR="000C7DB9">
        <w:rPr>
          <w:rFonts w:ascii="Arial" w:hAnsi="Arial" w:cs="Arial"/>
          <w:sz w:val="22"/>
          <w:szCs w:val="22"/>
        </w:rPr>
        <w:t xml:space="preserve">”. </w:t>
      </w:r>
      <w:r>
        <w:rPr>
          <w:rFonts w:ascii="Arial" w:hAnsi="Arial" w:cs="Arial"/>
          <w:sz w:val="22"/>
          <w:szCs w:val="22"/>
        </w:rPr>
        <w:t xml:space="preserve">The contract is concluded at the till in the presence of the shop assistant or owner, in this case Mike. </w:t>
      </w:r>
    </w:p>
    <w:p w:rsidR="004232DD" w:rsidRDefault="004232DD" w:rsidP="004232DD">
      <w:pPr>
        <w:jc w:val="both"/>
        <w:rPr>
          <w:rFonts w:ascii="Arial" w:hAnsi="Arial" w:cs="Arial"/>
          <w:sz w:val="22"/>
          <w:szCs w:val="22"/>
        </w:rPr>
      </w:pPr>
    </w:p>
    <w:p w:rsidR="001C195A" w:rsidRDefault="000C7DB9" w:rsidP="004232DD">
      <w:pPr>
        <w:jc w:val="both"/>
        <w:rPr>
          <w:rFonts w:ascii="Arial" w:hAnsi="Arial" w:cs="Arial"/>
          <w:sz w:val="22"/>
          <w:szCs w:val="22"/>
        </w:rPr>
      </w:pPr>
      <w:r>
        <w:rPr>
          <w:rFonts w:ascii="Arial" w:hAnsi="Arial" w:cs="Arial"/>
          <w:sz w:val="22"/>
          <w:szCs w:val="22"/>
        </w:rPr>
        <w:t xml:space="preserve"> On the next day George goes back to the shop and accepts Mike’s offer to buy the player for </w:t>
      </w:r>
      <w:r w:rsidRPr="00D229F8">
        <w:rPr>
          <w:rFonts w:ascii="Arial" w:hAnsi="Arial" w:cs="Arial"/>
          <w:sz w:val="22"/>
          <w:szCs w:val="22"/>
        </w:rPr>
        <w:t>£</w:t>
      </w:r>
      <w:r>
        <w:rPr>
          <w:rFonts w:ascii="Arial" w:hAnsi="Arial" w:cs="Arial"/>
          <w:sz w:val="22"/>
          <w:szCs w:val="22"/>
        </w:rPr>
        <w:t xml:space="preserve">30. Later the same day, in the afternoon Fred sends George a letter to let him know that he accepted his offer to buy the </w:t>
      </w:r>
      <w:proofErr w:type="spellStart"/>
      <w:r>
        <w:rPr>
          <w:rFonts w:ascii="Arial" w:hAnsi="Arial" w:cs="Arial"/>
          <w:sz w:val="22"/>
          <w:szCs w:val="22"/>
        </w:rPr>
        <w:t>blueray</w:t>
      </w:r>
      <w:proofErr w:type="spellEnd"/>
      <w:r>
        <w:rPr>
          <w:rFonts w:ascii="Arial" w:hAnsi="Arial" w:cs="Arial"/>
          <w:sz w:val="22"/>
          <w:szCs w:val="22"/>
        </w:rPr>
        <w:t xml:space="preserve"> player for </w:t>
      </w:r>
      <w:r w:rsidRPr="00D229F8">
        <w:rPr>
          <w:rFonts w:ascii="Arial" w:hAnsi="Arial" w:cs="Arial"/>
          <w:sz w:val="22"/>
          <w:szCs w:val="22"/>
        </w:rPr>
        <w:t>£</w:t>
      </w:r>
      <w:r>
        <w:rPr>
          <w:rFonts w:ascii="Arial" w:hAnsi="Arial" w:cs="Arial"/>
          <w:sz w:val="22"/>
          <w:szCs w:val="22"/>
        </w:rPr>
        <w:t xml:space="preserve">20. A few days later the letter arrives and George phones hid friend to let him know that he already bought a new player so his offer to </w:t>
      </w:r>
      <w:r>
        <w:rPr>
          <w:rFonts w:ascii="Arial" w:hAnsi="Arial" w:cs="Arial"/>
          <w:sz w:val="22"/>
          <w:szCs w:val="22"/>
        </w:rPr>
        <w:lastRenderedPageBreak/>
        <w:t xml:space="preserve">buy Fred’s player is not valid anymore. </w:t>
      </w:r>
      <w:r w:rsidR="00897266">
        <w:rPr>
          <w:rFonts w:ascii="Arial" w:hAnsi="Arial" w:cs="Arial"/>
          <w:sz w:val="22"/>
          <w:szCs w:val="22"/>
        </w:rPr>
        <w:t>George has the right to do this and Fred cannot sue for breach of contract because the acceptance in this case becomes affective when the letter is posted which was after George already bought a new player. The postal rule applies. “</w:t>
      </w:r>
      <w:r w:rsidR="00897266" w:rsidRPr="00897266">
        <w:rPr>
          <w:rFonts w:ascii="Arial" w:hAnsi="Arial" w:cs="Arial"/>
          <w:sz w:val="22"/>
          <w:szCs w:val="22"/>
        </w:rPr>
        <w:t xml:space="preserve">Adams v </w:t>
      </w:r>
      <w:proofErr w:type="spellStart"/>
      <w:r w:rsidR="00897266" w:rsidRPr="00897266">
        <w:rPr>
          <w:rFonts w:ascii="Arial" w:hAnsi="Arial" w:cs="Arial"/>
          <w:sz w:val="22"/>
          <w:szCs w:val="22"/>
        </w:rPr>
        <w:t>Lindsell</w:t>
      </w:r>
      <w:proofErr w:type="spellEnd"/>
      <w:r w:rsidR="00897266" w:rsidRPr="00897266">
        <w:rPr>
          <w:rFonts w:ascii="Arial" w:hAnsi="Arial" w:cs="Arial"/>
          <w:sz w:val="22"/>
          <w:szCs w:val="22"/>
        </w:rPr>
        <w:t xml:space="preserve"> (1818)</w:t>
      </w:r>
      <w:r w:rsidR="00897266">
        <w:rPr>
          <w:rFonts w:ascii="Arial" w:hAnsi="Arial" w:cs="Arial"/>
          <w:sz w:val="22"/>
          <w:szCs w:val="22"/>
        </w:rPr>
        <w:t>”</w:t>
      </w:r>
    </w:p>
    <w:p w:rsidR="00897266" w:rsidRDefault="00897266" w:rsidP="004232DD">
      <w:pPr>
        <w:jc w:val="both"/>
        <w:rPr>
          <w:rFonts w:ascii="Arial" w:hAnsi="Arial" w:cs="Arial"/>
          <w:sz w:val="22"/>
          <w:szCs w:val="22"/>
        </w:rPr>
      </w:pPr>
    </w:p>
    <w:p w:rsidR="00897266" w:rsidRDefault="00897266" w:rsidP="004232DD">
      <w:pPr>
        <w:jc w:val="both"/>
        <w:rPr>
          <w:rFonts w:ascii="Arial" w:hAnsi="Arial" w:cs="Arial"/>
          <w:sz w:val="22"/>
          <w:szCs w:val="22"/>
        </w:rPr>
      </w:pPr>
    </w:p>
    <w:p w:rsidR="00897266" w:rsidRDefault="00897266" w:rsidP="004232DD">
      <w:pPr>
        <w:jc w:val="both"/>
        <w:rPr>
          <w:rFonts w:ascii="Arial" w:hAnsi="Arial" w:cs="Arial"/>
          <w:sz w:val="22"/>
          <w:szCs w:val="22"/>
        </w:rPr>
      </w:pPr>
      <w:r>
        <w:rPr>
          <w:rFonts w:ascii="Arial" w:hAnsi="Arial" w:cs="Arial"/>
          <w:sz w:val="22"/>
          <w:szCs w:val="22"/>
        </w:rPr>
        <w:t>Question 2</w:t>
      </w:r>
    </w:p>
    <w:p w:rsidR="00897266" w:rsidRDefault="00897266" w:rsidP="004232DD">
      <w:pPr>
        <w:jc w:val="both"/>
        <w:rPr>
          <w:rFonts w:ascii="Arial" w:hAnsi="Arial" w:cs="Arial"/>
          <w:sz w:val="22"/>
          <w:szCs w:val="22"/>
        </w:rPr>
      </w:pPr>
    </w:p>
    <w:p w:rsidR="00897266" w:rsidRDefault="005F3702" w:rsidP="004232DD">
      <w:pPr>
        <w:jc w:val="both"/>
        <w:rPr>
          <w:rFonts w:ascii="Arial" w:hAnsi="Arial" w:cs="Arial"/>
          <w:sz w:val="22"/>
          <w:szCs w:val="22"/>
        </w:rPr>
      </w:pPr>
      <w:r>
        <w:rPr>
          <w:rFonts w:ascii="Arial" w:hAnsi="Arial" w:cs="Arial"/>
          <w:sz w:val="22"/>
          <w:szCs w:val="22"/>
        </w:rPr>
        <w:t>a)</w:t>
      </w:r>
    </w:p>
    <w:p w:rsidR="005F3702" w:rsidRDefault="005F3702" w:rsidP="004232DD">
      <w:pPr>
        <w:jc w:val="both"/>
        <w:rPr>
          <w:rFonts w:ascii="Arial" w:hAnsi="Arial" w:cs="Arial"/>
          <w:sz w:val="22"/>
          <w:szCs w:val="22"/>
        </w:rPr>
      </w:pPr>
    </w:p>
    <w:p w:rsidR="0021183A" w:rsidRDefault="005F3702" w:rsidP="0021183A">
      <w:pPr>
        <w:rPr>
          <w:rFonts w:ascii="Arial" w:hAnsi="Arial" w:cs="Arial"/>
          <w:sz w:val="22"/>
          <w:szCs w:val="22"/>
        </w:rPr>
      </w:pPr>
      <w:r>
        <w:rPr>
          <w:rFonts w:ascii="Arial" w:hAnsi="Arial" w:cs="Arial"/>
          <w:sz w:val="22"/>
          <w:szCs w:val="22"/>
        </w:rPr>
        <w:t>The contract states that the claimant’s husband is to be paid 10 days after the arrival of the ship from Jamaica in Liverpool</w:t>
      </w:r>
      <w:r w:rsidR="0021183A">
        <w:rPr>
          <w:rFonts w:ascii="Arial" w:hAnsi="Arial" w:cs="Arial"/>
          <w:sz w:val="22"/>
          <w:szCs w:val="22"/>
        </w:rPr>
        <w:t xml:space="preserve"> given that he did his duty as a second mate on the ship</w:t>
      </w:r>
      <w:r>
        <w:rPr>
          <w:rFonts w:ascii="Arial" w:hAnsi="Arial" w:cs="Arial"/>
          <w:sz w:val="22"/>
          <w:szCs w:val="22"/>
        </w:rPr>
        <w:t>. The journey from King</w:t>
      </w:r>
      <w:r w:rsidR="0021183A">
        <w:rPr>
          <w:rFonts w:ascii="Arial" w:hAnsi="Arial" w:cs="Arial"/>
          <w:sz w:val="22"/>
          <w:szCs w:val="22"/>
        </w:rPr>
        <w:t xml:space="preserve">ston to the port of Liverpool took around 8 weeks at the time. The claimant’s husband dies 6 weeks into the journey. The case was held because </w:t>
      </w:r>
      <w:r w:rsidR="0021183A" w:rsidRPr="0021183A">
        <w:rPr>
          <w:rFonts w:ascii="Arial" w:hAnsi="Arial" w:cs="Arial"/>
          <w:sz w:val="22"/>
          <w:szCs w:val="22"/>
        </w:rPr>
        <w:t>Payment was on condition that he worked the ship to Liverpool, since he did not fulfil this condition the widow was entitled to nothing.</w:t>
      </w:r>
      <w:r w:rsidR="0021183A">
        <w:rPr>
          <w:rFonts w:ascii="Arial" w:hAnsi="Arial" w:cs="Arial"/>
          <w:sz w:val="22"/>
          <w:szCs w:val="22"/>
        </w:rPr>
        <w:t xml:space="preserve"> </w:t>
      </w:r>
      <w:r w:rsidR="0021183A" w:rsidRPr="0021183A">
        <w:rPr>
          <w:rFonts w:ascii="Arial" w:hAnsi="Arial" w:cs="Arial"/>
          <w:sz w:val="22"/>
          <w:szCs w:val="22"/>
        </w:rPr>
        <w:t>A contract becomes discharged through performance where both parties have fully performed their contractual obligations. If one party does not fully perfo</w:t>
      </w:r>
      <w:r w:rsidR="0021183A">
        <w:rPr>
          <w:rFonts w:ascii="Arial" w:hAnsi="Arial" w:cs="Arial"/>
          <w:sz w:val="22"/>
          <w:szCs w:val="22"/>
        </w:rPr>
        <w:t xml:space="preserve">rm the contract this will result in </w:t>
      </w:r>
      <w:r w:rsidR="0021183A" w:rsidRPr="0021183A">
        <w:rPr>
          <w:rFonts w:ascii="Arial" w:hAnsi="Arial" w:cs="Arial"/>
          <w:sz w:val="22"/>
          <w:szCs w:val="22"/>
        </w:rPr>
        <w:t>breach of contract and the other party may have a claim for damages unless the contract has been frustrated.</w:t>
      </w:r>
      <w:r w:rsidR="0021183A">
        <w:rPr>
          <w:rFonts w:ascii="Arial" w:hAnsi="Arial" w:cs="Arial"/>
          <w:sz w:val="22"/>
          <w:szCs w:val="22"/>
        </w:rPr>
        <w:t xml:space="preserve"> Completion of the contract triggers the requirement for payment but in this case there isn’t a completion so therefore there is no payment. This rule was established in Cutter v Powell but obviously it was capable of causing injustice in the future s</w:t>
      </w:r>
      <w:r w:rsidR="00705A5A">
        <w:rPr>
          <w:rFonts w:ascii="Arial" w:hAnsi="Arial" w:cs="Arial"/>
          <w:sz w:val="22"/>
          <w:szCs w:val="22"/>
        </w:rPr>
        <w:t>o, some exceptions were created after. One exception is where the court is satisfied that the substantial performance is present. Then the court could award the contractually agreed price and deduct sums to reflect the amount that wasn’t performed. If the performance isn’t held to amount to substantial performance the claimant is not obliged with anything. It is hard to judge as to what amounts to substantial performance so there isn’t a precise limit set down but it is to be determined based on the facts surrounding differen</w:t>
      </w:r>
      <w:r w:rsidR="00753B16">
        <w:rPr>
          <w:rFonts w:ascii="Arial" w:hAnsi="Arial" w:cs="Arial"/>
          <w:sz w:val="22"/>
          <w:szCs w:val="22"/>
        </w:rPr>
        <w:t>t individual cases. In “</w:t>
      </w:r>
      <w:r w:rsidR="00753B16" w:rsidRPr="00753B16">
        <w:rPr>
          <w:rFonts w:ascii="Arial" w:hAnsi="Arial" w:cs="Arial"/>
          <w:sz w:val="22"/>
          <w:szCs w:val="22"/>
        </w:rPr>
        <w:t xml:space="preserve">Bolton v </w:t>
      </w:r>
      <w:proofErr w:type="spellStart"/>
      <w:r w:rsidR="00753B16" w:rsidRPr="00753B16">
        <w:rPr>
          <w:rFonts w:ascii="Arial" w:hAnsi="Arial" w:cs="Arial"/>
          <w:sz w:val="22"/>
          <w:szCs w:val="22"/>
        </w:rPr>
        <w:t>Mahadeva</w:t>
      </w:r>
      <w:proofErr w:type="spellEnd"/>
      <w:r w:rsidR="00753B16" w:rsidRPr="00753B16">
        <w:rPr>
          <w:rFonts w:ascii="Arial" w:hAnsi="Arial" w:cs="Arial"/>
          <w:sz w:val="22"/>
          <w:szCs w:val="22"/>
        </w:rPr>
        <w:t xml:space="preserve"> [1972]</w:t>
      </w:r>
      <w:r w:rsidR="00753B16">
        <w:rPr>
          <w:rFonts w:ascii="Arial" w:hAnsi="Arial" w:cs="Arial"/>
          <w:sz w:val="22"/>
          <w:szCs w:val="22"/>
        </w:rPr>
        <w:t>” the claimant failed to enforce the payment because the court held there was no substantial performance.</w:t>
      </w:r>
    </w:p>
    <w:p w:rsidR="00705A5A" w:rsidRDefault="00705A5A" w:rsidP="0021183A">
      <w:pPr>
        <w:rPr>
          <w:rFonts w:ascii="Arial" w:hAnsi="Arial" w:cs="Arial"/>
          <w:sz w:val="22"/>
          <w:szCs w:val="22"/>
        </w:rPr>
      </w:pPr>
    </w:p>
    <w:p w:rsidR="005F3702" w:rsidRDefault="00753B16" w:rsidP="004232DD">
      <w:pPr>
        <w:jc w:val="both"/>
        <w:rPr>
          <w:rFonts w:ascii="Arial" w:hAnsi="Arial" w:cs="Arial"/>
          <w:sz w:val="22"/>
          <w:szCs w:val="22"/>
        </w:rPr>
      </w:pPr>
      <w:r>
        <w:rPr>
          <w:rFonts w:ascii="Arial" w:hAnsi="Arial" w:cs="Arial"/>
          <w:sz w:val="22"/>
          <w:szCs w:val="22"/>
        </w:rPr>
        <w:t>b)</w:t>
      </w:r>
    </w:p>
    <w:p w:rsidR="00753B16" w:rsidRDefault="00753B16" w:rsidP="004232DD">
      <w:pPr>
        <w:jc w:val="both"/>
        <w:rPr>
          <w:rFonts w:ascii="Arial" w:hAnsi="Arial" w:cs="Arial"/>
          <w:sz w:val="22"/>
          <w:szCs w:val="22"/>
        </w:rPr>
      </w:pPr>
    </w:p>
    <w:p w:rsidR="00EC2F7A" w:rsidRDefault="00EC2F7A" w:rsidP="004232DD">
      <w:pPr>
        <w:jc w:val="both"/>
        <w:rPr>
          <w:rFonts w:ascii="Arial" w:hAnsi="Arial" w:cs="Arial"/>
          <w:sz w:val="22"/>
          <w:szCs w:val="22"/>
        </w:rPr>
      </w:pPr>
      <w:r>
        <w:rPr>
          <w:rFonts w:ascii="Arial" w:hAnsi="Arial" w:cs="Arial"/>
          <w:sz w:val="22"/>
          <w:szCs w:val="22"/>
        </w:rPr>
        <w:t xml:space="preserve">Discharge of a contract is when the parties involved are relieved from the contractual obligations. Under different conditions, a contract can be discharged by performance, agreement, frustration and breach. </w:t>
      </w:r>
    </w:p>
    <w:p w:rsidR="00EC2F7A" w:rsidRDefault="00EC2F7A" w:rsidP="004232DD">
      <w:pPr>
        <w:jc w:val="both"/>
        <w:rPr>
          <w:rFonts w:ascii="Arial" w:hAnsi="Arial" w:cs="Arial"/>
          <w:sz w:val="22"/>
          <w:szCs w:val="22"/>
        </w:rPr>
      </w:pPr>
    </w:p>
    <w:p w:rsidR="00EC2F7A" w:rsidRDefault="00EC2F7A" w:rsidP="004232DD">
      <w:pPr>
        <w:jc w:val="both"/>
        <w:rPr>
          <w:rFonts w:ascii="Arial" w:hAnsi="Arial" w:cs="Arial"/>
          <w:sz w:val="22"/>
          <w:szCs w:val="22"/>
        </w:rPr>
      </w:pPr>
      <w:r>
        <w:rPr>
          <w:rFonts w:ascii="Arial" w:hAnsi="Arial" w:cs="Arial"/>
          <w:sz w:val="22"/>
          <w:szCs w:val="22"/>
        </w:rPr>
        <w:t xml:space="preserve">Bilateral discharge is where both parties have some right to surrender and it has several effects. For example in “Berry v Berry [1951]” the court held that the simple contract was a defence to an action brought by the wife to recover a sum fixed by deed of separation. </w:t>
      </w:r>
    </w:p>
    <w:p w:rsidR="00EC2F7A" w:rsidRDefault="00EC2F7A" w:rsidP="004232DD">
      <w:pPr>
        <w:jc w:val="both"/>
        <w:rPr>
          <w:rFonts w:ascii="Arial" w:hAnsi="Arial" w:cs="Arial"/>
          <w:sz w:val="22"/>
          <w:szCs w:val="22"/>
        </w:rPr>
      </w:pPr>
    </w:p>
    <w:p w:rsidR="00EC2F7A" w:rsidRDefault="00EC2F7A" w:rsidP="004232DD">
      <w:pPr>
        <w:jc w:val="both"/>
        <w:rPr>
          <w:rFonts w:ascii="Arial" w:hAnsi="Arial" w:cs="Arial"/>
          <w:sz w:val="22"/>
          <w:szCs w:val="22"/>
          <w:shd w:val="clear" w:color="auto" w:fill="FFFFFF"/>
        </w:rPr>
      </w:pPr>
      <w:r>
        <w:rPr>
          <w:rFonts w:ascii="Arial" w:hAnsi="Arial" w:cs="Arial"/>
          <w:sz w:val="22"/>
          <w:szCs w:val="22"/>
        </w:rPr>
        <w:t xml:space="preserve">Unilateral discharge is where only one of the parties has rights to surrender, where one party has performed their obligations of the agreement so they are no longer </w:t>
      </w:r>
      <w:r w:rsidR="00A87398">
        <w:rPr>
          <w:rFonts w:ascii="Arial" w:hAnsi="Arial" w:cs="Arial"/>
          <w:sz w:val="22"/>
          <w:szCs w:val="22"/>
        </w:rPr>
        <w:t>under obligation to perform but has the rights to compel performance agreement of the other party. “</w:t>
      </w:r>
      <w:r w:rsidR="00A87398" w:rsidRPr="00A87398">
        <w:rPr>
          <w:rFonts w:ascii="Arial" w:hAnsi="Arial" w:cs="Arial"/>
          <w:sz w:val="22"/>
          <w:szCs w:val="22"/>
        </w:rPr>
        <w:t xml:space="preserve">British </w:t>
      </w:r>
      <w:r w:rsidR="00A87398" w:rsidRPr="00A87398">
        <w:rPr>
          <w:rFonts w:ascii="Arial" w:hAnsi="Arial" w:cs="Arial"/>
          <w:sz w:val="22"/>
          <w:szCs w:val="22"/>
          <w:shd w:val="clear" w:color="auto" w:fill="FFFFFF"/>
        </w:rPr>
        <w:t>Russian Gazette v Associated Newspapers Ltd</w:t>
      </w:r>
      <w:r w:rsidR="00A87398">
        <w:rPr>
          <w:rFonts w:ascii="Arial" w:hAnsi="Arial" w:cs="Arial"/>
          <w:sz w:val="22"/>
          <w:szCs w:val="22"/>
          <w:shd w:val="clear" w:color="auto" w:fill="FFFFFF"/>
        </w:rPr>
        <w:t xml:space="preserve"> [1933]” </w:t>
      </w:r>
    </w:p>
    <w:p w:rsidR="00A87398" w:rsidRDefault="00A87398" w:rsidP="004232DD">
      <w:pPr>
        <w:jc w:val="both"/>
        <w:rPr>
          <w:rFonts w:ascii="Arial" w:hAnsi="Arial" w:cs="Arial"/>
          <w:sz w:val="22"/>
          <w:szCs w:val="22"/>
          <w:shd w:val="clear" w:color="auto" w:fill="FFFFFF"/>
        </w:rPr>
      </w:pPr>
    </w:p>
    <w:p w:rsidR="00A87398" w:rsidRDefault="00A87398" w:rsidP="004232DD">
      <w:pPr>
        <w:jc w:val="both"/>
        <w:rPr>
          <w:rFonts w:ascii="Arial" w:hAnsi="Arial" w:cs="Arial"/>
          <w:sz w:val="22"/>
          <w:szCs w:val="22"/>
          <w:shd w:val="clear" w:color="auto" w:fill="FFFFFF"/>
        </w:rPr>
      </w:pPr>
    </w:p>
    <w:p w:rsidR="00A87398" w:rsidRDefault="00A87398" w:rsidP="004232DD">
      <w:pPr>
        <w:jc w:val="both"/>
        <w:rPr>
          <w:rFonts w:ascii="Arial" w:hAnsi="Arial" w:cs="Arial"/>
          <w:sz w:val="22"/>
          <w:szCs w:val="22"/>
          <w:shd w:val="clear" w:color="auto" w:fill="FFFFFF"/>
        </w:rPr>
      </w:pPr>
      <w:r>
        <w:rPr>
          <w:rFonts w:ascii="Arial" w:hAnsi="Arial" w:cs="Arial"/>
          <w:sz w:val="22"/>
          <w:szCs w:val="22"/>
          <w:shd w:val="clear" w:color="auto" w:fill="FFFFFF"/>
        </w:rPr>
        <w:t>Question 3</w:t>
      </w:r>
    </w:p>
    <w:p w:rsidR="00A87398" w:rsidRDefault="00A87398" w:rsidP="004232DD">
      <w:pPr>
        <w:jc w:val="both"/>
        <w:rPr>
          <w:rFonts w:ascii="Arial" w:hAnsi="Arial" w:cs="Arial"/>
          <w:sz w:val="22"/>
          <w:szCs w:val="22"/>
          <w:shd w:val="clear" w:color="auto" w:fill="FFFFFF"/>
        </w:rPr>
      </w:pPr>
    </w:p>
    <w:p w:rsidR="00A87398" w:rsidRDefault="00A87398" w:rsidP="004232DD">
      <w:pPr>
        <w:jc w:val="both"/>
        <w:rPr>
          <w:rFonts w:ascii="Arial" w:hAnsi="Arial" w:cs="Arial"/>
          <w:sz w:val="22"/>
          <w:szCs w:val="22"/>
        </w:rPr>
      </w:pPr>
      <w:r>
        <w:rPr>
          <w:rFonts w:ascii="Arial" w:hAnsi="Arial" w:cs="Arial"/>
          <w:sz w:val="22"/>
          <w:szCs w:val="22"/>
        </w:rPr>
        <w:t>a)</w:t>
      </w:r>
    </w:p>
    <w:p w:rsidR="00A87398" w:rsidRDefault="00A87398" w:rsidP="004232DD">
      <w:pPr>
        <w:jc w:val="both"/>
        <w:rPr>
          <w:rFonts w:ascii="Arial" w:hAnsi="Arial" w:cs="Arial"/>
          <w:sz w:val="22"/>
          <w:szCs w:val="22"/>
        </w:rPr>
      </w:pPr>
    </w:p>
    <w:p w:rsidR="00A87398" w:rsidRDefault="00F3295E" w:rsidP="00A87398">
      <w:pPr>
        <w:jc w:val="both"/>
        <w:rPr>
          <w:rFonts w:ascii="Arial" w:hAnsi="Arial" w:cs="Arial"/>
          <w:sz w:val="22"/>
          <w:szCs w:val="22"/>
          <w:shd w:val="clear" w:color="auto" w:fill="FFFFFF"/>
        </w:rPr>
      </w:pPr>
      <w:r>
        <w:rPr>
          <w:rFonts w:ascii="Arial" w:hAnsi="Arial" w:cs="Arial"/>
          <w:sz w:val="22"/>
          <w:szCs w:val="22"/>
        </w:rPr>
        <w:t>Court may hold that the oral statements following the formation of the written contract could represent a collateral contract which runs alongside the written one. For instance in “</w:t>
      </w:r>
      <w:r w:rsidRPr="00F3295E">
        <w:rPr>
          <w:rFonts w:ascii="Arial" w:hAnsi="Arial" w:cs="Arial"/>
          <w:sz w:val="22"/>
          <w:szCs w:val="22"/>
        </w:rPr>
        <w:t>Henderson v Arthur [1907]</w:t>
      </w:r>
      <w:r>
        <w:rPr>
          <w:rFonts w:ascii="Arial" w:hAnsi="Arial" w:cs="Arial"/>
          <w:sz w:val="22"/>
          <w:szCs w:val="22"/>
        </w:rPr>
        <w:t>” the court found for the claimant, because the written contract superseded all other agreements and invalidated any differing prior agreements between the two parties.</w:t>
      </w:r>
      <w:r w:rsidR="007622D3">
        <w:rPr>
          <w:rFonts w:ascii="Arial" w:hAnsi="Arial" w:cs="Arial"/>
          <w:sz w:val="22"/>
          <w:szCs w:val="22"/>
        </w:rPr>
        <w:t xml:space="preserve"> </w:t>
      </w:r>
      <w:r w:rsidR="007622D3" w:rsidRPr="007622D3">
        <w:rPr>
          <w:rFonts w:ascii="Arial" w:hAnsi="Arial" w:cs="Arial"/>
          <w:sz w:val="22"/>
          <w:szCs w:val="22"/>
          <w:shd w:val="clear" w:color="auto" w:fill="FFFFFF"/>
        </w:rPr>
        <w:t>T</w:t>
      </w:r>
      <w:r w:rsidRPr="007622D3">
        <w:rPr>
          <w:rFonts w:ascii="Arial" w:hAnsi="Arial" w:cs="Arial"/>
          <w:sz w:val="22"/>
          <w:szCs w:val="22"/>
          <w:shd w:val="clear" w:color="auto" w:fill="FFFFFF"/>
        </w:rPr>
        <w:t xml:space="preserve">he Court viewed that the circumstances in which they </w:t>
      </w:r>
      <w:proofErr w:type="gramStart"/>
      <w:r w:rsidRPr="007622D3">
        <w:rPr>
          <w:rFonts w:ascii="Arial" w:hAnsi="Arial" w:cs="Arial"/>
          <w:sz w:val="22"/>
          <w:szCs w:val="22"/>
          <w:shd w:val="clear" w:color="auto" w:fill="FFFFFF"/>
        </w:rPr>
        <w:t>ought</w:t>
      </w:r>
      <w:proofErr w:type="gramEnd"/>
      <w:r w:rsidRPr="007622D3">
        <w:rPr>
          <w:rFonts w:ascii="Arial" w:hAnsi="Arial" w:cs="Arial"/>
          <w:sz w:val="22"/>
          <w:szCs w:val="22"/>
          <w:shd w:val="clear" w:color="auto" w:fill="FFFFFF"/>
        </w:rPr>
        <w:t xml:space="preserve"> reasonably </w:t>
      </w:r>
      <w:r w:rsidRPr="007622D3">
        <w:rPr>
          <w:rFonts w:ascii="Arial" w:hAnsi="Arial" w:cs="Arial"/>
          <w:sz w:val="22"/>
          <w:szCs w:val="22"/>
          <w:shd w:val="clear" w:color="auto" w:fill="FFFFFF"/>
        </w:rPr>
        <w:lastRenderedPageBreak/>
        <w:t xml:space="preserve">consider extrinsic evidence when interpreting a contract was limited and as the defendant could have included the contents of the oral agreement in the written agreement, but failed to do so, they could not then attempt to rely upon the oral agreement at a later date. </w:t>
      </w:r>
    </w:p>
    <w:p w:rsidR="007622D3" w:rsidRDefault="007622D3" w:rsidP="00A87398">
      <w:pPr>
        <w:jc w:val="both"/>
        <w:rPr>
          <w:rFonts w:ascii="Arial" w:hAnsi="Arial" w:cs="Arial"/>
          <w:sz w:val="22"/>
          <w:szCs w:val="22"/>
          <w:shd w:val="clear" w:color="auto" w:fill="FFFFFF"/>
        </w:rPr>
      </w:pPr>
    </w:p>
    <w:p w:rsidR="007622D3" w:rsidRDefault="007622D3" w:rsidP="00A87398">
      <w:pPr>
        <w:jc w:val="both"/>
        <w:rPr>
          <w:rFonts w:ascii="Arial" w:hAnsi="Arial" w:cs="Arial"/>
          <w:sz w:val="22"/>
          <w:szCs w:val="22"/>
          <w:shd w:val="clear" w:color="auto" w:fill="FFFFFF"/>
        </w:rPr>
      </w:pPr>
      <w:r>
        <w:rPr>
          <w:rFonts w:ascii="Arial" w:hAnsi="Arial" w:cs="Arial"/>
          <w:sz w:val="22"/>
          <w:szCs w:val="22"/>
          <w:shd w:val="clear" w:color="auto" w:fill="FFFFFF"/>
        </w:rPr>
        <w:t>b)</w:t>
      </w:r>
    </w:p>
    <w:p w:rsidR="007622D3" w:rsidRDefault="007622D3" w:rsidP="00A87398">
      <w:pPr>
        <w:jc w:val="both"/>
        <w:rPr>
          <w:rFonts w:ascii="Arial" w:hAnsi="Arial" w:cs="Arial"/>
          <w:sz w:val="22"/>
          <w:szCs w:val="22"/>
          <w:shd w:val="clear" w:color="auto" w:fill="FFFFFF"/>
        </w:rPr>
      </w:pPr>
    </w:p>
    <w:p w:rsidR="007622D3" w:rsidRDefault="007622D3" w:rsidP="00A87398">
      <w:pPr>
        <w:jc w:val="both"/>
        <w:rPr>
          <w:rFonts w:ascii="Arial" w:hAnsi="Arial" w:cs="Arial"/>
          <w:sz w:val="22"/>
          <w:szCs w:val="22"/>
        </w:rPr>
      </w:pPr>
      <w:r>
        <w:rPr>
          <w:rFonts w:ascii="Arial" w:hAnsi="Arial" w:cs="Arial"/>
          <w:sz w:val="22"/>
          <w:szCs w:val="22"/>
        </w:rPr>
        <w:t>The three groups of implied terms on contracts are:</w:t>
      </w:r>
    </w:p>
    <w:p w:rsidR="007622D3" w:rsidRDefault="007622D3" w:rsidP="00A87398">
      <w:pPr>
        <w:jc w:val="both"/>
        <w:rPr>
          <w:rFonts w:ascii="Arial" w:hAnsi="Arial" w:cs="Arial"/>
          <w:sz w:val="22"/>
          <w:szCs w:val="22"/>
        </w:rPr>
      </w:pPr>
    </w:p>
    <w:p w:rsidR="007622D3" w:rsidRDefault="007622D3" w:rsidP="00A87398">
      <w:pPr>
        <w:jc w:val="both"/>
        <w:rPr>
          <w:rFonts w:ascii="Arial" w:hAnsi="Arial" w:cs="Arial"/>
          <w:sz w:val="22"/>
          <w:szCs w:val="22"/>
        </w:rPr>
      </w:pPr>
      <w:r>
        <w:rPr>
          <w:rFonts w:ascii="Arial" w:hAnsi="Arial" w:cs="Arial"/>
          <w:sz w:val="22"/>
          <w:szCs w:val="22"/>
        </w:rPr>
        <w:t>-Terms implied in fact, when a court can include these terms in a contract to ensure the document reflects the parties’ real intentions. Often, they are terms that aren’t thought to be expressly included in the contract because they “go without saying”</w:t>
      </w:r>
    </w:p>
    <w:p w:rsidR="007622D3" w:rsidRDefault="007622D3" w:rsidP="004232DD">
      <w:pPr>
        <w:jc w:val="both"/>
        <w:rPr>
          <w:rFonts w:ascii="Arial" w:hAnsi="Arial" w:cs="Arial"/>
          <w:sz w:val="22"/>
          <w:szCs w:val="22"/>
        </w:rPr>
      </w:pPr>
    </w:p>
    <w:p w:rsidR="007622D3" w:rsidRDefault="007622D3" w:rsidP="004232DD">
      <w:pPr>
        <w:jc w:val="both"/>
        <w:rPr>
          <w:rFonts w:ascii="Arial" w:hAnsi="Arial" w:cs="Arial"/>
          <w:sz w:val="22"/>
          <w:szCs w:val="22"/>
        </w:rPr>
      </w:pPr>
      <w:r>
        <w:rPr>
          <w:rFonts w:ascii="Arial" w:hAnsi="Arial" w:cs="Arial"/>
          <w:sz w:val="22"/>
          <w:szCs w:val="22"/>
        </w:rPr>
        <w:t>-Terms implied by law, when parties can automatically assume that terms implied by law form part of certain categories of contracts because of legislation or previous court decisions. If a contract falls into a given category, it probably has particular default terms.</w:t>
      </w:r>
    </w:p>
    <w:p w:rsidR="007622D3" w:rsidRDefault="007622D3" w:rsidP="004232DD">
      <w:pPr>
        <w:jc w:val="both"/>
        <w:rPr>
          <w:rFonts w:ascii="Arial" w:hAnsi="Arial" w:cs="Arial"/>
          <w:sz w:val="22"/>
          <w:szCs w:val="22"/>
        </w:rPr>
      </w:pPr>
    </w:p>
    <w:p w:rsidR="00544FA4" w:rsidRDefault="007622D3" w:rsidP="004232DD">
      <w:pPr>
        <w:jc w:val="both"/>
        <w:rPr>
          <w:rFonts w:ascii="Arial" w:hAnsi="Arial" w:cs="Arial"/>
          <w:sz w:val="22"/>
          <w:szCs w:val="22"/>
        </w:rPr>
      </w:pPr>
      <w:r>
        <w:rPr>
          <w:rFonts w:ascii="Arial" w:hAnsi="Arial" w:cs="Arial"/>
          <w:sz w:val="22"/>
          <w:szCs w:val="22"/>
        </w:rPr>
        <w:t xml:space="preserve">-Terms implied as a result of past dealings, </w:t>
      </w:r>
      <w:r w:rsidR="00544FA4">
        <w:rPr>
          <w:rFonts w:ascii="Arial" w:hAnsi="Arial" w:cs="Arial"/>
          <w:sz w:val="22"/>
          <w:szCs w:val="22"/>
        </w:rPr>
        <w:t>where parties have a recurring relationship, the court could imply terms into a contract based on the both parties’ past behaviour. This most accurate where a contract is an informal agreement that only outlines the key terms.</w:t>
      </w:r>
    </w:p>
    <w:p w:rsidR="00544FA4" w:rsidRDefault="00544FA4" w:rsidP="004232DD">
      <w:pPr>
        <w:jc w:val="both"/>
        <w:rPr>
          <w:rFonts w:ascii="Arial" w:hAnsi="Arial" w:cs="Arial"/>
          <w:sz w:val="22"/>
          <w:szCs w:val="22"/>
        </w:rPr>
      </w:pPr>
    </w:p>
    <w:p w:rsidR="00544FA4" w:rsidRDefault="00544FA4" w:rsidP="004232DD">
      <w:pPr>
        <w:jc w:val="both"/>
        <w:rPr>
          <w:rFonts w:ascii="Arial" w:hAnsi="Arial" w:cs="Arial"/>
          <w:sz w:val="22"/>
          <w:szCs w:val="22"/>
        </w:rPr>
      </w:pPr>
    </w:p>
    <w:p w:rsidR="00544FA4" w:rsidRDefault="00544FA4" w:rsidP="004232DD">
      <w:pPr>
        <w:jc w:val="both"/>
        <w:rPr>
          <w:rFonts w:ascii="Arial" w:hAnsi="Arial" w:cs="Arial"/>
          <w:sz w:val="22"/>
          <w:szCs w:val="22"/>
        </w:rPr>
      </w:pPr>
      <w:r>
        <w:rPr>
          <w:rFonts w:ascii="Arial" w:hAnsi="Arial" w:cs="Arial"/>
          <w:sz w:val="22"/>
          <w:szCs w:val="22"/>
        </w:rPr>
        <w:t>Question 4</w:t>
      </w:r>
    </w:p>
    <w:p w:rsidR="00544FA4" w:rsidRDefault="00544FA4" w:rsidP="004232DD">
      <w:pPr>
        <w:jc w:val="both"/>
        <w:rPr>
          <w:rFonts w:ascii="Arial" w:hAnsi="Arial" w:cs="Arial"/>
          <w:sz w:val="22"/>
          <w:szCs w:val="22"/>
        </w:rPr>
      </w:pPr>
    </w:p>
    <w:p w:rsidR="00544FA4" w:rsidRDefault="00544FA4" w:rsidP="004232DD">
      <w:pPr>
        <w:jc w:val="both"/>
        <w:rPr>
          <w:rFonts w:ascii="Arial" w:hAnsi="Arial" w:cs="Arial"/>
          <w:sz w:val="22"/>
          <w:szCs w:val="22"/>
        </w:rPr>
      </w:pPr>
      <w:r>
        <w:rPr>
          <w:rFonts w:ascii="Arial" w:hAnsi="Arial" w:cs="Arial"/>
          <w:sz w:val="22"/>
          <w:szCs w:val="22"/>
        </w:rPr>
        <w:t>A misrepresentation is a false statement of fact or law that induces the representee to enter a contract. There are three types of misrepresentation; innocent, negligent and fraudulent.</w:t>
      </w:r>
    </w:p>
    <w:p w:rsidR="00544FA4" w:rsidRDefault="00544FA4" w:rsidP="004232DD">
      <w:pPr>
        <w:jc w:val="both"/>
        <w:rPr>
          <w:rFonts w:ascii="Arial" w:hAnsi="Arial" w:cs="Arial"/>
          <w:sz w:val="22"/>
          <w:szCs w:val="22"/>
        </w:rPr>
      </w:pPr>
    </w:p>
    <w:p w:rsidR="00895D06" w:rsidRDefault="00544FA4" w:rsidP="004232DD">
      <w:pPr>
        <w:jc w:val="both"/>
        <w:rPr>
          <w:rFonts w:ascii="Arial" w:hAnsi="Arial" w:cs="Arial"/>
          <w:sz w:val="22"/>
          <w:szCs w:val="22"/>
        </w:rPr>
      </w:pPr>
      <w:r>
        <w:rPr>
          <w:rFonts w:ascii="Arial" w:hAnsi="Arial" w:cs="Arial"/>
          <w:sz w:val="22"/>
          <w:szCs w:val="22"/>
        </w:rPr>
        <w:t>An innocent misrepresentation exists where the representor can demonstrate reasonable grounds for belief in the truth of the statement.</w:t>
      </w:r>
      <w:r w:rsidR="00895D06">
        <w:rPr>
          <w:rFonts w:ascii="Arial" w:hAnsi="Arial" w:cs="Arial"/>
          <w:sz w:val="22"/>
          <w:szCs w:val="22"/>
        </w:rPr>
        <w:t xml:space="preserve"> In </w:t>
      </w:r>
      <w:r w:rsidR="00895D06">
        <w:rPr>
          <w:rFonts w:ascii="Arial" w:hAnsi="Arial" w:cs="Arial"/>
          <w:bCs/>
          <w:iCs/>
          <w:sz w:val="22"/>
          <w:szCs w:val="22"/>
          <w:lang w:val="en-US" w:eastAsia="bg-BG"/>
        </w:rPr>
        <w:t>“</w:t>
      </w:r>
      <w:r w:rsidR="00895D06" w:rsidRPr="00895D06">
        <w:rPr>
          <w:rFonts w:ascii="Arial" w:hAnsi="Arial" w:cs="Arial"/>
          <w:bCs/>
          <w:iCs/>
          <w:sz w:val="22"/>
          <w:szCs w:val="22"/>
          <w:lang w:val="bg-BG" w:eastAsia="bg-BG"/>
        </w:rPr>
        <w:t>Redgrave v Hurd</w:t>
      </w:r>
      <w:r w:rsidR="00895D06">
        <w:rPr>
          <w:rFonts w:ascii="Arial" w:hAnsi="Arial" w:cs="Arial"/>
          <w:bCs/>
          <w:sz w:val="22"/>
          <w:szCs w:val="22"/>
          <w:lang w:val="bg-BG" w:eastAsia="bg-BG"/>
        </w:rPr>
        <w:t> </w:t>
      </w:r>
      <w:r w:rsidR="00895D06">
        <w:rPr>
          <w:rFonts w:ascii="Arial" w:hAnsi="Arial" w:cs="Arial"/>
          <w:bCs/>
          <w:sz w:val="22"/>
          <w:szCs w:val="22"/>
          <w:lang w:val="en-US" w:eastAsia="bg-BG"/>
        </w:rPr>
        <w:t>[</w:t>
      </w:r>
      <w:r w:rsidR="00895D06">
        <w:rPr>
          <w:rFonts w:ascii="Arial" w:hAnsi="Arial" w:cs="Arial"/>
          <w:bCs/>
          <w:sz w:val="22"/>
          <w:szCs w:val="22"/>
          <w:lang w:val="bg-BG" w:eastAsia="bg-BG"/>
        </w:rPr>
        <w:t>1881</w:t>
      </w:r>
      <w:r w:rsidR="00895D06">
        <w:rPr>
          <w:rFonts w:ascii="Arial" w:hAnsi="Arial" w:cs="Arial"/>
          <w:bCs/>
          <w:sz w:val="22"/>
          <w:szCs w:val="22"/>
          <w:lang w:val="en-US" w:eastAsia="bg-BG"/>
        </w:rPr>
        <w:t>]”</w:t>
      </w:r>
      <w:r w:rsidR="00895D06">
        <w:rPr>
          <w:rFonts w:ascii="Arial" w:hAnsi="Arial" w:cs="Arial"/>
          <w:sz w:val="22"/>
          <w:szCs w:val="22"/>
          <w:lang w:val="en-US"/>
        </w:rPr>
        <w:t xml:space="preserve"> ,</w:t>
      </w:r>
      <w:r w:rsidR="00895D06">
        <w:rPr>
          <w:rFonts w:ascii="Arial" w:hAnsi="Arial" w:cs="Arial"/>
          <w:sz w:val="22"/>
          <w:szCs w:val="22"/>
        </w:rPr>
        <w:t xml:space="preserve">the claimant was entitled to rescind the contract as he relied on the statement, but he declined the offer to check the books and this reinforced rather than negated that reliance. </w:t>
      </w:r>
    </w:p>
    <w:p w:rsidR="00895D06" w:rsidRDefault="00895D06" w:rsidP="004232DD">
      <w:pPr>
        <w:jc w:val="both"/>
        <w:rPr>
          <w:rFonts w:ascii="Arial" w:hAnsi="Arial" w:cs="Arial"/>
          <w:sz w:val="22"/>
          <w:szCs w:val="22"/>
        </w:rPr>
      </w:pPr>
    </w:p>
    <w:p w:rsidR="00895D06" w:rsidRDefault="00895D06" w:rsidP="004232DD">
      <w:pPr>
        <w:jc w:val="both"/>
        <w:rPr>
          <w:rFonts w:ascii="Arial" w:hAnsi="Arial" w:cs="Arial"/>
          <w:sz w:val="22"/>
          <w:szCs w:val="22"/>
        </w:rPr>
      </w:pPr>
      <w:r>
        <w:rPr>
          <w:rFonts w:ascii="Arial" w:hAnsi="Arial" w:cs="Arial"/>
          <w:sz w:val="22"/>
          <w:szCs w:val="22"/>
        </w:rPr>
        <w:t>A negligent misrepresentation is a statement made without reasonable grounds for belief in its legitimacy. The burden of proof being on the representor to demonstrate they had reasonable grounds for believing if the statement was true. The “</w:t>
      </w:r>
      <w:r w:rsidRPr="00895D06">
        <w:rPr>
          <w:rFonts w:ascii="Arial" w:hAnsi="Arial" w:cs="Arial"/>
          <w:sz w:val="22"/>
          <w:szCs w:val="22"/>
        </w:rPr>
        <w:t>Howard Marine v Ogden [1978]</w:t>
      </w:r>
      <w:r>
        <w:rPr>
          <w:rFonts w:ascii="Arial" w:hAnsi="Arial" w:cs="Arial"/>
          <w:sz w:val="22"/>
          <w:szCs w:val="22"/>
        </w:rPr>
        <w:t>” case was held because the defendant had not discharged the burden of proof by demonstrating they had reasonable grounds to believe in the legitimacy as they had the registration document which contained the right capacity and there was</w:t>
      </w:r>
      <w:r w:rsidR="004B0367">
        <w:rPr>
          <w:rFonts w:ascii="Arial" w:hAnsi="Arial" w:cs="Arial"/>
          <w:sz w:val="22"/>
          <w:szCs w:val="22"/>
        </w:rPr>
        <w:t xml:space="preserve"> no reason for them to choose Lloyds register over the registration document.</w:t>
      </w:r>
    </w:p>
    <w:p w:rsidR="004B0367" w:rsidRDefault="004B0367" w:rsidP="004232DD">
      <w:pPr>
        <w:jc w:val="both"/>
        <w:rPr>
          <w:rFonts w:ascii="Arial" w:hAnsi="Arial" w:cs="Arial"/>
          <w:sz w:val="22"/>
          <w:szCs w:val="22"/>
        </w:rPr>
      </w:pPr>
    </w:p>
    <w:p w:rsidR="00451117" w:rsidRDefault="004B0367" w:rsidP="004232DD">
      <w:pPr>
        <w:jc w:val="both"/>
        <w:rPr>
          <w:rFonts w:ascii="Arial" w:hAnsi="Arial" w:cs="Arial"/>
          <w:sz w:val="22"/>
          <w:szCs w:val="22"/>
        </w:rPr>
      </w:pPr>
      <w:r>
        <w:rPr>
          <w:rFonts w:ascii="Arial" w:hAnsi="Arial" w:cs="Arial"/>
          <w:sz w:val="22"/>
          <w:szCs w:val="22"/>
        </w:rPr>
        <w:t xml:space="preserve">A fraudulent misrepresentation is when one of the parties attempts to persuade the other into action with intent to deceive and based on information that they know to be false and repeat it recklessly for the purposes of deception. Fraudulent misrepresentation has to be a statement made either knowing to be false, </w:t>
      </w:r>
      <w:r w:rsidR="00451117">
        <w:rPr>
          <w:rFonts w:ascii="Arial" w:hAnsi="Arial" w:cs="Arial"/>
          <w:sz w:val="22"/>
          <w:szCs w:val="22"/>
        </w:rPr>
        <w:t xml:space="preserve">without belief in its truth, or recklessly, careless as to whether it is true or false. In “Derry v Peek [1889]” the defendant stated that the company had the right to use steam powered trams as oppose to horse powered, but at the time the right to use steam powered trams was still a subject of approval by the Board of Trade which was later refused. The claimant bought shares in the company in reliance of the statement. A claim was made based on the alleged fraudulent representation of the defendant. The case was held because the statement was not fraudulent but made in the honest belief that approval was forthcoming.  </w:t>
      </w:r>
    </w:p>
    <w:p w:rsidR="004B0367" w:rsidRPr="00451117" w:rsidRDefault="004B0367" w:rsidP="004232DD">
      <w:pPr>
        <w:jc w:val="both"/>
        <w:rPr>
          <w:rFonts w:ascii="Arial" w:hAnsi="Arial" w:cs="Arial"/>
          <w:sz w:val="18"/>
          <w:szCs w:val="18"/>
        </w:rPr>
      </w:pPr>
    </w:p>
    <w:p w:rsidR="00895D06" w:rsidRPr="00451117" w:rsidRDefault="00895D06" w:rsidP="004232DD">
      <w:pPr>
        <w:jc w:val="both"/>
        <w:rPr>
          <w:rFonts w:ascii="Verdana" w:hAnsi="Verdana"/>
          <w:color w:val="000000"/>
          <w:sz w:val="18"/>
          <w:szCs w:val="18"/>
          <w:lang w:val="en-US" w:eastAsia="bg-BG"/>
        </w:rPr>
      </w:pPr>
    </w:p>
    <w:p w:rsidR="00544FA4" w:rsidRPr="00451117" w:rsidRDefault="00544FA4" w:rsidP="004232DD">
      <w:pPr>
        <w:jc w:val="both"/>
        <w:rPr>
          <w:rFonts w:ascii="Verdana" w:hAnsi="Verdana"/>
          <w:color w:val="000000"/>
          <w:sz w:val="18"/>
          <w:szCs w:val="18"/>
          <w:shd w:val="clear" w:color="auto" w:fill="FFFFFF"/>
        </w:rPr>
      </w:pPr>
    </w:p>
    <w:p w:rsidR="00753B16" w:rsidRPr="00451117" w:rsidRDefault="00753B16" w:rsidP="004232DD">
      <w:pPr>
        <w:jc w:val="both"/>
        <w:rPr>
          <w:rFonts w:ascii="Arial" w:hAnsi="Arial" w:cs="Arial"/>
          <w:sz w:val="18"/>
          <w:szCs w:val="18"/>
        </w:rPr>
      </w:pPr>
    </w:p>
    <w:sectPr w:rsidR="00753B16" w:rsidRPr="00451117" w:rsidSect="008E4A6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Verdana">
    <w:panose1 w:val="020B0604030504040204"/>
    <w:charset w:val="CC"/>
    <w:family w:val="swiss"/>
    <w:pitch w:val="variable"/>
    <w:sig w:usb0="A00006FF" w:usb1="4000205B" w:usb2="00000010" w:usb3="00000000" w:csb0="0000019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08"/>
  <w:hyphenationZone w:val="425"/>
  <w:characterSpacingControl w:val="doNotCompress"/>
  <w:compat/>
  <w:rsids>
    <w:rsidRoot w:val="001C195A"/>
    <w:rsid w:val="000C7DB9"/>
    <w:rsid w:val="001C195A"/>
    <w:rsid w:val="0021183A"/>
    <w:rsid w:val="004232DD"/>
    <w:rsid w:val="00451117"/>
    <w:rsid w:val="004B0367"/>
    <w:rsid w:val="00544FA4"/>
    <w:rsid w:val="005F3702"/>
    <w:rsid w:val="00670ABD"/>
    <w:rsid w:val="00705A5A"/>
    <w:rsid w:val="00753B16"/>
    <w:rsid w:val="007622D3"/>
    <w:rsid w:val="00895D06"/>
    <w:rsid w:val="00897266"/>
    <w:rsid w:val="008C3605"/>
    <w:rsid w:val="008E4A65"/>
    <w:rsid w:val="00A87398"/>
    <w:rsid w:val="00D229F8"/>
    <w:rsid w:val="00D401BA"/>
    <w:rsid w:val="00EC2F7A"/>
    <w:rsid w:val="00F3295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195A"/>
    <w:pPr>
      <w:spacing w:after="0" w:line="240" w:lineRule="auto"/>
    </w:pPr>
    <w:rPr>
      <w:rFonts w:ascii="Times New Roman" w:eastAsia="Times New Roman" w:hAnsi="Times New Roman"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1C195A"/>
    <w:pPr>
      <w:spacing w:after="240"/>
    </w:pPr>
    <w:rPr>
      <w:b/>
      <w:caps/>
      <w:sz w:val="28"/>
    </w:rPr>
  </w:style>
  <w:style w:type="paragraph" w:customStyle="1" w:styleId="Exam">
    <w:name w:val="Exam"/>
    <w:basedOn w:val="Normal"/>
    <w:next w:val="Month"/>
    <w:rsid w:val="001C195A"/>
    <w:rPr>
      <w:b/>
      <w:caps/>
    </w:rPr>
  </w:style>
  <w:style w:type="paragraph" w:customStyle="1" w:styleId="Modcode">
    <w:name w:val="Modcode"/>
    <w:basedOn w:val="Normal"/>
    <w:rsid w:val="001C195A"/>
    <w:pPr>
      <w:jc w:val="center"/>
    </w:pPr>
    <w:rPr>
      <w:b/>
      <w:caps/>
      <w:sz w:val="28"/>
    </w:rPr>
  </w:style>
  <w:style w:type="paragraph" w:customStyle="1" w:styleId="Time">
    <w:name w:val="Time"/>
    <w:basedOn w:val="Normal"/>
    <w:next w:val="Answer"/>
    <w:rsid w:val="001C195A"/>
    <w:pPr>
      <w:spacing w:after="240"/>
    </w:pPr>
    <w:rPr>
      <w:b/>
      <w:caps/>
      <w:sz w:val="28"/>
    </w:rPr>
  </w:style>
  <w:style w:type="paragraph" w:customStyle="1" w:styleId="Answer">
    <w:name w:val="Answer"/>
    <w:basedOn w:val="Normal"/>
    <w:next w:val="BodyText"/>
    <w:rsid w:val="001C195A"/>
    <w:rPr>
      <w:b/>
      <w:caps/>
      <w:sz w:val="28"/>
    </w:rPr>
  </w:style>
  <w:style w:type="paragraph" w:customStyle="1" w:styleId="Trinity">
    <w:name w:val="Trinity"/>
    <w:basedOn w:val="Normal"/>
    <w:next w:val="Year"/>
    <w:rsid w:val="001C195A"/>
    <w:pPr>
      <w:spacing w:after="240"/>
    </w:pPr>
    <w:rPr>
      <w:b/>
    </w:rPr>
  </w:style>
  <w:style w:type="paragraph" w:customStyle="1" w:styleId="Month">
    <w:name w:val="Month"/>
    <w:basedOn w:val="Normal"/>
    <w:next w:val="Modcode"/>
    <w:rsid w:val="001C195A"/>
    <w:pPr>
      <w:spacing w:after="240"/>
    </w:pPr>
    <w:rPr>
      <w:b/>
      <w:caps/>
    </w:rPr>
  </w:style>
  <w:style w:type="table" w:styleId="TableGrid">
    <w:name w:val="Table Grid"/>
    <w:basedOn w:val="TableNormal"/>
    <w:uiPriority w:val="59"/>
    <w:rsid w:val="001C195A"/>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odyText">
    <w:name w:val="Body Text"/>
    <w:basedOn w:val="Normal"/>
    <w:link w:val="BodyTextChar"/>
    <w:uiPriority w:val="99"/>
    <w:semiHidden/>
    <w:unhideWhenUsed/>
    <w:rsid w:val="001C195A"/>
    <w:pPr>
      <w:spacing w:after="120"/>
    </w:pPr>
  </w:style>
  <w:style w:type="character" w:customStyle="1" w:styleId="BodyTextChar">
    <w:name w:val="Body Text Char"/>
    <w:basedOn w:val="DefaultParagraphFont"/>
    <w:link w:val="BodyText"/>
    <w:uiPriority w:val="99"/>
    <w:semiHidden/>
    <w:rsid w:val="001C195A"/>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1C195A"/>
    <w:rPr>
      <w:rFonts w:ascii="Tahoma" w:hAnsi="Tahoma" w:cs="Tahoma"/>
      <w:sz w:val="16"/>
      <w:szCs w:val="16"/>
    </w:rPr>
  </w:style>
  <w:style w:type="character" w:customStyle="1" w:styleId="BalloonTextChar">
    <w:name w:val="Balloon Text Char"/>
    <w:basedOn w:val="DefaultParagraphFont"/>
    <w:link w:val="BalloonText"/>
    <w:uiPriority w:val="99"/>
    <w:semiHidden/>
    <w:rsid w:val="001C195A"/>
    <w:rPr>
      <w:rFonts w:ascii="Tahoma" w:eastAsia="Times New Roman" w:hAnsi="Tahoma" w:cs="Tahoma"/>
      <w:sz w:val="16"/>
      <w:szCs w:val="16"/>
      <w:lang w:val="en-GB" w:eastAsia="en-GB"/>
    </w:rPr>
  </w:style>
  <w:style w:type="character" w:customStyle="1" w:styleId="essayfootnotecitation">
    <w:name w:val="essay_footnotecitation"/>
    <w:basedOn w:val="DefaultParagraphFont"/>
    <w:rsid w:val="00EC2F7A"/>
  </w:style>
  <w:style w:type="character" w:styleId="Hyperlink">
    <w:name w:val="Hyperlink"/>
    <w:basedOn w:val="DefaultParagraphFont"/>
    <w:uiPriority w:val="99"/>
    <w:semiHidden/>
    <w:unhideWhenUsed/>
    <w:rsid w:val="00EC2F7A"/>
    <w:rPr>
      <w:color w:val="0000FF"/>
      <w:u w:val="single"/>
    </w:rPr>
  </w:style>
  <w:style w:type="character" w:styleId="Strong">
    <w:name w:val="Strong"/>
    <w:basedOn w:val="DefaultParagraphFont"/>
    <w:uiPriority w:val="22"/>
    <w:qFormat/>
    <w:rsid w:val="00544FA4"/>
    <w:rPr>
      <w:b/>
      <w:bCs/>
    </w:rPr>
  </w:style>
  <w:style w:type="character" w:styleId="Emphasis">
    <w:name w:val="Emphasis"/>
    <w:basedOn w:val="DefaultParagraphFont"/>
    <w:uiPriority w:val="20"/>
    <w:qFormat/>
    <w:rsid w:val="00895D06"/>
    <w:rPr>
      <w:i/>
      <w:iCs/>
    </w:rPr>
  </w:style>
</w:styles>
</file>

<file path=word/webSettings.xml><?xml version="1.0" encoding="utf-8"?>
<w:webSettings xmlns:r="http://schemas.openxmlformats.org/officeDocument/2006/relationships" xmlns:w="http://schemas.openxmlformats.org/wordprocessingml/2006/main">
  <w:divs>
    <w:div w:id="929238932">
      <w:bodyDiv w:val="1"/>
      <w:marLeft w:val="0"/>
      <w:marRight w:val="0"/>
      <w:marTop w:val="0"/>
      <w:marBottom w:val="0"/>
      <w:divBdr>
        <w:top w:val="none" w:sz="0" w:space="0" w:color="auto"/>
        <w:left w:val="none" w:sz="0" w:space="0" w:color="auto"/>
        <w:bottom w:val="none" w:sz="0" w:space="0" w:color="auto"/>
        <w:right w:val="none" w:sz="0" w:space="0" w:color="auto"/>
      </w:divBdr>
      <w:divsChild>
        <w:div w:id="667754635">
          <w:marLeft w:val="0"/>
          <w:marRight w:val="0"/>
          <w:marTop w:val="0"/>
          <w:marBottom w:val="0"/>
          <w:divBdr>
            <w:top w:val="none" w:sz="0" w:space="0" w:color="auto"/>
            <w:left w:val="none" w:sz="0" w:space="0" w:color="auto"/>
            <w:bottom w:val="none" w:sz="0" w:space="0" w:color="auto"/>
            <w:right w:val="none" w:sz="0" w:space="0" w:color="auto"/>
          </w:divBdr>
        </w:div>
        <w:div w:id="2091807874">
          <w:marLeft w:val="0"/>
          <w:marRight w:val="0"/>
          <w:marTop w:val="0"/>
          <w:marBottom w:val="0"/>
          <w:divBdr>
            <w:top w:val="none" w:sz="0" w:space="0" w:color="auto"/>
            <w:left w:val="none" w:sz="0" w:space="0" w:color="auto"/>
            <w:bottom w:val="none" w:sz="0" w:space="0" w:color="auto"/>
            <w:right w:val="none" w:sz="0" w:space="0" w:color="auto"/>
          </w:divBdr>
        </w:div>
      </w:divsChild>
    </w:div>
    <w:div w:id="1224873831">
      <w:bodyDiv w:val="1"/>
      <w:marLeft w:val="0"/>
      <w:marRight w:val="0"/>
      <w:marTop w:val="0"/>
      <w:marBottom w:val="0"/>
      <w:divBdr>
        <w:top w:val="none" w:sz="0" w:space="0" w:color="auto"/>
        <w:left w:val="none" w:sz="0" w:space="0" w:color="auto"/>
        <w:bottom w:val="none" w:sz="0" w:space="0" w:color="auto"/>
        <w:right w:val="none" w:sz="0" w:space="0" w:color="auto"/>
      </w:divBdr>
    </w:div>
    <w:div w:id="1514758755">
      <w:bodyDiv w:val="1"/>
      <w:marLeft w:val="0"/>
      <w:marRight w:val="0"/>
      <w:marTop w:val="0"/>
      <w:marBottom w:val="0"/>
      <w:divBdr>
        <w:top w:val="none" w:sz="0" w:space="0" w:color="auto"/>
        <w:left w:val="none" w:sz="0" w:space="0" w:color="auto"/>
        <w:bottom w:val="none" w:sz="0" w:space="0" w:color="auto"/>
        <w:right w:val="none" w:sz="0" w:space="0" w:color="auto"/>
      </w:divBdr>
    </w:div>
    <w:div w:id="1554081729">
      <w:bodyDiv w:val="1"/>
      <w:marLeft w:val="0"/>
      <w:marRight w:val="0"/>
      <w:marTop w:val="0"/>
      <w:marBottom w:val="0"/>
      <w:divBdr>
        <w:top w:val="none" w:sz="0" w:space="0" w:color="auto"/>
        <w:left w:val="none" w:sz="0" w:space="0" w:color="auto"/>
        <w:bottom w:val="none" w:sz="0" w:space="0" w:color="auto"/>
        <w:right w:val="none" w:sz="0" w:space="0" w:color="auto"/>
      </w:divBdr>
      <w:divsChild>
        <w:div w:id="1058823356">
          <w:marLeft w:val="0"/>
          <w:marRight w:val="0"/>
          <w:marTop w:val="0"/>
          <w:marBottom w:val="0"/>
          <w:divBdr>
            <w:top w:val="none" w:sz="0" w:space="0" w:color="auto"/>
            <w:left w:val="none" w:sz="0" w:space="0" w:color="auto"/>
            <w:bottom w:val="none" w:sz="0" w:space="0" w:color="auto"/>
            <w:right w:val="none" w:sz="0" w:space="0" w:color="auto"/>
          </w:divBdr>
        </w:div>
        <w:div w:id="9744088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TotalTime>
  <Pages>3</Pages>
  <Words>1247</Words>
  <Characters>7113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2020-05-13T08:04:00Z</dcterms:created>
  <dcterms:modified xsi:type="dcterms:W3CDTF">2020-05-13T11:44:00Z</dcterms:modified>
</cp:coreProperties>
</file>