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353A3" w14:textId="77777777" w:rsidR="00712D2F" w:rsidRPr="006413A6" w:rsidRDefault="00712D2F">
      <w:pPr>
        <w:spacing w:line="360" w:lineRule="auto"/>
        <w:jc w:val="center"/>
        <w:rPr>
          <w:rFonts w:ascii="Times New Roman" w:eastAsia="Times New Roman" w:hAnsi="Times New Roman" w:cs="Times New Roman"/>
          <w:b/>
          <w:sz w:val="32"/>
          <w:szCs w:val="32"/>
          <w:highlight w:val="white"/>
          <w:lang w:val="en-GB"/>
        </w:rPr>
      </w:pPr>
    </w:p>
    <w:p w14:paraId="2B0C527B" w14:textId="77777777" w:rsidR="00712D2F" w:rsidRPr="006413A6" w:rsidRDefault="00712D2F">
      <w:pPr>
        <w:spacing w:line="360" w:lineRule="auto"/>
        <w:jc w:val="center"/>
        <w:rPr>
          <w:rFonts w:ascii="Times New Roman" w:eastAsia="Times New Roman" w:hAnsi="Times New Roman" w:cs="Times New Roman"/>
          <w:b/>
          <w:sz w:val="32"/>
          <w:szCs w:val="32"/>
          <w:highlight w:val="white"/>
          <w:lang w:val="en-GB"/>
        </w:rPr>
      </w:pPr>
    </w:p>
    <w:p w14:paraId="12C5105A" w14:textId="77777777" w:rsidR="00712D2F" w:rsidRPr="006413A6" w:rsidRDefault="00712D2F">
      <w:pPr>
        <w:spacing w:line="360" w:lineRule="auto"/>
        <w:jc w:val="center"/>
        <w:rPr>
          <w:rFonts w:ascii="Times New Roman" w:eastAsia="Times New Roman" w:hAnsi="Times New Roman" w:cs="Times New Roman"/>
          <w:b/>
          <w:sz w:val="32"/>
          <w:szCs w:val="32"/>
          <w:highlight w:val="white"/>
          <w:lang w:val="en-GB"/>
        </w:rPr>
      </w:pPr>
    </w:p>
    <w:p w14:paraId="2D11141A" w14:textId="77777777" w:rsidR="00712D2F" w:rsidRPr="006413A6" w:rsidRDefault="00712D2F">
      <w:pPr>
        <w:spacing w:line="360" w:lineRule="auto"/>
        <w:jc w:val="center"/>
        <w:rPr>
          <w:rFonts w:ascii="Times New Roman" w:eastAsia="Times New Roman" w:hAnsi="Times New Roman" w:cs="Times New Roman"/>
          <w:b/>
          <w:sz w:val="32"/>
          <w:szCs w:val="32"/>
          <w:highlight w:val="white"/>
          <w:lang w:val="en-GB"/>
        </w:rPr>
      </w:pPr>
    </w:p>
    <w:p w14:paraId="033D0742" w14:textId="77777777" w:rsidR="00712D2F" w:rsidRPr="006413A6" w:rsidRDefault="00712D2F">
      <w:pPr>
        <w:spacing w:line="360" w:lineRule="auto"/>
        <w:jc w:val="center"/>
        <w:rPr>
          <w:rFonts w:ascii="Times New Roman" w:eastAsia="Times New Roman" w:hAnsi="Times New Roman" w:cs="Times New Roman"/>
          <w:b/>
          <w:sz w:val="32"/>
          <w:szCs w:val="32"/>
          <w:highlight w:val="white"/>
          <w:lang w:val="en-GB"/>
        </w:rPr>
      </w:pPr>
    </w:p>
    <w:p w14:paraId="574C3256" w14:textId="77777777" w:rsidR="00712D2F" w:rsidRPr="006413A6" w:rsidRDefault="00712D2F">
      <w:pPr>
        <w:spacing w:line="360" w:lineRule="auto"/>
        <w:jc w:val="center"/>
        <w:rPr>
          <w:rFonts w:ascii="Times New Roman" w:eastAsia="Times New Roman" w:hAnsi="Times New Roman" w:cs="Times New Roman"/>
          <w:b/>
          <w:sz w:val="32"/>
          <w:szCs w:val="32"/>
          <w:highlight w:val="white"/>
          <w:lang w:val="en-GB"/>
        </w:rPr>
      </w:pPr>
    </w:p>
    <w:p w14:paraId="2133F266" w14:textId="77777777" w:rsidR="004E5099" w:rsidRDefault="004E5099" w:rsidP="007142C5">
      <w:pPr>
        <w:spacing w:line="360" w:lineRule="auto"/>
        <w:jc w:val="center"/>
        <w:rPr>
          <w:rFonts w:ascii="Times New Roman" w:eastAsia="Times New Roman" w:hAnsi="Times New Roman" w:cs="Times New Roman"/>
          <w:b/>
          <w:color w:val="222222"/>
          <w:sz w:val="32"/>
          <w:szCs w:val="32"/>
          <w:highlight w:val="white"/>
          <w:lang w:val="en-GB"/>
        </w:rPr>
      </w:pPr>
      <w:r w:rsidRPr="006413A6">
        <w:rPr>
          <w:rFonts w:ascii="Times New Roman" w:eastAsia="Times New Roman" w:hAnsi="Times New Roman" w:cs="Times New Roman"/>
          <w:b/>
          <w:color w:val="222222"/>
          <w:sz w:val="32"/>
          <w:szCs w:val="32"/>
          <w:highlight w:val="white"/>
          <w:lang w:val="en-GB"/>
        </w:rPr>
        <w:t>BMHP50</w:t>
      </w:r>
      <w:r w:rsidR="007142C5">
        <w:rPr>
          <w:rFonts w:ascii="Times New Roman" w:eastAsia="Times New Roman" w:hAnsi="Times New Roman" w:cs="Times New Roman"/>
          <w:b/>
          <w:color w:val="222222"/>
          <w:sz w:val="32"/>
          <w:szCs w:val="32"/>
          <w:highlight w:val="white"/>
          <w:lang w:val="en-GB"/>
        </w:rPr>
        <w:t>23 INTRODUCTION TO PHYSIOLOGY</w:t>
      </w:r>
    </w:p>
    <w:p w14:paraId="0EF9657B" w14:textId="35395CF1" w:rsidR="003E44BA" w:rsidRDefault="003E44BA" w:rsidP="007142C5">
      <w:pPr>
        <w:spacing w:line="360" w:lineRule="auto"/>
        <w:jc w:val="center"/>
        <w:rPr>
          <w:rFonts w:ascii="Times New Roman" w:eastAsia="Times New Roman" w:hAnsi="Times New Roman" w:cs="Times New Roman"/>
          <w:b/>
          <w:color w:val="222222"/>
          <w:sz w:val="32"/>
          <w:szCs w:val="32"/>
          <w:highlight w:val="white"/>
          <w:lang w:val="en-GB"/>
        </w:rPr>
      </w:pPr>
      <w:r>
        <w:rPr>
          <w:rFonts w:ascii="Times New Roman" w:eastAsia="Times New Roman" w:hAnsi="Times New Roman" w:cs="Times New Roman"/>
          <w:b/>
          <w:color w:val="222222"/>
          <w:sz w:val="32"/>
          <w:szCs w:val="32"/>
          <w:highlight w:val="white"/>
          <w:lang w:val="en-GB"/>
        </w:rPr>
        <w:t xml:space="preserve">Student Name: Popy Akter </w:t>
      </w:r>
    </w:p>
    <w:p w14:paraId="3D2FEB2C" w14:textId="6C4AF5AB" w:rsidR="00D15C46" w:rsidRDefault="00D15C46" w:rsidP="007142C5">
      <w:pPr>
        <w:spacing w:line="360" w:lineRule="auto"/>
        <w:jc w:val="center"/>
        <w:rPr>
          <w:rFonts w:ascii="Times New Roman" w:eastAsia="Times New Roman" w:hAnsi="Times New Roman" w:cs="Times New Roman"/>
          <w:b/>
          <w:color w:val="222222"/>
          <w:sz w:val="32"/>
          <w:szCs w:val="32"/>
          <w:highlight w:val="white"/>
          <w:lang w:val="en-GB"/>
        </w:rPr>
      </w:pPr>
      <w:r>
        <w:rPr>
          <w:rFonts w:ascii="Times New Roman" w:eastAsia="Times New Roman" w:hAnsi="Times New Roman" w:cs="Times New Roman"/>
          <w:b/>
          <w:color w:val="222222"/>
          <w:sz w:val="32"/>
          <w:szCs w:val="32"/>
          <w:highlight w:val="white"/>
          <w:lang w:val="en-GB"/>
        </w:rPr>
        <w:t xml:space="preserve">Student ID: 2408414 </w:t>
      </w:r>
    </w:p>
    <w:p w14:paraId="60E705C6" w14:textId="77777777" w:rsidR="007142C5" w:rsidRDefault="007142C5" w:rsidP="007142C5">
      <w:pPr>
        <w:spacing w:line="360" w:lineRule="auto"/>
        <w:jc w:val="center"/>
        <w:rPr>
          <w:rFonts w:ascii="Times New Roman" w:eastAsia="Times New Roman" w:hAnsi="Times New Roman" w:cs="Times New Roman"/>
          <w:b/>
          <w:color w:val="222222"/>
          <w:sz w:val="32"/>
          <w:szCs w:val="32"/>
          <w:highlight w:val="white"/>
          <w:lang w:val="en-GB"/>
        </w:rPr>
      </w:pPr>
    </w:p>
    <w:p w14:paraId="19D56B27" w14:textId="77777777" w:rsidR="006413A6" w:rsidRPr="007142C5" w:rsidRDefault="007142C5" w:rsidP="007142C5">
      <w:pPr>
        <w:jc w:val="center"/>
        <w:rPr>
          <w:rFonts w:ascii="Times New Roman" w:eastAsia="Times New Roman" w:hAnsi="Times New Roman" w:cs="Times New Roman"/>
          <w:color w:val="222222"/>
          <w:sz w:val="32"/>
          <w:szCs w:val="32"/>
          <w:lang w:val="en-GB"/>
        </w:rPr>
      </w:pPr>
      <w:r w:rsidRPr="007142C5">
        <w:rPr>
          <w:rFonts w:ascii="Times New Roman" w:eastAsia="Times New Roman" w:hAnsi="Times New Roman" w:cs="Times New Roman"/>
          <w:color w:val="222222"/>
          <w:sz w:val="32"/>
          <w:szCs w:val="32"/>
          <w:lang w:val="en-GB"/>
        </w:rPr>
        <w:t>Component 1: Written Assignment (Case Study Report)</w:t>
      </w:r>
      <w:r w:rsidR="006413A6" w:rsidRPr="007142C5">
        <w:rPr>
          <w:rFonts w:ascii="Times New Roman" w:eastAsia="Times New Roman" w:hAnsi="Times New Roman" w:cs="Times New Roman"/>
          <w:color w:val="222222"/>
          <w:sz w:val="32"/>
          <w:szCs w:val="32"/>
          <w:highlight w:val="white"/>
          <w:lang w:val="en-GB"/>
        </w:rPr>
        <w:br w:type="page"/>
      </w:r>
    </w:p>
    <w:sdt>
      <w:sdtPr>
        <w:rPr>
          <w:rFonts w:ascii="Arial" w:eastAsia="Arial" w:hAnsi="Arial" w:cs="Arial"/>
          <w:b w:val="0"/>
          <w:bCs w:val="0"/>
          <w:color w:val="auto"/>
          <w:sz w:val="22"/>
          <w:szCs w:val="22"/>
        </w:rPr>
        <w:id w:val="977637157"/>
        <w:docPartObj>
          <w:docPartGallery w:val="Table of Contents"/>
          <w:docPartUnique/>
        </w:docPartObj>
      </w:sdtPr>
      <w:sdtContent>
        <w:p w14:paraId="2B7C7210" w14:textId="77777777" w:rsidR="006413A6" w:rsidRDefault="006413A6" w:rsidP="006413A6">
          <w:pPr>
            <w:pStyle w:val="TOCHeading"/>
            <w:jc w:val="center"/>
          </w:pPr>
          <w:r w:rsidRPr="006413A6">
            <w:rPr>
              <w:rFonts w:asciiTheme="majorBidi" w:hAnsiTheme="majorBidi"/>
              <w:color w:val="auto"/>
            </w:rPr>
            <w:t>Table of Contents</w:t>
          </w:r>
        </w:p>
        <w:p w14:paraId="6030A0CF" w14:textId="77777777" w:rsidR="006413A6" w:rsidRPr="006413A6" w:rsidRDefault="006413A6" w:rsidP="006413A6">
          <w:pPr>
            <w:pStyle w:val="TOC1"/>
            <w:tabs>
              <w:tab w:val="right" w:leader="dot" w:pos="9350"/>
            </w:tabs>
            <w:spacing w:line="360" w:lineRule="auto"/>
            <w:jc w:val="both"/>
            <w:rPr>
              <w:rFonts w:asciiTheme="majorBidi" w:hAnsiTheme="majorBidi" w:cstheme="majorBidi"/>
              <w:noProof/>
              <w:sz w:val="24"/>
              <w:szCs w:val="24"/>
            </w:rPr>
          </w:pPr>
          <w:r>
            <w:fldChar w:fldCharType="begin"/>
          </w:r>
          <w:r>
            <w:instrText xml:space="preserve"> TOC \o "1-3" \h \z \u </w:instrText>
          </w:r>
          <w:r>
            <w:fldChar w:fldCharType="separate"/>
          </w:r>
          <w:hyperlink w:anchor="_Toc209891598" w:history="1">
            <w:r w:rsidRPr="006413A6">
              <w:rPr>
                <w:rStyle w:val="Hyperlink"/>
                <w:rFonts w:asciiTheme="majorBidi" w:hAnsiTheme="majorBidi" w:cstheme="majorBidi"/>
                <w:noProof/>
                <w:sz w:val="24"/>
                <w:szCs w:val="24"/>
                <w:highlight w:val="white"/>
                <w:lang w:val="en-GB"/>
              </w:rPr>
              <w:t>Introduction</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_Toc209891598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3</w:t>
            </w:r>
            <w:r w:rsidRPr="006413A6">
              <w:rPr>
                <w:rFonts w:asciiTheme="majorBidi" w:hAnsiTheme="majorBidi" w:cstheme="majorBidi"/>
                <w:noProof/>
                <w:webHidden/>
                <w:sz w:val="24"/>
                <w:szCs w:val="24"/>
              </w:rPr>
              <w:fldChar w:fldCharType="end"/>
            </w:r>
          </w:hyperlink>
        </w:p>
        <w:p w14:paraId="44960C9A"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599" w:history="1">
            <w:r w:rsidRPr="006413A6">
              <w:rPr>
                <w:rStyle w:val="Hyperlink"/>
                <w:rFonts w:asciiTheme="majorBidi" w:hAnsiTheme="majorBidi" w:cstheme="majorBidi"/>
                <w:noProof/>
                <w:sz w:val="24"/>
                <w:szCs w:val="24"/>
                <w:highlight w:val="white"/>
                <w:lang w:val="en-GB"/>
              </w:rPr>
              <w:t>Definition of the condition</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_Toc209891599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3</w:t>
            </w:r>
            <w:r w:rsidRPr="006413A6">
              <w:rPr>
                <w:rFonts w:asciiTheme="majorBidi" w:hAnsiTheme="majorBidi" w:cstheme="majorBidi"/>
                <w:noProof/>
                <w:webHidden/>
                <w:sz w:val="24"/>
                <w:szCs w:val="24"/>
              </w:rPr>
              <w:fldChar w:fldCharType="end"/>
            </w:r>
          </w:hyperlink>
        </w:p>
        <w:p w14:paraId="4B6E3CE5"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00" w:history="1">
            <w:r w:rsidRPr="006413A6">
              <w:rPr>
                <w:rStyle w:val="Hyperlink"/>
                <w:rFonts w:asciiTheme="majorBidi" w:hAnsiTheme="majorBidi" w:cstheme="majorBidi"/>
                <w:noProof/>
                <w:sz w:val="24"/>
                <w:szCs w:val="24"/>
                <w:highlight w:val="white"/>
                <w:lang w:val="en-GB"/>
              </w:rPr>
              <w:t>Key risk factors</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_Toc209891600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3</w:t>
            </w:r>
            <w:r w:rsidRPr="006413A6">
              <w:rPr>
                <w:rFonts w:asciiTheme="majorBidi" w:hAnsiTheme="majorBidi" w:cstheme="majorBidi"/>
                <w:noProof/>
                <w:webHidden/>
                <w:sz w:val="24"/>
                <w:szCs w:val="24"/>
              </w:rPr>
              <w:fldChar w:fldCharType="end"/>
            </w:r>
          </w:hyperlink>
        </w:p>
        <w:p w14:paraId="5F230BEF"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01" w:history="1">
            <w:r w:rsidRPr="006413A6">
              <w:rPr>
                <w:rStyle w:val="Hyperlink"/>
                <w:rFonts w:asciiTheme="majorBidi" w:hAnsiTheme="majorBidi" w:cstheme="majorBidi"/>
                <w:noProof/>
                <w:sz w:val="24"/>
                <w:szCs w:val="24"/>
                <w:highlight w:val="white"/>
                <w:lang w:val="en-GB"/>
              </w:rPr>
              <w:t>Purpose of the report</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_Toc209891601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3</w:t>
            </w:r>
            <w:r w:rsidRPr="006413A6">
              <w:rPr>
                <w:rFonts w:asciiTheme="majorBidi" w:hAnsiTheme="majorBidi" w:cstheme="majorBidi"/>
                <w:noProof/>
                <w:webHidden/>
                <w:sz w:val="24"/>
                <w:szCs w:val="24"/>
              </w:rPr>
              <w:fldChar w:fldCharType="end"/>
            </w:r>
          </w:hyperlink>
        </w:p>
        <w:p w14:paraId="5E8DBB7F" w14:textId="77777777" w:rsidR="006413A6" w:rsidRPr="006413A6" w:rsidRDefault="006413A6" w:rsidP="006413A6">
          <w:pPr>
            <w:pStyle w:val="TOC1"/>
            <w:tabs>
              <w:tab w:val="right" w:leader="dot" w:pos="9350"/>
            </w:tabs>
            <w:spacing w:line="360" w:lineRule="auto"/>
            <w:jc w:val="both"/>
            <w:rPr>
              <w:rFonts w:asciiTheme="majorBidi" w:hAnsiTheme="majorBidi" w:cstheme="majorBidi"/>
              <w:noProof/>
              <w:sz w:val="24"/>
              <w:szCs w:val="24"/>
            </w:rPr>
          </w:pPr>
          <w:hyperlink w:anchor="_Toc209891602" w:history="1">
            <w:r w:rsidRPr="006413A6">
              <w:rPr>
                <w:rStyle w:val="Hyperlink"/>
                <w:rFonts w:asciiTheme="majorBidi" w:hAnsiTheme="majorBidi" w:cstheme="majorBidi"/>
                <w:noProof/>
                <w:sz w:val="24"/>
                <w:szCs w:val="24"/>
                <w:highlight w:val="white"/>
                <w:lang w:val="en-GB"/>
              </w:rPr>
              <w:t>Section 1: Anatomy and Physiology</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_Toc209891602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3</w:t>
            </w:r>
            <w:r w:rsidRPr="006413A6">
              <w:rPr>
                <w:rFonts w:asciiTheme="majorBidi" w:hAnsiTheme="majorBidi" w:cstheme="majorBidi"/>
                <w:noProof/>
                <w:webHidden/>
                <w:sz w:val="24"/>
                <w:szCs w:val="24"/>
              </w:rPr>
              <w:fldChar w:fldCharType="end"/>
            </w:r>
          </w:hyperlink>
        </w:p>
        <w:p w14:paraId="7E5ED1A6"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03" w:history="1">
            <w:r w:rsidRPr="006413A6">
              <w:rPr>
                <w:rStyle w:val="Hyperlink"/>
                <w:rFonts w:asciiTheme="majorBidi" w:hAnsiTheme="majorBidi" w:cstheme="majorBidi"/>
                <w:noProof/>
                <w:sz w:val="24"/>
                <w:szCs w:val="24"/>
                <w:highlight w:val="white"/>
                <w:lang w:val="en-GB"/>
              </w:rPr>
              <w:t>Explanation of blood sugar regulation</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_Toc209891603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3</w:t>
            </w:r>
            <w:r w:rsidRPr="006413A6">
              <w:rPr>
                <w:rFonts w:asciiTheme="majorBidi" w:hAnsiTheme="majorBidi" w:cstheme="majorBidi"/>
                <w:noProof/>
                <w:webHidden/>
                <w:sz w:val="24"/>
                <w:szCs w:val="24"/>
              </w:rPr>
              <w:fldChar w:fldCharType="end"/>
            </w:r>
          </w:hyperlink>
        </w:p>
        <w:p w14:paraId="169DB755"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04" w:history="1">
            <w:r w:rsidRPr="006413A6">
              <w:rPr>
                <w:rStyle w:val="Hyperlink"/>
                <w:rFonts w:asciiTheme="majorBidi" w:hAnsiTheme="majorBidi" w:cstheme="majorBidi"/>
                <w:noProof/>
                <w:sz w:val="24"/>
                <w:szCs w:val="24"/>
                <w:highlight w:val="white"/>
                <w:lang w:val="en-GB"/>
              </w:rPr>
              <w:t>Description of cell metabolism</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_Toc209891604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4</w:t>
            </w:r>
            <w:r w:rsidRPr="006413A6">
              <w:rPr>
                <w:rFonts w:asciiTheme="majorBidi" w:hAnsiTheme="majorBidi" w:cstheme="majorBidi"/>
                <w:noProof/>
                <w:webHidden/>
                <w:sz w:val="24"/>
                <w:szCs w:val="24"/>
              </w:rPr>
              <w:fldChar w:fldCharType="end"/>
            </w:r>
          </w:hyperlink>
        </w:p>
        <w:p w14:paraId="3B8EEC41" w14:textId="77777777" w:rsidR="006413A6" w:rsidRPr="006413A6" w:rsidRDefault="006413A6" w:rsidP="006413A6">
          <w:pPr>
            <w:pStyle w:val="TOC1"/>
            <w:tabs>
              <w:tab w:val="right" w:leader="dot" w:pos="9350"/>
            </w:tabs>
            <w:spacing w:line="360" w:lineRule="auto"/>
            <w:jc w:val="both"/>
            <w:rPr>
              <w:rFonts w:asciiTheme="majorBidi" w:hAnsiTheme="majorBidi" w:cstheme="majorBidi"/>
              <w:noProof/>
              <w:sz w:val="24"/>
              <w:szCs w:val="24"/>
            </w:rPr>
          </w:pPr>
          <w:hyperlink w:anchor="_Toc209891605" w:history="1">
            <w:r w:rsidRPr="006413A6">
              <w:rPr>
                <w:rStyle w:val="Hyperlink"/>
                <w:rFonts w:asciiTheme="majorBidi" w:hAnsiTheme="majorBidi" w:cstheme="majorBidi"/>
                <w:noProof/>
                <w:sz w:val="24"/>
                <w:szCs w:val="24"/>
                <w:highlight w:val="white"/>
                <w:lang w:val="en-GB"/>
              </w:rPr>
              <w:t>Section 2: Pathophysiology and Impact</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_Toc209891605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6</w:t>
            </w:r>
            <w:r w:rsidRPr="006413A6">
              <w:rPr>
                <w:rFonts w:asciiTheme="majorBidi" w:hAnsiTheme="majorBidi" w:cstheme="majorBidi"/>
                <w:noProof/>
                <w:webHidden/>
                <w:sz w:val="24"/>
                <w:szCs w:val="24"/>
              </w:rPr>
              <w:fldChar w:fldCharType="end"/>
            </w:r>
          </w:hyperlink>
        </w:p>
        <w:p w14:paraId="750A522D"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06" w:history="1">
            <w:r w:rsidRPr="006413A6">
              <w:rPr>
                <w:rStyle w:val="Hyperlink"/>
                <w:rFonts w:asciiTheme="majorBidi" w:hAnsiTheme="majorBidi" w:cstheme="majorBidi"/>
                <w:noProof/>
                <w:sz w:val="24"/>
                <w:szCs w:val="24"/>
                <w:highlight w:val="white"/>
                <w:lang w:val="en-GB"/>
              </w:rPr>
              <w:t>Consequences of blood sugar regulation failure</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_Toc209891606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6</w:t>
            </w:r>
            <w:r w:rsidRPr="006413A6">
              <w:rPr>
                <w:rFonts w:asciiTheme="majorBidi" w:hAnsiTheme="majorBidi" w:cstheme="majorBidi"/>
                <w:noProof/>
                <w:webHidden/>
                <w:sz w:val="24"/>
                <w:szCs w:val="24"/>
              </w:rPr>
              <w:fldChar w:fldCharType="end"/>
            </w:r>
          </w:hyperlink>
        </w:p>
        <w:p w14:paraId="27FF7D03"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07" w:history="1">
            <w:r w:rsidRPr="006413A6">
              <w:rPr>
                <w:rStyle w:val="Hyperlink"/>
                <w:rFonts w:asciiTheme="majorBidi" w:hAnsiTheme="majorBidi" w:cstheme="majorBidi"/>
                <w:noProof/>
                <w:sz w:val="24"/>
                <w:szCs w:val="24"/>
                <w:highlight w:val="white"/>
                <w:lang w:val="en-GB"/>
              </w:rPr>
              <w:t>Lifestyle factors affecting glucose control</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_Toc209891607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6</w:t>
            </w:r>
            <w:r w:rsidRPr="006413A6">
              <w:rPr>
                <w:rFonts w:asciiTheme="majorBidi" w:hAnsiTheme="majorBidi" w:cstheme="majorBidi"/>
                <w:noProof/>
                <w:webHidden/>
                <w:sz w:val="24"/>
                <w:szCs w:val="24"/>
              </w:rPr>
              <w:fldChar w:fldCharType="end"/>
            </w:r>
          </w:hyperlink>
        </w:p>
        <w:p w14:paraId="0F6BAEE4" w14:textId="77777777" w:rsidR="006413A6" w:rsidRPr="006413A6" w:rsidRDefault="006413A6" w:rsidP="006413A6">
          <w:pPr>
            <w:pStyle w:val="TOC1"/>
            <w:tabs>
              <w:tab w:val="right" w:leader="dot" w:pos="9350"/>
            </w:tabs>
            <w:spacing w:line="360" w:lineRule="auto"/>
            <w:jc w:val="both"/>
            <w:rPr>
              <w:rFonts w:asciiTheme="majorBidi" w:hAnsiTheme="majorBidi" w:cstheme="majorBidi"/>
              <w:noProof/>
              <w:sz w:val="24"/>
              <w:szCs w:val="24"/>
            </w:rPr>
          </w:pPr>
          <w:hyperlink w:anchor="_Toc209891608" w:history="1">
            <w:r w:rsidRPr="006413A6">
              <w:rPr>
                <w:rStyle w:val="Hyperlink"/>
                <w:rFonts w:asciiTheme="majorBidi" w:hAnsiTheme="majorBidi" w:cstheme="majorBidi"/>
                <w:noProof/>
                <w:sz w:val="24"/>
                <w:szCs w:val="24"/>
                <w:highlight w:val="white"/>
                <w:lang w:val="en-GB"/>
              </w:rPr>
              <w:t>Section 3: Monitoring and Data Use</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_Toc209891608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7</w:t>
            </w:r>
            <w:r w:rsidRPr="006413A6">
              <w:rPr>
                <w:rFonts w:asciiTheme="majorBidi" w:hAnsiTheme="majorBidi" w:cstheme="majorBidi"/>
                <w:noProof/>
                <w:webHidden/>
                <w:sz w:val="24"/>
                <w:szCs w:val="24"/>
              </w:rPr>
              <w:fldChar w:fldCharType="end"/>
            </w:r>
          </w:hyperlink>
        </w:p>
        <w:p w14:paraId="3121094A"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09" w:history="1">
            <w:r w:rsidRPr="006413A6">
              <w:rPr>
                <w:rStyle w:val="Hyperlink"/>
                <w:rFonts w:asciiTheme="majorBidi" w:hAnsiTheme="majorBidi" w:cstheme="majorBidi"/>
                <w:noProof/>
                <w:sz w:val="24"/>
                <w:szCs w:val="24"/>
                <w:highlight w:val="white"/>
                <w:lang w:val="en-GB"/>
              </w:rPr>
              <w:t>Importance of tracking health data</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_Toc209891609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7</w:t>
            </w:r>
            <w:r w:rsidRPr="006413A6">
              <w:rPr>
                <w:rFonts w:asciiTheme="majorBidi" w:hAnsiTheme="majorBidi" w:cstheme="majorBidi"/>
                <w:noProof/>
                <w:webHidden/>
                <w:sz w:val="24"/>
                <w:szCs w:val="24"/>
              </w:rPr>
              <w:fldChar w:fldCharType="end"/>
            </w:r>
          </w:hyperlink>
        </w:p>
        <w:p w14:paraId="5B6E3904"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10" w:history="1">
            <w:r w:rsidRPr="006413A6">
              <w:rPr>
                <w:rStyle w:val="Hyperlink"/>
                <w:rFonts w:asciiTheme="majorBidi" w:hAnsiTheme="majorBidi" w:cstheme="majorBidi"/>
                <w:noProof/>
                <w:sz w:val="24"/>
                <w:szCs w:val="24"/>
                <w:highlight w:val="white"/>
                <w:lang w:val="en-GB"/>
              </w:rPr>
              <w:t>Routine data helps in managing the condition</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_Toc209891610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7</w:t>
            </w:r>
            <w:r w:rsidRPr="006413A6">
              <w:rPr>
                <w:rFonts w:asciiTheme="majorBidi" w:hAnsiTheme="majorBidi" w:cstheme="majorBidi"/>
                <w:noProof/>
                <w:webHidden/>
                <w:sz w:val="24"/>
                <w:szCs w:val="24"/>
              </w:rPr>
              <w:fldChar w:fldCharType="end"/>
            </w:r>
          </w:hyperlink>
        </w:p>
        <w:p w14:paraId="2E8E4631" w14:textId="77777777" w:rsidR="006413A6" w:rsidRPr="006413A6" w:rsidRDefault="006413A6" w:rsidP="006413A6">
          <w:pPr>
            <w:pStyle w:val="TOC1"/>
            <w:tabs>
              <w:tab w:val="right" w:leader="dot" w:pos="9350"/>
            </w:tabs>
            <w:spacing w:line="360" w:lineRule="auto"/>
            <w:jc w:val="both"/>
            <w:rPr>
              <w:rFonts w:asciiTheme="majorBidi" w:hAnsiTheme="majorBidi" w:cstheme="majorBidi"/>
              <w:noProof/>
              <w:sz w:val="24"/>
              <w:szCs w:val="24"/>
            </w:rPr>
          </w:pPr>
          <w:hyperlink w:anchor="_Toc209891611" w:history="1">
            <w:r w:rsidRPr="006413A6">
              <w:rPr>
                <w:rStyle w:val="Hyperlink"/>
                <w:rFonts w:asciiTheme="majorBidi" w:hAnsiTheme="majorBidi" w:cstheme="majorBidi"/>
                <w:noProof/>
                <w:sz w:val="24"/>
                <w:szCs w:val="24"/>
                <w:highlight w:val="white"/>
                <w:lang w:val="en-GB"/>
              </w:rPr>
              <w:t>Section 4: Evidence-based Lifestyle Recommendations</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_Toc209891611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7</w:t>
            </w:r>
            <w:r w:rsidRPr="006413A6">
              <w:rPr>
                <w:rFonts w:asciiTheme="majorBidi" w:hAnsiTheme="majorBidi" w:cstheme="majorBidi"/>
                <w:noProof/>
                <w:webHidden/>
                <w:sz w:val="24"/>
                <w:szCs w:val="24"/>
              </w:rPr>
              <w:fldChar w:fldCharType="end"/>
            </w:r>
          </w:hyperlink>
        </w:p>
        <w:p w14:paraId="23278352"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12" w:history="1">
            <w:r w:rsidRPr="006413A6">
              <w:rPr>
                <w:rStyle w:val="Hyperlink"/>
                <w:rFonts w:asciiTheme="majorBidi" w:hAnsiTheme="majorBidi" w:cstheme="majorBidi"/>
                <w:noProof/>
                <w:sz w:val="24"/>
                <w:szCs w:val="24"/>
                <w:highlight w:val="white"/>
                <w:lang w:val="en-GB"/>
              </w:rPr>
              <w:t>Suggestions for realistic lifestyle changes</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_Toc209891612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7</w:t>
            </w:r>
            <w:r w:rsidRPr="006413A6">
              <w:rPr>
                <w:rFonts w:asciiTheme="majorBidi" w:hAnsiTheme="majorBidi" w:cstheme="majorBidi"/>
                <w:noProof/>
                <w:webHidden/>
                <w:sz w:val="24"/>
                <w:szCs w:val="24"/>
              </w:rPr>
              <w:fldChar w:fldCharType="end"/>
            </w:r>
          </w:hyperlink>
        </w:p>
        <w:p w14:paraId="3DE59923"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13" w:history="1">
            <w:r w:rsidRPr="006413A6">
              <w:rPr>
                <w:rStyle w:val="Hyperlink"/>
                <w:rFonts w:asciiTheme="majorBidi" w:hAnsiTheme="majorBidi" w:cstheme="majorBidi"/>
                <w:noProof/>
                <w:sz w:val="24"/>
                <w:szCs w:val="24"/>
                <w:highlight w:val="white"/>
                <w:lang w:val="en-GB"/>
              </w:rPr>
              <w:t>Explanation of changes improving psychological outcomes</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_Toc209891613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9</w:t>
            </w:r>
            <w:r w:rsidRPr="006413A6">
              <w:rPr>
                <w:rFonts w:asciiTheme="majorBidi" w:hAnsiTheme="majorBidi" w:cstheme="majorBidi"/>
                <w:noProof/>
                <w:webHidden/>
                <w:sz w:val="24"/>
                <w:szCs w:val="24"/>
              </w:rPr>
              <w:fldChar w:fldCharType="end"/>
            </w:r>
          </w:hyperlink>
        </w:p>
        <w:p w14:paraId="2C309DF8" w14:textId="77777777" w:rsidR="006413A6" w:rsidRPr="006413A6" w:rsidRDefault="006413A6" w:rsidP="006413A6">
          <w:pPr>
            <w:pStyle w:val="TOC1"/>
            <w:tabs>
              <w:tab w:val="right" w:leader="dot" w:pos="9350"/>
            </w:tabs>
            <w:spacing w:line="360" w:lineRule="auto"/>
            <w:jc w:val="both"/>
            <w:rPr>
              <w:rFonts w:asciiTheme="majorBidi" w:hAnsiTheme="majorBidi" w:cstheme="majorBidi"/>
              <w:noProof/>
              <w:sz w:val="24"/>
              <w:szCs w:val="24"/>
            </w:rPr>
          </w:pPr>
          <w:hyperlink w:anchor="_Toc209891614" w:history="1">
            <w:r w:rsidRPr="006413A6">
              <w:rPr>
                <w:rStyle w:val="Hyperlink"/>
                <w:rFonts w:asciiTheme="majorBidi" w:hAnsiTheme="majorBidi" w:cstheme="majorBidi"/>
                <w:noProof/>
                <w:sz w:val="24"/>
                <w:szCs w:val="24"/>
                <w:highlight w:val="white"/>
                <w:lang w:val="en-GB"/>
              </w:rPr>
              <w:t>Conclusion</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_Toc209891614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9</w:t>
            </w:r>
            <w:r w:rsidRPr="006413A6">
              <w:rPr>
                <w:rFonts w:asciiTheme="majorBidi" w:hAnsiTheme="majorBidi" w:cstheme="majorBidi"/>
                <w:noProof/>
                <w:webHidden/>
                <w:sz w:val="24"/>
                <w:szCs w:val="24"/>
              </w:rPr>
              <w:fldChar w:fldCharType="end"/>
            </w:r>
          </w:hyperlink>
        </w:p>
        <w:p w14:paraId="60290D28"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15" w:history="1">
            <w:r w:rsidRPr="006413A6">
              <w:rPr>
                <w:rStyle w:val="Hyperlink"/>
                <w:rFonts w:asciiTheme="majorBidi" w:hAnsiTheme="majorBidi" w:cstheme="majorBidi"/>
                <w:noProof/>
                <w:sz w:val="24"/>
                <w:szCs w:val="24"/>
                <w:highlight w:val="white"/>
                <w:lang w:val="en-GB"/>
              </w:rPr>
              <w:t>Summary of key findings</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_Toc209891615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9</w:t>
            </w:r>
            <w:r w:rsidRPr="006413A6">
              <w:rPr>
                <w:rFonts w:asciiTheme="majorBidi" w:hAnsiTheme="majorBidi" w:cstheme="majorBidi"/>
                <w:noProof/>
                <w:webHidden/>
                <w:sz w:val="24"/>
                <w:szCs w:val="24"/>
              </w:rPr>
              <w:fldChar w:fldCharType="end"/>
            </w:r>
          </w:hyperlink>
        </w:p>
        <w:p w14:paraId="21EA9E1C"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16" w:history="1">
            <w:r w:rsidRPr="006413A6">
              <w:rPr>
                <w:rStyle w:val="Hyperlink"/>
                <w:rFonts w:asciiTheme="majorBidi" w:hAnsiTheme="majorBidi" w:cstheme="majorBidi"/>
                <w:noProof/>
                <w:sz w:val="24"/>
                <w:szCs w:val="24"/>
                <w:highlight w:val="white"/>
                <w:lang w:val="en-GB"/>
              </w:rPr>
              <w:t>Reinforcing the significance of understanding and managing the condition</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_Toc209891616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9</w:t>
            </w:r>
            <w:r w:rsidRPr="006413A6">
              <w:rPr>
                <w:rFonts w:asciiTheme="majorBidi" w:hAnsiTheme="majorBidi" w:cstheme="majorBidi"/>
                <w:noProof/>
                <w:webHidden/>
                <w:sz w:val="24"/>
                <w:szCs w:val="24"/>
              </w:rPr>
              <w:fldChar w:fldCharType="end"/>
            </w:r>
          </w:hyperlink>
        </w:p>
        <w:p w14:paraId="40C06533" w14:textId="77777777" w:rsidR="006413A6" w:rsidRPr="006413A6" w:rsidRDefault="006413A6" w:rsidP="006413A6">
          <w:pPr>
            <w:pStyle w:val="TOC2"/>
            <w:tabs>
              <w:tab w:val="right" w:leader="dot" w:pos="9350"/>
            </w:tabs>
            <w:spacing w:line="360" w:lineRule="auto"/>
            <w:jc w:val="both"/>
            <w:rPr>
              <w:rFonts w:asciiTheme="majorBidi" w:hAnsiTheme="majorBidi" w:cstheme="majorBidi"/>
              <w:noProof/>
              <w:sz w:val="24"/>
              <w:szCs w:val="24"/>
            </w:rPr>
          </w:pPr>
          <w:hyperlink w:anchor="_Toc209891617" w:history="1">
            <w:r w:rsidRPr="006413A6">
              <w:rPr>
                <w:rStyle w:val="Hyperlink"/>
                <w:rFonts w:asciiTheme="majorBidi" w:hAnsiTheme="majorBidi" w:cstheme="majorBidi"/>
                <w:noProof/>
                <w:sz w:val="24"/>
                <w:szCs w:val="24"/>
                <w:highlight w:val="white"/>
                <w:lang w:val="en-GB"/>
              </w:rPr>
              <w:t>Reflection on the role of health professionals in patient education</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_Toc209891617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10</w:t>
            </w:r>
            <w:r w:rsidRPr="006413A6">
              <w:rPr>
                <w:rFonts w:asciiTheme="majorBidi" w:hAnsiTheme="majorBidi" w:cstheme="majorBidi"/>
                <w:noProof/>
                <w:webHidden/>
                <w:sz w:val="24"/>
                <w:szCs w:val="24"/>
              </w:rPr>
              <w:fldChar w:fldCharType="end"/>
            </w:r>
          </w:hyperlink>
        </w:p>
        <w:p w14:paraId="2FF724E1" w14:textId="77777777" w:rsidR="006413A6" w:rsidRDefault="006413A6" w:rsidP="006413A6">
          <w:pPr>
            <w:pStyle w:val="TOC1"/>
            <w:tabs>
              <w:tab w:val="right" w:leader="dot" w:pos="9350"/>
            </w:tabs>
            <w:spacing w:line="360" w:lineRule="auto"/>
            <w:jc w:val="both"/>
            <w:rPr>
              <w:noProof/>
            </w:rPr>
          </w:pPr>
          <w:hyperlink w:anchor="_Toc209891618" w:history="1">
            <w:r w:rsidRPr="006413A6">
              <w:rPr>
                <w:rStyle w:val="Hyperlink"/>
                <w:rFonts w:asciiTheme="majorBidi" w:hAnsiTheme="majorBidi" w:cstheme="majorBidi"/>
                <w:noProof/>
                <w:sz w:val="24"/>
                <w:szCs w:val="24"/>
                <w:highlight w:val="white"/>
                <w:lang w:val="en-GB"/>
              </w:rPr>
              <w:t>References</w:t>
            </w:r>
            <w:r w:rsidRPr="006413A6">
              <w:rPr>
                <w:rFonts w:asciiTheme="majorBidi" w:hAnsiTheme="majorBidi" w:cstheme="majorBidi"/>
                <w:noProof/>
                <w:webHidden/>
                <w:sz w:val="24"/>
                <w:szCs w:val="24"/>
              </w:rPr>
              <w:tab/>
            </w:r>
            <w:r w:rsidRPr="006413A6">
              <w:rPr>
                <w:rFonts w:asciiTheme="majorBidi" w:hAnsiTheme="majorBidi" w:cstheme="majorBidi"/>
                <w:noProof/>
                <w:webHidden/>
                <w:sz w:val="24"/>
                <w:szCs w:val="24"/>
              </w:rPr>
              <w:fldChar w:fldCharType="begin"/>
            </w:r>
            <w:r w:rsidRPr="006413A6">
              <w:rPr>
                <w:rFonts w:asciiTheme="majorBidi" w:hAnsiTheme="majorBidi" w:cstheme="majorBidi"/>
                <w:noProof/>
                <w:webHidden/>
                <w:sz w:val="24"/>
                <w:szCs w:val="24"/>
              </w:rPr>
              <w:instrText xml:space="preserve"> PAGEREF _Toc209891618 \h </w:instrText>
            </w:r>
            <w:r w:rsidRPr="006413A6">
              <w:rPr>
                <w:rFonts w:asciiTheme="majorBidi" w:hAnsiTheme="majorBidi" w:cstheme="majorBidi"/>
                <w:noProof/>
                <w:webHidden/>
                <w:sz w:val="24"/>
                <w:szCs w:val="24"/>
              </w:rPr>
            </w:r>
            <w:r w:rsidRPr="006413A6">
              <w:rPr>
                <w:rFonts w:asciiTheme="majorBidi" w:hAnsiTheme="majorBidi" w:cstheme="majorBidi"/>
                <w:noProof/>
                <w:webHidden/>
                <w:sz w:val="24"/>
                <w:szCs w:val="24"/>
              </w:rPr>
              <w:fldChar w:fldCharType="separate"/>
            </w:r>
            <w:r w:rsidR="007142C5">
              <w:rPr>
                <w:rFonts w:asciiTheme="majorBidi" w:hAnsiTheme="majorBidi" w:cstheme="majorBidi"/>
                <w:noProof/>
                <w:webHidden/>
                <w:sz w:val="24"/>
                <w:szCs w:val="24"/>
              </w:rPr>
              <w:t>11</w:t>
            </w:r>
            <w:r w:rsidRPr="006413A6">
              <w:rPr>
                <w:rFonts w:asciiTheme="majorBidi" w:hAnsiTheme="majorBidi" w:cstheme="majorBidi"/>
                <w:noProof/>
                <w:webHidden/>
                <w:sz w:val="24"/>
                <w:szCs w:val="24"/>
              </w:rPr>
              <w:fldChar w:fldCharType="end"/>
            </w:r>
          </w:hyperlink>
        </w:p>
        <w:p w14:paraId="374E8CED" w14:textId="77777777" w:rsidR="006413A6" w:rsidRDefault="006413A6">
          <w:r>
            <w:fldChar w:fldCharType="end"/>
          </w:r>
        </w:p>
      </w:sdtContent>
    </w:sdt>
    <w:p w14:paraId="5B813AFC" w14:textId="77777777" w:rsidR="00712D2F" w:rsidRPr="006413A6" w:rsidRDefault="003448BA">
      <w:pPr>
        <w:spacing w:line="360" w:lineRule="auto"/>
        <w:jc w:val="center"/>
        <w:rPr>
          <w:rFonts w:ascii="Times New Roman" w:eastAsia="Times New Roman" w:hAnsi="Times New Roman" w:cs="Times New Roman"/>
          <w:b/>
          <w:color w:val="222222"/>
          <w:sz w:val="32"/>
          <w:szCs w:val="32"/>
          <w:highlight w:val="white"/>
          <w:lang w:val="en-GB"/>
        </w:rPr>
      </w:pPr>
      <w:r w:rsidRPr="006413A6">
        <w:rPr>
          <w:lang w:val="en-GB"/>
        </w:rPr>
        <w:br w:type="page"/>
      </w:r>
    </w:p>
    <w:p w14:paraId="07C0BC0D" w14:textId="77777777" w:rsidR="00712D2F" w:rsidRPr="006413A6" w:rsidRDefault="003448BA" w:rsidP="006413A6">
      <w:pPr>
        <w:pStyle w:val="Heading1"/>
        <w:rPr>
          <w:highlight w:val="white"/>
          <w:lang w:val="en-GB"/>
        </w:rPr>
      </w:pPr>
      <w:bookmarkStart w:id="0" w:name="_Toc209891598"/>
      <w:r w:rsidRPr="006413A6">
        <w:rPr>
          <w:highlight w:val="white"/>
          <w:lang w:val="en-GB"/>
        </w:rPr>
        <w:t>Introduction</w:t>
      </w:r>
      <w:bookmarkEnd w:id="0"/>
    </w:p>
    <w:p w14:paraId="07FB04C9" w14:textId="77777777" w:rsidR="00712D2F" w:rsidRPr="006413A6" w:rsidRDefault="003448BA" w:rsidP="006413A6">
      <w:pPr>
        <w:pStyle w:val="Heading2"/>
        <w:rPr>
          <w:highlight w:val="white"/>
          <w:lang w:val="en-GB"/>
        </w:rPr>
      </w:pPr>
      <w:bookmarkStart w:id="1" w:name="_Toc209891599"/>
      <w:r w:rsidRPr="006413A6">
        <w:rPr>
          <w:highlight w:val="white"/>
          <w:lang w:val="en-GB"/>
        </w:rPr>
        <w:t>Definition of the condition</w:t>
      </w:r>
      <w:bookmarkEnd w:id="1"/>
      <w:r w:rsidRPr="006413A6">
        <w:rPr>
          <w:highlight w:val="white"/>
          <w:lang w:val="en-GB"/>
        </w:rPr>
        <w:t xml:space="preserve"> </w:t>
      </w:r>
    </w:p>
    <w:p w14:paraId="43F34020"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Diabetes is a condition that can be defined as a chronic metabolic illness with an increased blood sugar level (</w:t>
      </w:r>
      <w:proofErr w:type="spellStart"/>
      <w:r w:rsidRPr="006413A6">
        <w:rPr>
          <w:rFonts w:ascii="Times New Roman" w:eastAsia="Times New Roman" w:hAnsi="Times New Roman" w:cs="Times New Roman"/>
          <w:color w:val="222222"/>
          <w:sz w:val="24"/>
          <w:szCs w:val="24"/>
          <w:highlight w:val="white"/>
          <w:lang w:val="en-GB"/>
        </w:rPr>
        <w:t>Randväli</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2024). It happens due to insufficient production of insulin by the pancreas or ineffective usage of insulin by the body. Insulin is a hormone and is important to allow glucose to penetrate cells to produce energy. Hence, without proper insulin usage or enough production, glucose tends to build up in the blood. It leads to serious health complications over time, such as damage to the blood vessels, heart, nerves, kidneys, and eyes (Ismail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2021). In cases of high blood sugar, glucose stays in the bloodstream and cannot reach cells, leading to </w:t>
      </w:r>
      <w:proofErr w:type="spellStart"/>
      <w:r w:rsidRPr="006413A6">
        <w:rPr>
          <w:rFonts w:ascii="Times New Roman" w:eastAsia="Times New Roman" w:hAnsi="Times New Roman" w:cs="Times New Roman"/>
          <w:color w:val="222222"/>
          <w:sz w:val="24"/>
          <w:szCs w:val="24"/>
          <w:highlight w:val="white"/>
          <w:lang w:val="en-GB"/>
        </w:rPr>
        <w:t>hyperglycemia</w:t>
      </w:r>
      <w:proofErr w:type="spellEnd"/>
      <w:r w:rsidRPr="006413A6">
        <w:rPr>
          <w:rFonts w:ascii="Times New Roman" w:eastAsia="Times New Roman" w:hAnsi="Times New Roman" w:cs="Times New Roman"/>
          <w:color w:val="222222"/>
          <w:sz w:val="24"/>
          <w:szCs w:val="24"/>
          <w:highlight w:val="white"/>
          <w:lang w:val="en-GB"/>
        </w:rPr>
        <w:t xml:space="preserve">. </w:t>
      </w:r>
    </w:p>
    <w:p w14:paraId="65EFF2CD" w14:textId="77777777" w:rsidR="00712D2F" w:rsidRPr="006413A6" w:rsidRDefault="003448BA" w:rsidP="006413A6">
      <w:pPr>
        <w:pStyle w:val="Heading2"/>
        <w:rPr>
          <w:highlight w:val="white"/>
          <w:lang w:val="en-GB"/>
        </w:rPr>
      </w:pPr>
      <w:bookmarkStart w:id="2" w:name="_Toc209891600"/>
      <w:r w:rsidRPr="006413A6">
        <w:rPr>
          <w:highlight w:val="white"/>
          <w:lang w:val="en-GB"/>
        </w:rPr>
        <w:t>Key risk factors</w:t>
      </w:r>
      <w:bookmarkEnd w:id="2"/>
    </w:p>
    <w:p w14:paraId="414280E2" w14:textId="5CDFE31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b/>
          <w:i/>
          <w:color w:val="222222"/>
          <w:sz w:val="24"/>
          <w:szCs w:val="24"/>
          <w:highlight w:val="white"/>
          <w:lang w:val="en-GB"/>
        </w:rPr>
        <w:t xml:space="preserve">Weight and lifestyle: </w:t>
      </w:r>
      <w:r w:rsidRPr="006413A6">
        <w:rPr>
          <w:rFonts w:ascii="Times New Roman" w:eastAsia="Times New Roman" w:hAnsi="Times New Roman" w:cs="Times New Roman"/>
          <w:color w:val="222222"/>
          <w:sz w:val="24"/>
          <w:szCs w:val="24"/>
          <w:highlight w:val="white"/>
          <w:lang w:val="en-GB"/>
        </w:rPr>
        <w:t xml:space="preserve">Overweight and obesity are the major risk factors of type 2 diabetes, as this </w:t>
      </w:r>
      <w:r w:rsidR="00190FA1">
        <w:rPr>
          <w:rFonts w:ascii="Times New Roman" w:eastAsia="Times New Roman" w:hAnsi="Times New Roman" w:cs="Times New Roman"/>
          <w:color w:val="222222"/>
          <w:sz w:val="24"/>
          <w:szCs w:val="24"/>
          <w:highlight w:val="white"/>
          <w:lang w:val="en-GB"/>
        </w:rPr>
        <w:t xml:space="preserve">is </w:t>
      </w:r>
      <w:r w:rsidRPr="006413A6">
        <w:rPr>
          <w:rFonts w:ascii="Times New Roman" w:eastAsia="Times New Roman" w:hAnsi="Times New Roman" w:cs="Times New Roman"/>
          <w:color w:val="222222"/>
          <w:sz w:val="24"/>
          <w:szCs w:val="24"/>
          <w:highlight w:val="white"/>
          <w:lang w:val="en-GB"/>
        </w:rPr>
        <w:t>condition stores fat in the abdomen (</w:t>
      </w:r>
      <w:proofErr w:type="spellStart"/>
      <w:r w:rsidRPr="006413A6">
        <w:rPr>
          <w:rFonts w:ascii="Times New Roman" w:eastAsia="Times New Roman" w:hAnsi="Times New Roman" w:cs="Times New Roman"/>
          <w:color w:val="222222"/>
          <w:sz w:val="24"/>
          <w:szCs w:val="24"/>
          <w:highlight w:val="white"/>
          <w:lang w:val="en-GB"/>
        </w:rPr>
        <w:t>Beulens</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2022). A </w:t>
      </w:r>
      <w:r w:rsidR="005C5E34">
        <w:rPr>
          <w:rFonts w:ascii="Times New Roman" w:eastAsia="Times New Roman" w:hAnsi="Times New Roman" w:cs="Times New Roman"/>
          <w:color w:val="222222"/>
          <w:sz w:val="24"/>
          <w:szCs w:val="24"/>
          <w:highlight w:val="white"/>
          <w:lang w:val="en-GB"/>
        </w:rPr>
        <w:t xml:space="preserve">stationary </w:t>
      </w:r>
      <w:r w:rsidRPr="006413A6">
        <w:rPr>
          <w:rFonts w:ascii="Times New Roman" w:eastAsia="Times New Roman" w:hAnsi="Times New Roman" w:cs="Times New Roman"/>
          <w:color w:val="222222"/>
          <w:sz w:val="24"/>
          <w:szCs w:val="24"/>
          <w:highlight w:val="white"/>
          <w:lang w:val="en-GB"/>
        </w:rPr>
        <w:t xml:space="preserve">lifestyle, such as spending the majority of time sitting or engaging in insufficient physical activity, increases the risk. </w:t>
      </w:r>
    </w:p>
    <w:p w14:paraId="2F5732D9"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b/>
          <w:i/>
          <w:color w:val="222222"/>
          <w:sz w:val="24"/>
          <w:szCs w:val="24"/>
          <w:highlight w:val="white"/>
          <w:lang w:val="en-GB"/>
        </w:rPr>
        <w:t xml:space="preserve">Genetics and demographics: </w:t>
      </w:r>
      <w:r w:rsidRPr="006413A6">
        <w:rPr>
          <w:rFonts w:ascii="Times New Roman" w:eastAsia="Times New Roman" w:hAnsi="Times New Roman" w:cs="Times New Roman"/>
          <w:color w:val="222222"/>
          <w:sz w:val="24"/>
          <w:szCs w:val="24"/>
          <w:highlight w:val="white"/>
          <w:lang w:val="en-GB"/>
        </w:rPr>
        <w:t>The chances of developing type 2</w:t>
      </w:r>
      <w:r w:rsidR="00190FA1">
        <w:rPr>
          <w:rFonts w:ascii="Times New Roman" w:eastAsia="Times New Roman" w:hAnsi="Times New Roman" w:cs="Times New Roman"/>
          <w:color w:val="222222"/>
          <w:sz w:val="24"/>
          <w:szCs w:val="24"/>
          <w:highlight w:val="white"/>
          <w:lang w:val="en-GB"/>
        </w:rPr>
        <w:t>,</w:t>
      </w:r>
      <w:r w:rsidRPr="006413A6">
        <w:rPr>
          <w:rFonts w:ascii="Times New Roman" w:eastAsia="Times New Roman" w:hAnsi="Times New Roman" w:cs="Times New Roman"/>
          <w:color w:val="222222"/>
          <w:sz w:val="24"/>
          <w:szCs w:val="24"/>
          <w:highlight w:val="white"/>
          <w:lang w:val="en-GB"/>
        </w:rPr>
        <w:t xml:space="preserve"> diabetes can increase if one has siblings or parents with this disease. The risk also increases with age, particularly for people aged 45 and above. </w:t>
      </w:r>
    </w:p>
    <w:p w14:paraId="3F467304"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b/>
          <w:i/>
          <w:color w:val="222222"/>
          <w:sz w:val="24"/>
          <w:szCs w:val="24"/>
          <w:highlight w:val="white"/>
          <w:lang w:val="en-GB"/>
        </w:rPr>
        <w:t xml:space="preserve">Medical history: </w:t>
      </w:r>
      <w:r w:rsidRPr="006413A6">
        <w:rPr>
          <w:rFonts w:ascii="Times New Roman" w:eastAsia="Times New Roman" w:hAnsi="Times New Roman" w:cs="Times New Roman"/>
          <w:color w:val="222222"/>
          <w:sz w:val="24"/>
          <w:szCs w:val="24"/>
          <w:highlight w:val="white"/>
          <w:lang w:val="en-GB"/>
        </w:rPr>
        <w:t xml:space="preserve">Conditions, like </w:t>
      </w:r>
      <w:proofErr w:type="spellStart"/>
      <w:r w:rsidRPr="006413A6">
        <w:rPr>
          <w:rFonts w:ascii="Times New Roman" w:eastAsia="Times New Roman" w:hAnsi="Times New Roman" w:cs="Times New Roman"/>
          <w:color w:val="222222"/>
          <w:sz w:val="24"/>
          <w:szCs w:val="24"/>
          <w:highlight w:val="white"/>
          <w:lang w:val="en-GB"/>
        </w:rPr>
        <w:t>prediabetes</w:t>
      </w:r>
      <w:proofErr w:type="spellEnd"/>
      <w:r w:rsidRPr="006413A6">
        <w:rPr>
          <w:rFonts w:ascii="Times New Roman" w:eastAsia="Times New Roman" w:hAnsi="Times New Roman" w:cs="Times New Roman"/>
          <w:color w:val="222222"/>
          <w:sz w:val="24"/>
          <w:szCs w:val="24"/>
          <w:highlight w:val="white"/>
          <w:lang w:val="en-GB"/>
        </w:rPr>
        <w:t xml:space="preserve">, gestational diabetes, </w:t>
      </w:r>
      <w:r w:rsidR="00190FA1" w:rsidRPr="006413A6">
        <w:rPr>
          <w:rFonts w:ascii="Times New Roman" w:eastAsia="Times New Roman" w:hAnsi="Times New Roman" w:cs="Times New Roman"/>
          <w:color w:val="222222"/>
          <w:sz w:val="24"/>
          <w:szCs w:val="24"/>
          <w:highlight w:val="white"/>
          <w:lang w:val="en-GB"/>
        </w:rPr>
        <w:t>and non</w:t>
      </w:r>
      <w:r w:rsidRPr="006413A6">
        <w:rPr>
          <w:rFonts w:ascii="Times New Roman" w:eastAsia="Times New Roman" w:hAnsi="Times New Roman" w:cs="Times New Roman"/>
          <w:color w:val="222222"/>
          <w:sz w:val="24"/>
          <w:szCs w:val="24"/>
          <w:highlight w:val="white"/>
          <w:lang w:val="en-GB"/>
        </w:rPr>
        <w:t>-alcoholic fatty liver disease (NAFLD), and high blood pressure, can escalate the chances of developing type 2 diabetes (</w:t>
      </w:r>
      <w:proofErr w:type="spellStart"/>
      <w:r w:rsidRPr="006413A6">
        <w:rPr>
          <w:rFonts w:ascii="Times New Roman" w:eastAsia="Times New Roman" w:hAnsi="Times New Roman" w:cs="Times New Roman"/>
          <w:color w:val="222222"/>
          <w:sz w:val="24"/>
          <w:szCs w:val="24"/>
          <w:highlight w:val="white"/>
          <w:lang w:val="en-GB"/>
        </w:rPr>
        <w:t>Randväli</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2024). </w:t>
      </w:r>
    </w:p>
    <w:p w14:paraId="0CB74589" w14:textId="77777777" w:rsidR="00712D2F" w:rsidRPr="006413A6" w:rsidRDefault="003448BA" w:rsidP="006413A6">
      <w:pPr>
        <w:pStyle w:val="Heading2"/>
        <w:rPr>
          <w:highlight w:val="white"/>
          <w:lang w:val="en-GB"/>
        </w:rPr>
      </w:pPr>
      <w:bookmarkStart w:id="3" w:name="_Toc209891601"/>
      <w:r w:rsidRPr="006413A6">
        <w:rPr>
          <w:highlight w:val="white"/>
          <w:lang w:val="en-GB"/>
        </w:rPr>
        <w:t>Purpose of the report</w:t>
      </w:r>
      <w:bookmarkEnd w:id="3"/>
      <w:r w:rsidRPr="006413A6">
        <w:rPr>
          <w:highlight w:val="white"/>
          <w:lang w:val="en-GB"/>
        </w:rPr>
        <w:t xml:space="preserve"> </w:t>
      </w:r>
    </w:p>
    <w:p w14:paraId="6DF34D84"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The report aims to explain the condition of blood sugar, its anatomy, psychological aspects, its impacts, consequences, and the importance of monitoring its level for human health. </w:t>
      </w:r>
    </w:p>
    <w:p w14:paraId="29F1BC5D" w14:textId="77777777" w:rsidR="00712D2F" w:rsidRPr="006413A6" w:rsidRDefault="003448BA" w:rsidP="006413A6">
      <w:pPr>
        <w:pStyle w:val="Heading1"/>
        <w:rPr>
          <w:highlight w:val="white"/>
          <w:lang w:val="en-GB"/>
        </w:rPr>
      </w:pPr>
      <w:bookmarkStart w:id="4" w:name="_Toc209891602"/>
      <w:r w:rsidRPr="006413A6">
        <w:rPr>
          <w:highlight w:val="white"/>
          <w:lang w:val="en-GB"/>
        </w:rPr>
        <w:t>Section 1: Anatomy and Physiology</w:t>
      </w:r>
      <w:bookmarkEnd w:id="4"/>
    </w:p>
    <w:p w14:paraId="39D3F58E" w14:textId="77777777" w:rsidR="00712D2F" w:rsidRPr="006413A6" w:rsidRDefault="003448BA" w:rsidP="006413A6">
      <w:pPr>
        <w:pStyle w:val="Heading2"/>
        <w:rPr>
          <w:highlight w:val="white"/>
          <w:lang w:val="en-GB"/>
        </w:rPr>
      </w:pPr>
      <w:bookmarkStart w:id="5" w:name="_Toc209891603"/>
      <w:r w:rsidRPr="006413A6">
        <w:rPr>
          <w:highlight w:val="white"/>
          <w:lang w:val="en-GB"/>
        </w:rPr>
        <w:t>Explanation of blood sugar regulation</w:t>
      </w:r>
      <w:bookmarkEnd w:id="5"/>
      <w:r w:rsidRPr="006413A6">
        <w:rPr>
          <w:highlight w:val="white"/>
          <w:lang w:val="en-GB"/>
        </w:rPr>
        <w:t xml:space="preserve"> </w:t>
      </w:r>
    </w:p>
    <w:p w14:paraId="13802427" w14:textId="77777777" w:rsidR="00712D2F" w:rsidRPr="006413A6" w:rsidRDefault="003448BA">
      <w:pPr>
        <w:spacing w:line="360" w:lineRule="auto"/>
        <w:jc w:val="center"/>
        <w:rPr>
          <w:rFonts w:ascii="Times New Roman" w:eastAsia="Times New Roman" w:hAnsi="Times New Roman" w:cs="Times New Roman"/>
          <w:b/>
          <w:color w:val="222222"/>
          <w:sz w:val="24"/>
          <w:szCs w:val="24"/>
          <w:highlight w:val="white"/>
          <w:lang w:val="en-GB"/>
        </w:rPr>
      </w:pPr>
      <w:r w:rsidRPr="006413A6">
        <w:rPr>
          <w:rFonts w:ascii="Times New Roman" w:eastAsia="Times New Roman" w:hAnsi="Times New Roman" w:cs="Times New Roman"/>
          <w:b/>
          <w:noProof/>
          <w:color w:val="222222"/>
          <w:sz w:val="24"/>
          <w:szCs w:val="24"/>
          <w:highlight w:val="white"/>
        </w:rPr>
        <w:drawing>
          <wp:inline distT="114300" distB="114300" distL="114300" distR="114300" wp14:anchorId="17D90D6D" wp14:editId="7CE4DDA5">
            <wp:extent cx="5076825" cy="28194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076825" cy="2819400"/>
                    </a:xfrm>
                    <a:prstGeom prst="rect">
                      <a:avLst/>
                    </a:prstGeom>
                    <a:ln w="25400">
                      <a:solidFill>
                        <a:srgbClr val="000000"/>
                      </a:solidFill>
                      <a:prstDash val="solid"/>
                    </a:ln>
                  </pic:spPr>
                </pic:pic>
              </a:graphicData>
            </a:graphic>
          </wp:inline>
        </w:drawing>
      </w:r>
    </w:p>
    <w:p w14:paraId="35F79E4C" w14:textId="77777777" w:rsidR="00712D2F" w:rsidRPr="006413A6" w:rsidRDefault="003448BA">
      <w:pPr>
        <w:spacing w:line="360" w:lineRule="auto"/>
        <w:jc w:val="center"/>
        <w:rPr>
          <w:rFonts w:ascii="Times New Roman" w:eastAsia="Times New Roman" w:hAnsi="Times New Roman" w:cs="Times New Roman"/>
          <w:b/>
          <w:color w:val="222222"/>
          <w:sz w:val="24"/>
          <w:szCs w:val="24"/>
          <w:highlight w:val="white"/>
          <w:lang w:val="en-GB"/>
        </w:rPr>
      </w:pPr>
      <w:r w:rsidRPr="006413A6">
        <w:rPr>
          <w:rFonts w:ascii="Times New Roman" w:eastAsia="Times New Roman" w:hAnsi="Times New Roman" w:cs="Times New Roman"/>
          <w:b/>
          <w:color w:val="222222"/>
          <w:sz w:val="24"/>
          <w:szCs w:val="24"/>
          <w:highlight w:val="white"/>
          <w:lang w:val="en-GB"/>
        </w:rPr>
        <w:t>Figure 1: Regulation of blood glucose</w:t>
      </w:r>
    </w:p>
    <w:p w14:paraId="778090F0" w14:textId="77777777" w:rsidR="00712D2F" w:rsidRPr="006413A6" w:rsidRDefault="003448BA">
      <w:pPr>
        <w:spacing w:line="360" w:lineRule="auto"/>
        <w:jc w:val="center"/>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(Source: Influenced by </w:t>
      </w:r>
      <w:proofErr w:type="spellStart"/>
      <w:r w:rsidRPr="006413A6">
        <w:rPr>
          <w:rFonts w:ascii="Times New Roman" w:eastAsia="Times New Roman" w:hAnsi="Times New Roman" w:cs="Times New Roman"/>
          <w:color w:val="222222"/>
          <w:sz w:val="24"/>
          <w:szCs w:val="24"/>
          <w:highlight w:val="white"/>
          <w:lang w:val="en-GB"/>
        </w:rPr>
        <w:t>Gromova</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2021)</w:t>
      </w:r>
    </w:p>
    <w:p w14:paraId="1A454465"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The glucose regulation cycle involves some stages that have been mentioned below. Glucose level is regulated through an effective feedback system that involves insulin, the pancreas, and glucose uptake. </w:t>
      </w:r>
    </w:p>
    <w:p w14:paraId="6E5D9E3F"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b/>
          <w:color w:val="222222"/>
          <w:sz w:val="24"/>
          <w:szCs w:val="24"/>
          <w:highlight w:val="white"/>
          <w:lang w:val="en-GB"/>
        </w:rPr>
        <w:t xml:space="preserve">After a meal: </w:t>
      </w:r>
      <w:r w:rsidRPr="006413A6">
        <w:rPr>
          <w:rFonts w:ascii="Times New Roman" w:eastAsia="Times New Roman" w:hAnsi="Times New Roman" w:cs="Times New Roman"/>
          <w:color w:val="222222"/>
          <w:sz w:val="24"/>
          <w:szCs w:val="24"/>
          <w:highlight w:val="white"/>
          <w:lang w:val="en-GB"/>
        </w:rPr>
        <w:t xml:space="preserve">Carbohydrates decay into glucose, and they enter the bloodstream and increase the levels of blood sugar. </w:t>
      </w:r>
    </w:p>
    <w:p w14:paraId="188CC2A3"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b/>
          <w:color w:val="222222"/>
          <w:sz w:val="24"/>
          <w:szCs w:val="24"/>
          <w:highlight w:val="white"/>
          <w:lang w:val="en-GB"/>
        </w:rPr>
        <w:t xml:space="preserve">Insulin release: </w:t>
      </w:r>
      <w:r w:rsidRPr="006413A6">
        <w:rPr>
          <w:rFonts w:ascii="Times New Roman" w:eastAsia="Times New Roman" w:hAnsi="Times New Roman" w:cs="Times New Roman"/>
          <w:color w:val="222222"/>
          <w:sz w:val="24"/>
          <w:szCs w:val="24"/>
          <w:highlight w:val="white"/>
          <w:lang w:val="en-GB"/>
        </w:rPr>
        <w:t>The rise of blood glucose is detected by the pancreas, and insulin is released (</w:t>
      </w:r>
      <w:proofErr w:type="spellStart"/>
      <w:r w:rsidRPr="006413A6">
        <w:rPr>
          <w:rFonts w:ascii="Times New Roman" w:eastAsia="Times New Roman" w:hAnsi="Times New Roman" w:cs="Times New Roman"/>
          <w:color w:val="222222"/>
          <w:sz w:val="24"/>
          <w:szCs w:val="24"/>
          <w:highlight w:val="white"/>
          <w:lang w:val="en-GB"/>
        </w:rPr>
        <w:t>Gromova</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2021). </w:t>
      </w:r>
    </w:p>
    <w:p w14:paraId="6B13A255"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b/>
          <w:color w:val="222222"/>
          <w:sz w:val="24"/>
          <w:szCs w:val="24"/>
          <w:highlight w:val="white"/>
          <w:lang w:val="en-GB"/>
        </w:rPr>
        <w:t xml:space="preserve">Glucose uptake: </w:t>
      </w:r>
      <w:r w:rsidRPr="006413A6">
        <w:rPr>
          <w:rFonts w:ascii="Times New Roman" w:eastAsia="Times New Roman" w:hAnsi="Times New Roman" w:cs="Times New Roman"/>
          <w:color w:val="222222"/>
          <w:sz w:val="24"/>
          <w:szCs w:val="24"/>
          <w:highlight w:val="white"/>
          <w:lang w:val="en-GB"/>
        </w:rPr>
        <w:t xml:space="preserve">Insulin advances into cells and facilitates glucose uptake, which results in a drop in blood sugar levels. </w:t>
      </w:r>
    </w:p>
    <w:p w14:paraId="6B477CC7"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b/>
          <w:color w:val="222222"/>
          <w:sz w:val="24"/>
          <w:szCs w:val="24"/>
          <w:highlight w:val="white"/>
          <w:lang w:val="en-GB"/>
        </w:rPr>
        <w:t xml:space="preserve">Glucagon release: </w:t>
      </w:r>
      <w:r w:rsidRPr="006413A6">
        <w:rPr>
          <w:rFonts w:ascii="Times New Roman" w:eastAsia="Times New Roman" w:hAnsi="Times New Roman" w:cs="Times New Roman"/>
          <w:color w:val="222222"/>
          <w:sz w:val="24"/>
          <w:szCs w:val="24"/>
          <w:highlight w:val="white"/>
          <w:lang w:val="en-GB"/>
        </w:rPr>
        <w:t xml:space="preserve">In cases where the blood sugar becomes too low, glucagon is released by the pancreas. </w:t>
      </w:r>
    </w:p>
    <w:p w14:paraId="308ADFB2"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proofErr w:type="spellStart"/>
      <w:r w:rsidRPr="006413A6">
        <w:rPr>
          <w:rFonts w:ascii="Times New Roman" w:eastAsia="Times New Roman" w:hAnsi="Times New Roman" w:cs="Times New Roman"/>
          <w:b/>
          <w:color w:val="222222"/>
          <w:sz w:val="24"/>
          <w:szCs w:val="24"/>
          <w:highlight w:val="white"/>
          <w:lang w:val="en-GB"/>
        </w:rPr>
        <w:t>Glycogenolysis</w:t>
      </w:r>
      <w:proofErr w:type="spellEnd"/>
      <w:r w:rsidRPr="006413A6">
        <w:rPr>
          <w:rFonts w:ascii="Times New Roman" w:eastAsia="Times New Roman" w:hAnsi="Times New Roman" w:cs="Times New Roman"/>
          <w:b/>
          <w:color w:val="222222"/>
          <w:sz w:val="24"/>
          <w:szCs w:val="24"/>
          <w:highlight w:val="white"/>
          <w:lang w:val="en-GB"/>
        </w:rPr>
        <w:t xml:space="preserve">: </w:t>
      </w:r>
      <w:r w:rsidRPr="006413A6">
        <w:rPr>
          <w:rFonts w:ascii="Times New Roman" w:eastAsia="Times New Roman" w:hAnsi="Times New Roman" w:cs="Times New Roman"/>
          <w:color w:val="222222"/>
          <w:sz w:val="24"/>
          <w:szCs w:val="24"/>
          <w:highlight w:val="white"/>
          <w:lang w:val="en-GB"/>
        </w:rPr>
        <w:t xml:space="preserve">The Liver is </w:t>
      </w:r>
      <w:r w:rsidR="00190FA1" w:rsidRPr="006413A6">
        <w:rPr>
          <w:rFonts w:ascii="Times New Roman" w:eastAsia="Times New Roman" w:hAnsi="Times New Roman" w:cs="Times New Roman"/>
          <w:color w:val="222222"/>
          <w:sz w:val="24"/>
          <w:szCs w:val="24"/>
          <w:highlight w:val="white"/>
          <w:lang w:val="en-GB"/>
        </w:rPr>
        <w:t>signalled</w:t>
      </w:r>
      <w:r w:rsidRPr="006413A6">
        <w:rPr>
          <w:rFonts w:ascii="Times New Roman" w:eastAsia="Times New Roman" w:hAnsi="Times New Roman" w:cs="Times New Roman"/>
          <w:color w:val="222222"/>
          <w:sz w:val="24"/>
          <w:szCs w:val="24"/>
          <w:highlight w:val="white"/>
          <w:lang w:val="en-GB"/>
        </w:rPr>
        <w:t xml:space="preserve"> through glucagon to break down the glycogen back into glucose (Campbell and </w:t>
      </w:r>
      <w:proofErr w:type="spellStart"/>
      <w:r w:rsidRPr="006413A6">
        <w:rPr>
          <w:rFonts w:ascii="Times New Roman" w:eastAsia="Times New Roman" w:hAnsi="Times New Roman" w:cs="Times New Roman"/>
          <w:color w:val="222222"/>
          <w:sz w:val="24"/>
          <w:szCs w:val="24"/>
          <w:highlight w:val="white"/>
          <w:lang w:val="en-GB"/>
        </w:rPr>
        <w:t>Newgard</w:t>
      </w:r>
      <w:proofErr w:type="spellEnd"/>
      <w:r w:rsidRPr="006413A6">
        <w:rPr>
          <w:rFonts w:ascii="Times New Roman" w:eastAsia="Times New Roman" w:hAnsi="Times New Roman" w:cs="Times New Roman"/>
          <w:color w:val="222222"/>
          <w:sz w:val="24"/>
          <w:szCs w:val="24"/>
          <w:highlight w:val="white"/>
          <w:lang w:val="en-GB"/>
        </w:rPr>
        <w:t xml:space="preserve">, 2021). It is also instructed to release glycogen into the blood, which raises blood sugar. </w:t>
      </w:r>
    </w:p>
    <w:p w14:paraId="5AB47DD0"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b/>
          <w:color w:val="222222"/>
          <w:sz w:val="24"/>
          <w:szCs w:val="24"/>
          <w:highlight w:val="white"/>
          <w:lang w:val="en-GB"/>
        </w:rPr>
        <w:t xml:space="preserve">Maintaining balance: </w:t>
      </w:r>
      <w:r w:rsidRPr="006413A6">
        <w:rPr>
          <w:rFonts w:ascii="Times New Roman" w:eastAsia="Times New Roman" w:hAnsi="Times New Roman" w:cs="Times New Roman"/>
          <w:color w:val="222222"/>
          <w:sz w:val="24"/>
          <w:szCs w:val="24"/>
          <w:highlight w:val="white"/>
          <w:lang w:val="en-GB"/>
        </w:rPr>
        <w:t xml:space="preserve">This is a continuous process between glucagon and insulin, ensuring a healthy level of blood glucose. A steady energy supply can be ensured to be provided to cells in this way. </w:t>
      </w:r>
    </w:p>
    <w:p w14:paraId="594B7FB5" w14:textId="77777777" w:rsidR="00712D2F" w:rsidRPr="006413A6" w:rsidRDefault="003448BA" w:rsidP="006413A6">
      <w:pPr>
        <w:pStyle w:val="Heading2"/>
        <w:rPr>
          <w:highlight w:val="white"/>
          <w:lang w:val="en-GB"/>
        </w:rPr>
      </w:pPr>
      <w:bookmarkStart w:id="6" w:name="_Toc209891604"/>
      <w:r w:rsidRPr="006413A6">
        <w:rPr>
          <w:highlight w:val="white"/>
          <w:lang w:val="en-GB"/>
        </w:rPr>
        <w:t>Description of cell metabolism</w:t>
      </w:r>
      <w:bookmarkEnd w:id="6"/>
      <w:r w:rsidRPr="006413A6">
        <w:rPr>
          <w:highlight w:val="white"/>
          <w:lang w:val="en-GB"/>
        </w:rPr>
        <w:t xml:space="preserve"> </w:t>
      </w:r>
    </w:p>
    <w:p w14:paraId="406F3937"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Glucose and oxygen are used by cellular metabolism as inputs that produce adenosine triphosphate (ATP). It can also be considered as a usable energy means, as well as water and carbon dioxide (Conte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2021). Glycolysis, which breaks down glucose in the cytoplasm or the Krebs cycle, further oxidises the production of glycolysis in the mitochondria. Moreover, it creates an electron transport chain that occurs in the mitochondria and releases a significant amount of ATP. These are the three main stages of aerobic cellular respiration. Oxygen enables the release of stored energy of glucose in a controlled way to power cells’ activities (Karl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2021). </w:t>
      </w:r>
    </w:p>
    <w:p w14:paraId="05F2D37E" w14:textId="77777777" w:rsidR="00712D2F" w:rsidRPr="006413A6" w:rsidRDefault="003448BA">
      <w:pPr>
        <w:spacing w:line="360" w:lineRule="auto"/>
        <w:jc w:val="center"/>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noProof/>
          <w:color w:val="222222"/>
          <w:sz w:val="24"/>
          <w:szCs w:val="24"/>
          <w:highlight w:val="white"/>
        </w:rPr>
        <w:drawing>
          <wp:inline distT="114300" distB="114300" distL="114300" distR="114300" wp14:anchorId="7317F4FB" wp14:editId="791E2C8D">
            <wp:extent cx="4900613" cy="5175487"/>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4900613" cy="5175487"/>
                    </a:xfrm>
                    <a:prstGeom prst="rect">
                      <a:avLst/>
                    </a:prstGeom>
                    <a:ln w="25400">
                      <a:solidFill>
                        <a:srgbClr val="000000"/>
                      </a:solidFill>
                      <a:prstDash val="solid"/>
                    </a:ln>
                  </pic:spPr>
                </pic:pic>
              </a:graphicData>
            </a:graphic>
          </wp:inline>
        </w:drawing>
      </w:r>
    </w:p>
    <w:p w14:paraId="4FA83A73" w14:textId="77777777" w:rsidR="00712D2F" w:rsidRPr="006413A6" w:rsidRDefault="003448BA">
      <w:pPr>
        <w:spacing w:line="360" w:lineRule="auto"/>
        <w:jc w:val="center"/>
        <w:rPr>
          <w:rFonts w:ascii="Times New Roman" w:eastAsia="Times New Roman" w:hAnsi="Times New Roman" w:cs="Times New Roman"/>
          <w:b/>
          <w:color w:val="222222"/>
          <w:sz w:val="24"/>
          <w:szCs w:val="24"/>
          <w:highlight w:val="white"/>
          <w:lang w:val="en-GB"/>
        </w:rPr>
      </w:pPr>
      <w:r w:rsidRPr="006413A6">
        <w:rPr>
          <w:rFonts w:ascii="Times New Roman" w:eastAsia="Times New Roman" w:hAnsi="Times New Roman" w:cs="Times New Roman"/>
          <w:b/>
          <w:color w:val="222222"/>
          <w:sz w:val="24"/>
          <w:szCs w:val="24"/>
          <w:highlight w:val="white"/>
          <w:lang w:val="en-GB"/>
        </w:rPr>
        <w:t xml:space="preserve">Figure 2: Cell metabolism with </w:t>
      </w:r>
      <w:proofErr w:type="spellStart"/>
      <w:r w:rsidRPr="006413A6">
        <w:rPr>
          <w:rFonts w:ascii="Times New Roman" w:eastAsia="Times New Roman" w:hAnsi="Times New Roman" w:cs="Times New Roman"/>
          <w:b/>
          <w:color w:val="222222"/>
          <w:sz w:val="24"/>
          <w:szCs w:val="24"/>
          <w:highlight w:val="white"/>
          <w:lang w:val="en-GB"/>
        </w:rPr>
        <w:t>microplate</w:t>
      </w:r>
      <w:proofErr w:type="spellEnd"/>
      <w:r w:rsidRPr="006413A6">
        <w:rPr>
          <w:rFonts w:ascii="Times New Roman" w:eastAsia="Times New Roman" w:hAnsi="Times New Roman" w:cs="Times New Roman"/>
          <w:b/>
          <w:color w:val="222222"/>
          <w:sz w:val="24"/>
          <w:szCs w:val="24"/>
          <w:highlight w:val="white"/>
          <w:lang w:val="en-GB"/>
        </w:rPr>
        <w:t xml:space="preserve"> readers</w:t>
      </w:r>
    </w:p>
    <w:p w14:paraId="03D73808" w14:textId="77777777" w:rsidR="00712D2F" w:rsidRPr="006413A6" w:rsidRDefault="003448BA">
      <w:pPr>
        <w:spacing w:line="360" w:lineRule="auto"/>
        <w:jc w:val="center"/>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(Source: Influenced by Conte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2021)</w:t>
      </w:r>
    </w:p>
    <w:p w14:paraId="728D2DBF"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The three main processes of cell metabolism involve glycolysis, the Krebs cycle (TCA Cycle), and the electron transport chain. The overall goal of the metabolic pathway is to successfully convert the chemical energy present in glycogen into ATP (Conte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2021). The principal energy currency of a cell is this process to ensure it can perform multiple functions. For instance, oxygen is necessary in the electron chain as the final acceptor of electrons to combine with protons and electrons forming water. </w:t>
      </w:r>
    </w:p>
    <w:p w14:paraId="2D20E3FC" w14:textId="77777777" w:rsidR="00712D2F" w:rsidRPr="006413A6" w:rsidRDefault="003448BA" w:rsidP="006413A6">
      <w:pPr>
        <w:pStyle w:val="Heading1"/>
        <w:rPr>
          <w:highlight w:val="white"/>
          <w:lang w:val="en-GB"/>
        </w:rPr>
      </w:pPr>
      <w:bookmarkStart w:id="7" w:name="_Toc209891605"/>
      <w:r w:rsidRPr="006413A6">
        <w:rPr>
          <w:highlight w:val="white"/>
          <w:lang w:val="en-GB"/>
        </w:rPr>
        <w:t>Section 2: Pathophysiology and Impact</w:t>
      </w:r>
      <w:bookmarkEnd w:id="7"/>
    </w:p>
    <w:p w14:paraId="61D70E17" w14:textId="77777777" w:rsidR="00712D2F" w:rsidRPr="006413A6" w:rsidRDefault="003448BA" w:rsidP="006413A6">
      <w:pPr>
        <w:pStyle w:val="Heading2"/>
        <w:rPr>
          <w:highlight w:val="white"/>
          <w:lang w:val="en-GB"/>
        </w:rPr>
      </w:pPr>
      <w:bookmarkStart w:id="8" w:name="_Toc209891606"/>
      <w:r w:rsidRPr="006413A6">
        <w:rPr>
          <w:highlight w:val="white"/>
          <w:lang w:val="en-GB"/>
        </w:rPr>
        <w:t>Consequences of blood sugar regulation failure</w:t>
      </w:r>
      <w:bookmarkEnd w:id="8"/>
    </w:p>
    <w:p w14:paraId="12447681"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Failure of blood sugar regulation can cause life-threatening complications, including kidney failure, heart disease, nerve damage, or vision loss. According to </w:t>
      </w:r>
      <w:proofErr w:type="spellStart"/>
      <w:r w:rsidRPr="006413A6">
        <w:rPr>
          <w:rFonts w:ascii="Times New Roman" w:eastAsia="Times New Roman" w:hAnsi="Times New Roman" w:cs="Times New Roman"/>
          <w:color w:val="222222"/>
          <w:sz w:val="24"/>
          <w:szCs w:val="24"/>
          <w:highlight w:val="white"/>
          <w:lang w:val="en-GB"/>
        </w:rPr>
        <w:t>Numsang</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(2023), there is a chance of developing Diabetic </w:t>
      </w:r>
      <w:proofErr w:type="spellStart"/>
      <w:r w:rsidRPr="006413A6">
        <w:rPr>
          <w:rFonts w:ascii="Times New Roman" w:eastAsia="Times New Roman" w:hAnsi="Times New Roman" w:cs="Times New Roman"/>
          <w:color w:val="222222"/>
          <w:sz w:val="24"/>
          <w:szCs w:val="24"/>
          <w:highlight w:val="white"/>
          <w:lang w:val="en-GB"/>
        </w:rPr>
        <w:t>Ketoacidosis</w:t>
      </w:r>
      <w:proofErr w:type="spellEnd"/>
      <w:r w:rsidRPr="006413A6">
        <w:rPr>
          <w:rFonts w:ascii="Times New Roman" w:eastAsia="Times New Roman" w:hAnsi="Times New Roman" w:cs="Times New Roman"/>
          <w:color w:val="222222"/>
          <w:sz w:val="24"/>
          <w:szCs w:val="24"/>
          <w:highlight w:val="white"/>
          <w:lang w:val="en-GB"/>
        </w:rPr>
        <w:t xml:space="preserve"> (DKA) in cases of blood sugar emergencies. It is mainly the result of untreated </w:t>
      </w:r>
      <w:proofErr w:type="spellStart"/>
      <w:r w:rsidRPr="006413A6">
        <w:rPr>
          <w:rFonts w:ascii="Times New Roman" w:eastAsia="Times New Roman" w:hAnsi="Times New Roman" w:cs="Times New Roman"/>
          <w:color w:val="222222"/>
          <w:sz w:val="24"/>
          <w:szCs w:val="24"/>
          <w:highlight w:val="white"/>
          <w:lang w:val="en-GB"/>
        </w:rPr>
        <w:t>hyperglycemia</w:t>
      </w:r>
      <w:proofErr w:type="spellEnd"/>
      <w:r w:rsidRPr="006413A6">
        <w:rPr>
          <w:rFonts w:ascii="Times New Roman" w:eastAsia="Times New Roman" w:hAnsi="Times New Roman" w:cs="Times New Roman"/>
          <w:color w:val="222222"/>
          <w:sz w:val="24"/>
          <w:szCs w:val="24"/>
          <w:highlight w:val="white"/>
          <w:lang w:val="en-GB"/>
        </w:rPr>
        <w:t xml:space="preserve"> that results in DKA, especially for patients with type 1 diabetes. For patients of type 2 diabetes, </w:t>
      </w:r>
      <w:proofErr w:type="spellStart"/>
      <w:r w:rsidRPr="006413A6">
        <w:rPr>
          <w:rFonts w:ascii="Times New Roman" w:eastAsia="Times New Roman" w:hAnsi="Times New Roman" w:cs="Times New Roman"/>
          <w:color w:val="222222"/>
          <w:sz w:val="24"/>
          <w:szCs w:val="24"/>
          <w:highlight w:val="white"/>
          <w:lang w:val="en-GB"/>
        </w:rPr>
        <w:t>Hyperosmolar</w:t>
      </w:r>
      <w:proofErr w:type="spellEnd"/>
      <w:r w:rsidRPr="006413A6">
        <w:rPr>
          <w:rFonts w:ascii="Times New Roman" w:eastAsia="Times New Roman" w:hAnsi="Times New Roman" w:cs="Times New Roman"/>
          <w:color w:val="222222"/>
          <w:sz w:val="24"/>
          <w:szCs w:val="24"/>
          <w:highlight w:val="white"/>
          <w:lang w:val="en-GB"/>
        </w:rPr>
        <w:t xml:space="preserve"> </w:t>
      </w:r>
      <w:proofErr w:type="spellStart"/>
      <w:r w:rsidRPr="006413A6">
        <w:rPr>
          <w:rFonts w:ascii="Times New Roman" w:eastAsia="Times New Roman" w:hAnsi="Times New Roman" w:cs="Times New Roman"/>
          <w:color w:val="222222"/>
          <w:sz w:val="24"/>
          <w:szCs w:val="24"/>
          <w:highlight w:val="white"/>
          <w:lang w:val="en-GB"/>
        </w:rPr>
        <w:t>Hyperglycemic</w:t>
      </w:r>
      <w:proofErr w:type="spellEnd"/>
      <w:r w:rsidRPr="006413A6">
        <w:rPr>
          <w:rFonts w:ascii="Times New Roman" w:eastAsia="Times New Roman" w:hAnsi="Times New Roman" w:cs="Times New Roman"/>
          <w:color w:val="222222"/>
          <w:sz w:val="24"/>
          <w:szCs w:val="24"/>
          <w:highlight w:val="white"/>
          <w:lang w:val="en-GB"/>
        </w:rPr>
        <w:t xml:space="preserve"> State (HHS) can occur, which </w:t>
      </w:r>
      <w:r w:rsidR="00190FA1" w:rsidRPr="006413A6">
        <w:rPr>
          <w:rFonts w:ascii="Times New Roman" w:eastAsia="Times New Roman" w:hAnsi="Times New Roman" w:cs="Times New Roman"/>
          <w:color w:val="222222"/>
          <w:sz w:val="24"/>
          <w:szCs w:val="24"/>
          <w:highlight w:val="white"/>
          <w:lang w:val="en-GB"/>
        </w:rPr>
        <w:t>a critical medical case is</w:t>
      </w:r>
      <w:r w:rsidRPr="006413A6">
        <w:rPr>
          <w:rFonts w:ascii="Times New Roman" w:eastAsia="Times New Roman" w:hAnsi="Times New Roman" w:cs="Times New Roman"/>
          <w:color w:val="222222"/>
          <w:sz w:val="24"/>
          <w:szCs w:val="24"/>
          <w:highlight w:val="white"/>
          <w:lang w:val="en-GB"/>
        </w:rPr>
        <w:t xml:space="preserve"> requiring immediate attention and proper care (</w:t>
      </w:r>
      <w:proofErr w:type="spellStart"/>
      <w:r w:rsidRPr="006413A6">
        <w:rPr>
          <w:rFonts w:ascii="Times New Roman" w:eastAsia="Times New Roman" w:hAnsi="Times New Roman" w:cs="Times New Roman"/>
          <w:color w:val="222222"/>
          <w:sz w:val="24"/>
          <w:szCs w:val="24"/>
          <w:highlight w:val="white"/>
          <w:lang w:val="en-GB"/>
        </w:rPr>
        <w:t>Pabel</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2021). Besides, there is a probability of developing foot problems due to nerve damage, resulting in ulcers, serious infections, and severe cases. </w:t>
      </w:r>
    </w:p>
    <w:p w14:paraId="6782E6C9"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On another note, in the cases of unregulated low blood sugar or </w:t>
      </w:r>
      <w:proofErr w:type="spellStart"/>
      <w:r w:rsidRPr="006413A6">
        <w:rPr>
          <w:rFonts w:ascii="Times New Roman" w:eastAsia="Times New Roman" w:hAnsi="Times New Roman" w:cs="Times New Roman"/>
          <w:color w:val="222222"/>
          <w:sz w:val="24"/>
          <w:szCs w:val="24"/>
          <w:highlight w:val="white"/>
          <w:lang w:val="en-GB"/>
        </w:rPr>
        <w:t>hypoglycemia</w:t>
      </w:r>
      <w:proofErr w:type="spellEnd"/>
      <w:r w:rsidRPr="006413A6">
        <w:rPr>
          <w:rFonts w:ascii="Times New Roman" w:eastAsia="Times New Roman" w:hAnsi="Times New Roman" w:cs="Times New Roman"/>
          <w:color w:val="222222"/>
          <w:sz w:val="24"/>
          <w:szCs w:val="24"/>
          <w:highlight w:val="white"/>
          <w:lang w:val="en-GB"/>
        </w:rPr>
        <w:t>, severe symptoms are also seen. For instance, such a condition can cause shaking, sweating, or weakness among the patients (</w:t>
      </w:r>
      <w:proofErr w:type="spellStart"/>
      <w:r w:rsidRPr="006413A6">
        <w:rPr>
          <w:rFonts w:ascii="Times New Roman" w:eastAsia="Times New Roman" w:hAnsi="Times New Roman" w:cs="Times New Roman"/>
          <w:color w:val="222222"/>
          <w:sz w:val="24"/>
          <w:szCs w:val="24"/>
          <w:highlight w:val="white"/>
          <w:lang w:val="en-GB"/>
        </w:rPr>
        <w:t>Beulens</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2022). It often increases hunger and causes dizziness, trouble concentrating, and confusion as prominent symptoms. In addition, seizures, severe neurological problems, and loss of consciousness are common symptoms in extreme low blood sugar level cases. In both high and low blood sugar conditions, long-term health problems can arise (</w:t>
      </w:r>
      <w:proofErr w:type="spellStart"/>
      <w:r w:rsidRPr="006413A6">
        <w:rPr>
          <w:rFonts w:ascii="Times New Roman" w:eastAsia="Times New Roman" w:hAnsi="Times New Roman" w:cs="Times New Roman"/>
          <w:color w:val="222222"/>
          <w:sz w:val="24"/>
          <w:szCs w:val="24"/>
          <w:highlight w:val="white"/>
          <w:lang w:val="en-GB"/>
        </w:rPr>
        <w:t>Numsang</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2023). Such a health situation can damage nerves and blood vessels throughout the body, which highlights the necessity of managing sugar levels for type 2 diabetic patients. </w:t>
      </w:r>
    </w:p>
    <w:p w14:paraId="23DCA881" w14:textId="77777777" w:rsidR="00712D2F" w:rsidRPr="006413A6" w:rsidRDefault="003448BA" w:rsidP="006413A6">
      <w:pPr>
        <w:pStyle w:val="Heading2"/>
        <w:rPr>
          <w:highlight w:val="white"/>
          <w:lang w:val="en-GB"/>
        </w:rPr>
      </w:pPr>
      <w:bookmarkStart w:id="9" w:name="_Toc209891607"/>
      <w:r w:rsidRPr="006413A6">
        <w:rPr>
          <w:highlight w:val="white"/>
          <w:lang w:val="en-GB"/>
        </w:rPr>
        <w:t>Lifestyle factors affecting glucose control</w:t>
      </w:r>
      <w:bookmarkEnd w:id="9"/>
    </w:p>
    <w:p w14:paraId="63391D86"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Glucose control is profoundly impacted by lifestyle choices, such as a healthy diet, regular physical activities, weight management, and the like. Other key elements, such as alcohol consumption, adequate hydration, sleeping quality, and stress management, are other important areas of glucose control (</w:t>
      </w:r>
      <w:proofErr w:type="spellStart"/>
      <w:r w:rsidRPr="006413A6">
        <w:rPr>
          <w:rFonts w:ascii="Times New Roman" w:eastAsia="Times New Roman" w:hAnsi="Times New Roman" w:cs="Times New Roman"/>
          <w:color w:val="222222"/>
          <w:sz w:val="24"/>
          <w:szCs w:val="24"/>
          <w:highlight w:val="white"/>
          <w:lang w:val="en-GB"/>
        </w:rPr>
        <w:t>Eckel</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2021).</w:t>
      </w:r>
    </w:p>
    <w:p w14:paraId="212E9485"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b/>
          <w:i/>
          <w:color w:val="222222"/>
          <w:sz w:val="24"/>
          <w:szCs w:val="24"/>
          <w:highlight w:val="white"/>
          <w:lang w:val="en-GB"/>
        </w:rPr>
        <w:t xml:space="preserve">Dietary choices: </w:t>
      </w:r>
      <w:r w:rsidRPr="006413A6">
        <w:rPr>
          <w:rFonts w:ascii="Times New Roman" w:eastAsia="Times New Roman" w:hAnsi="Times New Roman" w:cs="Times New Roman"/>
          <w:color w:val="222222"/>
          <w:sz w:val="24"/>
          <w:szCs w:val="24"/>
          <w:highlight w:val="white"/>
          <w:lang w:val="en-GB"/>
        </w:rPr>
        <w:t>Having a balanced diet that is rich in protein, fibre, and healthy fats is essential to consume them from plant-based food. It is also important to consider consuming protein and even vegetables before carbohydrate (</w:t>
      </w:r>
      <w:proofErr w:type="spellStart"/>
      <w:r w:rsidRPr="006413A6">
        <w:rPr>
          <w:rFonts w:ascii="Times New Roman" w:eastAsia="Times New Roman" w:hAnsi="Times New Roman" w:cs="Times New Roman"/>
          <w:color w:val="222222"/>
          <w:sz w:val="24"/>
          <w:szCs w:val="24"/>
          <w:highlight w:val="white"/>
          <w:lang w:val="en-GB"/>
        </w:rPr>
        <w:t>Chiavaroli</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2021). This step can assist in reducing spikes in blood sugar, and type 2 diabetes patients must avoid sugary drinks as well. </w:t>
      </w:r>
    </w:p>
    <w:p w14:paraId="130468F1"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b/>
          <w:i/>
          <w:color w:val="222222"/>
          <w:sz w:val="24"/>
          <w:szCs w:val="24"/>
          <w:highlight w:val="white"/>
          <w:lang w:val="en-GB"/>
        </w:rPr>
        <w:t xml:space="preserve">Physical activities: </w:t>
      </w:r>
      <w:r w:rsidRPr="006413A6">
        <w:rPr>
          <w:rFonts w:ascii="Times New Roman" w:eastAsia="Times New Roman" w:hAnsi="Times New Roman" w:cs="Times New Roman"/>
          <w:color w:val="222222"/>
          <w:sz w:val="24"/>
          <w:szCs w:val="24"/>
          <w:highlight w:val="white"/>
          <w:lang w:val="en-GB"/>
        </w:rPr>
        <w:t>Regular exercise or physical activities of any type support muscles to utilise glucose for producing energy (</w:t>
      </w:r>
      <w:proofErr w:type="spellStart"/>
      <w:r w:rsidRPr="006413A6">
        <w:rPr>
          <w:rFonts w:ascii="Times New Roman" w:eastAsia="Times New Roman" w:hAnsi="Times New Roman" w:cs="Times New Roman"/>
          <w:color w:val="222222"/>
          <w:sz w:val="24"/>
          <w:szCs w:val="24"/>
          <w:highlight w:val="white"/>
          <w:lang w:val="en-GB"/>
        </w:rPr>
        <w:t>Eckel</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2021). Insulin sensitivity in the body is increased by such activities, and also lowers the level of blood sugar. Besides, light activities, such as housework or walking, can help in minimising levels of blood sugar. </w:t>
      </w:r>
    </w:p>
    <w:p w14:paraId="2B3AA8FD"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b/>
          <w:i/>
          <w:color w:val="222222"/>
          <w:sz w:val="24"/>
          <w:szCs w:val="24"/>
          <w:highlight w:val="white"/>
          <w:lang w:val="en-GB"/>
        </w:rPr>
        <w:t xml:space="preserve">Weight management: </w:t>
      </w:r>
      <w:r w:rsidRPr="006413A6">
        <w:rPr>
          <w:rFonts w:ascii="Times New Roman" w:eastAsia="Times New Roman" w:hAnsi="Times New Roman" w:cs="Times New Roman"/>
          <w:color w:val="222222"/>
          <w:sz w:val="24"/>
          <w:szCs w:val="24"/>
          <w:highlight w:val="white"/>
          <w:lang w:val="en-GB"/>
        </w:rPr>
        <w:t xml:space="preserve">Type 2 diabetic patients must manage their weight, which significantly minimises the risk of developing further issues. It helps in controlling sugar levels, and losing weight can reduce the probability of developing overall </w:t>
      </w:r>
      <w:proofErr w:type="spellStart"/>
      <w:r w:rsidRPr="006413A6">
        <w:rPr>
          <w:rFonts w:ascii="Times New Roman" w:eastAsia="Times New Roman" w:hAnsi="Times New Roman" w:cs="Times New Roman"/>
          <w:color w:val="222222"/>
          <w:sz w:val="24"/>
          <w:szCs w:val="24"/>
          <w:highlight w:val="white"/>
          <w:lang w:val="en-GB"/>
        </w:rPr>
        <w:t>hyperglycemia</w:t>
      </w:r>
      <w:proofErr w:type="spellEnd"/>
      <w:r w:rsidRPr="006413A6">
        <w:rPr>
          <w:rFonts w:ascii="Times New Roman" w:eastAsia="Times New Roman" w:hAnsi="Times New Roman" w:cs="Times New Roman"/>
          <w:color w:val="222222"/>
          <w:sz w:val="24"/>
          <w:szCs w:val="24"/>
          <w:highlight w:val="white"/>
          <w:lang w:val="en-GB"/>
        </w:rPr>
        <w:t xml:space="preserve">. </w:t>
      </w:r>
    </w:p>
    <w:p w14:paraId="0471B7AC" w14:textId="77777777" w:rsidR="00712D2F" w:rsidRPr="006413A6" w:rsidRDefault="003448BA" w:rsidP="006413A6">
      <w:pPr>
        <w:pStyle w:val="Heading1"/>
        <w:rPr>
          <w:highlight w:val="white"/>
          <w:lang w:val="en-GB"/>
        </w:rPr>
      </w:pPr>
      <w:bookmarkStart w:id="10" w:name="_Toc209891608"/>
      <w:r w:rsidRPr="006413A6">
        <w:rPr>
          <w:highlight w:val="white"/>
          <w:lang w:val="en-GB"/>
        </w:rPr>
        <w:t>Section 3: Monitoring and Data Use</w:t>
      </w:r>
      <w:bookmarkEnd w:id="10"/>
    </w:p>
    <w:p w14:paraId="199FF915" w14:textId="77777777" w:rsidR="00712D2F" w:rsidRPr="006413A6" w:rsidRDefault="003448BA" w:rsidP="006413A6">
      <w:pPr>
        <w:pStyle w:val="Heading2"/>
        <w:rPr>
          <w:highlight w:val="white"/>
          <w:lang w:val="en-GB"/>
        </w:rPr>
      </w:pPr>
      <w:bookmarkStart w:id="11" w:name="_Toc209891609"/>
      <w:r w:rsidRPr="006413A6">
        <w:rPr>
          <w:highlight w:val="white"/>
          <w:lang w:val="en-GB"/>
        </w:rPr>
        <w:t>Importance of tracking health data</w:t>
      </w:r>
      <w:bookmarkEnd w:id="11"/>
    </w:p>
    <w:p w14:paraId="29236BEE"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Personal health data must be tracked, such as blood sugar, to manage or prevent particular medical conditions. Torres-Ronda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(2022) have shared that healthy health data can promote the overall well-being of a person. For instance, for chronic diabetes or type 2 diabetes, consistently monitoring indicates valuable insights to make informed choices regarding diet, lifestyle, and medication. Tracking such data can be seen as a proactive approach to empower an individual to have better control over their health (Hawkes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2022). Type 2 diabetes patients can also focus on self-management with such health insights through smarter daily decisions. It provides them with a sense of control over their condition so that immediate actions can be taken at the time of an emergency (</w:t>
      </w:r>
      <w:proofErr w:type="spellStart"/>
      <w:r w:rsidRPr="006413A6">
        <w:rPr>
          <w:rFonts w:ascii="Times New Roman" w:eastAsia="Times New Roman" w:hAnsi="Times New Roman" w:cs="Times New Roman"/>
          <w:color w:val="222222"/>
          <w:sz w:val="24"/>
          <w:szCs w:val="24"/>
          <w:highlight w:val="white"/>
          <w:lang w:val="en-GB"/>
        </w:rPr>
        <w:t>Pabel</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2021). Thus, a guided treatment decision can also be taken based on how the body responds to the treatment plans. </w:t>
      </w:r>
    </w:p>
    <w:p w14:paraId="4EF04002" w14:textId="77777777" w:rsidR="00712D2F" w:rsidRPr="006413A6" w:rsidRDefault="003448BA" w:rsidP="006413A6">
      <w:pPr>
        <w:pStyle w:val="Heading2"/>
        <w:rPr>
          <w:highlight w:val="white"/>
          <w:lang w:val="en-GB"/>
        </w:rPr>
      </w:pPr>
      <w:bookmarkStart w:id="12" w:name="_Toc209891610"/>
      <w:r w:rsidRPr="006413A6">
        <w:rPr>
          <w:highlight w:val="white"/>
          <w:lang w:val="en-GB"/>
        </w:rPr>
        <w:t>Routine data helps in managing the condition</w:t>
      </w:r>
      <w:bookmarkEnd w:id="12"/>
    </w:p>
    <w:p w14:paraId="71D46F8E"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Routine data for type 2 diabetics can include readings of activity levels to recognise patterns and triggers. As per the view of </w:t>
      </w:r>
      <w:proofErr w:type="spellStart"/>
      <w:r w:rsidRPr="006413A6">
        <w:rPr>
          <w:rFonts w:ascii="Times New Roman" w:eastAsia="Times New Roman" w:hAnsi="Times New Roman" w:cs="Times New Roman"/>
          <w:color w:val="222222"/>
          <w:sz w:val="24"/>
          <w:szCs w:val="24"/>
          <w:highlight w:val="white"/>
          <w:lang w:val="en-GB"/>
        </w:rPr>
        <w:t>Husdal</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(2021), routine data is predominant to treat diabetes to adjust the treatment plans and enable virtual feedback. It can also help in creating a loop of self-management feedback and actions to enhance the health outcomes. Moreover, monitoring blood sugar can be done using a continuous glucose monitor (CGM). </w:t>
      </w:r>
      <w:proofErr w:type="spellStart"/>
      <w:r w:rsidRPr="006413A6">
        <w:rPr>
          <w:rFonts w:ascii="Times New Roman" w:eastAsia="Times New Roman" w:hAnsi="Times New Roman" w:cs="Times New Roman"/>
          <w:color w:val="222222"/>
          <w:sz w:val="24"/>
          <w:szCs w:val="24"/>
          <w:highlight w:val="white"/>
          <w:lang w:val="en-GB"/>
        </w:rPr>
        <w:t>Fingerstick</w:t>
      </w:r>
      <w:proofErr w:type="spellEnd"/>
      <w:r w:rsidRPr="006413A6">
        <w:rPr>
          <w:rFonts w:ascii="Times New Roman" w:eastAsia="Times New Roman" w:hAnsi="Times New Roman" w:cs="Times New Roman"/>
          <w:color w:val="222222"/>
          <w:sz w:val="24"/>
          <w:szCs w:val="24"/>
          <w:highlight w:val="white"/>
          <w:lang w:val="en-GB"/>
        </w:rPr>
        <w:t xml:space="preserve"> tests can also be acknowledged to allow an individual to make informed choices for their lifestyle (Butt, 2022). </w:t>
      </w:r>
    </w:p>
    <w:p w14:paraId="7DC88AD3" w14:textId="77777777" w:rsidR="00712D2F" w:rsidRPr="006413A6" w:rsidRDefault="003448BA" w:rsidP="006413A6">
      <w:pPr>
        <w:pStyle w:val="Heading1"/>
        <w:rPr>
          <w:highlight w:val="white"/>
          <w:lang w:val="en-GB"/>
        </w:rPr>
      </w:pPr>
      <w:bookmarkStart w:id="13" w:name="_Toc209891611"/>
      <w:r w:rsidRPr="006413A6">
        <w:rPr>
          <w:highlight w:val="white"/>
          <w:lang w:val="en-GB"/>
        </w:rPr>
        <w:t>Section 4: Evidence-based Lifestyle Recommendations</w:t>
      </w:r>
      <w:bookmarkEnd w:id="13"/>
    </w:p>
    <w:p w14:paraId="1182C49B" w14:textId="77777777" w:rsidR="00712D2F" w:rsidRPr="006413A6" w:rsidRDefault="003448BA" w:rsidP="006413A6">
      <w:pPr>
        <w:pStyle w:val="Heading2"/>
        <w:rPr>
          <w:highlight w:val="white"/>
          <w:lang w:val="en-GB"/>
        </w:rPr>
      </w:pPr>
      <w:bookmarkStart w:id="14" w:name="_Toc209891612"/>
      <w:r w:rsidRPr="006413A6">
        <w:rPr>
          <w:highlight w:val="white"/>
          <w:lang w:val="en-GB"/>
        </w:rPr>
        <w:t>Suggestions for realistic lifestyle changes</w:t>
      </w:r>
      <w:bookmarkEnd w:id="14"/>
    </w:p>
    <w:p w14:paraId="60BD1CD6"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As per NICE guidelines, realistic dietary changes must be made for type 2 diabetic patients. For example, maintaining portion size is mandatory where the “plate method” can be applied. It provides a simple visual guide to fill the plate with non-starchy vegetables, a quarter of high-fibre carbs, and a quarter of protein (</w:t>
      </w:r>
      <w:proofErr w:type="spellStart"/>
      <w:r w:rsidRPr="006413A6">
        <w:rPr>
          <w:rFonts w:ascii="Times New Roman" w:eastAsia="Times New Roman" w:hAnsi="Times New Roman" w:cs="Times New Roman"/>
          <w:color w:val="222222"/>
          <w:sz w:val="24"/>
          <w:szCs w:val="24"/>
          <w:highlight w:val="white"/>
          <w:lang w:val="en-GB"/>
        </w:rPr>
        <w:t>Albarqouni</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2022). Low glycemic carbs must be prioritised instead of eliminating carbohydrates from the diet. Patients must think of realistic exercise strategies by combining resistance training and aerobics. Patients can aim for 150 minutes of moderately intense workout per week or a 10-minute walk per day. </w:t>
      </w:r>
    </w:p>
    <w:p w14:paraId="5208363A" w14:textId="77777777" w:rsidR="00712D2F" w:rsidRPr="006413A6" w:rsidRDefault="003448BA">
      <w:pPr>
        <w:spacing w:line="360" w:lineRule="auto"/>
        <w:jc w:val="center"/>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noProof/>
          <w:color w:val="222222"/>
          <w:sz w:val="24"/>
          <w:szCs w:val="24"/>
          <w:highlight w:val="white"/>
        </w:rPr>
        <w:drawing>
          <wp:inline distT="114300" distB="114300" distL="114300" distR="114300" wp14:anchorId="15A028AB" wp14:editId="3C44DCF2">
            <wp:extent cx="4033838" cy="4033838"/>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tretch>
                      <a:fillRect/>
                    </a:stretch>
                  </pic:blipFill>
                  <pic:spPr>
                    <a:xfrm>
                      <a:off x="0" y="0"/>
                      <a:ext cx="4033838" cy="4033838"/>
                    </a:xfrm>
                    <a:prstGeom prst="rect">
                      <a:avLst/>
                    </a:prstGeom>
                    <a:ln w="25400">
                      <a:solidFill>
                        <a:srgbClr val="000000"/>
                      </a:solidFill>
                      <a:prstDash val="solid"/>
                    </a:ln>
                  </pic:spPr>
                </pic:pic>
              </a:graphicData>
            </a:graphic>
          </wp:inline>
        </w:drawing>
      </w:r>
    </w:p>
    <w:p w14:paraId="20152BE9" w14:textId="77777777" w:rsidR="00712D2F" w:rsidRPr="006413A6" w:rsidRDefault="003448BA">
      <w:pPr>
        <w:spacing w:line="360" w:lineRule="auto"/>
        <w:jc w:val="center"/>
        <w:rPr>
          <w:rFonts w:ascii="Times New Roman" w:eastAsia="Times New Roman" w:hAnsi="Times New Roman" w:cs="Times New Roman"/>
          <w:b/>
          <w:color w:val="222222"/>
          <w:sz w:val="24"/>
          <w:szCs w:val="24"/>
          <w:highlight w:val="white"/>
          <w:lang w:val="en-GB"/>
        </w:rPr>
      </w:pPr>
      <w:r w:rsidRPr="006413A6">
        <w:rPr>
          <w:rFonts w:ascii="Times New Roman" w:eastAsia="Times New Roman" w:hAnsi="Times New Roman" w:cs="Times New Roman"/>
          <w:b/>
          <w:color w:val="222222"/>
          <w:sz w:val="24"/>
          <w:szCs w:val="24"/>
          <w:highlight w:val="white"/>
          <w:lang w:val="en-GB"/>
        </w:rPr>
        <w:t>Figure 3: Organised care for diabetic patients</w:t>
      </w:r>
    </w:p>
    <w:p w14:paraId="67423F24" w14:textId="77777777" w:rsidR="00712D2F" w:rsidRPr="006413A6" w:rsidRDefault="003448BA">
      <w:pPr>
        <w:spacing w:line="360" w:lineRule="auto"/>
        <w:jc w:val="center"/>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(Source: Influenced by Sampson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2021)</w:t>
      </w:r>
    </w:p>
    <w:p w14:paraId="737D3C70" w14:textId="77777777" w:rsidR="00712D2F" w:rsidRPr="006413A6" w:rsidRDefault="003448BA">
      <w:pPr>
        <w:spacing w:line="360" w:lineRule="auto"/>
        <w:jc w:val="both"/>
        <w:rPr>
          <w:rFonts w:ascii="Times New Roman" w:eastAsia="Times New Roman" w:hAnsi="Times New Roman" w:cs="Times New Roman"/>
          <w:b/>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A clinical study of Sampson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(2021) on lifestyle changes for diabetic patients has shown how important weight management is. The article suggests that a type 2 diabetic individual can start by targeting a 5-10% in a year. A modest amount of weight loss can be helpful to reduce blood sugar levels and high cholesterol. Similarly, the NICE guideline has also focused on educational and psychological support for such patients. Structured education is available, such as “Diabetes Education for Self-Management for Ongoing and Newly Diagnosed” (DESMOND) (</w:t>
      </w:r>
      <w:proofErr w:type="spellStart"/>
      <w:r w:rsidRPr="006413A6">
        <w:rPr>
          <w:rFonts w:ascii="Times New Roman" w:eastAsia="Times New Roman" w:hAnsi="Times New Roman" w:cs="Times New Roman"/>
          <w:color w:val="222222"/>
          <w:sz w:val="24"/>
          <w:szCs w:val="24"/>
          <w:highlight w:val="white"/>
          <w:lang w:val="en-GB"/>
        </w:rPr>
        <w:t>Chiavaroli</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2021). Qualified professionals can also be considered for diet plans to encourage a personalised plan. </w:t>
      </w:r>
    </w:p>
    <w:p w14:paraId="26849843" w14:textId="77777777" w:rsidR="00712D2F" w:rsidRPr="006413A6" w:rsidRDefault="003448BA" w:rsidP="006413A6">
      <w:pPr>
        <w:pStyle w:val="Heading2"/>
        <w:rPr>
          <w:highlight w:val="white"/>
          <w:lang w:val="en-GB"/>
        </w:rPr>
      </w:pPr>
      <w:bookmarkStart w:id="15" w:name="_Toc209891613"/>
      <w:r w:rsidRPr="006413A6">
        <w:rPr>
          <w:highlight w:val="white"/>
          <w:lang w:val="en-GB"/>
        </w:rPr>
        <w:t>Explanation of changes improving psychological outcomes</w:t>
      </w:r>
      <w:bookmarkEnd w:id="15"/>
    </w:p>
    <w:p w14:paraId="47D21AAE"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Type 2 diabetes is a crucial stressor that can negatively influence the psychological well-being of a person. Distress can be related to diabetes, and it can cause depressive symptoms among the patients as well (Kong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2022). Such situations require proper lifestyle and psychological interventions that are clinically proven. The implementation of these interventions can improve the situation by addressing the stress factors. For instance, Cognitive-behavioural Therapy (CBT) can be used for patients to restructure their negative thoughts (Jude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2022). The mechanism of CBT changes dysfunctional thoughts to build effective coping strategies. </w:t>
      </w:r>
    </w:p>
    <w:p w14:paraId="625664F8"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On another note, mindfulness-based interventions can also be helpful in reducing stress. These interventions are known for reducing stress levels, depression, and anxiety (Kong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2022). Therefore, a positive psychological outcome can be ensured for type 2 diabetic patients. These can improve the psychological state of patients by enhancing their mental and metabolic outcomes. Hawkes </w:t>
      </w:r>
      <w:r w:rsidRPr="006413A6">
        <w:rPr>
          <w:rFonts w:ascii="Times New Roman" w:eastAsia="Times New Roman" w:hAnsi="Times New Roman" w:cs="Times New Roman"/>
          <w:i/>
          <w:color w:val="222222"/>
          <w:sz w:val="24"/>
          <w:szCs w:val="24"/>
          <w:highlight w:val="white"/>
          <w:lang w:val="en-GB"/>
        </w:rPr>
        <w:t xml:space="preserve">et al. </w:t>
      </w:r>
      <w:r w:rsidRPr="006413A6">
        <w:rPr>
          <w:rFonts w:ascii="Times New Roman" w:eastAsia="Times New Roman" w:hAnsi="Times New Roman" w:cs="Times New Roman"/>
          <w:color w:val="222222"/>
          <w:sz w:val="24"/>
          <w:szCs w:val="24"/>
          <w:highlight w:val="white"/>
          <w:lang w:val="en-GB"/>
        </w:rPr>
        <w:t xml:space="preserve">(2022) have also shown the effectiveness of motivation-focused counselling. These can be seen as a didactic approach, where counsellors assist patients to explore their reasons and resolve ambivalence. Patients can also join peer-support programs, where other patients share their own lived experiences and motivate others. </w:t>
      </w:r>
    </w:p>
    <w:p w14:paraId="276C5D2E" w14:textId="77777777" w:rsidR="00712D2F" w:rsidRPr="006413A6" w:rsidRDefault="003448BA" w:rsidP="006413A6">
      <w:pPr>
        <w:pStyle w:val="Heading1"/>
        <w:rPr>
          <w:highlight w:val="white"/>
          <w:lang w:val="en-GB"/>
        </w:rPr>
      </w:pPr>
      <w:bookmarkStart w:id="16" w:name="_Toc209891614"/>
      <w:r w:rsidRPr="006413A6">
        <w:rPr>
          <w:highlight w:val="white"/>
          <w:lang w:val="en-GB"/>
        </w:rPr>
        <w:t>Conclusion</w:t>
      </w:r>
      <w:bookmarkEnd w:id="16"/>
    </w:p>
    <w:p w14:paraId="033F7473" w14:textId="77777777" w:rsidR="00712D2F" w:rsidRPr="006413A6" w:rsidRDefault="003448BA" w:rsidP="006413A6">
      <w:pPr>
        <w:pStyle w:val="Heading2"/>
        <w:rPr>
          <w:highlight w:val="white"/>
          <w:lang w:val="en-GB"/>
        </w:rPr>
      </w:pPr>
      <w:bookmarkStart w:id="17" w:name="_Toc209891615"/>
      <w:r w:rsidRPr="006413A6">
        <w:rPr>
          <w:highlight w:val="white"/>
          <w:lang w:val="en-GB"/>
        </w:rPr>
        <w:t>Summary of key findings</w:t>
      </w:r>
      <w:bookmarkEnd w:id="17"/>
    </w:p>
    <w:p w14:paraId="3462FEE0"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The critical analysis of the study has shown that type 2 diabetes is a critical and serious health condition. It can damage the patients’ physical and psychological well-being, which must be adhered to. The main risk elements are found to be weight management, changes in lifestyle, genetics, and clinical history. Blood sugar regulation has been shown through the analytical viewpoints of the study, followed by a description of cell metabolism. Lifestyle factors and how they affect the clinical condition have shown that regular monitoring of the states can help in self-management as well. </w:t>
      </w:r>
    </w:p>
    <w:p w14:paraId="54D89977" w14:textId="77777777" w:rsidR="00712D2F" w:rsidRPr="006413A6" w:rsidRDefault="003448BA" w:rsidP="006413A6">
      <w:pPr>
        <w:pStyle w:val="Heading2"/>
        <w:rPr>
          <w:highlight w:val="white"/>
          <w:lang w:val="en-GB"/>
        </w:rPr>
      </w:pPr>
      <w:bookmarkStart w:id="18" w:name="_Toc209891616"/>
      <w:r w:rsidRPr="006413A6">
        <w:rPr>
          <w:highlight w:val="white"/>
          <w:lang w:val="en-GB"/>
        </w:rPr>
        <w:t>Reinforcing the significance of understanding and managing the condition</w:t>
      </w:r>
      <w:bookmarkEnd w:id="18"/>
    </w:p>
    <w:p w14:paraId="14843CA8"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Managing this chronic condition is found to be significant in coming up with effective interventions. In this context, the analysis has demonstrated that using CGM or </w:t>
      </w:r>
      <w:proofErr w:type="spellStart"/>
      <w:r w:rsidRPr="006413A6">
        <w:rPr>
          <w:rFonts w:ascii="Times New Roman" w:eastAsia="Times New Roman" w:hAnsi="Times New Roman" w:cs="Times New Roman"/>
          <w:color w:val="222222"/>
          <w:sz w:val="24"/>
          <w:szCs w:val="24"/>
          <w:highlight w:val="white"/>
          <w:lang w:val="en-GB"/>
        </w:rPr>
        <w:t>fingerstick</w:t>
      </w:r>
      <w:proofErr w:type="spellEnd"/>
      <w:r w:rsidRPr="006413A6">
        <w:rPr>
          <w:rFonts w:ascii="Times New Roman" w:eastAsia="Times New Roman" w:hAnsi="Times New Roman" w:cs="Times New Roman"/>
          <w:color w:val="222222"/>
          <w:sz w:val="24"/>
          <w:szCs w:val="24"/>
          <w:highlight w:val="white"/>
          <w:lang w:val="en-GB"/>
        </w:rPr>
        <w:t xml:space="preserve"> tests can be used to check blood sugar levels. It helps in generating decisions regarding changes in daily routine or interventions required. The study has also been recommended, guided by clinical research and international protocols, such as NICE. Changing dietary habits, regular physical activities, and moderate exercise can assist in managing extreme cases. </w:t>
      </w:r>
    </w:p>
    <w:p w14:paraId="3017A504" w14:textId="77777777" w:rsidR="00712D2F" w:rsidRPr="006413A6" w:rsidRDefault="003448BA" w:rsidP="006413A6">
      <w:pPr>
        <w:pStyle w:val="Heading2"/>
        <w:rPr>
          <w:highlight w:val="white"/>
          <w:lang w:val="en-GB"/>
        </w:rPr>
      </w:pPr>
      <w:bookmarkStart w:id="19" w:name="_Toc209891617"/>
      <w:r w:rsidRPr="006413A6">
        <w:rPr>
          <w:highlight w:val="white"/>
          <w:lang w:val="en-GB"/>
        </w:rPr>
        <w:t>Reflection on the role of health professionals in patient education</w:t>
      </w:r>
      <w:bookmarkEnd w:id="19"/>
      <w:r w:rsidRPr="006413A6">
        <w:rPr>
          <w:highlight w:val="white"/>
          <w:lang w:val="en-GB"/>
        </w:rPr>
        <w:t xml:space="preserve"> </w:t>
      </w:r>
    </w:p>
    <w:p w14:paraId="162255D5" w14:textId="77777777" w:rsidR="00712D2F" w:rsidRPr="006413A6" w:rsidRDefault="003448BA">
      <w:pPr>
        <w:spacing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Patient education can be initiated by medical professionals, as they can discuss the severity of the conditions. Their opinions of management ideas are also respected by patients, which can be taken into account. Professionals can educate patients to empower them, share decision-making, and improve health outcomes. </w:t>
      </w:r>
      <w:r w:rsidRPr="006413A6">
        <w:rPr>
          <w:lang w:val="en-GB"/>
        </w:rPr>
        <w:br w:type="page"/>
      </w:r>
    </w:p>
    <w:p w14:paraId="3E439BE1" w14:textId="77777777" w:rsidR="00712D2F" w:rsidRPr="006413A6" w:rsidRDefault="003448BA" w:rsidP="006413A6">
      <w:pPr>
        <w:pStyle w:val="Heading1"/>
        <w:rPr>
          <w:highlight w:val="white"/>
          <w:lang w:val="en-GB"/>
        </w:rPr>
      </w:pPr>
      <w:bookmarkStart w:id="20" w:name="_Toc209891618"/>
      <w:r w:rsidRPr="006413A6">
        <w:rPr>
          <w:highlight w:val="white"/>
          <w:lang w:val="en-GB"/>
        </w:rPr>
        <w:t>References</w:t>
      </w:r>
      <w:bookmarkEnd w:id="20"/>
    </w:p>
    <w:p w14:paraId="42BFD5DD"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6413A6">
        <w:rPr>
          <w:rFonts w:ascii="Times New Roman" w:eastAsia="Times New Roman" w:hAnsi="Times New Roman" w:cs="Times New Roman"/>
          <w:color w:val="222222"/>
          <w:sz w:val="24"/>
          <w:szCs w:val="24"/>
          <w:highlight w:val="white"/>
          <w:lang w:val="en-GB"/>
        </w:rPr>
        <w:t>Albarqouni</w:t>
      </w:r>
      <w:proofErr w:type="spellEnd"/>
      <w:r w:rsidRPr="006413A6">
        <w:rPr>
          <w:rFonts w:ascii="Times New Roman" w:eastAsia="Times New Roman" w:hAnsi="Times New Roman" w:cs="Times New Roman"/>
          <w:color w:val="222222"/>
          <w:sz w:val="24"/>
          <w:szCs w:val="24"/>
          <w:highlight w:val="white"/>
          <w:lang w:val="en-GB"/>
        </w:rPr>
        <w:t xml:space="preserve">, L., </w:t>
      </w:r>
      <w:proofErr w:type="spellStart"/>
      <w:r w:rsidRPr="006413A6">
        <w:rPr>
          <w:rFonts w:ascii="Times New Roman" w:eastAsia="Times New Roman" w:hAnsi="Times New Roman" w:cs="Times New Roman"/>
          <w:color w:val="222222"/>
          <w:sz w:val="24"/>
          <w:szCs w:val="24"/>
          <w:highlight w:val="white"/>
          <w:lang w:val="en-GB"/>
        </w:rPr>
        <w:t>Ringsten</w:t>
      </w:r>
      <w:proofErr w:type="spellEnd"/>
      <w:r w:rsidRPr="006413A6">
        <w:rPr>
          <w:rFonts w:ascii="Times New Roman" w:eastAsia="Times New Roman" w:hAnsi="Times New Roman" w:cs="Times New Roman"/>
          <w:color w:val="222222"/>
          <w:sz w:val="24"/>
          <w:szCs w:val="24"/>
          <w:highlight w:val="white"/>
          <w:lang w:val="en-GB"/>
        </w:rPr>
        <w:t xml:space="preserve">, M., </w:t>
      </w:r>
      <w:proofErr w:type="spellStart"/>
      <w:r w:rsidRPr="006413A6">
        <w:rPr>
          <w:rFonts w:ascii="Times New Roman" w:eastAsia="Times New Roman" w:hAnsi="Times New Roman" w:cs="Times New Roman"/>
          <w:color w:val="222222"/>
          <w:sz w:val="24"/>
          <w:szCs w:val="24"/>
          <w:highlight w:val="white"/>
          <w:lang w:val="en-GB"/>
        </w:rPr>
        <w:t>Montori</w:t>
      </w:r>
      <w:proofErr w:type="spellEnd"/>
      <w:r w:rsidRPr="006413A6">
        <w:rPr>
          <w:rFonts w:ascii="Times New Roman" w:eastAsia="Times New Roman" w:hAnsi="Times New Roman" w:cs="Times New Roman"/>
          <w:color w:val="222222"/>
          <w:sz w:val="24"/>
          <w:szCs w:val="24"/>
          <w:highlight w:val="white"/>
          <w:lang w:val="en-GB"/>
        </w:rPr>
        <w:t xml:space="preserve">, V., </w:t>
      </w:r>
      <w:proofErr w:type="spellStart"/>
      <w:r w:rsidRPr="006413A6">
        <w:rPr>
          <w:rFonts w:ascii="Times New Roman" w:eastAsia="Times New Roman" w:hAnsi="Times New Roman" w:cs="Times New Roman"/>
          <w:color w:val="222222"/>
          <w:sz w:val="24"/>
          <w:szCs w:val="24"/>
          <w:highlight w:val="white"/>
          <w:lang w:val="en-GB"/>
        </w:rPr>
        <w:t>Jørgensen</w:t>
      </w:r>
      <w:proofErr w:type="spellEnd"/>
      <w:r w:rsidRPr="006413A6">
        <w:rPr>
          <w:rFonts w:ascii="Times New Roman" w:eastAsia="Times New Roman" w:hAnsi="Times New Roman" w:cs="Times New Roman"/>
          <w:color w:val="222222"/>
          <w:sz w:val="24"/>
          <w:szCs w:val="24"/>
          <w:highlight w:val="white"/>
          <w:lang w:val="en-GB"/>
        </w:rPr>
        <w:t xml:space="preserve">, K.J., </w:t>
      </w:r>
      <w:proofErr w:type="spellStart"/>
      <w:r w:rsidRPr="006413A6">
        <w:rPr>
          <w:rFonts w:ascii="Times New Roman" w:eastAsia="Times New Roman" w:hAnsi="Times New Roman" w:cs="Times New Roman"/>
          <w:color w:val="222222"/>
          <w:sz w:val="24"/>
          <w:szCs w:val="24"/>
          <w:highlight w:val="white"/>
          <w:lang w:val="en-GB"/>
        </w:rPr>
        <w:t>Bulbeck</w:t>
      </w:r>
      <w:proofErr w:type="spellEnd"/>
      <w:r w:rsidRPr="006413A6">
        <w:rPr>
          <w:rFonts w:ascii="Times New Roman" w:eastAsia="Times New Roman" w:hAnsi="Times New Roman" w:cs="Times New Roman"/>
          <w:color w:val="222222"/>
          <w:sz w:val="24"/>
          <w:szCs w:val="24"/>
          <w:highlight w:val="white"/>
          <w:lang w:val="en-GB"/>
        </w:rPr>
        <w:t xml:space="preserve">, H. and Johansson, M., 2022. Evaluation of evidence supporting NICE recommendations to change people's lifestyle in clinical practice: cross sectional survey. </w:t>
      </w:r>
      <w:r w:rsidRPr="006413A6">
        <w:rPr>
          <w:rFonts w:ascii="Times New Roman" w:eastAsia="Times New Roman" w:hAnsi="Times New Roman" w:cs="Times New Roman"/>
          <w:i/>
          <w:color w:val="222222"/>
          <w:sz w:val="24"/>
          <w:szCs w:val="24"/>
          <w:highlight w:val="white"/>
          <w:lang w:val="en-GB"/>
        </w:rPr>
        <w:t>BMJ medicine</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1</w:t>
      </w:r>
      <w:r w:rsidRPr="006413A6">
        <w:rPr>
          <w:rFonts w:ascii="Times New Roman" w:eastAsia="Times New Roman" w:hAnsi="Times New Roman" w:cs="Times New Roman"/>
          <w:color w:val="222222"/>
          <w:sz w:val="24"/>
          <w:szCs w:val="24"/>
          <w:highlight w:val="white"/>
          <w:lang w:val="en-GB"/>
        </w:rPr>
        <w:t>(1), p.e000130.</w:t>
      </w:r>
    </w:p>
    <w:p w14:paraId="547C51EE"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6413A6">
        <w:rPr>
          <w:rFonts w:ascii="Times New Roman" w:eastAsia="Times New Roman" w:hAnsi="Times New Roman" w:cs="Times New Roman"/>
          <w:color w:val="222222"/>
          <w:sz w:val="24"/>
          <w:szCs w:val="24"/>
          <w:highlight w:val="white"/>
          <w:lang w:val="en-GB"/>
        </w:rPr>
        <w:t>Beulens</w:t>
      </w:r>
      <w:proofErr w:type="spellEnd"/>
      <w:r w:rsidRPr="006413A6">
        <w:rPr>
          <w:rFonts w:ascii="Times New Roman" w:eastAsia="Times New Roman" w:hAnsi="Times New Roman" w:cs="Times New Roman"/>
          <w:color w:val="222222"/>
          <w:sz w:val="24"/>
          <w:szCs w:val="24"/>
          <w:highlight w:val="white"/>
          <w:lang w:val="en-GB"/>
        </w:rPr>
        <w:t xml:space="preserve">, J.W., </w:t>
      </w:r>
      <w:proofErr w:type="spellStart"/>
      <w:r w:rsidRPr="006413A6">
        <w:rPr>
          <w:rFonts w:ascii="Times New Roman" w:eastAsia="Times New Roman" w:hAnsi="Times New Roman" w:cs="Times New Roman"/>
          <w:color w:val="222222"/>
          <w:sz w:val="24"/>
          <w:szCs w:val="24"/>
          <w:highlight w:val="white"/>
          <w:lang w:val="en-GB"/>
        </w:rPr>
        <w:t>Pinho</w:t>
      </w:r>
      <w:proofErr w:type="spellEnd"/>
      <w:r w:rsidRPr="006413A6">
        <w:rPr>
          <w:rFonts w:ascii="Times New Roman" w:eastAsia="Times New Roman" w:hAnsi="Times New Roman" w:cs="Times New Roman"/>
          <w:color w:val="222222"/>
          <w:sz w:val="24"/>
          <w:szCs w:val="24"/>
          <w:highlight w:val="white"/>
          <w:lang w:val="en-GB"/>
        </w:rPr>
        <w:t xml:space="preserve">, M.G., </w:t>
      </w:r>
      <w:proofErr w:type="spellStart"/>
      <w:r w:rsidRPr="006413A6">
        <w:rPr>
          <w:rFonts w:ascii="Times New Roman" w:eastAsia="Times New Roman" w:hAnsi="Times New Roman" w:cs="Times New Roman"/>
          <w:color w:val="222222"/>
          <w:sz w:val="24"/>
          <w:szCs w:val="24"/>
          <w:highlight w:val="white"/>
          <w:lang w:val="en-GB"/>
        </w:rPr>
        <w:t>Abreu</w:t>
      </w:r>
      <w:proofErr w:type="spellEnd"/>
      <w:r w:rsidRPr="006413A6">
        <w:rPr>
          <w:rFonts w:ascii="Times New Roman" w:eastAsia="Times New Roman" w:hAnsi="Times New Roman" w:cs="Times New Roman"/>
          <w:color w:val="222222"/>
          <w:sz w:val="24"/>
          <w:szCs w:val="24"/>
          <w:highlight w:val="white"/>
          <w:lang w:val="en-GB"/>
        </w:rPr>
        <w:t xml:space="preserve">, T.C., den Braver, N.R., Lam, T.M., Huss, A., </w:t>
      </w:r>
      <w:proofErr w:type="spellStart"/>
      <w:r w:rsidRPr="006413A6">
        <w:rPr>
          <w:rFonts w:ascii="Times New Roman" w:eastAsia="Times New Roman" w:hAnsi="Times New Roman" w:cs="Times New Roman"/>
          <w:color w:val="222222"/>
          <w:sz w:val="24"/>
          <w:szCs w:val="24"/>
          <w:highlight w:val="white"/>
          <w:lang w:val="en-GB"/>
        </w:rPr>
        <w:t>Vlaanderen</w:t>
      </w:r>
      <w:proofErr w:type="spellEnd"/>
      <w:r w:rsidRPr="006413A6">
        <w:rPr>
          <w:rFonts w:ascii="Times New Roman" w:eastAsia="Times New Roman" w:hAnsi="Times New Roman" w:cs="Times New Roman"/>
          <w:color w:val="222222"/>
          <w:sz w:val="24"/>
          <w:szCs w:val="24"/>
          <w:highlight w:val="white"/>
          <w:lang w:val="en-GB"/>
        </w:rPr>
        <w:t xml:space="preserve">, J., </w:t>
      </w:r>
      <w:proofErr w:type="spellStart"/>
      <w:r w:rsidRPr="006413A6">
        <w:rPr>
          <w:rFonts w:ascii="Times New Roman" w:eastAsia="Times New Roman" w:hAnsi="Times New Roman" w:cs="Times New Roman"/>
          <w:color w:val="222222"/>
          <w:sz w:val="24"/>
          <w:szCs w:val="24"/>
          <w:highlight w:val="white"/>
          <w:lang w:val="en-GB"/>
        </w:rPr>
        <w:t>Sonnenschein</w:t>
      </w:r>
      <w:proofErr w:type="spellEnd"/>
      <w:r w:rsidRPr="006413A6">
        <w:rPr>
          <w:rFonts w:ascii="Times New Roman" w:eastAsia="Times New Roman" w:hAnsi="Times New Roman" w:cs="Times New Roman"/>
          <w:color w:val="222222"/>
          <w:sz w:val="24"/>
          <w:szCs w:val="24"/>
          <w:highlight w:val="white"/>
          <w:lang w:val="en-GB"/>
        </w:rPr>
        <w:t xml:space="preserve">, T., </w:t>
      </w:r>
      <w:proofErr w:type="spellStart"/>
      <w:r w:rsidRPr="006413A6">
        <w:rPr>
          <w:rFonts w:ascii="Times New Roman" w:eastAsia="Times New Roman" w:hAnsi="Times New Roman" w:cs="Times New Roman"/>
          <w:color w:val="222222"/>
          <w:sz w:val="24"/>
          <w:szCs w:val="24"/>
          <w:highlight w:val="white"/>
          <w:lang w:val="en-GB"/>
        </w:rPr>
        <w:t>Siddiqui</w:t>
      </w:r>
      <w:proofErr w:type="spellEnd"/>
      <w:r w:rsidRPr="006413A6">
        <w:rPr>
          <w:rFonts w:ascii="Times New Roman" w:eastAsia="Times New Roman" w:hAnsi="Times New Roman" w:cs="Times New Roman"/>
          <w:color w:val="222222"/>
          <w:sz w:val="24"/>
          <w:szCs w:val="24"/>
          <w:highlight w:val="white"/>
          <w:lang w:val="en-GB"/>
        </w:rPr>
        <w:t xml:space="preserve">, N.Z., Yuan, Z. and </w:t>
      </w:r>
      <w:proofErr w:type="spellStart"/>
      <w:r w:rsidRPr="006413A6">
        <w:rPr>
          <w:rFonts w:ascii="Times New Roman" w:eastAsia="Times New Roman" w:hAnsi="Times New Roman" w:cs="Times New Roman"/>
          <w:color w:val="222222"/>
          <w:sz w:val="24"/>
          <w:szCs w:val="24"/>
          <w:highlight w:val="white"/>
          <w:lang w:val="en-GB"/>
        </w:rPr>
        <w:t>Kerckhoffs</w:t>
      </w:r>
      <w:proofErr w:type="spellEnd"/>
      <w:r w:rsidRPr="006413A6">
        <w:rPr>
          <w:rFonts w:ascii="Times New Roman" w:eastAsia="Times New Roman" w:hAnsi="Times New Roman" w:cs="Times New Roman"/>
          <w:color w:val="222222"/>
          <w:sz w:val="24"/>
          <w:szCs w:val="24"/>
          <w:highlight w:val="white"/>
          <w:lang w:val="en-GB"/>
        </w:rPr>
        <w:t xml:space="preserve">, J., 2022. Environmental risk factors of type 2 diabetes—an </w:t>
      </w:r>
      <w:proofErr w:type="spellStart"/>
      <w:r w:rsidRPr="006413A6">
        <w:rPr>
          <w:rFonts w:ascii="Times New Roman" w:eastAsia="Times New Roman" w:hAnsi="Times New Roman" w:cs="Times New Roman"/>
          <w:color w:val="222222"/>
          <w:sz w:val="24"/>
          <w:szCs w:val="24"/>
          <w:highlight w:val="white"/>
          <w:lang w:val="en-GB"/>
        </w:rPr>
        <w:t>exposome</w:t>
      </w:r>
      <w:proofErr w:type="spellEnd"/>
      <w:r w:rsidRPr="006413A6">
        <w:rPr>
          <w:rFonts w:ascii="Times New Roman" w:eastAsia="Times New Roman" w:hAnsi="Times New Roman" w:cs="Times New Roman"/>
          <w:color w:val="222222"/>
          <w:sz w:val="24"/>
          <w:szCs w:val="24"/>
          <w:highlight w:val="white"/>
          <w:lang w:val="en-GB"/>
        </w:rPr>
        <w:t xml:space="preserve"> approach. </w:t>
      </w:r>
      <w:proofErr w:type="spellStart"/>
      <w:r w:rsidRPr="006413A6">
        <w:rPr>
          <w:rFonts w:ascii="Times New Roman" w:eastAsia="Times New Roman" w:hAnsi="Times New Roman" w:cs="Times New Roman"/>
          <w:i/>
          <w:color w:val="222222"/>
          <w:sz w:val="24"/>
          <w:szCs w:val="24"/>
          <w:highlight w:val="white"/>
          <w:lang w:val="en-GB"/>
        </w:rPr>
        <w:t>Diabetologia</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65</w:t>
      </w:r>
      <w:r w:rsidRPr="006413A6">
        <w:rPr>
          <w:rFonts w:ascii="Times New Roman" w:eastAsia="Times New Roman" w:hAnsi="Times New Roman" w:cs="Times New Roman"/>
          <w:color w:val="222222"/>
          <w:sz w:val="24"/>
          <w:szCs w:val="24"/>
          <w:highlight w:val="white"/>
          <w:lang w:val="en-GB"/>
        </w:rPr>
        <w:t>(2), pp.263-274.</w:t>
      </w:r>
    </w:p>
    <w:p w14:paraId="405FFEB6"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Butt, S.M., 2022. Management and treatment of type 2 diabetes. </w:t>
      </w:r>
      <w:r w:rsidRPr="006413A6">
        <w:rPr>
          <w:rFonts w:ascii="Times New Roman" w:eastAsia="Times New Roman" w:hAnsi="Times New Roman" w:cs="Times New Roman"/>
          <w:i/>
          <w:color w:val="222222"/>
          <w:sz w:val="24"/>
          <w:szCs w:val="24"/>
          <w:highlight w:val="white"/>
          <w:lang w:val="en-GB"/>
        </w:rPr>
        <w:t>International Journal of Computations, Information and Manufacturing (IJCIM)</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2</w:t>
      </w:r>
      <w:r w:rsidRPr="006413A6">
        <w:rPr>
          <w:rFonts w:ascii="Times New Roman" w:eastAsia="Times New Roman" w:hAnsi="Times New Roman" w:cs="Times New Roman"/>
          <w:color w:val="222222"/>
          <w:sz w:val="24"/>
          <w:szCs w:val="24"/>
          <w:highlight w:val="white"/>
          <w:lang w:val="en-GB"/>
        </w:rPr>
        <w:t>(1).</w:t>
      </w:r>
    </w:p>
    <w:p w14:paraId="3DBB717F"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Campbell, J.E. and </w:t>
      </w:r>
      <w:proofErr w:type="spellStart"/>
      <w:r w:rsidRPr="006413A6">
        <w:rPr>
          <w:rFonts w:ascii="Times New Roman" w:eastAsia="Times New Roman" w:hAnsi="Times New Roman" w:cs="Times New Roman"/>
          <w:color w:val="222222"/>
          <w:sz w:val="24"/>
          <w:szCs w:val="24"/>
          <w:highlight w:val="white"/>
          <w:lang w:val="en-GB"/>
        </w:rPr>
        <w:t>Newgard</w:t>
      </w:r>
      <w:proofErr w:type="spellEnd"/>
      <w:r w:rsidRPr="006413A6">
        <w:rPr>
          <w:rFonts w:ascii="Times New Roman" w:eastAsia="Times New Roman" w:hAnsi="Times New Roman" w:cs="Times New Roman"/>
          <w:color w:val="222222"/>
          <w:sz w:val="24"/>
          <w:szCs w:val="24"/>
          <w:highlight w:val="white"/>
          <w:lang w:val="en-GB"/>
        </w:rPr>
        <w:t>, C.B., 2021. Mechanisms controlling pancreatic islet cell function in insulin secretion. Nature reviews Molecular cell biology, 22(2), pp.142-158.</w:t>
      </w:r>
    </w:p>
    <w:p w14:paraId="5AFDE5C2"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6413A6">
        <w:rPr>
          <w:rFonts w:ascii="Times New Roman" w:eastAsia="Times New Roman" w:hAnsi="Times New Roman" w:cs="Times New Roman"/>
          <w:color w:val="222222"/>
          <w:sz w:val="24"/>
          <w:szCs w:val="24"/>
          <w:highlight w:val="white"/>
          <w:lang w:val="en-GB"/>
        </w:rPr>
        <w:t>Chiavaroli</w:t>
      </w:r>
      <w:proofErr w:type="spellEnd"/>
      <w:r w:rsidRPr="006413A6">
        <w:rPr>
          <w:rFonts w:ascii="Times New Roman" w:eastAsia="Times New Roman" w:hAnsi="Times New Roman" w:cs="Times New Roman"/>
          <w:color w:val="222222"/>
          <w:sz w:val="24"/>
          <w:szCs w:val="24"/>
          <w:highlight w:val="white"/>
          <w:lang w:val="en-GB"/>
        </w:rPr>
        <w:t xml:space="preserve">, L., Lee, D., Ahmed, A., Cheung, A., Khan, T.A., </w:t>
      </w:r>
      <w:proofErr w:type="spellStart"/>
      <w:r w:rsidRPr="006413A6">
        <w:rPr>
          <w:rFonts w:ascii="Times New Roman" w:eastAsia="Times New Roman" w:hAnsi="Times New Roman" w:cs="Times New Roman"/>
          <w:color w:val="222222"/>
          <w:sz w:val="24"/>
          <w:szCs w:val="24"/>
          <w:highlight w:val="white"/>
          <w:lang w:val="en-GB"/>
        </w:rPr>
        <w:t>Blanco</w:t>
      </w:r>
      <w:proofErr w:type="spellEnd"/>
      <w:r w:rsidRPr="006413A6">
        <w:rPr>
          <w:rFonts w:ascii="Times New Roman" w:eastAsia="Times New Roman" w:hAnsi="Times New Roman" w:cs="Times New Roman"/>
          <w:color w:val="222222"/>
          <w:sz w:val="24"/>
          <w:szCs w:val="24"/>
          <w:highlight w:val="white"/>
          <w:lang w:val="en-GB"/>
        </w:rPr>
        <w:t xml:space="preserve">, S., </w:t>
      </w:r>
      <w:proofErr w:type="spellStart"/>
      <w:r w:rsidRPr="006413A6">
        <w:rPr>
          <w:rFonts w:ascii="Times New Roman" w:eastAsia="Times New Roman" w:hAnsi="Times New Roman" w:cs="Times New Roman"/>
          <w:color w:val="222222"/>
          <w:sz w:val="24"/>
          <w:szCs w:val="24"/>
          <w:highlight w:val="white"/>
          <w:lang w:val="en-GB"/>
        </w:rPr>
        <w:t>Mirrahimi</w:t>
      </w:r>
      <w:proofErr w:type="spellEnd"/>
      <w:r w:rsidRPr="006413A6">
        <w:rPr>
          <w:rFonts w:ascii="Times New Roman" w:eastAsia="Times New Roman" w:hAnsi="Times New Roman" w:cs="Times New Roman"/>
          <w:color w:val="222222"/>
          <w:sz w:val="24"/>
          <w:szCs w:val="24"/>
          <w:highlight w:val="white"/>
          <w:lang w:val="en-GB"/>
        </w:rPr>
        <w:t xml:space="preserve">, A., Jenkins, D.J., </w:t>
      </w:r>
      <w:proofErr w:type="spellStart"/>
      <w:r w:rsidRPr="006413A6">
        <w:rPr>
          <w:rFonts w:ascii="Times New Roman" w:eastAsia="Times New Roman" w:hAnsi="Times New Roman" w:cs="Times New Roman"/>
          <w:color w:val="222222"/>
          <w:sz w:val="24"/>
          <w:szCs w:val="24"/>
          <w:highlight w:val="white"/>
          <w:lang w:val="en-GB"/>
        </w:rPr>
        <w:t>Livesey</w:t>
      </w:r>
      <w:proofErr w:type="spellEnd"/>
      <w:r w:rsidRPr="006413A6">
        <w:rPr>
          <w:rFonts w:ascii="Times New Roman" w:eastAsia="Times New Roman" w:hAnsi="Times New Roman" w:cs="Times New Roman"/>
          <w:color w:val="222222"/>
          <w:sz w:val="24"/>
          <w:szCs w:val="24"/>
          <w:highlight w:val="white"/>
          <w:lang w:val="en-GB"/>
        </w:rPr>
        <w:t xml:space="preserve">, G., </w:t>
      </w:r>
      <w:proofErr w:type="spellStart"/>
      <w:r w:rsidRPr="006413A6">
        <w:rPr>
          <w:rFonts w:ascii="Times New Roman" w:eastAsia="Times New Roman" w:hAnsi="Times New Roman" w:cs="Times New Roman"/>
          <w:color w:val="222222"/>
          <w:sz w:val="24"/>
          <w:szCs w:val="24"/>
          <w:highlight w:val="white"/>
          <w:lang w:val="en-GB"/>
        </w:rPr>
        <w:t>Wolever</w:t>
      </w:r>
      <w:proofErr w:type="spellEnd"/>
      <w:r w:rsidRPr="006413A6">
        <w:rPr>
          <w:rFonts w:ascii="Times New Roman" w:eastAsia="Times New Roman" w:hAnsi="Times New Roman" w:cs="Times New Roman"/>
          <w:color w:val="222222"/>
          <w:sz w:val="24"/>
          <w:szCs w:val="24"/>
          <w:highlight w:val="white"/>
          <w:lang w:val="en-GB"/>
        </w:rPr>
        <w:t xml:space="preserve">, T.M. and </w:t>
      </w:r>
      <w:proofErr w:type="spellStart"/>
      <w:r w:rsidRPr="006413A6">
        <w:rPr>
          <w:rFonts w:ascii="Times New Roman" w:eastAsia="Times New Roman" w:hAnsi="Times New Roman" w:cs="Times New Roman"/>
          <w:color w:val="222222"/>
          <w:sz w:val="24"/>
          <w:szCs w:val="24"/>
          <w:highlight w:val="white"/>
          <w:lang w:val="en-GB"/>
        </w:rPr>
        <w:t>Rahelić</w:t>
      </w:r>
      <w:proofErr w:type="spellEnd"/>
      <w:r w:rsidRPr="006413A6">
        <w:rPr>
          <w:rFonts w:ascii="Times New Roman" w:eastAsia="Times New Roman" w:hAnsi="Times New Roman" w:cs="Times New Roman"/>
          <w:color w:val="222222"/>
          <w:sz w:val="24"/>
          <w:szCs w:val="24"/>
          <w:highlight w:val="white"/>
          <w:lang w:val="en-GB"/>
        </w:rPr>
        <w:t xml:space="preserve">, D., 2021. Effect of low </w:t>
      </w:r>
      <w:proofErr w:type="spellStart"/>
      <w:r w:rsidRPr="006413A6">
        <w:rPr>
          <w:rFonts w:ascii="Times New Roman" w:eastAsia="Times New Roman" w:hAnsi="Times New Roman" w:cs="Times New Roman"/>
          <w:color w:val="222222"/>
          <w:sz w:val="24"/>
          <w:szCs w:val="24"/>
          <w:highlight w:val="white"/>
          <w:lang w:val="en-GB"/>
        </w:rPr>
        <w:t>glycaemic</w:t>
      </w:r>
      <w:proofErr w:type="spellEnd"/>
      <w:r w:rsidRPr="006413A6">
        <w:rPr>
          <w:rFonts w:ascii="Times New Roman" w:eastAsia="Times New Roman" w:hAnsi="Times New Roman" w:cs="Times New Roman"/>
          <w:color w:val="222222"/>
          <w:sz w:val="24"/>
          <w:szCs w:val="24"/>
          <w:highlight w:val="white"/>
          <w:lang w:val="en-GB"/>
        </w:rPr>
        <w:t xml:space="preserve"> index or load dietary patterns on </w:t>
      </w:r>
      <w:proofErr w:type="spellStart"/>
      <w:r w:rsidRPr="006413A6">
        <w:rPr>
          <w:rFonts w:ascii="Times New Roman" w:eastAsia="Times New Roman" w:hAnsi="Times New Roman" w:cs="Times New Roman"/>
          <w:color w:val="222222"/>
          <w:sz w:val="24"/>
          <w:szCs w:val="24"/>
          <w:highlight w:val="white"/>
          <w:lang w:val="en-GB"/>
        </w:rPr>
        <w:t>glycaemic</w:t>
      </w:r>
      <w:proofErr w:type="spellEnd"/>
      <w:r w:rsidRPr="006413A6">
        <w:rPr>
          <w:rFonts w:ascii="Times New Roman" w:eastAsia="Times New Roman" w:hAnsi="Times New Roman" w:cs="Times New Roman"/>
          <w:color w:val="222222"/>
          <w:sz w:val="24"/>
          <w:szCs w:val="24"/>
          <w:highlight w:val="white"/>
          <w:lang w:val="en-GB"/>
        </w:rPr>
        <w:t xml:space="preserve"> control and </w:t>
      </w:r>
      <w:proofErr w:type="spellStart"/>
      <w:r w:rsidRPr="006413A6">
        <w:rPr>
          <w:rFonts w:ascii="Times New Roman" w:eastAsia="Times New Roman" w:hAnsi="Times New Roman" w:cs="Times New Roman"/>
          <w:color w:val="222222"/>
          <w:sz w:val="24"/>
          <w:szCs w:val="24"/>
          <w:highlight w:val="white"/>
          <w:lang w:val="en-GB"/>
        </w:rPr>
        <w:t>cardiometabolic</w:t>
      </w:r>
      <w:proofErr w:type="spellEnd"/>
      <w:r w:rsidRPr="006413A6">
        <w:rPr>
          <w:rFonts w:ascii="Times New Roman" w:eastAsia="Times New Roman" w:hAnsi="Times New Roman" w:cs="Times New Roman"/>
          <w:color w:val="222222"/>
          <w:sz w:val="24"/>
          <w:szCs w:val="24"/>
          <w:highlight w:val="white"/>
          <w:lang w:val="en-GB"/>
        </w:rPr>
        <w:t xml:space="preserve"> risk factors in diabetes: systematic review and meta-analysis of randomised controlled trials. </w:t>
      </w:r>
      <w:proofErr w:type="spellStart"/>
      <w:r w:rsidRPr="006413A6">
        <w:rPr>
          <w:rFonts w:ascii="Times New Roman" w:eastAsia="Times New Roman" w:hAnsi="Times New Roman" w:cs="Times New Roman"/>
          <w:i/>
          <w:color w:val="222222"/>
          <w:sz w:val="24"/>
          <w:szCs w:val="24"/>
          <w:highlight w:val="white"/>
          <w:lang w:val="en-GB"/>
        </w:rPr>
        <w:t>Bmj</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374</w:t>
      </w:r>
      <w:r w:rsidRPr="006413A6">
        <w:rPr>
          <w:rFonts w:ascii="Times New Roman" w:eastAsia="Times New Roman" w:hAnsi="Times New Roman" w:cs="Times New Roman"/>
          <w:color w:val="222222"/>
          <w:sz w:val="24"/>
          <w:szCs w:val="24"/>
          <w:highlight w:val="white"/>
          <w:lang w:val="en-GB"/>
        </w:rPr>
        <w:t>.</w:t>
      </w:r>
    </w:p>
    <w:p w14:paraId="59642E66"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Conte, F., van </w:t>
      </w:r>
      <w:proofErr w:type="spellStart"/>
      <w:r w:rsidRPr="006413A6">
        <w:rPr>
          <w:rFonts w:ascii="Times New Roman" w:eastAsia="Times New Roman" w:hAnsi="Times New Roman" w:cs="Times New Roman"/>
          <w:color w:val="222222"/>
          <w:sz w:val="24"/>
          <w:szCs w:val="24"/>
          <w:highlight w:val="white"/>
          <w:lang w:val="en-GB"/>
        </w:rPr>
        <w:t>Buuringen</w:t>
      </w:r>
      <w:proofErr w:type="spellEnd"/>
      <w:r w:rsidRPr="006413A6">
        <w:rPr>
          <w:rFonts w:ascii="Times New Roman" w:eastAsia="Times New Roman" w:hAnsi="Times New Roman" w:cs="Times New Roman"/>
          <w:color w:val="222222"/>
          <w:sz w:val="24"/>
          <w:szCs w:val="24"/>
          <w:highlight w:val="white"/>
          <w:lang w:val="en-GB"/>
        </w:rPr>
        <w:t xml:space="preserve">, N., </w:t>
      </w:r>
      <w:proofErr w:type="spellStart"/>
      <w:r w:rsidRPr="006413A6">
        <w:rPr>
          <w:rFonts w:ascii="Times New Roman" w:eastAsia="Times New Roman" w:hAnsi="Times New Roman" w:cs="Times New Roman"/>
          <w:color w:val="222222"/>
          <w:sz w:val="24"/>
          <w:szCs w:val="24"/>
          <w:highlight w:val="white"/>
          <w:lang w:val="en-GB"/>
        </w:rPr>
        <w:t>Voermans</w:t>
      </w:r>
      <w:proofErr w:type="spellEnd"/>
      <w:r w:rsidRPr="006413A6">
        <w:rPr>
          <w:rFonts w:ascii="Times New Roman" w:eastAsia="Times New Roman" w:hAnsi="Times New Roman" w:cs="Times New Roman"/>
          <w:color w:val="222222"/>
          <w:sz w:val="24"/>
          <w:szCs w:val="24"/>
          <w:highlight w:val="white"/>
          <w:lang w:val="en-GB"/>
        </w:rPr>
        <w:t xml:space="preserve">, N.C. and </w:t>
      </w:r>
      <w:proofErr w:type="spellStart"/>
      <w:r w:rsidRPr="006413A6">
        <w:rPr>
          <w:rFonts w:ascii="Times New Roman" w:eastAsia="Times New Roman" w:hAnsi="Times New Roman" w:cs="Times New Roman"/>
          <w:color w:val="222222"/>
          <w:sz w:val="24"/>
          <w:szCs w:val="24"/>
          <w:highlight w:val="white"/>
          <w:lang w:val="en-GB"/>
        </w:rPr>
        <w:t>Lefeber</w:t>
      </w:r>
      <w:proofErr w:type="spellEnd"/>
      <w:r w:rsidRPr="006413A6">
        <w:rPr>
          <w:rFonts w:ascii="Times New Roman" w:eastAsia="Times New Roman" w:hAnsi="Times New Roman" w:cs="Times New Roman"/>
          <w:color w:val="222222"/>
          <w:sz w:val="24"/>
          <w:szCs w:val="24"/>
          <w:highlight w:val="white"/>
          <w:lang w:val="en-GB"/>
        </w:rPr>
        <w:t xml:space="preserve">, D.J., 2021. Galactose in human metabolism, </w:t>
      </w:r>
      <w:proofErr w:type="spellStart"/>
      <w:r w:rsidRPr="006413A6">
        <w:rPr>
          <w:rFonts w:ascii="Times New Roman" w:eastAsia="Times New Roman" w:hAnsi="Times New Roman" w:cs="Times New Roman"/>
          <w:color w:val="222222"/>
          <w:sz w:val="24"/>
          <w:szCs w:val="24"/>
          <w:highlight w:val="white"/>
          <w:lang w:val="en-GB"/>
        </w:rPr>
        <w:t>glycosylation</w:t>
      </w:r>
      <w:proofErr w:type="spellEnd"/>
      <w:r w:rsidRPr="006413A6">
        <w:rPr>
          <w:rFonts w:ascii="Times New Roman" w:eastAsia="Times New Roman" w:hAnsi="Times New Roman" w:cs="Times New Roman"/>
          <w:color w:val="222222"/>
          <w:sz w:val="24"/>
          <w:szCs w:val="24"/>
          <w:highlight w:val="white"/>
          <w:lang w:val="en-GB"/>
        </w:rPr>
        <w:t xml:space="preserve"> and congenital metabolic diseases: Time for a closer look. </w:t>
      </w:r>
      <w:proofErr w:type="spellStart"/>
      <w:r w:rsidRPr="006413A6">
        <w:rPr>
          <w:rFonts w:ascii="Times New Roman" w:eastAsia="Times New Roman" w:hAnsi="Times New Roman" w:cs="Times New Roman"/>
          <w:i/>
          <w:color w:val="222222"/>
          <w:sz w:val="24"/>
          <w:szCs w:val="24"/>
          <w:highlight w:val="white"/>
          <w:lang w:val="en-GB"/>
        </w:rPr>
        <w:t>Biochimica</w:t>
      </w:r>
      <w:proofErr w:type="spellEnd"/>
      <w:r w:rsidRPr="006413A6">
        <w:rPr>
          <w:rFonts w:ascii="Times New Roman" w:eastAsia="Times New Roman" w:hAnsi="Times New Roman" w:cs="Times New Roman"/>
          <w:i/>
          <w:color w:val="222222"/>
          <w:sz w:val="24"/>
          <w:szCs w:val="24"/>
          <w:highlight w:val="white"/>
          <w:lang w:val="en-GB"/>
        </w:rPr>
        <w:t xml:space="preserve"> et </w:t>
      </w:r>
      <w:proofErr w:type="spellStart"/>
      <w:r w:rsidRPr="006413A6">
        <w:rPr>
          <w:rFonts w:ascii="Times New Roman" w:eastAsia="Times New Roman" w:hAnsi="Times New Roman" w:cs="Times New Roman"/>
          <w:i/>
          <w:color w:val="222222"/>
          <w:sz w:val="24"/>
          <w:szCs w:val="24"/>
          <w:highlight w:val="white"/>
          <w:lang w:val="en-GB"/>
        </w:rPr>
        <w:t>Biophysica</w:t>
      </w:r>
      <w:proofErr w:type="spellEnd"/>
      <w:r w:rsidRPr="006413A6">
        <w:rPr>
          <w:rFonts w:ascii="Times New Roman" w:eastAsia="Times New Roman" w:hAnsi="Times New Roman" w:cs="Times New Roman"/>
          <w:i/>
          <w:color w:val="222222"/>
          <w:sz w:val="24"/>
          <w:szCs w:val="24"/>
          <w:highlight w:val="white"/>
          <w:lang w:val="en-GB"/>
        </w:rPr>
        <w:t xml:space="preserve"> </w:t>
      </w:r>
      <w:proofErr w:type="spellStart"/>
      <w:r w:rsidRPr="006413A6">
        <w:rPr>
          <w:rFonts w:ascii="Times New Roman" w:eastAsia="Times New Roman" w:hAnsi="Times New Roman" w:cs="Times New Roman"/>
          <w:i/>
          <w:color w:val="222222"/>
          <w:sz w:val="24"/>
          <w:szCs w:val="24"/>
          <w:highlight w:val="white"/>
          <w:lang w:val="en-GB"/>
        </w:rPr>
        <w:t>Acta</w:t>
      </w:r>
      <w:proofErr w:type="spellEnd"/>
      <w:r w:rsidRPr="006413A6">
        <w:rPr>
          <w:rFonts w:ascii="Times New Roman" w:eastAsia="Times New Roman" w:hAnsi="Times New Roman" w:cs="Times New Roman"/>
          <w:i/>
          <w:color w:val="222222"/>
          <w:sz w:val="24"/>
          <w:szCs w:val="24"/>
          <w:highlight w:val="white"/>
          <w:lang w:val="en-GB"/>
        </w:rPr>
        <w:t xml:space="preserve"> (BBA)-General Subjects</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1865</w:t>
      </w:r>
      <w:r w:rsidRPr="006413A6">
        <w:rPr>
          <w:rFonts w:ascii="Times New Roman" w:eastAsia="Times New Roman" w:hAnsi="Times New Roman" w:cs="Times New Roman"/>
          <w:color w:val="222222"/>
          <w:sz w:val="24"/>
          <w:szCs w:val="24"/>
          <w:highlight w:val="white"/>
          <w:lang w:val="en-GB"/>
        </w:rPr>
        <w:t>(8), p.129898.</w:t>
      </w:r>
    </w:p>
    <w:p w14:paraId="7354E09C"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6413A6">
        <w:rPr>
          <w:rFonts w:ascii="Times New Roman" w:eastAsia="Times New Roman" w:hAnsi="Times New Roman" w:cs="Times New Roman"/>
          <w:color w:val="222222"/>
          <w:sz w:val="24"/>
          <w:szCs w:val="24"/>
          <w:highlight w:val="white"/>
          <w:lang w:val="en-GB"/>
        </w:rPr>
        <w:t>Eckel</w:t>
      </w:r>
      <w:proofErr w:type="spellEnd"/>
      <w:r w:rsidRPr="006413A6">
        <w:rPr>
          <w:rFonts w:ascii="Times New Roman" w:eastAsia="Times New Roman" w:hAnsi="Times New Roman" w:cs="Times New Roman"/>
          <w:color w:val="222222"/>
          <w:sz w:val="24"/>
          <w:szCs w:val="24"/>
          <w:highlight w:val="white"/>
          <w:lang w:val="en-GB"/>
        </w:rPr>
        <w:t xml:space="preserve">, R.H., </w:t>
      </w:r>
      <w:proofErr w:type="spellStart"/>
      <w:r w:rsidRPr="006413A6">
        <w:rPr>
          <w:rFonts w:ascii="Times New Roman" w:eastAsia="Times New Roman" w:hAnsi="Times New Roman" w:cs="Times New Roman"/>
          <w:color w:val="222222"/>
          <w:sz w:val="24"/>
          <w:szCs w:val="24"/>
          <w:highlight w:val="white"/>
          <w:lang w:val="en-GB"/>
        </w:rPr>
        <w:t>Bornfeldt</w:t>
      </w:r>
      <w:proofErr w:type="spellEnd"/>
      <w:r w:rsidRPr="006413A6">
        <w:rPr>
          <w:rFonts w:ascii="Times New Roman" w:eastAsia="Times New Roman" w:hAnsi="Times New Roman" w:cs="Times New Roman"/>
          <w:color w:val="222222"/>
          <w:sz w:val="24"/>
          <w:szCs w:val="24"/>
          <w:highlight w:val="white"/>
          <w:lang w:val="en-GB"/>
        </w:rPr>
        <w:t xml:space="preserve">, K.E. and Goldberg, I.J., 2021. Cardiovascular disease in diabetes, beyond glucose. </w:t>
      </w:r>
      <w:r w:rsidRPr="006413A6">
        <w:rPr>
          <w:rFonts w:ascii="Times New Roman" w:eastAsia="Times New Roman" w:hAnsi="Times New Roman" w:cs="Times New Roman"/>
          <w:i/>
          <w:color w:val="222222"/>
          <w:sz w:val="24"/>
          <w:szCs w:val="24"/>
          <w:highlight w:val="white"/>
          <w:lang w:val="en-GB"/>
        </w:rPr>
        <w:t>Cell metabolism</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33</w:t>
      </w:r>
      <w:r w:rsidRPr="006413A6">
        <w:rPr>
          <w:rFonts w:ascii="Times New Roman" w:eastAsia="Times New Roman" w:hAnsi="Times New Roman" w:cs="Times New Roman"/>
          <w:color w:val="222222"/>
          <w:sz w:val="24"/>
          <w:szCs w:val="24"/>
          <w:highlight w:val="white"/>
          <w:lang w:val="en-GB"/>
        </w:rPr>
        <w:t>(8), pp.1519-1545.</w:t>
      </w:r>
    </w:p>
    <w:p w14:paraId="1A39AD8C"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6413A6">
        <w:rPr>
          <w:rFonts w:ascii="Times New Roman" w:eastAsia="Times New Roman" w:hAnsi="Times New Roman" w:cs="Times New Roman"/>
          <w:color w:val="222222"/>
          <w:sz w:val="24"/>
          <w:szCs w:val="24"/>
          <w:highlight w:val="white"/>
          <w:lang w:val="en-GB"/>
        </w:rPr>
        <w:t>Gromova</w:t>
      </w:r>
      <w:proofErr w:type="spellEnd"/>
      <w:r w:rsidRPr="006413A6">
        <w:rPr>
          <w:rFonts w:ascii="Times New Roman" w:eastAsia="Times New Roman" w:hAnsi="Times New Roman" w:cs="Times New Roman"/>
          <w:color w:val="222222"/>
          <w:sz w:val="24"/>
          <w:szCs w:val="24"/>
          <w:highlight w:val="white"/>
          <w:lang w:val="en-GB"/>
        </w:rPr>
        <w:t xml:space="preserve">, L.V., </w:t>
      </w:r>
      <w:proofErr w:type="spellStart"/>
      <w:r w:rsidRPr="006413A6">
        <w:rPr>
          <w:rFonts w:ascii="Times New Roman" w:eastAsia="Times New Roman" w:hAnsi="Times New Roman" w:cs="Times New Roman"/>
          <w:color w:val="222222"/>
          <w:sz w:val="24"/>
          <w:szCs w:val="24"/>
          <w:highlight w:val="white"/>
          <w:lang w:val="en-GB"/>
        </w:rPr>
        <w:t>Fetissov</w:t>
      </w:r>
      <w:proofErr w:type="spellEnd"/>
      <w:r w:rsidRPr="006413A6">
        <w:rPr>
          <w:rFonts w:ascii="Times New Roman" w:eastAsia="Times New Roman" w:hAnsi="Times New Roman" w:cs="Times New Roman"/>
          <w:color w:val="222222"/>
          <w:sz w:val="24"/>
          <w:szCs w:val="24"/>
          <w:highlight w:val="white"/>
          <w:lang w:val="en-GB"/>
        </w:rPr>
        <w:t xml:space="preserve">, S.O. and </w:t>
      </w:r>
      <w:proofErr w:type="spellStart"/>
      <w:r w:rsidRPr="006413A6">
        <w:rPr>
          <w:rFonts w:ascii="Times New Roman" w:eastAsia="Times New Roman" w:hAnsi="Times New Roman" w:cs="Times New Roman"/>
          <w:color w:val="222222"/>
          <w:sz w:val="24"/>
          <w:szCs w:val="24"/>
          <w:highlight w:val="white"/>
          <w:lang w:val="en-GB"/>
        </w:rPr>
        <w:t>Gruzdkov</w:t>
      </w:r>
      <w:proofErr w:type="spellEnd"/>
      <w:r w:rsidRPr="006413A6">
        <w:rPr>
          <w:rFonts w:ascii="Times New Roman" w:eastAsia="Times New Roman" w:hAnsi="Times New Roman" w:cs="Times New Roman"/>
          <w:color w:val="222222"/>
          <w:sz w:val="24"/>
          <w:szCs w:val="24"/>
          <w:highlight w:val="white"/>
          <w:lang w:val="en-GB"/>
        </w:rPr>
        <w:t xml:space="preserve">, A.A., 2021. Mechanisms of glucose absorption in the small intestine in health and metabolic diseases and their role in appetite regulation. </w:t>
      </w:r>
      <w:r w:rsidRPr="006413A6">
        <w:rPr>
          <w:rFonts w:ascii="Times New Roman" w:eastAsia="Times New Roman" w:hAnsi="Times New Roman" w:cs="Times New Roman"/>
          <w:i/>
          <w:color w:val="222222"/>
          <w:sz w:val="24"/>
          <w:szCs w:val="24"/>
          <w:highlight w:val="white"/>
          <w:lang w:val="en-GB"/>
        </w:rPr>
        <w:t>Nutrients</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13</w:t>
      </w:r>
      <w:r w:rsidRPr="006413A6">
        <w:rPr>
          <w:rFonts w:ascii="Times New Roman" w:eastAsia="Times New Roman" w:hAnsi="Times New Roman" w:cs="Times New Roman"/>
          <w:color w:val="222222"/>
          <w:sz w:val="24"/>
          <w:szCs w:val="24"/>
          <w:highlight w:val="white"/>
          <w:lang w:val="en-GB"/>
        </w:rPr>
        <w:t>(7), p.2474.</w:t>
      </w:r>
    </w:p>
    <w:p w14:paraId="31C3847D"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Hawkes, S., </w:t>
      </w:r>
      <w:proofErr w:type="spellStart"/>
      <w:r w:rsidRPr="006413A6">
        <w:rPr>
          <w:rFonts w:ascii="Times New Roman" w:eastAsia="Times New Roman" w:hAnsi="Times New Roman" w:cs="Times New Roman"/>
          <w:color w:val="222222"/>
          <w:sz w:val="24"/>
          <w:szCs w:val="24"/>
          <w:highlight w:val="white"/>
          <w:lang w:val="en-GB"/>
        </w:rPr>
        <w:t>Pantazis</w:t>
      </w:r>
      <w:proofErr w:type="spellEnd"/>
      <w:r w:rsidRPr="006413A6">
        <w:rPr>
          <w:rFonts w:ascii="Times New Roman" w:eastAsia="Times New Roman" w:hAnsi="Times New Roman" w:cs="Times New Roman"/>
          <w:color w:val="222222"/>
          <w:sz w:val="24"/>
          <w:szCs w:val="24"/>
          <w:highlight w:val="white"/>
          <w:lang w:val="en-GB"/>
        </w:rPr>
        <w:t xml:space="preserve">, A., </w:t>
      </w:r>
      <w:proofErr w:type="spellStart"/>
      <w:r w:rsidRPr="006413A6">
        <w:rPr>
          <w:rFonts w:ascii="Times New Roman" w:eastAsia="Times New Roman" w:hAnsi="Times New Roman" w:cs="Times New Roman"/>
          <w:color w:val="222222"/>
          <w:sz w:val="24"/>
          <w:szCs w:val="24"/>
          <w:highlight w:val="white"/>
          <w:lang w:val="en-GB"/>
        </w:rPr>
        <w:t>Purdie</w:t>
      </w:r>
      <w:proofErr w:type="spellEnd"/>
      <w:r w:rsidRPr="006413A6">
        <w:rPr>
          <w:rFonts w:ascii="Times New Roman" w:eastAsia="Times New Roman" w:hAnsi="Times New Roman" w:cs="Times New Roman"/>
          <w:color w:val="222222"/>
          <w:sz w:val="24"/>
          <w:szCs w:val="24"/>
          <w:highlight w:val="white"/>
          <w:lang w:val="en-GB"/>
        </w:rPr>
        <w:t xml:space="preserve">, A., Gautam, A., </w:t>
      </w:r>
      <w:proofErr w:type="spellStart"/>
      <w:r w:rsidRPr="006413A6">
        <w:rPr>
          <w:rFonts w:ascii="Times New Roman" w:eastAsia="Times New Roman" w:hAnsi="Times New Roman" w:cs="Times New Roman"/>
          <w:color w:val="222222"/>
          <w:sz w:val="24"/>
          <w:szCs w:val="24"/>
          <w:highlight w:val="white"/>
          <w:lang w:val="en-GB"/>
        </w:rPr>
        <w:t>Kiwuwa-Muyingo</w:t>
      </w:r>
      <w:proofErr w:type="spellEnd"/>
      <w:r w:rsidRPr="006413A6">
        <w:rPr>
          <w:rFonts w:ascii="Times New Roman" w:eastAsia="Times New Roman" w:hAnsi="Times New Roman" w:cs="Times New Roman"/>
          <w:color w:val="222222"/>
          <w:sz w:val="24"/>
          <w:szCs w:val="24"/>
          <w:highlight w:val="white"/>
          <w:lang w:val="en-GB"/>
        </w:rPr>
        <w:t xml:space="preserve">, S., </w:t>
      </w:r>
      <w:proofErr w:type="spellStart"/>
      <w:r w:rsidRPr="006413A6">
        <w:rPr>
          <w:rFonts w:ascii="Times New Roman" w:eastAsia="Times New Roman" w:hAnsi="Times New Roman" w:cs="Times New Roman"/>
          <w:color w:val="222222"/>
          <w:sz w:val="24"/>
          <w:szCs w:val="24"/>
          <w:highlight w:val="white"/>
          <w:lang w:val="en-GB"/>
        </w:rPr>
        <w:t>Buse</w:t>
      </w:r>
      <w:proofErr w:type="spellEnd"/>
      <w:r w:rsidRPr="006413A6">
        <w:rPr>
          <w:rFonts w:ascii="Times New Roman" w:eastAsia="Times New Roman" w:hAnsi="Times New Roman" w:cs="Times New Roman"/>
          <w:color w:val="222222"/>
          <w:sz w:val="24"/>
          <w:szCs w:val="24"/>
          <w:highlight w:val="white"/>
          <w:lang w:val="en-GB"/>
        </w:rPr>
        <w:t xml:space="preserve">, K., Tanaka, S., </w:t>
      </w:r>
      <w:proofErr w:type="spellStart"/>
      <w:r w:rsidRPr="006413A6">
        <w:rPr>
          <w:rFonts w:ascii="Times New Roman" w:eastAsia="Times New Roman" w:hAnsi="Times New Roman" w:cs="Times New Roman"/>
          <w:color w:val="222222"/>
          <w:sz w:val="24"/>
          <w:szCs w:val="24"/>
          <w:highlight w:val="white"/>
          <w:lang w:val="en-GB"/>
        </w:rPr>
        <w:t>Borkotoky</w:t>
      </w:r>
      <w:proofErr w:type="spellEnd"/>
      <w:r w:rsidRPr="006413A6">
        <w:rPr>
          <w:rFonts w:ascii="Times New Roman" w:eastAsia="Times New Roman" w:hAnsi="Times New Roman" w:cs="Times New Roman"/>
          <w:color w:val="222222"/>
          <w:sz w:val="24"/>
          <w:szCs w:val="24"/>
          <w:highlight w:val="white"/>
          <w:lang w:val="en-GB"/>
        </w:rPr>
        <w:t xml:space="preserve">, K., Sharma, S. and </w:t>
      </w:r>
      <w:proofErr w:type="spellStart"/>
      <w:r w:rsidRPr="006413A6">
        <w:rPr>
          <w:rFonts w:ascii="Times New Roman" w:eastAsia="Times New Roman" w:hAnsi="Times New Roman" w:cs="Times New Roman"/>
          <w:color w:val="222222"/>
          <w:sz w:val="24"/>
          <w:szCs w:val="24"/>
          <w:highlight w:val="white"/>
          <w:lang w:val="en-GB"/>
        </w:rPr>
        <w:t>Verma</w:t>
      </w:r>
      <w:proofErr w:type="spellEnd"/>
      <w:r w:rsidRPr="006413A6">
        <w:rPr>
          <w:rFonts w:ascii="Times New Roman" w:eastAsia="Times New Roman" w:hAnsi="Times New Roman" w:cs="Times New Roman"/>
          <w:color w:val="222222"/>
          <w:sz w:val="24"/>
          <w:szCs w:val="24"/>
          <w:highlight w:val="white"/>
          <w:lang w:val="en-GB"/>
        </w:rPr>
        <w:t xml:space="preserve">, R., 2022. Sex-disaggregated data matters: tracking the impact of COVID-19 on the health of women and men. </w:t>
      </w:r>
      <w:proofErr w:type="spellStart"/>
      <w:r w:rsidRPr="006413A6">
        <w:rPr>
          <w:rFonts w:ascii="Times New Roman" w:eastAsia="Times New Roman" w:hAnsi="Times New Roman" w:cs="Times New Roman"/>
          <w:i/>
          <w:color w:val="222222"/>
          <w:sz w:val="24"/>
          <w:szCs w:val="24"/>
          <w:highlight w:val="white"/>
          <w:lang w:val="en-GB"/>
        </w:rPr>
        <w:t>Economia</w:t>
      </w:r>
      <w:proofErr w:type="spellEnd"/>
      <w:r w:rsidRPr="006413A6">
        <w:rPr>
          <w:rFonts w:ascii="Times New Roman" w:eastAsia="Times New Roman" w:hAnsi="Times New Roman" w:cs="Times New Roman"/>
          <w:i/>
          <w:color w:val="222222"/>
          <w:sz w:val="24"/>
          <w:szCs w:val="24"/>
          <w:highlight w:val="white"/>
          <w:lang w:val="en-GB"/>
        </w:rPr>
        <w:t xml:space="preserve"> </w:t>
      </w:r>
      <w:proofErr w:type="spellStart"/>
      <w:r w:rsidRPr="006413A6">
        <w:rPr>
          <w:rFonts w:ascii="Times New Roman" w:eastAsia="Times New Roman" w:hAnsi="Times New Roman" w:cs="Times New Roman"/>
          <w:i/>
          <w:color w:val="222222"/>
          <w:sz w:val="24"/>
          <w:szCs w:val="24"/>
          <w:highlight w:val="white"/>
          <w:lang w:val="en-GB"/>
        </w:rPr>
        <w:t>Politica</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39</w:t>
      </w:r>
      <w:r w:rsidRPr="006413A6">
        <w:rPr>
          <w:rFonts w:ascii="Times New Roman" w:eastAsia="Times New Roman" w:hAnsi="Times New Roman" w:cs="Times New Roman"/>
          <w:color w:val="222222"/>
          <w:sz w:val="24"/>
          <w:szCs w:val="24"/>
          <w:highlight w:val="white"/>
          <w:lang w:val="en-GB"/>
        </w:rPr>
        <w:t>(1), pp.55-73.</w:t>
      </w:r>
    </w:p>
    <w:p w14:paraId="34BE84D4"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6413A6">
        <w:rPr>
          <w:rFonts w:ascii="Times New Roman" w:eastAsia="Times New Roman" w:hAnsi="Times New Roman" w:cs="Times New Roman"/>
          <w:color w:val="222222"/>
          <w:sz w:val="24"/>
          <w:szCs w:val="24"/>
          <w:highlight w:val="white"/>
          <w:lang w:val="en-GB"/>
        </w:rPr>
        <w:t>Husdal</w:t>
      </w:r>
      <w:proofErr w:type="spellEnd"/>
      <w:r w:rsidRPr="006413A6">
        <w:rPr>
          <w:rFonts w:ascii="Times New Roman" w:eastAsia="Times New Roman" w:hAnsi="Times New Roman" w:cs="Times New Roman"/>
          <w:color w:val="222222"/>
          <w:sz w:val="24"/>
          <w:szCs w:val="24"/>
          <w:highlight w:val="white"/>
          <w:lang w:val="en-GB"/>
        </w:rPr>
        <w:t xml:space="preserve">, R., Thors </w:t>
      </w:r>
      <w:proofErr w:type="spellStart"/>
      <w:r w:rsidRPr="006413A6">
        <w:rPr>
          <w:rFonts w:ascii="Times New Roman" w:eastAsia="Times New Roman" w:hAnsi="Times New Roman" w:cs="Times New Roman"/>
          <w:color w:val="222222"/>
          <w:sz w:val="24"/>
          <w:szCs w:val="24"/>
          <w:highlight w:val="white"/>
          <w:lang w:val="en-GB"/>
        </w:rPr>
        <w:t>Adolfsson</w:t>
      </w:r>
      <w:proofErr w:type="spellEnd"/>
      <w:r w:rsidRPr="006413A6">
        <w:rPr>
          <w:rFonts w:ascii="Times New Roman" w:eastAsia="Times New Roman" w:hAnsi="Times New Roman" w:cs="Times New Roman"/>
          <w:color w:val="222222"/>
          <w:sz w:val="24"/>
          <w:szCs w:val="24"/>
          <w:highlight w:val="white"/>
          <w:lang w:val="en-GB"/>
        </w:rPr>
        <w:t xml:space="preserve">, E., </w:t>
      </w:r>
      <w:proofErr w:type="spellStart"/>
      <w:r w:rsidRPr="006413A6">
        <w:rPr>
          <w:rFonts w:ascii="Times New Roman" w:eastAsia="Times New Roman" w:hAnsi="Times New Roman" w:cs="Times New Roman"/>
          <w:color w:val="222222"/>
          <w:sz w:val="24"/>
          <w:szCs w:val="24"/>
          <w:highlight w:val="white"/>
          <w:lang w:val="en-GB"/>
        </w:rPr>
        <w:t>Leksell</w:t>
      </w:r>
      <w:proofErr w:type="spellEnd"/>
      <w:r w:rsidRPr="006413A6">
        <w:rPr>
          <w:rFonts w:ascii="Times New Roman" w:eastAsia="Times New Roman" w:hAnsi="Times New Roman" w:cs="Times New Roman"/>
          <w:color w:val="222222"/>
          <w:sz w:val="24"/>
          <w:szCs w:val="24"/>
          <w:highlight w:val="white"/>
          <w:lang w:val="en-GB"/>
        </w:rPr>
        <w:t xml:space="preserve">, J. and </w:t>
      </w:r>
      <w:proofErr w:type="spellStart"/>
      <w:r w:rsidRPr="006413A6">
        <w:rPr>
          <w:rFonts w:ascii="Times New Roman" w:eastAsia="Times New Roman" w:hAnsi="Times New Roman" w:cs="Times New Roman"/>
          <w:color w:val="222222"/>
          <w:sz w:val="24"/>
          <w:szCs w:val="24"/>
          <w:highlight w:val="white"/>
          <w:lang w:val="en-GB"/>
        </w:rPr>
        <w:t>Nordgren</w:t>
      </w:r>
      <w:proofErr w:type="spellEnd"/>
      <w:r w:rsidRPr="006413A6">
        <w:rPr>
          <w:rFonts w:ascii="Times New Roman" w:eastAsia="Times New Roman" w:hAnsi="Times New Roman" w:cs="Times New Roman"/>
          <w:color w:val="222222"/>
          <w:sz w:val="24"/>
          <w:szCs w:val="24"/>
          <w:highlight w:val="white"/>
          <w:lang w:val="en-GB"/>
        </w:rPr>
        <w:t xml:space="preserve">, L., 2021. Diabetes care provided by national standards can improve patients' self‐management skills: A qualitative study of how people with type 2 diabetes perceive primary diabetes care. </w:t>
      </w:r>
      <w:r w:rsidRPr="006413A6">
        <w:rPr>
          <w:rFonts w:ascii="Times New Roman" w:eastAsia="Times New Roman" w:hAnsi="Times New Roman" w:cs="Times New Roman"/>
          <w:i/>
          <w:color w:val="222222"/>
          <w:sz w:val="24"/>
          <w:szCs w:val="24"/>
          <w:highlight w:val="white"/>
          <w:lang w:val="en-GB"/>
        </w:rPr>
        <w:t>Health Expectations</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24</w:t>
      </w:r>
      <w:r w:rsidRPr="006413A6">
        <w:rPr>
          <w:rFonts w:ascii="Times New Roman" w:eastAsia="Times New Roman" w:hAnsi="Times New Roman" w:cs="Times New Roman"/>
          <w:color w:val="222222"/>
          <w:sz w:val="24"/>
          <w:szCs w:val="24"/>
          <w:highlight w:val="white"/>
          <w:lang w:val="en-GB"/>
        </w:rPr>
        <w:t>(3), pp.1000-1008.</w:t>
      </w:r>
    </w:p>
    <w:p w14:paraId="0BFA958E"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Ismail, L., </w:t>
      </w:r>
      <w:proofErr w:type="spellStart"/>
      <w:r w:rsidRPr="006413A6">
        <w:rPr>
          <w:rFonts w:ascii="Times New Roman" w:eastAsia="Times New Roman" w:hAnsi="Times New Roman" w:cs="Times New Roman"/>
          <w:color w:val="222222"/>
          <w:sz w:val="24"/>
          <w:szCs w:val="24"/>
          <w:highlight w:val="white"/>
          <w:lang w:val="en-GB"/>
        </w:rPr>
        <w:t>Materwala</w:t>
      </w:r>
      <w:proofErr w:type="spellEnd"/>
      <w:r w:rsidRPr="006413A6">
        <w:rPr>
          <w:rFonts w:ascii="Times New Roman" w:eastAsia="Times New Roman" w:hAnsi="Times New Roman" w:cs="Times New Roman"/>
          <w:color w:val="222222"/>
          <w:sz w:val="24"/>
          <w:szCs w:val="24"/>
          <w:highlight w:val="white"/>
          <w:lang w:val="en-GB"/>
        </w:rPr>
        <w:t xml:space="preserve">, H. and Al </w:t>
      </w:r>
      <w:proofErr w:type="spellStart"/>
      <w:r w:rsidRPr="006413A6">
        <w:rPr>
          <w:rFonts w:ascii="Times New Roman" w:eastAsia="Times New Roman" w:hAnsi="Times New Roman" w:cs="Times New Roman"/>
          <w:color w:val="222222"/>
          <w:sz w:val="24"/>
          <w:szCs w:val="24"/>
          <w:highlight w:val="white"/>
          <w:lang w:val="en-GB"/>
        </w:rPr>
        <w:t>Kaabi</w:t>
      </w:r>
      <w:proofErr w:type="spellEnd"/>
      <w:r w:rsidRPr="006413A6">
        <w:rPr>
          <w:rFonts w:ascii="Times New Roman" w:eastAsia="Times New Roman" w:hAnsi="Times New Roman" w:cs="Times New Roman"/>
          <w:color w:val="222222"/>
          <w:sz w:val="24"/>
          <w:szCs w:val="24"/>
          <w:highlight w:val="white"/>
          <w:lang w:val="en-GB"/>
        </w:rPr>
        <w:t xml:space="preserve">, J., 2021. Association of risk factors with type 2 diabetes: A systematic review. </w:t>
      </w:r>
      <w:r w:rsidRPr="006413A6">
        <w:rPr>
          <w:rFonts w:ascii="Times New Roman" w:eastAsia="Times New Roman" w:hAnsi="Times New Roman" w:cs="Times New Roman"/>
          <w:i/>
          <w:color w:val="222222"/>
          <w:sz w:val="24"/>
          <w:szCs w:val="24"/>
          <w:highlight w:val="white"/>
          <w:lang w:val="en-GB"/>
        </w:rPr>
        <w:t>Computational and structural biotechnology journal</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19</w:t>
      </w:r>
      <w:r w:rsidRPr="006413A6">
        <w:rPr>
          <w:rFonts w:ascii="Times New Roman" w:eastAsia="Times New Roman" w:hAnsi="Times New Roman" w:cs="Times New Roman"/>
          <w:color w:val="222222"/>
          <w:sz w:val="24"/>
          <w:szCs w:val="24"/>
          <w:highlight w:val="white"/>
          <w:lang w:val="en-GB"/>
        </w:rPr>
        <w:t>, pp.1759-1785.</w:t>
      </w:r>
    </w:p>
    <w:p w14:paraId="27482894"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Jude, E.B., </w:t>
      </w:r>
      <w:proofErr w:type="spellStart"/>
      <w:r w:rsidRPr="006413A6">
        <w:rPr>
          <w:rFonts w:ascii="Times New Roman" w:eastAsia="Times New Roman" w:hAnsi="Times New Roman" w:cs="Times New Roman"/>
          <w:color w:val="222222"/>
          <w:sz w:val="24"/>
          <w:szCs w:val="24"/>
          <w:highlight w:val="white"/>
          <w:lang w:val="en-GB"/>
        </w:rPr>
        <w:t>Malecki</w:t>
      </w:r>
      <w:proofErr w:type="spellEnd"/>
      <w:r w:rsidRPr="006413A6">
        <w:rPr>
          <w:rFonts w:ascii="Times New Roman" w:eastAsia="Times New Roman" w:hAnsi="Times New Roman" w:cs="Times New Roman"/>
          <w:color w:val="222222"/>
          <w:sz w:val="24"/>
          <w:szCs w:val="24"/>
          <w:highlight w:val="white"/>
          <w:lang w:val="en-GB"/>
        </w:rPr>
        <w:t xml:space="preserve">, M.T., Gomez </w:t>
      </w:r>
      <w:proofErr w:type="spellStart"/>
      <w:r w:rsidRPr="006413A6">
        <w:rPr>
          <w:rFonts w:ascii="Times New Roman" w:eastAsia="Times New Roman" w:hAnsi="Times New Roman" w:cs="Times New Roman"/>
          <w:color w:val="222222"/>
          <w:sz w:val="24"/>
          <w:szCs w:val="24"/>
          <w:highlight w:val="white"/>
          <w:lang w:val="en-GB"/>
        </w:rPr>
        <w:t>Huelgas</w:t>
      </w:r>
      <w:proofErr w:type="spellEnd"/>
      <w:r w:rsidRPr="006413A6">
        <w:rPr>
          <w:rFonts w:ascii="Times New Roman" w:eastAsia="Times New Roman" w:hAnsi="Times New Roman" w:cs="Times New Roman"/>
          <w:color w:val="222222"/>
          <w:sz w:val="24"/>
          <w:szCs w:val="24"/>
          <w:highlight w:val="white"/>
          <w:lang w:val="en-GB"/>
        </w:rPr>
        <w:t xml:space="preserve">, R., </w:t>
      </w:r>
      <w:proofErr w:type="spellStart"/>
      <w:r w:rsidRPr="006413A6">
        <w:rPr>
          <w:rFonts w:ascii="Times New Roman" w:eastAsia="Times New Roman" w:hAnsi="Times New Roman" w:cs="Times New Roman"/>
          <w:color w:val="222222"/>
          <w:sz w:val="24"/>
          <w:szCs w:val="24"/>
          <w:highlight w:val="white"/>
          <w:lang w:val="en-GB"/>
        </w:rPr>
        <w:t>Prazny</w:t>
      </w:r>
      <w:proofErr w:type="spellEnd"/>
      <w:r w:rsidRPr="006413A6">
        <w:rPr>
          <w:rFonts w:ascii="Times New Roman" w:eastAsia="Times New Roman" w:hAnsi="Times New Roman" w:cs="Times New Roman"/>
          <w:color w:val="222222"/>
          <w:sz w:val="24"/>
          <w:szCs w:val="24"/>
          <w:highlight w:val="white"/>
          <w:lang w:val="en-GB"/>
        </w:rPr>
        <w:t xml:space="preserve">, M., </w:t>
      </w:r>
      <w:proofErr w:type="spellStart"/>
      <w:r w:rsidRPr="006413A6">
        <w:rPr>
          <w:rFonts w:ascii="Times New Roman" w:eastAsia="Times New Roman" w:hAnsi="Times New Roman" w:cs="Times New Roman"/>
          <w:color w:val="222222"/>
          <w:sz w:val="24"/>
          <w:szCs w:val="24"/>
          <w:highlight w:val="white"/>
          <w:lang w:val="en-GB"/>
        </w:rPr>
        <w:t>Snoek</w:t>
      </w:r>
      <w:proofErr w:type="spellEnd"/>
      <w:r w:rsidRPr="006413A6">
        <w:rPr>
          <w:rFonts w:ascii="Times New Roman" w:eastAsia="Times New Roman" w:hAnsi="Times New Roman" w:cs="Times New Roman"/>
          <w:color w:val="222222"/>
          <w:sz w:val="24"/>
          <w:szCs w:val="24"/>
          <w:highlight w:val="white"/>
          <w:lang w:val="en-GB"/>
        </w:rPr>
        <w:t xml:space="preserve">, F., </w:t>
      </w:r>
      <w:proofErr w:type="spellStart"/>
      <w:r w:rsidRPr="006413A6">
        <w:rPr>
          <w:rFonts w:ascii="Times New Roman" w:eastAsia="Times New Roman" w:hAnsi="Times New Roman" w:cs="Times New Roman"/>
          <w:color w:val="222222"/>
          <w:sz w:val="24"/>
          <w:szCs w:val="24"/>
          <w:highlight w:val="white"/>
          <w:lang w:val="en-GB"/>
        </w:rPr>
        <w:t>Tankova</w:t>
      </w:r>
      <w:proofErr w:type="spellEnd"/>
      <w:r w:rsidRPr="006413A6">
        <w:rPr>
          <w:rFonts w:ascii="Times New Roman" w:eastAsia="Times New Roman" w:hAnsi="Times New Roman" w:cs="Times New Roman"/>
          <w:color w:val="222222"/>
          <w:sz w:val="24"/>
          <w:szCs w:val="24"/>
          <w:highlight w:val="white"/>
          <w:lang w:val="en-GB"/>
        </w:rPr>
        <w:t xml:space="preserve">, T., </w:t>
      </w:r>
      <w:proofErr w:type="spellStart"/>
      <w:r w:rsidRPr="006413A6">
        <w:rPr>
          <w:rFonts w:ascii="Times New Roman" w:eastAsia="Times New Roman" w:hAnsi="Times New Roman" w:cs="Times New Roman"/>
          <w:color w:val="222222"/>
          <w:sz w:val="24"/>
          <w:szCs w:val="24"/>
          <w:highlight w:val="white"/>
          <w:lang w:val="en-GB"/>
        </w:rPr>
        <w:t>Giugliano</w:t>
      </w:r>
      <w:proofErr w:type="spellEnd"/>
      <w:r w:rsidRPr="006413A6">
        <w:rPr>
          <w:rFonts w:ascii="Times New Roman" w:eastAsia="Times New Roman" w:hAnsi="Times New Roman" w:cs="Times New Roman"/>
          <w:color w:val="222222"/>
          <w:sz w:val="24"/>
          <w:szCs w:val="24"/>
          <w:highlight w:val="white"/>
          <w:lang w:val="en-GB"/>
        </w:rPr>
        <w:t xml:space="preserve">, D. and </w:t>
      </w:r>
      <w:proofErr w:type="spellStart"/>
      <w:r w:rsidRPr="006413A6">
        <w:rPr>
          <w:rFonts w:ascii="Times New Roman" w:eastAsia="Times New Roman" w:hAnsi="Times New Roman" w:cs="Times New Roman"/>
          <w:color w:val="222222"/>
          <w:sz w:val="24"/>
          <w:szCs w:val="24"/>
          <w:highlight w:val="white"/>
          <w:lang w:val="en-GB"/>
        </w:rPr>
        <w:t>Khunti</w:t>
      </w:r>
      <w:proofErr w:type="spellEnd"/>
      <w:r w:rsidRPr="006413A6">
        <w:rPr>
          <w:rFonts w:ascii="Times New Roman" w:eastAsia="Times New Roman" w:hAnsi="Times New Roman" w:cs="Times New Roman"/>
          <w:color w:val="222222"/>
          <w:sz w:val="24"/>
          <w:szCs w:val="24"/>
          <w:highlight w:val="white"/>
          <w:lang w:val="en-GB"/>
        </w:rPr>
        <w:t xml:space="preserve">, K., 2022. Expert panel guidance and narrative review of treatment simplification of complex insulin regimens to improve outcomes in type 2 diabetes. </w:t>
      </w:r>
      <w:r w:rsidRPr="006413A6">
        <w:rPr>
          <w:rFonts w:ascii="Times New Roman" w:eastAsia="Times New Roman" w:hAnsi="Times New Roman" w:cs="Times New Roman"/>
          <w:i/>
          <w:color w:val="222222"/>
          <w:sz w:val="24"/>
          <w:szCs w:val="24"/>
          <w:highlight w:val="white"/>
          <w:lang w:val="en-GB"/>
        </w:rPr>
        <w:t>Diabetes Therapy</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13</w:t>
      </w:r>
      <w:r w:rsidRPr="006413A6">
        <w:rPr>
          <w:rFonts w:ascii="Times New Roman" w:eastAsia="Times New Roman" w:hAnsi="Times New Roman" w:cs="Times New Roman"/>
          <w:color w:val="222222"/>
          <w:sz w:val="24"/>
          <w:szCs w:val="24"/>
          <w:highlight w:val="white"/>
          <w:lang w:val="en-GB"/>
        </w:rPr>
        <w:t>(4), pp.619-634.</w:t>
      </w:r>
    </w:p>
    <w:p w14:paraId="16496DE4"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Karl, F., </w:t>
      </w:r>
      <w:proofErr w:type="spellStart"/>
      <w:r w:rsidRPr="006413A6">
        <w:rPr>
          <w:rFonts w:ascii="Times New Roman" w:eastAsia="Times New Roman" w:hAnsi="Times New Roman" w:cs="Times New Roman"/>
          <w:color w:val="222222"/>
          <w:sz w:val="24"/>
          <w:szCs w:val="24"/>
          <w:highlight w:val="white"/>
          <w:lang w:val="en-GB"/>
        </w:rPr>
        <w:t>Hudecek</w:t>
      </w:r>
      <w:proofErr w:type="spellEnd"/>
      <w:r w:rsidRPr="006413A6">
        <w:rPr>
          <w:rFonts w:ascii="Times New Roman" w:eastAsia="Times New Roman" w:hAnsi="Times New Roman" w:cs="Times New Roman"/>
          <w:color w:val="222222"/>
          <w:sz w:val="24"/>
          <w:szCs w:val="24"/>
          <w:highlight w:val="white"/>
          <w:lang w:val="en-GB"/>
        </w:rPr>
        <w:t xml:space="preserve">, M., </w:t>
      </w:r>
      <w:proofErr w:type="spellStart"/>
      <w:r w:rsidRPr="006413A6">
        <w:rPr>
          <w:rFonts w:ascii="Times New Roman" w:eastAsia="Times New Roman" w:hAnsi="Times New Roman" w:cs="Times New Roman"/>
          <w:color w:val="222222"/>
          <w:sz w:val="24"/>
          <w:szCs w:val="24"/>
          <w:highlight w:val="white"/>
          <w:lang w:val="en-GB"/>
        </w:rPr>
        <w:t>Berberich-Siebelt</w:t>
      </w:r>
      <w:proofErr w:type="spellEnd"/>
      <w:r w:rsidRPr="006413A6">
        <w:rPr>
          <w:rFonts w:ascii="Times New Roman" w:eastAsia="Times New Roman" w:hAnsi="Times New Roman" w:cs="Times New Roman"/>
          <w:color w:val="222222"/>
          <w:sz w:val="24"/>
          <w:szCs w:val="24"/>
          <w:highlight w:val="white"/>
          <w:lang w:val="en-GB"/>
        </w:rPr>
        <w:t xml:space="preserve">, F., </w:t>
      </w:r>
      <w:proofErr w:type="spellStart"/>
      <w:r w:rsidRPr="006413A6">
        <w:rPr>
          <w:rFonts w:ascii="Times New Roman" w:eastAsia="Times New Roman" w:hAnsi="Times New Roman" w:cs="Times New Roman"/>
          <w:color w:val="222222"/>
          <w:sz w:val="24"/>
          <w:szCs w:val="24"/>
          <w:highlight w:val="white"/>
          <w:lang w:val="en-GB"/>
        </w:rPr>
        <w:t>Mackensen</w:t>
      </w:r>
      <w:proofErr w:type="spellEnd"/>
      <w:r w:rsidRPr="006413A6">
        <w:rPr>
          <w:rFonts w:ascii="Times New Roman" w:eastAsia="Times New Roman" w:hAnsi="Times New Roman" w:cs="Times New Roman"/>
          <w:color w:val="222222"/>
          <w:sz w:val="24"/>
          <w:szCs w:val="24"/>
          <w:highlight w:val="white"/>
          <w:lang w:val="en-GB"/>
        </w:rPr>
        <w:t xml:space="preserve">, A. and </w:t>
      </w:r>
      <w:proofErr w:type="spellStart"/>
      <w:r w:rsidRPr="006413A6">
        <w:rPr>
          <w:rFonts w:ascii="Times New Roman" w:eastAsia="Times New Roman" w:hAnsi="Times New Roman" w:cs="Times New Roman"/>
          <w:color w:val="222222"/>
          <w:sz w:val="24"/>
          <w:szCs w:val="24"/>
          <w:highlight w:val="white"/>
          <w:lang w:val="en-GB"/>
        </w:rPr>
        <w:t>Mougiakakos</w:t>
      </w:r>
      <w:proofErr w:type="spellEnd"/>
      <w:r w:rsidRPr="006413A6">
        <w:rPr>
          <w:rFonts w:ascii="Times New Roman" w:eastAsia="Times New Roman" w:hAnsi="Times New Roman" w:cs="Times New Roman"/>
          <w:color w:val="222222"/>
          <w:sz w:val="24"/>
          <w:szCs w:val="24"/>
          <w:highlight w:val="white"/>
          <w:lang w:val="en-GB"/>
        </w:rPr>
        <w:t xml:space="preserve">, D., 2021. T-Cell metabolism in graft versus host disease. </w:t>
      </w:r>
      <w:r w:rsidRPr="006413A6">
        <w:rPr>
          <w:rFonts w:ascii="Times New Roman" w:eastAsia="Times New Roman" w:hAnsi="Times New Roman" w:cs="Times New Roman"/>
          <w:i/>
          <w:color w:val="222222"/>
          <w:sz w:val="24"/>
          <w:szCs w:val="24"/>
          <w:highlight w:val="white"/>
          <w:lang w:val="en-GB"/>
        </w:rPr>
        <w:t>Frontiers in Immunology</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12</w:t>
      </w:r>
      <w:r w:rsidRPr="006413A6">
        <w:rPr>
          <w:rFonts w:ascii="Times New Roman" w:eastAsia="Times New Roman" w:hAnsi="Times New Roman" w:cs="Times New Roman"/>
          <w:color w:val="222222"/>
          <w:sz w:val="24"/>
          <w:szCs w:val="24"/>
          <w:highlight w:val="white"/>
          <w:lang w:val="en-GB"/>
        </w:rPr>
        <w:t>, p.760008.</w:t>
      </w:r>
    </w:p>
    <w:p w14:paraId="1A09792E"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Kong, L., </w:t>
      </w:r>
      <w:proofErr w:type="spellStart"/>
      <w:r w:rsidRPr="006413A6">
        <w:rPr>
          <w:rFonts w:ascii="Times New Roman" w:eastAsia="Times New Roman" w:hAnsi="Times New Roman" w:cs="Times New Roman"/>
          <w:color w:val="222222"/>
          <w:sz w:val="24"/>
          <w:szCs w:val="24"/>
          <w:highlight w:val="white"/>
          <w:lang w:val="en-GB"/>
        </w:rPr>
        <w:t>Ren</w:t>
      </w:r>
      <w:proofErr w:type="spellEnd"/>
      <w:r w:rsidRPr="006413A6">
        <w:rPr>
          <w:rFonts w:ascii="Times New Roman" w:eastAsia="Times New Roman" w:hAnsi="Times New Roman" w:cs="Times New Roman"/>
          <w:color w:val="222222"/>
          <w:sz w:val="24"/>
          <w:szCs w:val="24"/>
          <w:highlight w:val="white"/>
          <w:lang w:val="en-GB"/>
        </w:rPr>
        <w:t xml:space="preserve">, J., Fang, S., He, T., Zhou, X. and Fang, M., 2022. Effects of traditional Chinese mind-body </w:t>
      </w:r>
      <w:proofErr w:type="spellStart"/>
      <w:r w:rsidRPr="006413A6">
        <w:rPr>
          <w:rFonts w:ascii="Times New Roman" w:eastAsia="Times New Roman" w:hAnsi="Times New Roman" w:cs="Times New Roman"/>
          <w:color w:val="222222"/>
          <w:sz w:val="24"/>
          <w:szCs w:val="24"/>
          <w:highlight w:val="white"/>
          <w:lang w:val="en-GB"/>
        </w:rPr>
        <w:t>exercise-Baduanjin</w:t>
      </w:r>
      <w:proofErr w:type="spellEnd"/>
      <w:r w:rsidRPr="006413A6">
        <w:rPr>
          <w:rFonts w:ascii="Times New Roman" w:eastAsia="Times New Roman" w:hAnsi="Times New Roman" w:cs="Times New Roman"/>
          <w:color w:val="222222"/>
          <w:sz w:val="24"/>
          <w:szCs w:val="24"/>
          <w:highlight w:val="white"/>
          <w:lang w:val="en-GB"/>
        </w:rPr>
        <w:t xml:space="preserve"> for type 2 diabetes on psychological well-being: a systematic review and meta-analysis. </w:t>
      </w:r>
      <w:r w:rsidRPr="006413A6">
        <w:rPr>
          <w:rFonts w:ascii="Times New Roman" w:eastAsia="Times New Roman" w:hAnsi="Times New Roman" w:cs="Times New Roman"/>
          <w:i/>
          <w:color w:val="222222"/>
          <w:sz w:val="24"/>
          <w:szCs w:val="24"/>
          <w:highlight w:val="white"/>
          <w:lang w:val="en-GB"/>
        </w:rPr>
        <w:t>Frontiers in Public Health</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10</w:t>
      </w:r>
      <w:r w:rsidRPr="006413A6">
        <w:rPr>
          <w:rFonts w:ascii="Times New Roman" w:eastAsia="Times New Roman" w:hAnsi="Times New Roman" w:cs="Times New Roman"/>
          <w:color w:val="222222"/>
          <w:sz w:val="24"/>
          <w:szCs w:val="24"/>
          <w:highlight w:val="white"/>
          <w:lang w:val="en-GB"/>
        </w:rPr>
        <w:t>, p.923411.</w:t>
      </w:r>
    </w:p>
    <w:p w14:paraId="787A99C6"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6413A6">
        <w:rPr>
          <w:rFonts w:ascii="Times New Roman" w:eastAsia="Times New Roman" w:hAnsi="Times New Roman" w:cs="Times New Roman"/>
          <w:color w:val="222222"/>
          <w:sz w:val="24"/>
          <w:szCs w:val="24"/>
          <w:highlight w:val="white"/>
          <w:lang w:val="en-GB"/>
        </w:rPr>
        <w:t>Numsang</w:t>
      </w:r>
      <w:proofErr w:type="spellEnd"/>
      <w:r w:rsidRPr="006413A6">
        <w:rPr>
          <w:rFonts w:ascii="Times New Roman" w:eastAsia="Times New Roman" w:hAnsi="Times New Roman" w:cs="Times New Roman"/>
          <w:color w:val="222222"/>
          <w:sz w:val="24"/>
          <w:szCs w:val="24"/>
          <w:highlight w:val="white"/>
          <w:lang w:val="en-GB"/>
        </w:rPr>
        <w:t xml:space="preserve">, P., </w:t>
      </w:r>
      <w:proofErr w:type="spellStart"/>
      <w:r w:rsidRPr="006413A6">
        <w:rPr>
          <w:rFonts w:ascii="Times New Roman" w:eastAsia="Times New Roman" w:hAnsi="Times New Roman" w:cs="Times New Roman"/>
          <w:color w:val="222222"/>
          <w:sz w:val="24"/>
          <w:szCs w:val="24"/>
          <w:highlight w:val="white"/>
          <w:lang w:val="en-GB"/>
        </w:rPr>
        <w:t>Oumtanee</w:t>
      </w:r>
      <w:proofErr w:type="spellEnd"/>
      <w:r w:rsidRPr="006413A6">
        <w:rPr>
          <w:rFonts w:ascii="Times New Roman" w:eastAsia="Times New Roman" w:hAnsi="Times New Roman" w:cs="Times New Roman"/>
          <w:color w:val="222222"/>
          <w:sz w:val="24"/>
          <w:szCs w:val="24"/>
          <w:highlight w:val="white"/>
          <w:lang w:val="en-GB"/>
        </w:rPr>
        <w:t xml:space="preserve">, A., </w:t>
      </w:r>
      <w:proofErr w:type="spellStart"/>
      <w:r w:rsidRPr="006413A6">
        <w:rPr>
          <w:rFonts w:ascii="Times New Roman" w:eastAsia="Times New Roman" w:hAnsi="Times New Roman" w:cs="Times New Roman"/>
          <w:color w:val="222222"/>
          <w:sz w:val="24"/>
          <w:szCs w:val="24"/>
          <w:highlight w:val="white"/>
          <w:lang w:val="en-GB"/>
        </w:rPr>
        <w:t>Kurat</w:t>
      </w:r>
      <w:proofErr w:type="spellEnd"/>
      <w:r w:rsidRPr="006413A6">
        <w:rPr>
          <w:rFonts w:ascii="Times New Roman" w:eastAsia="Times New Roman" w:hAnsi="Times New Roman" w:cs="Times New Roman"/>
          <w:color w:val="222222"/>
          <w:sz w:val="24"/>
          <w:szCs w:val="24"/>
          <w:highlight w:val="white"/>
          <w:lang w:val="en-GB"/>
        </w:rPr>
        <w:t xml:space="preserve">, S., </w:t>
      </w:r>
      <w:proofErr w:type="spellStart"/>
      <w:r w:rsidRPr="006413A6">
        <w:rPr>
          <w:rFonts w:ascii="Times New Roman" w:eastAsia="Times New Roman" w:hAnsi="Times New Roman" w:cs="Times New Roman"/>
          <w:color w:val="222222"/>
          <w:sz w:val="24"/>
          <w:szCs w:val="24"/>
          <w:highlight w:val="white"/>
          <w:lang w:val="en-GB"/>
        </w:rPr>
        <w:t>Sananok</w:t>
      </w:r>
      <w:proofErr w:type="spellEnd"/>
      <w:r w:rsidRPr="006413A6">
        <w:rPr>
          <w:rFonts w:ascii="Times New Roman" w:eastAsia="Times New Roman" w:hAnsi="Times New Roman" w:cs="Times New Roman"/>
          <w:color w:val="222222"/>
          <w:sz w:val="24"/>
          <w:szCs w:val="24"/>
          <w:highlight w:val="white"/>
          <w:lang w:val="en-GB"/>
        </w:rPr>
        <w:t xml:space="preserve">, R., </w:t>
      </w:r>
      <w:proofErr w:type="spellStart"/>
      <w:r w:rsidRPr="006413A6">
        <w:rPr>
          <w:rFonts w:ascii="Times New Roman" w:eastAsia="Times New Roman" w:hAnsi="Times New Roman" w:cs="Times New Roman"/>
          <w:color w:val="222222"/>
          <w:sz w:val="24"/>
          <w:szCs w:val="24"/>
          <w:highlight w:val="white"/>
          <w:lang w:val="en-GB"/>
        </w:rPr>
        <w:t>Kraichan</w:t>
      </w:r>
      <w:proofErr w:type="spellEnd"/>
      <w:r w:rsidRPr="006413A6">
        <w:rPr>
          <w:rFonts w:ascii="Times New Roman" w:eastAsia="Times New Roman" w:hAnsi="Times New Roman" w:cs="Times New Roman"/>
          <w:color w:val="222222"/>
          <w:sz w:val="24"/>
          <w:szCs w:val="24"/>
          <w:highlight w:val="white"/>
          <w:lang w:val="en-GB"/>
        </w:rPr>
        <w:t xml:space="preserve">, S. and </w:t>
      </w:r>
      <w:proofErr w:type="spellStart"/>
      <w:r w:rsidRPr="006413A6">
        <w:rPr>
          <w:rFonts w:ascii="Times New Roman" w:eastAsia="Times New Roman" w:hAnsi="Times New Roman" w:cs="Times New Roman"/>
          <w:color w:val="222222"/>
          <w:sz w:val="24"/>
          <w:szCs w:val="24"/>
          <w:highlight w:val="white"/>
          <w:lang w:val="en-GB"/>
        </w:rPr>
        <w:t>Sarapoke</w:t>
      </w:r>
      <w:proofErr w:type="spellEnd"/>
      <w:r w:rsidRPr="006413A6">
        <w:rPr>
          <w:rFonts w:ascii="Times New Roman" w:eastAsia="Times New Roman" w:hAnsi="Times New Roman" w:cs="Times New Roman"/>
          <w:color w:val="222222"/>
          <w:sz w:val="24"/>
          <w:szCs w:val="24"/>
          <w:highlight w:val="white"/>
          <w:lang w:val="en-GB"/>
        </w:rPr>
        <w:t xml:space="preserve">, P., 2023. “Failure to control blood sugar” experiences of persons with type 2 diabetes mellitus. </w:t>
      </w:r>
      <w:r w:rsidRPr="006413A6">
        <w:rPr>
          <w:rFonts w:ascii="Times New Roman" w:eastAsia="Times New Roman" w:hAnsi="Times New Roman" w:cs="Times New Roman"/>
          <w:i/>
          <w:color w:val="222222"/>
          <w:sz w:val="24"/>
          <w:szCs w:val="24"/>
          <w:highlight w:val="white"/>
          <w:lang w:val="en-GB"/>
        </w:rPr>
        <w:t>International journal of nursing sciences</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10</w:t>
      </w:r>
      <w:r w:rsidRPr="006413A6">
        <w:rPr>
          <w:rFonts w:ascii="Times New Roman" w:eastAsia="Times New Roman" w:hAnsi="Times New Roman" w:cs="Times New Roman"/>
          <w:color w:val="222222"/>
          <w:sz w:val="24"/>
          <w:szCs w:val="24"/>
          <w:highlight w:val="white"/>
          <w:lang w:val="en-GB"/>
        </w:rPr>
        <w:t>(4), pp.527-532.</w:t>
      </w:r>
    </w:p>
    <w:p w14:paraId="126A2663"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6413A6">
        <w:rPr>
          <w:rFonts w:ascii="Times New Roman" w:eastAsia="Times New Roman" w:hAnsi="Times New Roman" w:cs="Times New Roman"/>
          <w:color w:val="222222"/>
          <w:sz w:val="24"/>
          <w:szCs w:val="24"/>
          <w:highlight w:val="white"/>
          <w:lang w:val="en-GB"/>
        </w:rPr>
        <w:t>Pabel</w:t>
      </w:r>
      <w:proofErr w:type="spellEnd"/>
      <w:r w:rsidRPr="006413A6">
        <w:rPr>
          <w:rFonts w:ascii="Times New Roman" w:eastAsia="Times New Roman" w:hAnsi="Times New Roman" w:cs="Times New Roman"/>
          <w:color w:val="222222"/>
          <w:sz w:val="24"/>
          <w:szCs w:val="24"/>
          <w:highlight w:val="white"/>
          <w:lang w:val="en-GB"/>
        </w:rPr>
        <w:t xml:space="preserve">, S., </w:t>
      </w:r>
      <w:proofErr w:type="spellStart"/>
      <w:r w:rsidRPr="006413A6">
        <w:rPr>
          <w:rFonts w:ascii="Times New Roman" w:eastAsia="Times New Roman" w:hAnsi="Times New Roman" w:cs="Times New Roman"/>
          <w:color w:val="222222"/>
          <w:sz w:val="24"/>
          <w:szCs w:val="24"/>
          <w:highlight w:val="white"/>
          <w:lang w:val="en-GB"/>
        </w:rPr>
        <w:t>Hamdani</w:t>
      </w:r>
      <w:proofErr w:type="spellEnd"/>
      <w:r w:rsidRPr="006413A6">
        <w:rPr>
          <w:rFonts w:ascii="Times New Roman" w:eastAsia="Times New Roman" w:hAnsi="Times New Roman" w:cs="Times New Roman"/>
          <w:color w:val="222222"/>
          <w:sz w:val="24"/>
          <w:szCs w:val="24"/>
          <w:highlight w:val="white"/>
          <w:lang w:val="en-GB"/>
        </w:rPr>
        <w:t xml:space="preserve">, N., </w:t>
      </w:r>
      <w:proofErr w:type="spellStart"/>
      <w:r w:rsidRPr="006413A6">
        <w:rPr>
          <w:rFonts w:ascii="Times New Roman" w:eastAsia="Times New Roman" w:hAnsi="Times New Roman" w:cs="Times New Roman"/>
          <w:color w:val="222222"/>
          <w:sz w:val="24"/>
          <w:szCs w:val="24"/>
          <w:highlight w:val="white"/>
          <w:lang w:val="en-GB"/>
        </w:rPr>
        <w:t>Luedde</w:t>
      </w:r>
      <w:proofErr w:type="spellEnd"/>
      <w:r w:rsidRPr="006413A6">
        <w:rPr>
          <w:rFonts w:ascii="Times New Roman" w:eastAsia="Times New Roman" w:hAnsi="Times New Roman" w:cs="Times New Roman"/>
          <w:color w:val="222222"/>
          <w:sz w:val="24"/>
          <w:szCs w:val="24"/>
          <w:highlight w:val="white"/>
          <w:lang w:val="en-GB"/>
        </w:rPr>
        <w:t xml:space="preserve">, M. and </w:t>
      </w:r>
      <w:proofErr w:type="spellStart"/>
      <w:r w:rsidRPr="006413A6">
        <w:rPr>
          <w:rFonts w:ascii="Times New Roman" w:eastAsia="Times New Roman" w:hAnsi="Times New Roman" w:cs="Times New Roman"/>
          <w:color w:val="222222"/>
          <w:sz w:val="24"/>
          <w:szCs w:val="24"/>
          <w:highlight w:val="white"/>
          <w:lang w:val="en-GB"/>
        </w:rPr>
        <w:t>Sossalla</w:t>
      </w:r>
      <w:proofErr w:type="spellEnd"/>
      <w:r w:rsidRPr="006413A6">
        <w:rPr>
          <w:rFonts w:ascii="Times New Roman" w:eastAsia="Times New Roman" w:hAnsi="Times New Roman" w:cs="Times New Roman"/>
          <w:color w:val="222222"/>
          <w:sz w:val="24"/>
          <w:szCs w:val="24"/>
          <w:highlight w:val="white"/>
          <w:lang w:val="en-GB"/>
        </w:rPr>
        <w:t xml:space="preserve">, S., 2021. SGLT2 inhibitors and their mode of action in heart failure—has the mystery been unravelled?. </w:t>
      </w:r>
      <w:r w:rsidRPr="006413A6">
        <w:rPr>
          <w:rFonts w:ascii="Times New Roman" w:eastAsia="Times New Roman" w:hAnsi="Times New Roman" w:cs="Times New Roman"/>
          <w:i/>
          <w:color w:val="222222"/>
          <w:sz w:val="24"/>
          <w:szCs w:val="24"/>
          <w:highlight w:val="white"/>
          <w:lang w:val="en-GB"/>
        </w:rPr>
        <w:t>Current heart failure reports</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18</w:t>
      </w:r>
      <w:r w:rsidRPr="006413A6">
        <w:rPr>
          <w:rFonts w:ascii="Times New Roman" w:eastAsia="Times New Roman" w:hAnsi="Times New Roman" w:cs="Times New Roman"/>
          <w:color w:val="222222"/>
          <w:sz w:val="24"/>
          <w:szCs w:val="24"/>
          <w:highlight w:val="white"/>
          <w:lang w:val="en-GB"/>
        </w:rPr>
        <w:t>(5), pp.315-328.</w:t>
      </w:r>
    </w:p>
    <w:p w14:paraId="0D4F5532"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6413A6">
        <w:rPr>
          <w:rFonts w:ascii="Times New Roman" w:eastAsia="Times New Roman" w:hAnsi="Times New Roman" w:cs="Times New Roman"/>
          <w:color w:val="222222"/>
          <w:sz w:val="24"/>
          <w:szCs w:val="24"/>
          <w:highlight w:val="white"/>
          <w:lang w:val="en-GB"/>
        </w:rPr>
        <w:t>Randväli</w:t>
      </w:r>
      <w:proofErr w:type="spellEnd"/>
      <w:r w:rsidRPr="006413A6">
        <w:rPr>
          <w:rFonts w:ascii="Times New Roman" w:eastAsia="Times New Roman" w:hAnsi="Times New Roman" w:cs="Times New Roman"/>
          <w:color w:val="222222"/>
          <w:sz w:val="24"/>
          <w:szCs w:val="24"/>
          <w:highlight w:val="white"/>
          <w:lang w:val="en-GB"/>
        </w:rPr>
        <w:t xml:space="preserve">, M., </w:t>
      </w:r>
      <w:proofErr w:type="spellStart"/>
      <w:r w:rsidRPr="006413A6">
        <w:rPr>
          <w:rFonts w:ascii="Times New Roman" w:eastAsia="Times New Roman" w:hAnsi="Times New Roman" w:cs="Times New Roman"/>
          <w:color w:val="222222"/>
          <w:sz w:val="24"/>
          <w:szCs w:val="24"/>
          <w:highlight w:val="white"/>
          <w:lang w:val="en-GB"/>
        </w:rPr>
        <w:t>Toomsoo</w:t>
      </w:r>
      <w:proofErr w:type="spellEnd"/>
      <w:r w:rsidRPr="006413A6">
        <w:rPr>
          <w:rFonts w:ascii="Times New Roman" w:eastAsia="Times New Roman" w:hAnsi="Times New Roman" w:cs="Times New Roman"/>
          <w:color w:val="222222"/>
          <w:sz w:val="24"/>
          <w:szCs w:val="24"/>
          <w:highlight w:val="white"/>
          <w:lang w:val="en-GB"/>
        </w:rPr>
        <w:t xml:space="preserve">, T. and </w:t>
      </w:r>
      <w:proofErr w:type="spellStart"/>
      <w:r w:rsidRPr="006413A6">
        <w:rPr>
          <w:rFonts w:ascii="Times New Roman" w:eastAsia="Times New Roman" w:hAnsi="Times New Roman" w:cs="Times New Roman"/>
          <w:color w:val="222222"/>
          <w:sz w:val="24"/>
          <w:szCs w:val="24"/>
          <w:highlight w:val="white"/>
          <w:lang w:val="en-GB"/>
        </w:rPr>
        <w:t>Šteinmiller</w:t>
      </w:r>
      <w:proofErr w:type="spellEnd"/>
      <w:r w:rsidRPr="006413A6">
        <w:rPr>
          <w:rFonts w:ascii="Times New Roman" w:eastAsia="Times New Roman" w:hAnsi="Times New Roman" w:cs="Times New Roman"/>
          <w:color w:val="222222"/>
          <w:sz w:val="24"/>
          <w:szCs w:val="24"/>
          <w:highlight w:val="white"/>
          <w:lang w:val="en-GB"/>
        </w:rPr>
        <w:t xml:space="preserve">, J., 2024. The main risk factors in type 2 diabetes for cognitive dysfunction, depression, and psychosocial problems: a systematic review. </w:t>
      </w:r>
      <w:proofErr w:type="spellStart"/>
      <w:r w:rsidRPr="006413A6">
        <w:rPr>
          <w:rFonts w:ascii="Times New Roman" w:eastAsia="Times New Roman" w:hAnsi="Times New Roman" w:cs="Times New Roman"/>
          <w:i/>
          <w:color w:val="222222"/>
          <w:sz w:val="24"/>
          <w:szCs w:val="24"/>
          <w:highlight w:val="white"/>
          <w:lang w:val="en-GB"/>
        </w:rPr>
        <w:t>Diabetology</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5</w:t>
      </w:r>
      <w:r w:rsidRPr="006413A6">
        <w:rPr>
          <w:rFonts w:ascii="Times New Roman" w:eastAsia="Times New Roman" w:hAnsi="Times New Roman" w:cs="Times New Roman"/>
          <w:color w:val="222222"/>
          <w:sz w:val="24"/>
          <w:szCs w:val="24"/>
          <w:highlight w:val="white"/>
          <w:lang w:val="en-GB"/>
        </w:rPr>
        <w:t>(1), pp.40-59.</w:t>
      </w:r>
    </w:p>
    <w:p w14:paraId="37841F9A"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6413A6">
        <w:rPr>
          <w:rFonts w:ascii="Times New Roman" w:eastAsia="Times New Roman" w:hAnsi="Times New Roman" w:cs="Times New Roman"/>
          <w:color w:val="222222"/>
          <w:sz w:val="24"/>
          <w:szCs w:val="24"/>
          <w:highlight w:val="white"/>
          <w:lang w:val="en-GB"/>
        </w:rPr>
        <w:t>Regeer</w:t>
      </w:r>
      <w:proofErr w:type="spellEnd"/>
      <w:r w:rsidRPr="006413A6">
        <w:rPr>
          <w:rFonts w:ascii="Times New Roman" w:eastAsia="Times New Roman" w:hAnsi="Times New Roman" w:cs="Times New Roman"/>
          <w:color w:val="222222"/>
          <w:sz w:val="24"/>
          <w:szCs w:val="24"/>
          <w:highlight w:val="white"/>
          <w:lang w:val="en-GB"/>
        </w:rPr>
        <w:t xml:space="preserve">, H., van </w:t>
      </w:r>
      <w:proofErr w:type="spellStart"/>
      <w:r w:rsidRPr="006413A6">
        <w:rPr>
          <w:rFonts w:ascii="Times New Roman" w:eastAsia="Times New Roman" w:hAnsi="Times New Roman" w:cs="Times New Roman"/>
          <w:color w:val="222222"/>
          <w:sz w:val="24"/>
          <w:szCs w:val="24"/>
          <w:highlight w:val="white"/>
          <w:lang w:val="en-GB"/>
        </w:rPr>
        <w:t>Empelen</w:t>
      </w:r>
      <w:proofErr w:type="spellEnd"/>
      <w:r w:rsidRPr="006413A6">
        <w:rPr>
          <w:rFonts w:ascii="Times New Roman" w:eastAsia="Times New Roman" w:hAnsi="Times New Roman" w:cs="Times New Roman"/>
          <w:color w:val="222222"/>
          <w:sz w:val="24"/>
          <w:szCs w:val="24"/>
          <w:highlight w:val="white"/>
          <w:lang w:val="en-GB"/>
        </w:rPr>
        <w:t xml:space="preserve">, P., </w:t>
      </w:r>
      <w:proofErr w:type="spellStart"/>
      <w:r w:rsidRPr="006413A6">
        <w:rPr>
          <w:rFonts w:ascii="Times New Roman" w:eastAsia="Times New Roman" w:hAnsi="Times New Roman" w:cs="Times New Roman"/>
          <w:color w:val="222222"/>
          <w:sz w:val="24"/>
          <w:szCs w:val="24"/>
          <w:highlight w:val="white"/>
          <w:lang w:val="en-GB"/>
        </w:rPr>
        <w:t>Bilo</w:t>
      </w:r>
      <w:proofErr w:type="spellEnd"/>
      <w:r w:rsidRPr="006413A6">
        <w:rPr>
          <w:rFonts w:ascii="Times New Roman" w:eastAsia="Times New Roman" w:hAnsi="Times New Roman" w:cs="Times New Roman"/>
          <w:color w:val="222222"/>
          <w:sz w:val="24"/>
          <w:szCs w:val="24"/>
          <w:highlight w:val="white"/>
          <w:lang w:val="en-GB"/>
        </w:rPr>
        <w:t xml:space="preserve">, H.J., de </w:t>
      </w:r>
      <w:proofErr w:type="spellStart"/>
      <w:r w:rsidRPr="006413A6">
        <w:rPr>
          <w:rFonts w:ascii="Times New Roman" w:eastAsia="Times New Roman" w:hAnsi="Times New Roman" w:cs="Times New Roman"/>
          <w:color w:val="222222"/>
          <w:sz w:val="24"/>
          <w:szCs w:val="24"/>
          <w:highlight w:val="white"/>
          <w:lang w:val="en-GB"/>
        </w:rPr>
        <w:t>Koning</w:t>
      </w:r>
      <w:proofErr w:type="spellEnd"/>
      <w:r w:rsidRPr="006413A6">
        <w:rPr>
          <w:rFonts w:ascii="Times New Roman" w:eastAsia="Times New Roman" w:hAnsi="Times New Roman" w:cs="Times New Roman"/>
          <w:color w:val="222222"/>
          <w:sz w:val="24"/>
          <w:szCs w:val="24"/>
          <w:highlight w:val="white"/>
          <w:lang w:val="en-GB"/>
        </w:rPr>
        <w:t xml:space="preserve">, E.J. and </w:t>
      </w:r>
      <w:proofErr w:type="spellStart"/>
      <w:r w:rsidRPr="006413A6">
        <w:rPr>
          <w:rFonts w:ascii="Times New Roman" w:eastAsia="Times New Roman" w:hAnsi="Times New Roman" w:cs="Times New Roman"/>
          <w:color w:val="222222"/>
          <w:sz w:val="24"/>
          <w:szCs w:val="24"/>
          <w:highlight w:val="white"/>
          <w:lang w:val="en-GB"/>
        </w:rPr>
        <w:t>Huisman</w:t>
      </w:r>
      <w:proofErr w:type="spellEnd"/>
      <w:r w:rsidRPr="006413A6">
        <w:rPr>
          <w:rFonts w:ascii="Times New Roman" w:eastAsia="Times New Roman" w:hAnsi="Times New Roman" w:cs="Times New Roman"/>
          <w:color w:val="222222"/>
          <w:sz w:val="24"/>
          <w:szCs w:val="24"/>
          <w:highlight w:val="white"/>
          <w:lang w:val="en-GB"/>
        </w:rPr>
        <w:t xml:space="preserve">, S.D., 2022. Change is possible: How increased patient activation is associated with </w:t>
      </w:r>
      <w:proofErr w:type="spellStart"/>
      <w:r w:rsidRPr="006413A6">
        <w:rPr>
          <w:rFonts w:ascii="Times New Roman" w:eastAsia="Times New Roman" w:hAnsi="Times New Roman" w:cs="Times New Roman"/>
          <w:color w:val="222222"/>
          <w:sz w:val="24"/>
          <w:szCs w:val="24"/>
          <w:highlight w:val="white"/>
          <w:lang w:val="en-GB"/>
        </w:rPr>
        <w:t>favorable</w:t>
      </w:r>
      <w:proofErr w:type="spellEnd"/>
      <w:r w:rsidRPr="006413A6">
        <w:rPr>
          <w:rFonts w:ascii="Times New Roman" w:eastAsia="Times New Roman" w:hAnsi="Times New Roman" w:cs="Times New Roman"/>
          <w:color w:val="222222"/>
          <w:sz w:val="24"/>
          <w:szCs w:val="24"/>
          <w:highlight w:val="white"/>
          <w:lang w:val="en-GB"/>
        </w:rPr>
        <w:t xml:space="preserve"> changes in well-being, self-management and health outcomes among people with type 2 diabetes mellitus: A prospective longitudinal study. </w:t>
      </w:r>
      <w:r w:rsidRPr="006413A6">
        <w:rPr>
          <w:rFonts w:ascii="Times New Roman" w:eastAsia="Times New Roman" w:hAnsi="Times New Roman" w:cs="Times New Roman"/>
          <w:i/>
          <w:color w:val="222222"/>
          <w:sz w:val="24"/>
          <w:szCs w:val="24"/>
          <w:highlight w:val="white"/>
          <w:lang w:val="en-GB"/>
        </w:rPr>
        <w:t xml:space="preserve">Patient Education and </w:t>
      </w:r>
      <w:proofErr w:type="spellStart"/>
      <w:r w:rsidRPr="006413A6">
        <w:rPr>
          <w:rFonts w:ascii="Times New Roman" w:eastAsia="Times New Roman" w:hAnsi="Times New Roman" w:cs="Times New Roman"/>
          <w:i/>
          <w:color w:val="222222"/>
          <w:sz w:val="24"/>
          <w:szCs w:val="24"/>
          <w:highlight w:val="white"/>
          <w:lang w:val="en-GB"/>
        </w:rPr>
        <w:t>Counseling</w:t>
      </w:r>
      <w:proofErr w:type="spellEnd"/>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105</w:t>
      </w:r>
      <w:r w:rsidRPr="006413A6">
        <w:rPr>
          <w:rFonts w:ascii="Times New Roman" w:eastAsia="Times New Roman" w:hAnsi="Times New Roman" w:cs="Times New Roman"/>
          <w:color w:val="222222"/>
          <w:sz w:val="24"/>
          <w:szCs w:val="24"/>
          <w:highlight w:val="white"/>
          <w:lang w:val="en-GB"/>
        </w:rPr>
        <w:t>(4), pp.821-827.</w:t>
      </w:r>
    </w:p>
    <w:p w14:paraId="62BD38E0"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Sampson, M., Clark, A., Bachmann, M., Garner, N., Irvine, L., Howe, A., Greaves, C., Auckland, S., Smith, J., Turner, J. and Rea, D., 2021. Lifestyle intervention with or without lay volunteers to prevent type 2 diabetes in people with impaired fasting glucose and/or </w:t>
      </w:r>
      <w:proofErr w:type="spellStart"/>
      <w:r w:rsidRPr="006413A6">
        <w:rPr>
          <w:rFonts w:ascii="Times New Roman" w:eastAsia="Times New Roman" w:hAnsi="Times New Roman" w:cs="Times New Roman"/>
          <w:color w:val="222222"/>
          <w:sz w:val="24"/>
          <w:szCs w:val="24"/>
          <w:highlight w:val="white"/>
          <w:lang w:val="en-GB"/>
        </w:rPr>
        <w:t>nondiabetic</w:t>
      </w:r>
      <w:proofErr w:type="spellEnd"/>
      <w:r w:rsidRPr="006413A6">
        <w:rPr>
          <w:rFonts w:ascii="Times New Roman" w:eastAsia="Times New Roman" w:hAnsi="Times New Roman" w:cs="Times New Roman"/>
          <w:color w:val="222222"/>
          <w:sz w:val="24"/>
          <w:szCs w:val="24"/>
          <w:highlight w:val="white"/>
          <w:lang w:val="en-GB"/>
        </w:rPr>
        <w:t xml:space="preserve"> </w:t>
      </w:r>
      <w:proofErr w:type="spellStart"/>
      <w:r w:rsidRPr="006413A6">
        <w:rPr>
          <w:rFonts w:ascii="Times New Roman" w:eastAsia="Times New Roman" w:hAnsi="Times New Roman" w:cs="Times New Roman"/>
          <w:color w:val="222222"/>
          <w:sz w:val="24"/>
          <w:szCs w:val="24"/>
          <w:highlight w:val="white"/>
          <w:lang w:val="en-GB"/>
        </w:rPr>
        <w:t>hyperglycemia</w:t>
      </w:r>
      <w:proofErr w:type="spellEnd"/>
      <w:r w:rsidRPr="006413A6">
        <w:rPr>
          <w:rFonts w:ascii="Times New Roman" w:eastAsia="Times New Roman" w:hAnsi="Times New Roman" w:cs="Times New Roman"/>
          <w:color w:val="222222"/>
          <w:sz w:val="24"/>
          <w:szCs w:val="24"/>
          <w:highlight w:val="white"/>
          <w:lang w:val="en-GB"/>
        </w:rPr>
        <w:t xml:space="preserve">: a </w:t>
      </w:r>
      <w:proofErr w:type="spellStart"/>
      <w:r w:rsidRPr="006413A6">
        <w:rPr>
          <w:rFonts w:ascii="Times New Roman" w:eastAsia="Times New Roman" w:hAnsi="Times New Roman" w:cs="Times New Roman"/>
          <w:color w:val="222222"/>
          <w:sz w:val="24"/>
          <w:szCs w:val="24"/>
          <w:highlight w:val="white"/>
          <w:lang w:val="en-GB"/>
        </w:rPr>
        <w:t>randomized</w:t>
      </w:r>
      <w:proofErr w:type="spellEnd"/>
      <w:r w:rsidRPr="006413A6">
        <w:rPr>
          <w:rFonts w:ascii="Times New Roman" w:eastAsia="Times New Roman" w:hAnsi="Times New Roman" w:cs="Times New Roman"/>
          <w:color w:val="222222"/>
          <w:sz w:val="24"/>
          <w:szCs w:val="24"/>
          <w:highlight w:val="white"/>
          <w:lang w:val="en-GB"/>
        </w:rPr>
        <w:t xml:space="preserve"> clinical trial. </w:t>
      </w:r>
      <w:r w:rsidRPr="006413A6">
        <w:rPr>
          <w:rFonts w:ascii="Times New Roman" w:eastAsia="Times New Roman" w:hAnsi="Times New Roman" w:cs="Times New Roman"/>
          <w:i/>
          <w:color w:val="222222"/>
          <w:sz w:val="24"/>
          <w:szCs w:val="24"/>
          <w:highlight w:val="white"/>
          <w:lang w:val="en-GB"/>
        </w:rPr>
        <w:t>JAMA internal medicine</w:t>
      </w:r>
      <w:r w:rsidRPr="006413A6">
        <w:rPr>
          <w:rFonts w:ascii="Times New Roman" w:eastAsia="Times New Roman" w:hAnsi="Times New Roman" w:cs="Times New Roman"/>
          <w:color w:val="222222"/>
          <w:sz w:val="24"/>
          <w:szCs w:val="24"/>
          <w:highlight w:val="white"/>
          <w:lang w:val="en-GB"/>
        </w:rPr>
        <w:t xml:space="preserve">, </w:t>
      </w:r>
      <w:r w:rsidRPr="006413A6">
        <w:rPr>
          <w:rFonts w:ascii="Times New Roman" w:eastAsia="Times New Roman" w:hAnsi="Times New Roman" w:cs="Times New Roman"/>
          <w:i/>
          <w:color w:val="222222"/>
          <w:sz w:val="24"/>
          <w:szCs w:val="24"/>
          <w:highlight w:val="white"/>
          <w:lang w:val="en-GB"/>
        </w:rPr>
        <w:t>181</w:t>
      </w:r>
      <w:r w:rsidRPr="006413A6">
        <w:rPr>
          <w:rFonts w:ascii="Times New Roman" w:eastAsia="Times New Roman" w:hAnsi="Times New Roman" w:cs="Times New Roman"/>
          <w:color w:val="222222"/>
          <w:sz w:val="24"/>
          <w:szCs w:val="24"/>
          <w:highlight w:val="white"/>
          <w:lang w:val="en-GB"/>
        </w:rPr>
        <w:t>(2), pp.168-178.</w:t>
      </w:r>
    </w:p>
    <w:p w14:paraId="103BD2BA" w14:textId="77777777" w:rsidR="006413A6" w:rsidRPr="006413A6" w:rsidRDefault="006413A6">
      <w:pPr>
        <w:spacing w:before="240" w:after="240" w:line="360" w:lineRule="auto"/>
        <w:jc w:val="both"/>
        <w:rPr>
          <w:rFonts w:ascii="Times New Roman" w:eastAsia="Times New Roman" w:hAnsi="Times New Roman" w:cs="Times New Roman"/>
          <w:color w:val="222222"/>
          <w:sz w:val="24"/>
          <w:szCs w:val="24"/>
          <w:highlight w:val="white"/>
          <w:lang w:val="en-GB"/>
        </w:rPr>
      </w:pPr>
      <w:r w:rsidRPr="006413A6">
        <w:rPr>
          <w:rFonts w:ascii="Times New Roman" w:eastAsia="Times New Roman" w:hAnsi="Times New Roman" w:cs="Times New Roman"/>
          <w:color w:val="222222"/>
          <w:sz w:val="24"/>
          <w:szCs w:val="24"/>
          <w:highlight w:val="white"/>
          <w:lang w:val="en-GB"/>
        </w:rPr>
        <w:t xml:space="preserve">Torres-Ronda, L., </w:t>
      </w:r>
      <w:proofErr w:type="spellStart"/>
      <w:r w:rsidRPr="006413A6">
        <w:rPr>
          <w:rFonts w:ascii="Times New Roman" w:eastAsia="Times New Roman" w:hAnsi="Times New Roman" w:cs="Times New Roman"/>
          <w:color w:val="222222"/>
          <w:sz w:val="24"/>
          <w:szCs w:val="24"/>
          <w:highlight w:val="white"/>
          <w:lang w:val="en-GB"/>
        </w:rPr>
        <w:t>Beanland</w:t>
      </w:r>
      <w:proofErr w:type="spellEnd"/>
      <w:r w:rsidRPr="006413A6">
        <w:rPr>
          <w:rFonts w:ascii="Times New Roman" w:eastAsia="Times New Roman" w:hAnsi="Times New Roman" w:cs="Times New Roman"/>
          <w:color w:val="222222"/>
          <w:sz w:val="24"/>
          <w:szCs w:val="24"/>
          <w:highlight w:val="white"/>
          <w:lang w:val="en-GB"/>
        </w:rPr>
        <w:t xml:space="preserve">, E., Whitehead, S., Sweeting, A. and </w:t>
      </w:r>
      <w:proofErr w:type="spellStart"/>
      <w:r w:rsidRPr="006413A6">
        <w:rPr>
          <w:rFonts w:ascii="Times New Roman" w:eastAsia="Times New Roman" w:hAnsi="Times New Roman" w:cs="Times New Roman"/>
          <w:color w:val="222222"/>
          <w:sz w:val="24"/>
          <w:szCs w:val="24"/>
          <w:highlight w:val="white"/>
          <w:lang w:val="en-GB"/>
        </w:rPr>
        <w:t>Clubb</w:t>
      </w:r>
      <w:proofErr w:type="spellEnd"/>
      <w:r w:rsidRPr="006413A6">
        <w:rPr>
          <w:rFonts w:ascii="Times New Roman" w:eastAsia="Times New Roman" w:hAnsi="Times New Roman" w:cs="Times New Roman"/>
          <w:color w:val="222222"/>
          <w:sz w:val="24"/>
          <w:szCs w:val="24"/>
          <w:highlight w:val="white"/>
          <w:lang w:val="en-GB"/>
        </w:rPr>
        <w:t>, J., 2022. Tracking systems in team sports: a narrative review of applications of the data and sport specific analysis. Sports Medicine-Open, 8(1), p.15.</w:t>
      </w:r>
    </w:p>
    <w:p w14:paraId="620FEBE1" w14:textId="77777777" w:rsidR="00712D2F" w:rsidRPr="006413A6" w:rsidRDefault="00712D2F">
      <w:pPr>
        <w:spacing w:line="360" w:lineRule="auto"/>
        <w:jc w:val="both"/>
        <w:rPr>
          <w:rFonts w:ascii="Times New Roman" w:eastAsia="Times New Roman" w:hAnsi="Times New Roman" w:cs="Times New Roman"/>
          <w:color w:val="222222"/>
          <w:sz w:val="24"/>
          <w:szCs w:val="24"/>
          <w:highlight w:val="white"/>
          <w:lang w:val="en-GB"/>
        </w:rPr>
      </w:pPr>
    </w:p>
    <w:sectPr w:rsidR="00712D2F" w:rsidRPr="006413A6" w:rsidSect="00B74E7B">
      <w:footerReference w:type="default" r:id="rId10"/>
      <w:headerReference w:type="firs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1FEDB7" w14:textId="77777777" w:rsidR="00AF4A25" w:rsidRDefault="00AF4A25" w:rsidP="00B74E7B">
      <w:pPr>
        <w:spacing w:line="240" w:lineRule="auto"/>
      </w:pPr>
      <w:r>
        <w:separator/>
      </w:r>
    </w:p>
  </w:endnote>
  <w:endnote w:type="continuationSeparator" w:id="0">
    <w:p w14:paraId="3FE32A93" w14:textId="77777777" w:rsidR="00AF4A25" w:rsidRDefault="00AF4A25" w:rsidP="00B74E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977637166"/>
      <w:docPartObj>
        <w:docPartGallery w:val="Page Numbers (Bottom of Page)"/>
        <w:docPartUnique/>
      </w:docPartObj>
    </w:sdtPr>
    <w:sdtContent>
      <w:p w14:paraId="38986A8B" w14:textId="77777777" w:rsidR="00B74E7B" w:rsidRPr="00B74E7B" w:rsidRDefault="00B74E7B">
        <w:pPr>
          <w:pStyle w:val="Footer"/>
          <w:jc w:val="right"/>
          <w:rPr>
            <w:rFonts w:ascii="Times New Roman" w:hAnsi="Times New Roman" w:cs="Times New Roman"/>
            <w:sz w:val="20"/>
            <w:szCs w:val="20"/>
          </w:rPr>
        </w:pPr>
        <w:r w:rsidRPr="00B74E7B">
          <w:rPr>
            <w:rFonts w:ascii="Times New Roman" w:hAnsi="Times New Roman" w:cs="Times New Roman"/>
            <w:sz w:val="20"/>
            <w:szCs w:val="20"/>
          </w:rPr>
          <w:fldChar w:fldCharType="begin"/>
        </w:r>
        <w:r w:rsidRPr="00B74E7B">
          <w:rPr>
            <w:rFonts w:ascii="Times New Roman" w:hAnsi="Times New Roman" w:cs="Times New Roman"/>
            <w:sz w:val="20"/>
            <w:szCs w:val="20"/>
          </w:rPr>
          <w:instrText xml:space="preserve"> PAGE   \* MERGEFORMAT </w:instrText>
        </w:r>
        <w:r w:rsidRPr="00B74E7B">
          <w:rPr>
            <w:rFonts w:ascii="Times New Roman" w:hAnsi="Times New Roman" w:cs="Times New Roman"/>
            <w:sz w:val="20"/>
            <w:szCs w:val="20"/>
          </w:rPr>
          <w:fldChar w:fldCharType="separate"/>
        </w:r>
        <w:r w:rsidR="007142C5">
          <w:rPr>
            <w:rFonts w:ascii="Times New Roman" w:hAnsi="Times New Roman" w:cs="Times New Roman"/>
            <w:noProof/>
            <w:sz w:val="20"/>
            <w:szCs w:val="20"/>
          </w:rPr>
          <w:t>2</w:t>
        </w:r>
        <w:r w:rsidRPr="00B74E7B">
          <w:rPr>
            <w:rFonts w:ascii="Times New Roman" w:hAnsi="Times New Roman" w:cs="Times New Roman"/>
            <w:sz w:val="20"/>
            <w:szCs w:val="20"/>
          </w:rPr>
          <w:fldChar w:fldCharType="end"/>
        </w:r>
      </w:p>
    </w:sdtContent>
  </w:sdt>
  <w:p w14:paraId="4A3C386D" w14:textId="77777777" w:rsidR="00B74E7B" w:rsidRDefault="00B74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2E79A3" w14:textId="77777777" w:rsidR="00AF4A25" w:rsidRDefault="00AF4A25" w:rsidP="00B74E7B">
      <w:pPr>
        <w:spacing w:line="240" w:lineRule="auto"/>
      </w:pPr>
      <w:r>
        <w:separator/>
      </w:r>
    </w:p>
  </w:footnote>
  <w:footnote w:type="continuationSeparator" w:id="0">
    <w:p w14:paraId="6882E770" w14:textId="77777777" w:rsidR="00AF4A25" w:rsidRDefault="00AF4A25" w:rsidP="00B74E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AA97" w14:textId="77777777" w:rsidR="00283BFC" w:rsidRDefault="00283BFC">
    <w:pPr>
      <w:pStyle w:val="Header"/>
    </w:pPr>
    <w:r>
      <w:rPr>
        <w:noProof/>
      </w:rPr>
      <w:drawing>
        <wp:inline distT="0" distB="0" distL="0" distR="0" wp14:anchorId="099E8ED1" wp14:editId="22D9ADC3">
          <wp:extent cx="2228850" cy="9275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228850" cy="92757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D2F"/>
    <w:rsid w:val="000D7FBC"/>
    <w:rsid w:val="00190FA1"/>
    <w:rsid w:val="001B3765"/>
    <w:rsid w:val="00283BFC"/>
    <w:rsid w:val="002D331B"/>
    <w:rsid w:val="00304144"/>
    <w:rsid w:val="003448BA"/>
    <w:rsid w:val="003E44BA"/>
    <w:rsid w:val="004E5099"/>
    <w:rsid w:val="005C5E34"/>
    <w:rsid w:val="006413A6"/>
    <w:rsid w:val="00712D2F"/>
    <w:rsid w:val="007142C5"/>
    <w:rsid w:val="00AF4A25"/>
    <w:rsid w:val="00B74E7B"/>
    <w:rsid w:val="00BD6F98"/>
    <w:rsid w:val="00D15C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37E4B"/>
  <w15:docId w15:val="{3779FD08-A55D-4EF0-A039-EDABF8592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12D2F"/>
  </w:style>
  <w:style w:type="paragraph" w:styleId="Heading1">
    <w:name w:val="heading 1"/>
    <w:basedOn w:val="Normal"/>
    <w:next w:val="Normal"/>
    <w:rsid w:val="006413A6"/>
    <w:pPr>
      <w:spacing w:line="360" w:lineRule="auto"/>
      <w:jc w:val="both"/>
      <w:outlineLvl w:val="0"/>
    </w:pPr>
    <w:rPr>
      <w:rFonts w:ascii="Times New Roman" w:eastAsia="Times New Roman" w:hAnsi="Times New Roman" w:cs="Times New Roman"/>
      <w:b/>
      <w:color w:val="222222"/>
      <w:sz w:val="28"/>
      <w:szCs w:val="28"/>
    </w:rPr>
  </w:style>
  <w:style w:type="paragraph" w:styleId="Heading2">
    <w:name w:val="heading 2"/>
    <w:basedOn w:val="Normal"/>
    <w:next w:val="Normal"/>
    <w:rsid w:val="006413A6"/>
    <w:pPr>
      <w:spacing w:line="360" w:lineRule="auto"/>
      <w:jc w:val="both"/>
      <w:outlineLvl w:val="1"/>
    </w:pPr>
    <w:rPr>
      <w:rFonts w:ascii="Times New Roman" w:eastAsia="Times New Roman" w:hAnsi="Times New Roman" w:cs="Times New Roman"/>
      <w:b/>
      <w:color w:val="222222"/>
      <w:sz w:val="26"/>
      <w:szCs w:val="26"/>
    </w:rPr>
  </w:style>
  <w:style w:type="paragraph" w:styleId="Heading3">
    <w:name w:val="heading 3"/>
    <w:basedOn w:val="Normal"/>
    <w:next w:val="Normal"/>
    <w:rsid w:val="00712D2F"/>
    <w:pPr>
      <w:keepNext/>
      <w:keepLines/>
      <w:spacing w:before="320" w:after="80"/>
      <w:outlineLvl w:val="2"/>
    </w:pPr>
    <w:rPr>
      <w:color w:val="434343"/>
      <w:sz w:val="28"/>
      <w:szCs w:val="28"/>
    </w:rPr>
  </w:style>
  <w:style w:type="paragraph" w:styleId="Heading4">
    <w:name w:val="heading 4"/>
    <w:basedOn w:val="Normal"/>
    <w:next w:val="Normal"/>
    <w:rsid w:val="00712D2F"/>
    <w:pPr>
      <w:keepNext/>
      <w:keepLines/>
      <w:spacing w:before="280" w:after="80"/>
      <w:outlineLvl w:val="3"/>
    </w:pPr>
    <w:rPr>
      <w:color w:val="666666"/>
      <w:sz w:val="24"/>
      <w:szCs w:val="24"/>
    </w:rPr>
  </w:style>
  <w:style w:type="paragraph" w:styleId="Heading5">
    <w:name w:val="heading 5"/>
    <w:basedOn w:val="Normal"/>
    <w:next w:val="Normal"/>
    <w:rsid w:val="00712D2F"/>
    <w:pPr>
      <w:keepNext/>
      <w:keepLines/>
      <w:spacing w:before="240" w:after="80"/>
      <w:outlineLvl w:val="4"/>
    </w:pPr>
    <w:rPr>
      <w:color w:val="666666"/>
    </w:rPr>
  </w:style>
  <w:style w:type="paragraph" w:styleId="Heading6">
    <w:name w:val="heading 6"/>
    <w:basedOn w:val="Normal"/>
    <w:next w:val="Normal"/>
    <w:rsid w:val="00712D2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12D2F"/>
    <w:tblPr>
      <w:tblCellMar>
        <w:top w:w="100" w:type="dxa"/>
        <w:left w:w="100" w:type="dxa"/>
        <w:bottom w:w="100" w:type="dxa"/>
        <w:right w:w="100" w:type="dxa"/>
      </w:tblCellMar>
    </w:tblPr>
  </w:style>
  <w:style w:type="paragraph" w:styleId="Title">
    <w:name w:val="Title"/>
    <w:basedOn w:val="Normal"/>
    <w:next w:val="Normal"/>
    <w:rsid w:val="00712D2F"/>
    <w:pPr>
      <w:keepNext/>
      <w:keepLines/>
      <w:spacing w:after="60"/>
    </w:pPr>
    <w:rPr>
      <w:sz w:val="52"/>
      <w:szCs w:val="52"/>
    </w:rPr>
  </w:style>
  <w:style w:type="paragraph" w:styleId="Subtitle">
    <w:name w:val="Subtitle"/>
    <w:basedOn w:val="Normal"/>
    <w:next w:val="Normal"/>
    <w:rsid w:val="00712D2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413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3A6"/>
    <w:rPr>
      <w:rFonts w:ascii="Tahoma" w:hAnsi="Tahoma" w:cs="Tahoma"/>
      <w:sz w:val="16"/>
      <w:szCs w:val="16"/>
    </w:rPr>
  </w:style>
  <w:style w:type="paragraph" w:styleId="TOCHeading">
    <w:name w:val="TOC Heading"/>
    <w:basedOn w:val="Heading1"/>
    <w:next w:val="Normal"/>
    <w:uiPriority w:val="39"/>
    <w:semiHidden/>
    <w:unhideWhenUsed/>
    <w:qFormat/>
    <w:rsid w:val="006413A6"/>
    <w:pPr>
      <w:keepNext/>
      <w:keepLines/>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6413A6"/>
    <w:pPr>
      <w:spacing w:after="100"/>
    </w:pPr>
  </w:style>
  <w:style w:type="paragraph" w:styleId="TOC2">
    <w:name w:val="toc 2"/>
    <w:basedOn w:val="Normal"/>
    <w:next w:val="Normal"/>
    <w:autoRedefine/>
    <w:uiPriority w:val="39"/>
    <w:unhideWhenUsed/>
    <w:rsid w:val="006413A6"/>
    <w:pPr>
      <w:spacing w:after="100"/>
      <w:ind w:left="220"/>
    </w:pPr>
  </w:style>
  <w:style w:type="character" w:styleId="Hyperlink">
    <w:name w:val="Hyperlink"/>
    <w:basedOn w:val="DefaultParagraphFont"/>
    <w:uiPriority w:val="99"/>
    <w:unhideWhenUsed/>
    <w:rsid w:val="006413A6"/>
    <w:rPr>
      <w:color w:val="0000FF" w:themeColor="hyperlink"/>
      <w:u w:val="single"/>
    </w:rPr>
  </w:style>
  <w:style w:type="paragraph" w:styleId="Header">
    <w:name w:val="header"/>
    <w:basedOn w:val="Normal"/>
    <w:link w:val="HeaderChar"/>
    <w:uiPriority w:val="99"/>
    <w:semiHidden/>
    <w:unhideWhenUsed/>
    <w:rsid w:val="00B74E7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74E7B"/>
  </w:style>
  <w:style w:type="paragraph" w:styleId="Footer">
    <w:name w:val="footer"/>
    <w:basedOn w:val="Normal"/>
    <w:link w:val="FooterChar"/>
    <w:uiPriority w:val="99"/>
    <w:unhideWhenUsed/>
    <w:rsid w:val="00B74E7B"/>
    <w:pPr>
      <w:tabs>
        <w:tab w:val="center" w:pos="4680"/>
        <w:tab w:val="right" w:pos="9360"/>
      </w:tabs>
      <w:spacing w:line="240" w:lineRule="auto"/>
    </w:pPr>
  </w:style>
  <w:style w:type="character" w:customStyle="1" w:styleId="FooterChar">
    <w:name w:val="Footer Char"/>
    <w:basedOn w:val="DefaultParagraphFont"/>
    <w:link w:val="Footer"/>
    <w:uiPriority w:val="99"/>
    <w:rsid w:val="00B74E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908B3-416E-4112-8C67-C55D951A09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3065</Words>
  <Characters>17473</Characters>
  <Application>Microsoft Office Word</Application>
  <DocSecurity>0</DocSecurity>
  <Lines>145</Lines>
  <Paragraphs>40</Paragraphs>
  <ScaleCrop>false</ScaleCrop>
  <Company/>
  <LinksUpToDate>false</LinksUpToDate>
  <CharactersWithSpaces>20498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Popy Aktar (2408414)</cp:lastModifiedBy>
  <cp:revision>5</cp:revision>
  <dcterms:created xsi:type="dcterms:W3CDTF">2025-11-09T19:34:00Z</dcterms:created>
  <dcterms:modified xsi:type="dcterms:W3CDTF">2025-11-09T19:36:00Z</dcterms:modified>
</cp:coreProperties>
</file>