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rPr>
          <w:lang w:bidi="ar"/>
        </w:rPr>
        <w:drawing>
          <wp:inline distT="0" distB="0" distL="114300" distR="114300">
            <wp:extent cx="1809750" cy="723900"/>
            <wp:effectExtent l="0" t="0" r="19050" b="1206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1809750" cy="723900"/>
                    </a:xfrm>
                    <a:prstGeom prst="rect">
                      <a:avLst/>
                    </a:prstGeom>
                    <a:noFill/>
                    <a:ln w="9525">
                      <a:noFill/>
                    </a:ln>
                  </pic:spPr>
                </pic:pic>
              </a:graphicData>
            </a:graphic>
          </wp:inline>
        </w:drawing>
      </w:r>
    </w:p>
    <w:p>
      <w:pPr>
        <w:jc w:val="cente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rFonts w:ascii="Times New Roman Bold" w:hAnsi="Times New Roman Bold" w:cs="Times New Roman Bold"/>
          <w:b/>
          <w:bCs w:val="0"/>
        </w:rPr>
      </w:pPr>
    </w:p>
    <w:p>
      <w:pPr>
        <w:jc w:val="center"/>
        <w:rPr>
          <w:b/>
          <w:bCs w:val="0"/>
        </w:rPr>
      </w:pPr>
      <w:r>
        <w:rPr>
          <w:b/>
        </w:rPr>
        <w:t>Exploring Human–AI Collaboration in News Broadcasting: Emotional Resonance, Audience Trust, and Hybrid Anchor Models</w:t>
      </w: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rPr>
          <w:lang w:eastAsia="zh-CN"/>
        </w:rPr>
      </w:pPr>
    </w:p>
    <w:p>
      <w:pPr>
        <w:jc w:val="center"/>
        <w:rPr>
          <w:lang w:eastAsia="zh-CN"/>
        </w:rPr>
      </w:pPr>
    </w:p>
    <w:p>
      <w:pPr>
        <w:jc w:val="center"/>
      </w:pPr>
      <w:r>
        <w:t>By</w:t>
      </w:r>
    </w:p>
    <w:p>
      <w:pPr>
        <w:jc w:val="center"/>
        <w:rPr>
          <w:lang w:eastAsia="zh-CN"/>
        </w:rPr>
      </w:pPr>
      <w:r>
        <w:rPr>
          <w:rFonts w:hint="eastAsia"/>
          <w:lang w:eastAsia="zh-CN"/>
        </w:rPr>
        <w:t>Yi Huang</w:t>
      </w:r>
    </w:p>
    <w:p>
      <w:pPr>
        <w:jc w:val="center"/>
      </w:pPr>
    </w:p>
    <w:p>
      <w:pPr>
        <w:jc w:val="center"/>
      </w:pPr>
    </w:p>
    <w:p>
      <w:pPr>
        <w:jc w:val="center"/>
        <w:rPr>
          <w:lang w:eastAsia="zh-CN"/>
        </w:rPr>
      </w:pPr>
    </w:p>
    <w:p>
      <w:pPr>
        <w:jc w:val="center"/>
        <w:rPr>
          <w:lang w:eastAsia="zh-CN"/>
        </w:rPr>
      </w:pPr>
    </w:p>
    <w:p>
      <w:pPr>
        <w:jc w:val="center"/>
      </w:pPr>
    </w:p>
    <w:p>
      <w:pPr>
        <w:jc w:val="center"/>
      </w:pPr>
    </w:p>
    <w:p>
      <w:pPr>
        <w:jc w:val="center"/>
      </w:pPr>
      <w:r>
        <w:t>A</w:t>
      </w:r>
      <w:r>
        <w:rPr>
          <w:rFonts w:hint="eastAsia"/>
          <w:lang w:eastAsia="zh-CN"/>
        </w:rPr>
        <w:t>n</w:t>
      </w:r>
      <w:r>
        <w:rPr>
          <w:lang w:eastAsia="zh-CN"/>
        </w:rPr>
        <w:t xml:space="preserve"> essay </w:t>
      </w:r>
      <w:r>
        <w:t>submitted to the University of Wales Trinity Saint David</w:t>
      </w:r>
    </w:p>
    <w:p>
      <w:pPr>
        <w:jc w:val="center"/>
      </w:pPr>
      <w:r>
        <w:rPr>
          <w:rFonts w:hint="eastAsia"/>
        </w:rPr>
        <w:t>Fo</w:t>
      </w:r>
      <w:r>
        <w:t>r the degree of</w:t>
      </w:r>
    </w:p>
    <w:p>
      <w:pPr>
        <w:jc w:val="center"/>
      </w:pPr>
      <w:r>
        <w:rPr>
          <w:rFonts w:hint="eastAsia"/>
          <w:lang w:eastAsia="zh-CN"/>
        </w:rPr>
        <w:t>MA Art &amp; Design</w:t>
      </w:r>
      <w:r>
        <w:t xml:space="preserve"> Studies</w:t>
      </w:r>
    </w:p>
    <w:p>
      <w:pPr>
        <w:jc w:val="center"/>
      </w:pPr>
    </w:p>
    <w:p>
      <w:pPr>
        <w:jc w:val="center"/>
      </w:pPr>
    </w:p>
    <w:p>
      <w:pPr>
        <w:rPr>
          <w:lang w:eastAsia="zh-CN"/>
        </w:rPr>
      </w:pPr>
    </w:p>
    <w:p>
      <w:pPr>
        <w:jc w:val="center"/>
      </w:pPr>
      <w:r>
        <w:t>Wales Institute of Science and Art</w:t>
      </w:r>
    </w:p>
    <w:p>
      <w:pPr>
        <w:jc w:val="center"/>
      </w:pPr>
      <w:r>
        <w:t>University of Wales Trinity Saint David</w:t>
      </w:r>
    </w:p>
    <w:p>
      <w:pPr>
        <w:jc w:val="center"/>
        <w:rPr>
          <w:lang w:eastAsia="zh-CN"/>
        </w:rPr>
      </w:pPr>
      <w:r>
        <w:rPr>
          <w:rFonts w:hint="default"/>
          <w:lang w:val="en-US" w:eastAsia="zh-CN"/>
        </w:rPr>
        <w:t>May</w:t>
      </w:r>
      <w:r>
        <w:rPr>
          <w:rFonts w:hint="eastAsia"/>
          <w:lang w:eastAsia="zh-CN"/>
        </w:rPr>
        <w:t xml:space="preserve"> 2025</w:t>
      </w:r>
    </w:p>
    <w:p>
      <w:r>
        <w:br w:type="page"/>
      </w:r>
    </w:p>
    <w:sdt>
      <w:sdtPr>
        <w:rPr>
          <w:rFonts w:ascii="Times New Roman Bold" w:hAnsi="Times New Roman Bold" w:eastAsia="宋体" w:cs="Times New Roman Bold"/>
          <w:b/>
          <w:bCs w:val="0"/>
        </w:rPr>
        <w:id w:val="380482282"/>
        <w15:color w:val="DBDBDB"/>
        <w:docPartObj>
          <w:docPartGallery w:val="Table of Contents"/>
          <w:docPartUnique/>
        </w:docPartObj>
      </w:sdtPr>
      <w:sdtEndPr>
        <w:rPr>
          <w:rFonts w:ascii="Times New Roman" w:hAnsi="Times New Roman" w:cs="Times New Roman" w:eastAsiaTheme="minorEastAsia"/>
          <w:b/>
          <w:bCs/>
        </w:rPr>
      </w:sdtEndPr>
      <w:sdtContent>
        <w:p>
          <w:pPr>
            <w:jc w:val="center"/>
            <w:rPr>
              <w:rFonts w:ascii="Times New Roman Bold" w:hAnsi="Times New Roman Bold" w:cs="Times New Roman Bold"/>
              <w:b/>
              <w:bCs w:val="0"/>
            </w:rPr>
          </w:pPr>
          <w:r>
            <w:rPr>
              <w:rFonts w:ascii="Times New Roman Bold" w:hAnsi="Times New Roman Bold" w:eastAsia="宋体" w:cs="Times New Roman Bold"/>
              <w:b/>
              <w:bCs w:val="0"/>
            </w:rPr>
            <w:t>Table of Contents</w:t>
          </w:r>
        </w:p>
        <w:p>
          <w:pPr>
            <w:pStyle w:val="8"/>
            <w:tabs>
              <w:tab w:val="right" w:leader="dot" w:pos="8296"/>
            </w:tabs>
            <w:rPr>
              <w:rFonts w:asciiTheme="minorHAnsi" w:hAnsiTheme="minorHAnsi" w:cstheme="minorBidi"/>
              <w:bCs w:val="0"/>
              <w:sz w:val="22"/>
              <w:lang w:eastAsia="zh-CN"/>
              <w14:ligatures w14:val="standardContextual"/>
            </w:rPr>
          </w:pPr>
          <w:r>
            <w:rPr>
              <w:sz w:val="20"/>
              <w:szCs w:val="20"/>
            </w:rPr>
            <w:fldChar w:fldCharType="begin"/>
          </w:r>
          <w:r>
            <w:rPr>
              <w:sz w:val="20"/>
              <w:szCs w:val="20"/>
            </w:rPr>
            <w:instrText xml:space="preserve">TOC \o "1-3" \h \u </w:instrText>
          </w:r>
          <w:r>
            <w:rPr>
              <w:sz w:val="20"/>
              <w:szCs w:val="20"/>
            </w:rPr>
            <w:fldChar w:fldCharType="separate"/>
          </w:r>
          <w:r>
            <w:fldChar w:fldCharType="begin"/>
          </w:r>
          <w:r>
            <w:instrText xml:space="preserve"> HYPERLINK \l "_Toc195741144" </w:instrText>
          </w:r>
          <w:r>
            <w:fldChar w:fldCharType="separate"/>
          </w:r>
          <w:r>
            <w:rPr>
              <w:rStyle w:val="13"/>
              <w:lang w:eastAsia="zh-CN"/>
            </w:rPr>
            <w:t>Abstract</w:t>
          </w:r>
          <w:r>
            <w:tab/>
          </w:r>
          <w:r>
            <w:fldChar w:fldCharType="begin"/>
          </w:r>
          <w:r>
            <w:instrText xml:space="preserve"> PAGEREF _Toc195741144 \h </w:instrText>
          </w:r>
          <w:r>
            <w:fldChar w:fldCharType="separate"/>
          </w:r>
          <w:r>
            <w:t>3</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"_Toc195741145" </w:instrText>
          </w:r>
          <w:r>
            <w:fldChar w:fldCharType="separate"/>
          </w:r>
          <w:r>
            <w:rPr>
              <w:rStyle w:val="13"/>
              <w:lang w:eastAsia="zh-CN"/>
            </w:rPr>
            <w:t>Introduction</w:t>
          </w:r>
          <w:r>
            <w:tab/>
          </w:r>
          <w:r>
            <w:fldChar w:fldCharType="begin"/>
          </w:r>
          <w:r>
            <w:instrText xml:space="preserve"> PAGEREF _Toc195741145 \h </w:instrText>
          </w:r>
          <w:r>
            <w:fldChar w:fldCharType="separate"/>
          </w:r>
          <w:r>
            <w:t>4</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"_Toc195741146" </w:instrText>
          </w:r>
          <w:r>
            <w:fldChar w:fldCharType="separate"/>
          </w:r>
          <w:r>
            <w:rPr>
              <w:rStyle w:val="13"/>
              <w:lang w:eastAsia="zh-CN"/>
            </w:rPr>
            <w:t>Literature Review</w:t>
          </w:r>
          <w:r>
            <w:tab/>
          </w:r>
          <w:r>
            <w:fldChar w:fldCharType="begin"/>
          </w:r>
          <w:r>
            <w:instrText xml:space="preserve"> PAGEREF _Toc195741146 \h </w:instrText>
          </w:r>
          <w:r>
            <w:fldChar w:fldCharType="separate"/>
          </w:r>
          <w:r>
            <w:t>7</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"_Toc195741147" </w:instrText>
          </w:r>
          <w:r>
            <w:fldChar w:fldCharType="separate"/>
          </w:r>
          <w:r>
            <w:rPr>
              <w:rStyle w:val="13"/>
              <w:lang w:eastAsia="zh-CN"/>
            </w:rPr>
            <w:t>Methodology</w:t>
          </w:r>
          <w:r>
            <w:tab/>
          </w:r>
          <w:r>
            <w:fldChar w:fldCharType="begin"/>
          </w:r>
          <w:r>
            <w:instrText xml:space="preserve"> PAGEREF _Toc195741147 \h </w:instrText>
          </w:r>
          <w:r>
            <w:fldChar w:fldCharType="separate"/>
          </w:r>
          <w:r>
            <w:t>12</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"_Toc195741148" </w:instrText>
          </w:r>
          <w:r>
            <w:fldChar w:fldCharType="separate"/>
          </w:r>
          <w:r>
            <w:rPr>
              <w:rStyle w:val="13"/>
              <w:lang w:eastAsia="zh-CN"/>
            </w:rPr>
            <w:t>Discussion and Analysis</w:t>
          </w:r>
          <w:r>
            <w:tab/>
          </w:r>
          <w:r>
            <w:fldChar w:fldCharType="begin"/>
          </w:r>
          <w:r>
            <w:instrText xml:space="preserve"> PAGEREF _Toc195741148 \h </w:instrText>
          </w:r>
          <w:r>
            <w:fldChar w:fldCharType="separate"/>
          </w:r>
          <w:r>
            <w:t>17</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"_Toc195741149" </w:instrText>
          </w:r>
          <w:r>
            <w:fldChar w:fldCharType="separate"/>
          </w:r>
          <w:r>
            <w:rPr>
              <w:rStyle w:val="13"/>
              <w:lang w:eastAsia="zh-CN"/>
            </w:rPr>
            <w:t>Conclusion</w:t>
          </w:r>
          <w:r>
            <w:tab/>
          </w:r>
          <w:r>
            <w:fldChar w:fldCharType="begin"/>
          </w:r>
          <w:r>
            <w:instrText xml:space="preserve"> PAGEREF _Toc195741149 \h </w:instrText>
          </w:r>
          <w:r>
            <w:fldChar w:fldCharType="separate"/>
          </w:r>
          <w:r>
            <w:t>23</w:t>
          </w:r>
          <w:r>
            <w:fldChar w:fldCharType="end"/>
          </w:r>
          <w:r>
            <w:fldChar w:fldCharType="end"/>
          </w:r>
        </w:p>
        <w:p>
          <w:pPr>
            <w:pStyle w:val="8"/>
            <w:tabs>
              <w:tab w:val="right" w:leader="dot" w:pos="8296"/>
            </w:tabs>
            <w:rPr>
              <w:rFonts w:asciiTheme="minorHAnsi" w:hAnsiTheme="minorHAnsi" w:cstheme="minorBidi"/>
              <w:bCs w:val="0"/>
              <w:sz w:val="22"/>
              <w:lang w:eastAsia="zh-CN"/>
              <w14:ligatures w14:val="standardContextual"/>
            </w:rPr>
          </w:pPr>
          <w:r>
            <w:fldChar w:fldCharType="begin"/>
          </w:r>
          <w:r>
            <w:instrText xml:space="preserve"> HYPERLINK \l "_Toc195741150" </w:instrText>
          </w:r>
          <w:r>
            <w:fldChar w:fldCharType="separate"/>
          </w:r>
          <w:r>
            <w:rPr>
              <w:rStyle w:val="13"/>
              <w:lang w:eastAsia="zh-CN"/>
            </w:rPr>
            <w:t>Reference</w:t>
          </w:r>
          <w:r>
            <w:tab/>
          </w:r>
          <w:r>
            <w:fldChar w:fldCharType="begin"/>
          </w:r>
          <w:r>
            <w:instrText xml:space="preserve"> PAGEREF _Toc195741150 \h </w:instrText>
          </w:r>
          <w:r>
            <w:fldChar w:fldCharType="separate"/>
          </w:r>
          <w:r>
            <w:t>24</w:t>
          </w:r>
          <w:r>
            <w:fldChar w:fldCharType="end"/>
          </w:r>
          <w:r>
            <w:fldChar w:fldCharType="end"/>
          </w:r>
        </w:p>
        <w:p>
          <w:r>
            <w:rPr>
              <w:szCs w:val="20"/>
            </w:rPr>
            <w:fldChar w:fldCharType="end"/>
          </w:r>
        </w:p>
      </w:sdtContent>
    </w:sdt>
    <w:p>
      <w:r>
        <w:rPr>
          <w:rStyle w:val="12"/>
        </w:rPr>
        <w:br w:type="page"/>
      </w:r>
    </w:p>
    <w:p>
      <w:pPr>
        <w:pStyle w:val="2"/>
        <w:rPr>
          <w:lang w:eastAsia="zh-CN"/>
        </w:rPr>
      </w:pPr>
      <w:bookmarkStart w:id="0" w:name="_Toc195741144"/>
      <w:r>
        <w:rPr>
          <w:lang w:eastAsia="zh-CN"/>
        </w:rPr>
        <w:t>Abstract</w:t>
      </w:r>
      <w:bookmarkEnd w:id="0"/>
    </w:p>
    <w:p>
      <w:r>
        <w:t>This study investigates how collaborative models between human news anchors and artificial intelligence (AI) systems influence emotional engagement, trust, and audience perception in contemporary broadcasting. Rather than treating AI as a direct replacement for human presenters, the research examines three forms of collaboration—full replacement, supportive presence, and co-hosting—to understand their emotional and communicative implications. A central concept emerging from this inquiry is “mechanical sincerity,” which refers to how some digital-native viewers may perceive AI’s affective neutrality as honest and trustworthy.</w:t>
      </w:r>
      <w:bookmarkStart w:id="7" w:name="_GoBack"/>
      <w:bookmarkEnd w:id="7"/>
    </w:p>
    <w:p/>
    <w:p>
      <w:r>
        <w:t>The study draws on posthumanist theory and communication frameworks such as Uses and Gratifications, Parasocial Interaction, and Affective Disposition Theory, positioning the anchor as a hybrid communicator within an ethically attuned media ecology. Adopting a practice-based and interpretivist approach, the research combines autoethnography, netnography, semi-structured interviews, and participatory feedback from public exhibitions. The researcher brings a unique dual perspective to this inquiry, informed by eight years of hosting experience—including six years at Guangdong Radio and Television (GRT)—and her practical engagement in customizing AI news avatars using platforms such as HeyGen. This practitioner–insider lens offers embodied insight into the emotional and technological dynamics of hybrid anchoring.</w:t>
      </w:r>
    </w:p>
    <w:p/>
    <w:p>
      <w:r>
        <w:t>Preliminary insights have been gathered from an initial showcase titled AI vs. Human: The Future of Broadcasting, presented at the Volcano Theatre in Swansea, UK, as part of the Residuum 2024 exhibition (15-23 August 2024). The exhibition served as an early-stage audience-testing environment, using dual-screen installations to compare human and AI anchors. Feedback collected at this stage is indicative but not conclusive. The study remains in progress, with additional data to be collected through a follow-up exhibition, semi-structured interviews, and longitudinal self-reflection. Ultimately, the research aims to inform the design of emotionally intelligent co-broadcasting systems—such as the proposed Emotional Synchronization Index (ESI)—while offering practical insight into ethical communication and affective AI literacy for journalism education and industry practice.</w:t>
      </w:r>
    </w:p>
    <w:p>
      <w:pPr>
        <w:widowControl/>
        <w:rPr>
          <w:lang w:eastAsia="zh-CN"/>
        </w:rPr>
      </w:pPr>
      <w:r>
        <w:br w:type="page"/>
      </w:r>
    </w:p>
    <w:p>
      <w:pPr>
        <w:pStyle w:val="2"/>
        <w:rPr>
          <w:lang w:eastAsia="zh-CN"/>
        </w:rPr>
      </w:pPr>
      <w:bookmarkStart w:id="1" w:name="_Toc195741145"/>
      <w:r>
        <w:rPr>
          <w:lang w:eastAsia="zh-CN"/>
        </w:rPr>
        <w:t>Introduction</w:t>
      </w:r>
      <w:bookmarkEnd w:id="1"/>
    </w:p>
    <w:p>
      <w:r>
        <w:t>In recent years, artificial intelligence (AI) has moved from the fringes of journalism into the core of media production. From automated news writing to the use of AI-generated avatars and voice synthesis, these technologies are no longer experimental—they are now embedded in how news is created and delivered. For those of us who have worked as human anchors, this change is more than technical. It raises a deeply personal and professional question: What role remains for the human presenter—the voice that once carried authority, empathy, and emotional connection?</w:t>
      </w:r>
    </w:p>
    <w:p/>
    <w:p>
      <w:r>
        <w:t>This research emerges from that question. It does not assume that AI will simply replace human anchors. Instead, it explores how different forms of collaboration between humans and AI might evolve in real-world broadcasting. The focus is on three working models—full replacement, AI as support, and co-hosting—each offering a different way of sharing screen presence and communicative responsibility. Rather than framing AI and humans in opposition, the study asks: What happens when they appear together?</w:t>
      </w:r>
    </w:p>
    <w:p/>
    <w:p>
      <w:r>
        <w:t>The research is informed by the researcher’s dual professional background: six years of experience as a television anchor at Guangdong Radio and Television, combined with current experimentation in AI-generated news avatars using platforms such as HeyGen. This combination of traditional media and digital practice supports a practice-based, qualitative approach. The methodology includes autoethnographic reflection, netnography, semi-structured interviews, and participatory exhibitions.</w:t>
      </w:r>
    </w:p>
    <w:p/>
    <w:p>
      <w:r>
        <w:t>One such exhibition, AI vs. Human: The Future of Broadcasting, was held in 2024 at the Volcano Theatre in Swansea. Using a dual-screen installation, it invited the public to view and compare an AI-generated avatar and a human-presented broadcast. Without being told who was who, viewers gave anonymous feedback on perceived authenticity and emotional connection. These early insights helped shape the questions this project now investigates more deeply.</w:t>
      </w:r>
    </w:p>
    <w:p/>
    <w:p>
      <w:r>
        <w:t>At the heart of this inquiry is a tension between technological capability and emotional credibility. While some early studies praised AI for its efficiency and neutrality (Dörr, 2016; Tandoc &amp; Maitra, 2022), others warn of emotional flatness or audience discomfort when machines try to “act human” (Lischer, 2021; Mori et al., 2012). For some viewers, AI’s emotional neutrality feels honest—what I call ”mechanical sincerity.” For others, it feels cold or unsettling.</w:t>
      </w:r>
    </w:p>
    <w:p/>
    <w:p>
      <w:r>
        <w:t>This research takes that ambiguity seriously. It draws on posthumanist theory and three communication models—Uses and Gratifications, Parasocial Interaction, and Affective Disposition Theory—to understand how emotional trust is formed (or broken) in hybrid human–AI news formats. Concepts like symbolic interactionism also help frame the anchor not just as a deliverer of news, but as a performer—someone (or something) who earns trust through tone, rhythm, gesture, and gaze.</w:t>
      </w:r>
    </w:p>
    <w:p>
      <w:pPr>
        <w:rPr>
          <w:b/>
          <w:bCs w:val="0"/>
          <w:highlight w:val="yellow"/>
        </w:rPr>
      </w:pPr>
    </w:p>
    <w:p>
      <w:r>
        <w:t>Rather than seeking to predict the future of journalism in deterministic terms, the study focuses on what is currently unfolding: the interaction of human presence and AI performance, and how audiences engage with this convergence. In doing so, it aims to offer insights into how emotion, trust, and credibility might be preserved—not through resistance to AI, but by designing ethically and emotionally attuned frameworks for human–AI collaboration. These considerations are not purely technological, but philosophical, inviting reflection on the nature of mediated presence and emotional connection in a posthuman media ecology (Braidotti, 2013; Hayles, 1999).</w:t>
      </w:r>
    </w:p>
    <w:p/>
    <w:p>
      <w:r>
        <w:t>The central questions guiding this research are as follows:</w:t>
      </w:r>
    </w:p>
    <w:p>
      <w:pPr>
        <w:numPr>
          <w:ilvl w:val="0"/>
          <w:numId w:val="1"/>
        </w:numPr>
        <w:ind w:left="425" w:leftChars="0" w:hanging="425" w:firstLineChars="0"/>
      </w:pPr>
      <w:r>
        <w:t>How do AI and human anchors complement each other within different collaboration models?</w:t>
      </w:r>
    </w:p>
    <w:p>
      <w:pPr>
        <w:numPr>
          <w:ilvl w:val="0"/>
          <w:numId w:val="1"/>
        </w:numPr>
        <w:ind w:left="425" w:leftChars="0" w:hanging="425" w:firstLineChars="0"/>
      </w:pPr>
      <w:r>
        <w:t>In what ways do these configurations influence emotional engagement, trust, and audience perception?</w:t>
      </w:r>
    </w:p>
    <w:p>
      <w:pPr>
        <w:numPr>
          <w:ilvl w:val="0"/>
          <w:numId w:val="1"/>
        </w:numPr>
        <w:ind w:left="425" w:leftChars="0" w:hanging="425" w:firstLineChars="0"/>
      </w:pPr>
      <w:r>
        <w:t>Which hybrid approaches demonstrate the greatest potential for sustaining emotional credibility and culturally appropriate news delivery?</w:t>
      </w:r>
    </w:p>
    <w:p/>
    <w:p>
      <w:r>
        <w:t>These questions are situated within a constructivist ontology and an interpretivist epistemology, where emotional credibility is understood not as a static property but as a co-produced outcome of mediated interaction. Building on Blumer’s (1969) symbolic interactionism, the act of news presentation is interpreted as a performance in which trust is conveyed through multimodal cues. When AI avatars attempt to reproduce these cues, their affective legibility often becomes unstable, complicating the boundaries between simulation and authenticity.</w:t>
      </w:r>
    </w:p>
    <w:p/>
    <w:p>
      <w:r>
        <w:t>To interrogate these dynamics, the study engages three theoretical models. Uses and Gratifications Theory (Katz, Blumler &amp; Gurevitch, 1973) explains how audience preferences are shaped by differentiated needs—speed, reliability, or emotional resonance. Parasocial Interaction Theory (Horton &amp; Wohl, 1956) addresses the affective relationships formed between audiences and media figures, a process less accessible to synthetic hosts due to their lack of spontaneity and historical presence. Affective Disposition Theory (Zillmann &amp; Cantor, 1977) illuminates how viewers’ emotional alignment is conditioned by perceived moral agency, a variable that remains ambiguous in AI-driven communication.</w:t>
      </w:r>
    </w:p>
    <w:p/>
    <w:p>
      <w:r>
        <w:t>This research contributes to current debates on AI ethics, affective computing, and the future of media professionalism by shifting the analytical focus from automation to collaboration, and from replacement to coexistence. The project’s interdisciplinary scope and empirical grounding in practice-led inquiry offer both conceptual and applied relevance.</w:t>
      </w:r>
    </w:p>
    <w:p/>
    <w:p>
      <w:r>
        <w:t>Moreover, the study addresses key gaps in existing literature. As noted by Hermida and Young (2019), comparative studies on cross-cultural and intergenerational audience reception of AI anchors are notably scarce. The lived experiences of professional broadcasters adapting to hybrid formats remain under-documented. Additionally, few empirical frameworks have accounted for the performative, relational, and emotional dimensions of AI–human co-hosting, particularly within participatory or exhibition-based environments.</w:t>
      </w:r>
    </w:p>
    <w:p/>
    <w:p>
      <w:r>
        <w:t>Accordingly, the aim of this research is twofold: first, to analyse the communicative and affective dynamics of human–AI co-anchoring in news broadcasting, with attention to emotional resonance and credibility; and second, to reconceptualise the news anchor as a hybrid communicator embedded in a technologically mediated, emotionally attuned, and ethically responsive broadcast ecology.</w:t>
      </w:r>
    </w:p>
    <w:p/>
    <w:p>
      <w:r>
        <w:t>By taking a reflective and critical approach, this research does not offer predictions but contributes to a more nuanced understanding of how human presence, emotional intelligence, and intelligent systems may be reconfigured to coexist productively within the evolving landscape of journalism.</w:t>
      </w:r>
    </w:p>
    <w:p>
      <w:pPr>
        <w:rPr>
          <w:lang w:eastAsia="zh-CN"/>
        </w:rPr>
      </w:pPr>
      <w:r>
        <w:rPr>
          <w:lang w:eastAsia="zh-CN"/>
        </w:rPr>
        <w:br w:type="page"/>
      </w:r>
    </w:p>
    <w:p>
      <w:pPr>
        <w:pStyle w:val="2"/>
        <w:rPr>
          <w:lang w:eastAsia="zh-CN"/>
        </w:rPr>
      </w:pPr>
      <w:bookmarkStart w:id="2" w:name="_Toc195741146"/>
      <w:r>
        <w:rPr>
          <w:lang w:eastAsia="zh-CN"/>
        </w:rPr>
        <w:t>Literature Review</w:t>
      </w:r>
      <w:bookmarkEnd w:id="2"/>
    </w:p>
    <w:p>
      <w:r>
        <w:t>This literature review synthesizes peer-reviewed academic works, industry reports, and verified media case studies published between 2015 and 2024. Literature was selected through keyword searches in Google Scholar, Scopus, and the UWTSD library catalogue using terms such as “AI in journalism,” “emotional AI anchors,” and “human-AI collaboration in broadcasting.”</w:t>
      </w:r>
    </w:p>
    <w:p/>
    <w:p>
      <w:r>
        <w:t>Interdisciplinary sources from communication studies, media psychology, posthumanist theory, and AI ethics were prioritized for their methodological diversity and relevance to the research’s guiding question: How can human–AI collaboration in broadcasting sustain emotional engagement and credibility?</w:t>
      </w:r>
    </w:p>
    <w:p/>
    <w:p>
      <w:r>
        <w:t>Studies were chosen based on three criteria: (1) empirical robustness; (2) conceptual clarity around emotional and ethical dimensions; and (3) potential to support or challenge the development of hybrid human–AI broadcast models.</w:t>
      </w:r>
    </w:p>
    <w:p/>
    <w:p>
      <w:r>
        <w:t>1. Operational Efficiency vs. Affective Deficiency</w:t>
      </w:r>
    </w:p>
    <w:p>
      <w:r>
        <w:t>Early literature emphasizes the operational benefits of AI news anchors. Dörr (2016) highlights the capacity of automated journalism to produce content quickly, especially in structured domains such as finance and weather. Tandoc and Maitra (2022) further note AI’s role in scaling multilingual reporting and expanding production capacity. These findings are echoed by industry developments: platforms like Synthesia and HeyGen allow non-specialists to generate lifelike avatars in minutes (Lee, 2023), reducing the cost and time of producing anchor-led segments. Such tools are increasingly adopted by digital newsrooms and regional broadcasters seeking automation in standard reporting.</w:t>
      </w:r>
    </w:p>
    <w:p/>
    <w:p>
      <w:r>
        <w:t>However, some argue that efficiency comes at the expense of emotional depth. AI anchors often lack the empathy and situational sensitivity that audiences expect from human journalists. Sundar (2020) and Lischer (2021) point out that AI struggles to express genuine emotion or moral understanding. Even when avatars look realistic, Guzman and Lewis (2020) note that viewers may wrongly assume they have emotional intelligence, which can affect how trustworthy they seem. This connects to Mori et al.’s (2012) “uncanny valley” theory—when AI comes close to human but misses emotional cues, it can feel unsettling.</w:t>
      </w:r>
    </w:p>
    <w:p/>
    <w:p>
      <w:r>
        <w:t>As generative AI continues to improve, these concerns become more pressing. For example, HeyGen’s “Instant Avatar” can now replicate a person’s face and voice in minutes. But while these tools are impressive, they still often lack the depth needed for telling emotionally sensitive stories.</w:t>
      </w:r>
    </w:p>
    <w:p/>
    <w:p>
      <w:r>
        <w:t>2. Emotional Neutrality in Context-Specific Reporting</w:t>
      </w:r>
    </w:p>
    <w:p>
      <w:r>
        <w:t>Not all reports must be emotionally resonant. Haim and Graefe (2018) suggest that in information-dense, high-speed settings—such as crisis briefing or business news—a neutral tone will help promote understanding. Audiences, they argue, tune expectations according to content type: while human warmth is sought in human-interest or humanitarian stories, neutrality is maybe wanted in analytical or data-driven segments. This highlights the necessity for differentiated collaboration models, in which humans and AI are allocated roles in accordance with emotional demand and narrative context.</w:t>
      </w:r>
    </w:p>
    <w:p/>
    <w:p>
      <w:r>
        <w:t>3. Ethical Risks and Algorithmic Opacity</w:t>
      </w:r>
    </w:p>
    <w:p>
      <w:r>
        <w:t>Beyond emotional limits, ethical risks in AI news production have increasingly sounded the alarm.  Scholars such as Diakopoulos (2019) and Carlson (2018) warn of the "black box" of algorithmic reporting, which can conceal editorial decisions from scrutiny. Noble (2018) and Eubanks (2017) further caution that embedded bias in training data might perpetuate stereotypes, especially on issues of race, gender, and class. In a Chinese context, Fang, Lin, and Zhang (2023) find that AI news anchors often mimic gendered images and voice characteristics, thus perpetuating such age-old stereotypes. These are concerns that bring forth the need for transparency, culturally informed design, and ethical oversight in using AI in publicly accessible news products.</w:t>
      </w:r>
    </w:p>
    <w:p/>
    <w:p>
      <w:r>
        <w:rPr>
          <w:rFonts w:hint="default"/>
          <w:lang w:val="en-US"/>
        </w:rPr>
        <w:t>4</w:t>
      </w:r>
      <w:r>
        <w:t>. Collaborative Models and Verified Case Studies</w:t>
      </w:r>
    </w:p>
    <w:p>
      <w:r>
        <w:t>Recent developments point toward a radical departure from dualistic “AI vs. human” models of competition to unified and contextual models of collaboration. A more familiar example includes the world's first AI news anchor launched in 2018 by Xinhua News Agency in partnership with Sogou. These digital figures were employed to deliver finance and weather reports across online platforms, offering round-the-clock coverage and reducing newsroom labour costs (Xinhua, 2018; BBC News, 2018). In 2019, China Media Group introduced a co-hosting experiment in which renowned anchor Sa Beining interacted live on stage with his AI avatar during the Online Spring Festival Gala (CCTV, 2019). These instances indicate that hybrid models can provide a practical method for bridging the emotional appeal and operational efficiency gap.</w:t>
      </w:r>
    </w:p>
    <w:p>
      <w:pPr>
        <w:jc w:val="center"/>
      </w:pPr>
      <w:r>
        <w:drawing>
          <wp:inline distT="0" distB="0" distL="114300" distR="114300">
            <wp:extent cx="4510405" cy="2584450"/>
            <wp:effectExtent l="0" t="0" r="10795" b="635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6"/>
                    <a:stretch>
                      <a:fillRect/>
                    </a:stretch>
                  </pic:blipFill>
                  <pic:spPr>
                    <a:xfrm>
                      <a:off x="0" y="0"/>
                      <a:ext cx="4510405" cy="2584450"/>
                    </a:xfrm>
                    <a:prstGeom prst="rect">
                      <a:avLst/>
                    </a:prstGeom>
                  </pic:spPr>
                </pic:pic>
              </a:graphicData>
            </a:graphic>
          </wp:inline>
        </w:drawing>
      </w:r>
    </w:p>
    <w:p>
      <w:pPr>
        <w:jc w:val="center"/>
      </w:pPr>
      <w:r>
        <w:t>Figure 1. Sa Beining and his AI avatar on stage during the 2019 Online Spring Festival Gala</w:t>
      </w:r>
    </w:p>
    <w:p>
      <w:pPr>
        <w:jc w:val="center"/>
      </w:pPr>
      <w:r>
        <w:t>Source: CCTV (2019)</w:t>
      </w:r>
    </w:p>
    <w:p/>
    <w:p>
      <w:r>
        <w:t>More recently, Hangzhou TV adopted a more structured approach to human–AI collaboration during the 2025 Spring Festival. According to People’s Daily Online (2025), six AI-powered avatars were assigned to routine news segments, allowing human presenters to concentrate on emotionally nuanced stories. The AI avatars—including “Xiaoyu,” powered by large language models such as DeepSeek-V3—were praised for their realistic expressions and “zero-error” performance. This model aligns with Lewis and Westlund’s (2014) conceptualization of AI’s “supportive role,” where machines handle standardized content while human anchors retain affective labor and moral discretion.</w:t>
      </w:r>
    </w:p>
    <w:p/>
    <w:p/>
    <w:p>
      <w:pPr>
        <w:jc w:val="center"/>
      </w:pPr>
      <w:r>
        <w:drawing>
          <wp:inline distT="0" distB="0" distL="114300" distR="114300">
            <wp:extent cx="3508375" cy="3508375"/>
            <wp:effectExtent l="0" t="0" r="22225" b="22225"/>
            <wp:docPr id="3" name="图片 3" descr="IMG_3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3719"/>
                    <pic:cNvPicPr>
                      <a:picLocks noChangeAspect="1"/>
                    </pic:cNvPicPr>
                  </pic:nvPicPr>
                  <pic:blipFill>
                    <a:blip r:embed="rId7"/>
                    <a:stretch>
                      <a:fillRect/>
                    </a:stretch>
                  </pic:blipFill>
                  <pic:spPr>
                    <a:xfrm>
                      <a:off x="0" y="0"/>
                      <a:ext cx="3508375" cy="3508375"/>
                    </a:xfrm>
                    <a:prstGeom prst="rect">
                      <a:avLst/>
                    </a:prstGeom>
                  </pic:spPr>
                </pic:pic>
              </a:graphicData>
            </a:graphic>
          </wp:inline>
        </w:drawing>
      </w:r>
    </w:p>
    <w:p>
      <w:pPr>
        <w:jc w:val="center"/>
      </w:pPr>
      <w:r>
        <w:t>Figure 2. Screenshot of AI anchors during Spring Festival coverage on Hangzhou TV</w:t>
      </w:r>
    </w:p>
    <w:p>
      <w:pPr>
        <w:jc w:val="center"/>
      </w:pPr>
      <w:r>
        <w:t>Source: People’s Daily Online (2025)</w:t>
      </w:r>
    </w:p>
    <w:p/>
    <w:p>
      <w:r>
        <w:t>Beyond case-specific examples, recent market research indicates strong economic and social momentum for AI-driven virtual human technologies. According to the White Paper on the Development of China's Virtual Digital Human Industry in 2024 published by iiMedia Research, the core market for virtual humans in China is projected to reach 48.06 billion RMB by 2025, with the wider ecosystem potentially expanding to 640.27 billion RMB (iiMedia Research, 2024).</w:t>
      </w:r>
    </w:p>
    <w:p/>
    <w:p>
      <w:r>
        <w:t xml:space="preserve">In addition to infrastructure and investment, public receptivity also plays a vital role in driving the integration of virtual humans into mainstream media. According to Statista (2024), over 80% of Chinese respondents have interacted with virtual figures across livestream shopping platforms, television broadcasts, and social media channels. About one in four respondents said they would consider financially supporting digital personalities. Some avatars, like A-Soul and VirtuaReal, are reported to earn over one million RMB per month. This indicates a rising level of emotional acceptance toward AI presenters, particularly among Gen Z and other digital-native groups. </w:t>
      </w:r>
    </w:p>
    <w:p/>
    <w:p>
      <w:r>
        <w:t>For this study, such findings highlight the influence of audience attitudes and market forces in shaping future models of human–AI cooperation. While existing research often emphasises the emotional and ethical limitations of AI news anchors, current viewer behaviour suggests that trust may grow with continued exposure. This reinforces the need for co-hosting formats that balance technical efficiency with emotional depth.</w:t>
      </w:r>
    </w:p>
    <w:p/>
    <w:p>
      <w:r>
        <w:rPr>
          <w:rFonts w:hint="default"/>
          <w:lang w:val="en-US"/>
        </w:rPr>
        <w:t>5</w:t>
      </w:r>
      <w:r>
        <w:t>. Theoretical Frameworks</w:t>
      </w:r>
    </w:p>
    <w:p>
      <w:r>
        <w:t>To make sense of these transformations, this research draws on posthumanist theory, which challenges the dualism between humans and machines. Hayles (1999) and Braidotti (2013) argue that subjectivity is not biologically exclusive; instead, it can be technologically mediated. Under this lens, both human and AI anchors function as “affective interfaces”, mediating emotion, information, and authority between newsrooms and audiences.</w:t>
      </w:r>
    </w:p>
    <w:p/>
    <w:p>
      <w:r>
        <w:t>This framework is complemented by three communication theories:</w:t>
      </w:r>
    </w:p>
    <w:p>
      <w:pPr>
        <w:numPr>
          <w:ilvl w:val="0"/>
          <w:numId w:val="2"/>
        </w:numPr>
        <w:ind w:left="425" w:leftChars="0" w:hanging="425" w:firstLineChars="0"/>
      </w:pPr>
      <w:r>
        <w:t>Uses and Gratifications Theory (Katz et al., 1973): Audiences selectively engage with news sources that fulfill specific needs—speed, trust, relatability—thus explaining divergent preferences for human vs. AI hosts.</w:t>
      </w:r>
    </w:p>
    <w:p/>
    <w:p>
      <w:pPr>
        <w:numPr>
          <w:ilvl w:val="0"/>
          <w:numId w:val="2"/>
        </w:numPr>
        <w:ind w:left="425" w:leftChars="0" w:hanging="425" w:firstLineChars="0"/>
      </w:pPr>
      <w:r>
        <w:t>Parasocial Interaction Theory (Horton &amp; Wohl, 1956): Audiences form emotional relationships with recurring media figures. Synthetic anchors lack the historical continuity and spontaneity that typically foster these bonds.</w:t>
      </w:r>
    </w:p>
    <w:p/>
    <w:p>
      <w:pPr>
        <w:numPr>
          <w:ilvl w:val="0"/>
          <w:numId w:val="2"/>
        </w:numPr>
        <w:ind w:left="425" w:leftChars="0" w:hanging="425" w:firstLineChars="0"/>
      </w:pPr>
      <w:r>
        <w:t>Affective Disposition Theory (Zillmann &amp; Cantor, 1977): Viewers evaluate media characters based on perceived morality and affect. AI’s ambiguous agency complicates these assessments, especially when emotional cues are inconsistent.</w:t>
      </w:r>
    </w:p>
    <w:p/>
    <w:p>
      <w:r>
        <w:t>These theories offer both diagnostic and design-oriented insight into the ongoing negotiation of emotional engagement and credibility in human–AI news collaboration.</w:t>
      </w:r>
    </w:p>
    <w:p/>
    <w:p>
      <w:r>
        <w:rPr>
          <w:rFonts w:hint="default"/>
          <w:lang w:val="en-US"/>
        </w:rPr>
        <w:t>6</w:t>
      </w:r>
      <w:r>
        <w:t>. Research Gaps and Relevance</w:t>
      </w:r>
    </w:p>
    <w:p>
      <w:r>
        <w:t>Despite a growing literature, key gaps remain. Most studies focus on Western or Chinese national newsrooms, with limited exploration of platform-specific cultures (e.g.</w:t>
      </w:r>
      <w:r>
        <w:rPr>
          <w:rFonts w:hint="eastAsia"/>
          <w:lang w:eastAsia="zh-CN"/>
        </w:rPr>
        <w:t xml:space="preserve"> </w:t>
      </w:r>
      <w:r>
        <w:t>TikTok vs. Bilibili) or regional broadcaster innovation. Few empirical works examine how human anchors negotiate their evolving roles within AI-augmented environments. Moreover, longitudinal studies tracking audience trust across repeated exposure to AI anchors are still scarce.</w:t>
      </w:r>
    </w:p>
    <w:p/>
    <w:p>
      <w:r>
        <w:t>This project addresses these gaps by combining practice-based methods (exhibition feedback, autoethnography) with interpretivist analysis and interview-based insights from both AI developers and traditional news presenters. Ultimately, this literature review provides the foundation for theorizing a hybrid collaboration model grounded in ethical, emotional, and technological equilibrium.</w:t>
      </w:r>
    </w:p>
    <w:p>
      <w:pPr>
        <w:rPr>
          <w:lang w:eastAsia="zh-CN"/>
        </w:rPr>
      </w:pPr>
    </w:p>
    <w:p>
      <w:pPr>
        <w:rPr>
          <w:lang w:eastAsia="zh-CN"/>
        </w:rPr>
      </w:pPr>
      <w:r>
        <w:rPr>
          <w:lang w:eastAsia="zh-CN"/>
        </w:rPr>
        <w:br w:type="page"/>
      </w:r>
    </w:p>
    <w:p>
      <w:pPr>
        <w:pStyle w:val="2"/>
        <w:rPr>
          <w:lang w:eastAsia="zh-CN"/>
        </w:rPr>
      </w:pPr>
      <w:bookmarkStart w:id="3" w:name="_Toc195741147"/>
      <w:r>
        <w:rPr>
          <w:lang w:eastAsia="zh-CN"/>
        </w:rPr>
        <w:t>Methodology</w:t>
      </w:r>
      <w:bookmarkEnd w:id="3"/>
    </w:p>
    <w:p>
      <w:r>
        <w:t>This qualitative study adopts a constructivist–interpretivist framework, supported by a multi-method design. Its primary concern lies in understanding how emotional trust and perceived credibility take shape within interactions between audiences, human broadcasters, and digital presenters. Rather than treating emotional credibility as a stable or inherent attribute, the study regards it as a relational and evolving construct, shaped by context-specific, embodied encounters.</w:t>
      </w:r>
    </w:p>
    <w:p/>
    <w:p>
      <w:r>
        <w:t>Guided by the principles of symbolic interactionism (Blumer, 1969), the project treats news broadcasting as a form of social performance, where meaning is co-created through subtle non-verbal elements such as tone of voice, body language, eye contact, and the rhythm of conversation. When digital avatars attempt to simulate these expressive cues, they may give rise to a sense of emotional disconnect or ambiguity in interpretation—responses that this research aims to investigate closely.</w:t>
      </w:r>
    </w:p>
    <w:p>
      <w:pPr>
        <w:rPr>
          <w:u w:val="single"/>
        </w:rPr>
      </w:pPr>
    </w:p>
    <w:p>
      <w:r>
        <w:t>To explore these complexities, the study draws on communication theory, media studies, sociology, human–computer interaction, and posthumanist perspectives. This interdisciplinary foundation helps to explain how emotional connection and credibility take shape in AI-assisted news environments. It also supports an analysis of how technology, emotion, and culture interact in shared broadcast formats. A key part of this analysis involves three audience-focused communication theories. One of them, Uses and Gratifications Theory (Katz, Blumler &amp; Gurevitch, 1973), explains how viewers choose news sources based on needs like speed, trust, or relatability—needs that human anchors may still meet more naturally than AI presenters. Parasocial Interaction Theory (Horton and Wohl, 1956) explores how viewers form one-sided emotional bonds with media personalities, with human presenters typically offering richer relational cues. Affective Disposition Theory (Zillmann and Cantor, 1977) adds that audience trust depends on affective alignment between viewer and presenter—an area in which AI avatars may struggle due to limited affective capacity. These theories shape both the analytical lens and the development of survey and interview instruments used in this study.</w:t>
      </w:r>
    </w:p>
    <w:p/>
    <w:p>
      <w:r>
        <w:t>The theoretical framework is further enriched by interdisciplinary perspectives: Picard’s (1997) foundational work on affective computing informs emotion analysis; Hochschild’s (1983) concept of emotional labor offers insight into the role conflict experienced by hybrid broadcasters; and posthumanist theory (Hayles, 1999; Braidotti, 2013) facilitates a reframing of AI avatars not as tools, but as relational agents in a broader media ecology. Crucially, the study draws on Wang and Li’s (2022) concept of the “cyborg anchor” to analyze hybrid performance in Chinese AI–human broadcasting systems.</w:t>
      </w:r>
    </w:p>
    <w:p>
      <w:pPr>
        <w:rPr>
          <w:rFonts w:hint="eastAsia"/>
          <w:lang w:eastAsia="zh-CN"/>
        </w:rPr>
      </w:pPr>
    </w:p>
    <w:p>
      <w:r>
        <w:t>Together, this integrative framework allows the research to respond to existing gaps—such as the lack of longitudinal accounts of broadcaster adaptation (Hermida and Young, 2019) and the scarcity of comparative data on emotional trust across cultural contexts (Wang and Li, 2022).</w:t>
      </w:r>
    </w:p>
    <w:p/>
    <w:p>
      <w:r>
        <w:t>To operationalize the framework, the study deploys three interlinked strands: autoethnography, netnography, and audience-centred field research, with semi-structured interviews forming a core empirical method.</w:t>
      </w:r>
    </w:p>
    <w:p/>
    <w:p>
      <w:pPr>
        <w:jc w:val="both"/>
      </w:pPr>
      <w:r>
        <w:rPr>
          <w:rFonts w:hint="eastAsia"/>
          <w:lang w:eastAsia="zh-CN"/>
        </w:rPr>
        <w:t xml:space="preserve">1. </w:t>
      </w:r>
      <w:r>
        <w:t>Autoethnographic Strand</w:t>
      </w:r>
    </w:p>
    <w:p>
      <w:r>
        <w:t>The researcher, having experience both as a traditional TV anchor and as an AI avatar content creator, engages in a longitudinal autoethnographic inquiry. Rather than detached observation, this strand foregrounds embodied emotional labor and internal conflict across hybrid hosting practice (Ellis et al., 2011).</w:t>
      </w:r>
    </w:p>
    <w:p/>
    <w:p>
      <w:r>
        <w:t>Data sources include:</w:t>
      </w:r>
    </w:p>
    <w:p>
      <w:pPr>
        <w:numPr>
          <w:ilvl w:val="0"/>
          <w:numId w:val="3"/>
        </w:numPr>
      </w:pPr>
      <w:r>
        <w:t>Reflexive journals (5,000+ words), capturing emotions such as moral discomfort and adaptation stress,</w:t>
      </w:r>
    </w:p>
    <w:p>
      <w:pPr>
        <w:numPr>
          <w:ilvl w:val="0"/>
          <w:numId w:val="3"/>
        </w:numPr>
      </w:pPr>
      <w:r>
        <w:t>Reflexive logs will be used to capture evolving positional biases, such as the researcher’s initial skepticism toward AI's emotional capability—later challenged by netnographic findings showing younger audiences' affinity for the perceived 'mechanical sincerity' of virtual anchors,</w:t>
      </w:r>
    </w:p>
    <w:p>
      <w:pPr>
        <w:numPr>
          <w:ilvl w:val="0"/>
          <w:numId w:val="3"/>
        </w:numPr>
      </w:pPr>
      <w:r>
        <w:t>Weekly video diaries, comparing human and AI delivery of identical scripts,</w:t>
      </w:r>
    </w:p>
    <w:p>
      <w:pPr>
        <w:numPr>
          <w:ilvl w:val="0"/>
          <w:numId w:val="3"/>
        </w:numPr>
      </w:pPr>
      <w:r>
        <w:t>Annotated hosting scripts, marking instances of emotional mismatch (e.g., missed prosodic emphasis or flat expressions in AI avatars).</w:t>
      </w:r>
    </w:p>
    <w:p/>
    <w:p>
      <w:r>
        <w:t>These materials will be analyzed through emotional coding (Saldaña, 2021) and situational mapping (Clarke, 2005), revealing how affective expectations are negotiated in real-time broadcast settings.</w:t>
      </w:r>
    </w:p>
    <w:p/>
    <w:p>
      <w:pPr>
        <w:jc w:val="both"/>
      </w:pPr>
      <w:r>
        <w:rPr>
          <w:rFonts w:hint="eastAsia"/>
          <w:lang w:eastAsia="zh-CN"/>
        </w:rPr>
        <w:t xml:space="preserve">2. </w:t>
      </w:r>
      <w:r>
        <w:t>Netnographic Strand</w:t>
      </w:r>
    </w:p>
    <w:p>
      <w:r>
        <w:t>In parallel, a six-month netnographic investigation is being conducted following Kozinets’ NETLED model (2015). The goal is to map how online audiences evaluate or contest AI anchors across platforms such as Reddit, Twitter, Bilibili, and Douyin. To support cross-cultural comparisons, Hofstede’s cultural dimensions—especially power distance and uncertainty avoidance—will inform a contrastive coding framework that assesses how cultural values influence audience trust in AI authority and emotional expression.</w:t>
      </w:r>
    </w:p>
    <w:p/>
    <w:p>
      <w:r>
        <w:t>Phases include:</w:t>
      </w:r>
    </w:p>
    <w:p>
      <w:pPr>
        <w:numPr>
          <w:ilvl w:val="0"/>
          <w:numId w:val="0"/>
        </w:numPr>
        <w:ind w:leftChars="0"/>
      </w:pPr>
      <w:r>
        <w:t>Lurking phase (Month 1): Platform mapping and identification of key hashtags (e.g., #AInews, Virtual anchor)</w:t>
      </w:r>
      <w:r>
        <w:rPr>
          <w:rFonts w:hint="default"/>
          <w:lang w:val="en-US"/>
        </w:rPr>
        <w:t xml:space="preserve">; </w:t>
      </w:r>
      <w:r>
        <w:t>Observation phase (Months 2‒6): Daily tracking of over 120 videos and 300+ discussion threads, including real-time “danmu” comments</w:t>
      </w:r>
      <w:r>
        <w:rPr>
          <w:rFonts w:hint="default"/>
          <w:lang w:val="en-US"/>
        </w:rPr>
        <w:t xml:space="preserve">; </w:t>
      </w:r>
      <w:r>
        <w:t>Validation phase (Months 7‒8): Focus groups (Chinese and UK audiences) will interpret recurring themes and test emergent cultural insights.</w:t>
      </w:r>
    </w:p>
    <w:p/>
    <w:p>
      <w:r>
        <w:t>This approach reflects Sun’s (2018) theory of digital embodiment, which suggests that emotional presence in virtual communication is deeply shaped by ritualized interpersonal codes—such as warmth, fluency, and appropriateness—differently understood in China versus the West.</w:t>
      </w:r>
    </w:p>
    <w:p/>
    <w:p>
      <w:pPr>
        <w:jc w:val="both"/>
      </w:pPr>
      <w:r>
        <w:rPr>
          <w:rFonts w:hint="eastAsia"/>
          <w:lang w:eastAsia="zh-CN"/>
        </w:rPr>
        <w:t xml:space="preserve">3. </w:t>
      </w:r>
      <w:r>
        <w:t>Empirical Field Methods</w:t>
      </w:r>
    </w:p>
    <w:p>
      <w:r>
        <w:t>This strand integrates both semi-structured interviews and audience feedback gathered through public exhibitions.</w:t>
      </w:r>
    </w:p>
    <w:p/>
    <w:p>
      <w:r>
        <w:t>Semi-Structured Interviews. To gain in-depth perspectives on co-hosting ethics, affective labor, and trust dynamics, the study will conduct interviews with 20 participants, stratified across four professional categories: AI developers (n=5), Veteran broadcasters (n=7), Junior anchors (n=3), Media ethicists (n=5).</w:t>
      </w:r>
    </w:p>
    <w:p/>
    <w:p>
      <w:r>
        <w:t>All interviews will be conducted online (Zoom or Tencent Meeting) or in person based on location. Each session will last 45‒60 minutes, use a semi-flexible interview script, and be audio-recorded with consent. Transcripts will be coded in NVivo using thematic analysis. Stimulus materials will include three curated video clips (AI-only, human-only, hybrid), and a reaction-mapping task using Plutchik’s (2001) emotion wheel. This builds on Zhang and Li’s (2022) concern for professionalism and transparency, and Dong and Ding’s (2021) emphasis on emotional stylization in Chinese virtual anchors.</w:t>
      </w:r>
    </w:p>
    <w:p/>
    <w:p>
      <w:pPr>
        <w:rPr>
          <w:rFonts w:hint="default"/>
          <w:lang w:val="en-US"/>
        </w:rPr>
      </w:pPr>
      <w:r>
        <w:t>Audience Feedback from Exhibitions. Two public exhibitions serve as participatory research contexts:</w:t>
      </w:r>
      <w:r>
        <w:rPr>
          <w:rFonts w:hint="default"/>
          <w:lang w:val="en-US"/>
        </w:rPr>
        <w:t xml:space="preserve"> </w:t>
      </w:r>
    </w:p>
    <w:p>
      <w:pPr>
        <w:rPr>
          <w:rFonts w:hint="default"/>
          <w:lang w:val="en-US"/>
        </w:rPr>
      </w:pPr>
      <w:r>
        <w:t>2024 Exhibition: Broadcast Anchors vs AI, with 92 valid questionnaires on emotional trust, presenter credibility, and substitution anxiety</w:t>
      </w:r>
      <w:r>
        <w:rPr>
          <w:rFonts w:hint="default"/>
          <w:lang w:val="en-US"/>
        </w:rPr>
        <w:t xml:space="preserve">; </w:t>
      </w:r>
    </w:p>
    <w:p>
      <w:r>
        <w:t>Future Showcase: Co-Present: Human + AI, exploring multimodal emotion delivery in hybrid news environments.</w:t>
      </w:r>
    </w:p>
    <w:p/>
    <w:p>
      <w:r>
        <w:t>Planned features include AR comparison booths, trust-rating quizzes, comment walls, and optional eye-tracking for 20 participants. Collected data includes Likert trust ratings, format preferences, open-ended reflections, and emotional surprise/mistrust narratives. These exhibitions act as embodied field sites where AI-human trust is co-performed and tested in real time.</w:t>
      </w:r>
    </w:p>
    <w:p/>
    <w:p>
      <w:pPr>
        <w:jc w:val="both"/>
      </w:pPr>
      <w:r>
        <w:rPr>
          <w:rFonts w:hint="eastAsia"/>
          <w:lang w:eastAsia="zh-CN"/>
        </w:rPr>
        <w:t xml:space="preserve">4. </w:t>
      </w:r>
      <w:r>
        <w:t>Ethics and Data Security</w:t>
      </w:r>
    </w:p>
    <w:p>
      <w:r>
        <w:t>Ethical approval is being obtained via UWTSD. Protocols include:</w:t>
      </w:r>
      <w:r>
        <w:rPr>
          <w:rFonts w:hint="eastAsia"/>
          <w:lang w:val="en-US" w:eastAsia="zh-CN"/>
        </w:rPr>
        <w:t xml:space="preserve"> </w:t>
      </w:r>
      <w:r>
        <w:t>Transparent AI labeling (per BBC R&amp;D, 2023)</w:t>
      </w:r>
      <w:r>
        <w:rPr>
          <w:rFonts w:hint="default"/>
          <w:lang w:val="en-US"/>
        </w:rPr>
        <w:t>;</w:t>
      </w:r>
      <w:r>
        <w:rPr>
          <w:rFonts w:hint="eastAsia"/>
          <w:lang w:val="en-US" w:eastAsia="zh-CN"/>
        </w:rPr>
        <w:t xml:space="preserve"> </w:t>
      </w:r>
      <w:r>
        <w:t>Appendix documenting AI tool settings (e.g., emotional intensity, prosody)</w:t>
      </w:r>
      <w:r>
        <w:rPr>
          <w:rFonts w:hint="default"/>
          <w:lang w:val="en-US"/>
        </w:rPr>
        <w:t>;</w:t>
      </w:r>
      <w:r>
        <w:rPr>
          <w:rFonts w:hint="eastAsia"/>
          <w:lang w:val="en-US" w:eastAsia="zh-CN"/>
        </w:rPr>
        <w:t xml:space="preserve"> </w:t>
      </w:r>
      <w:r>
        <w:t>Tiered consent, anonymized IDs, and encrypted storage.</w:t>
      </w:r>
      <w:r>
        <w:rPr>
          <w:rFonts w:hint="default"/>
          <w:lang w:val="en-US"/>
        </w:rPr>
        <w:t xml:space="preserve"> </w:t>
      </w:r>
      <w:r>
        <w:t>IBM’s AIF360 toolkit supports fairness during avatar calibration. Sensitive content may be redacted upon request.</w:t>
      </w:r>
    </w:p>
    <w:p/>
    <w:p>
      <w:pPr>
        <w:jc w:val="both"/>
      </w:pPr>
      <w:r>
        <w:rPr>
          <w:rFonts w:hint="eastAsia"/>
          <w:lang w:eastAsia="zh-CN"/>
        </w:rPr>
        <w:t xml:space="preserve">5. </w:t>
      </w:r>
      <w:r>
        <w:t>Data Management</w:t>
      </w:r>
    </w:p>
    <w:p>
      <w:r>
        <w:t>All materials (logs, transcripts, surveys) are stored securely on UWTSD servers. Access is limited to the researcher and supervisors. Data will be kept for five years, followed by secure deletion. A positionality log is maintained to track interpretive bias.</w:t>
      </w:r>
    </w:p>
    <w:p/>
    <w:p>
      <w:r>
        <w:rPr>
          <w:rFonts w:hint="eastAsia"/>
          <w:lang w:eastAsia="zh-CN"/>
        </w:rPr>
        <w:t>6.</w:t>
      </w:r>
      <w:r>
        <w:t xml:space="preserve"> Analytical Framework</w:t>
      </w:r>
    </w:p>
    <w:p>
      <w:r>
        <w:t>The analysis applies a triangulated three-level model:</w:t>
      </w:r>
    </w:p>
    <w:p>
      <w:pPr>
        <w:numPr>
          <w:ilvl w:val="0"/>
          <w:numId w:val="0"/>
        </w:numPr>
        <w:ind w:leftChars="0"/>
        <w:rPr>
          <w:rFonts w:hint="default"/>
          <w:lang w:val="en-US"/>
        </w:rPr>
      </w:pPr>
      <w:r>
        <w:t>Micro-level: ELAN-based annotation of prosody, gesture, and timing from video diaries</w:t>
      </w:r>
      <w:r>
        <w:rPr>
          <w:rFonts w:hint="default"/>
          <w:lang w:val="en-US"/>
        </w:rPr>
        <w:t>;</w:t>
      </w:r>
    </w:p>
    <w:p>
      <w:pPr>
        <w:numPr>
          <w:ilvl w:val="0"/>
          <w:numId w:val="0"/>
        </w:numPr>
        <w:ind w:leftChars="0"/>
        <w:rPr>
          <w:rFonts w:hint="default"/>
          <w:lang w:val="en-US"/>
        </w:rPr>
      </w:pPr>
      <w:r>
        <w:t>Meso-level: Thematic comparison of interviews and netnographic themes in NVivo</w:t>
      </w:r>
      <w:r>
        <w:rPr>
          <w:rFonts w:hint="default"/>
          <w:lang w:val="en-US"/>
        </w:rPr>
        <w:t>;</w:t>
      </w:r>
    </w:p>
    <w:p>
      <w:pPr>
        <w:numPr>
          <w:ilvl w:val="0"/>
          <w:numId w:val="0"/>
        </w:numPr>
        <w:ind w:leftChars="0"/>
      </w:pPr>
      <w:r>
        <w:t xml:space="preserve">Macro-level: Critical discourse analysis of institutional norms and policy documents (e.g., Chinese AI guidelines). </w:t>
      </w:r>
    </w:p>
    <w:p>
      <w:pPr>
        <w:numPr>
          <w:ilvl w:val="0"/>
          <w:numId w:val="0"/>
        </w:numPr>
        <w:ind w:leftChars="0"/>
      </w:pPr>
    </w:p>
    <w:p>
      <w:r>
        <w:t>Although primarily qualitative, the study follows an explanatory sequential model for integrating mixed-method data. Emergent themes from qualitative analysis (e.g., emotional resonance patterns) will guide survey construction, while outlier trends in quantitative data (e.g., unexpected trust ratings) will be re-contextualized through follow-up interviews or reflexive review.</w:t>
      </w:r>
    </w:p>
    <w:p/>
    <w:p>
      <w:r>
        <w:t>A custom Emotional Synchronization Index (ESI) is under development to quantify alignment between human and AI co-hosts, using indicators such as pitch variation, gaze direction, and audience empathy ratings.</w:t>
      </w:r>
    </w:p>
    <w:p/>
    <w:p>
      <w:r>
        <w:t>7. Methodological Innovation and Contribution</w:t>
      </w:r>
    </w:p>
    <w:p>
      <w:r>
        <w:t>This study aims to contribute methodologically to the evolving field of AI–human collaboration in media. It advances current qualitative practice by integrating interdisciplinary theory with participatory and practice-based inquiry. Notable planned innovations include:</w:t>
      </w:r>
    </w:p>
    <w:p/>
    <w:p>
      <w:r>
        <w:t>Development of an Emotional Synchronization Index (ESI): A bespoke metric currently in development to evaluate real-time affective alignment between human and AI co-anchors. Unlike traditional sentiment analysis, the ESI draws on multimodal inputs—prosody, gesture, gaze, and viewer empathy ratings—collected through field experiments.</w:t>
      </w:r>
    </w:p>
    <w:p/>
    <w:p>
      <w:r>
        <w:t>Dual-role Autoethnography: Drawing on the researcher’s hybrid experience as both a television broadcaster and AI avatar content creator, this strand offers a situated perspective on emotional labor, identity transformation, and the tensions inherent in synthetic journalism.</w:t>
      </w:r>
    </w:p>
    <w:p/>
    <w:p>
      <w:r>
        <w:t>Exhibition-as-Fieldwork Model: Interactive public exhibitions are proposed as immersive, embodied research sites. Tools such as AR comparison booths, emotion-mapping tasks, and optional eye-tracking are used to convert audience participation into situated ethnographic data.</w:t>
      </w:r>
    </w:p>
    <w:p/>
    <w:p>
      <w:r>
        <w:t>Communication Theory Integration into Field Methods: Rather than serving solely as an analytical lens, communication theories—Uses and Gratifications, Parasocial Interaction, and Affective Disposition—are integrated directly into the design of audience feedback instruments. This methodological bridging reinforces both academic coherence and applied insight.</w:t>
      </w:r>
    </w:p>
    <w:p/>
    <w:p>
      <w:r>
        <w:t>Through this triangulated and reflexive approach, the study proposes a culturally attuned, ethically grounded strategy for exploring hybrid news systems. It informs ongoing theoretical debates on affect and automation while offering practical tools for evaluating credibility and emotion in co-anchored formats. These innovations not only extend qualitative methodology, but also provide scalable templates adaptable to future cross-cultural and comparative research.</w:t>
      </w:r>
    </w:p>
    <w:p/>
    <w:p>
      <w:r>
        <w:rPr>
          <w:rFonts w:hint="eastAsia"/>
          <w:lang w:eastAsia="zh-CN"/>
        </w:rPr>
        <w:t xml:space="preserve">8. </w:t>
      </w:r>
      <w:r>
        <w:t>Appropriateness, Limitations, and Alternative Approaches</w:t>
      </w:r>
    </w:p>
    <w:p>
      <w:r>
        <w:t>The selected multi-method qualitative design aligns well with the research aim: exploring emotional trust, credibility, and affective interaction in culturally embedded contexts. It enables deep, reflexive, and embodied insights that are often inaccessible through surveys or automated sentiment analysis. The triangulation of autoethnography, netnography, and participatory exhibitions enhances methodological depth and stakeholder engagement.</w:t>
      </w:r>
    </w:p>
    <w:p/>
    <w:p>
      <w:r>
        <w:t>However, qualitative approaches have inherent limitations in scalability and generalisability. Their interpretive nature requires ongoing reflexivity and transparent data handling. While large-scale experiments and sentiment-mining tools are not employed here, they may inform future studies aiming to model audience responses or validate emerging patterns. The chosen methods reflect a need to capture emotional nuance, sociocultural meaning, and multimodal dynamics in AI–human broadcasting. Tools like facial EMG and automated sentiment detection were considered but excluded due to their limited interpretive capacity.</w:t>
      </w:r>
    </w:p>
    <w:p/>
    <w:p>
      <w:pPr>
        <w:rPr>
          <w:lang w:eastAsia="zh-CN"/>
        </w:rPr>
      </w:pPr>
      <w:r>
        <w:t>Future research could integrate biometric tracking or machine learning to quantify affective responses or use A/B testing with larger cohorts to explore generalisability. Yet such approaches risk oversimplifying emotional engagement into quantifiable signals. This study instead prioritizes interpretive depth and cultural sensitivity—trade-offs consistent with its constructivist aims.</w:t>
      </w:r>
      <w:r>
        <w:rPr>
          <w:lang w:eastAsia="zh-CN"/>
        </w:rPr>
        <w:br w:type="page"/>
      </w:r>
    </w:p>
    <w:p>
      <w:pPr>
        <w:pStyle w:val="2"/>
        <w:rPr>
          <w:lang w:eastAsia="zh-CN"/>
        </w:rPr>
      </w:pPr>
      <w:bookmarkStart w:id="4" w:name="_Toc195741148"/>
      <w:r>
        <w:rPr>
          <w:lang w:eastAsia="zh-CN"/>
        </w:rPr>
        <w:t>Discussion and Analysis</w:t>
      </w:r>
      <w:bookmarkEnd w:id="4"/>
    </w:p>
    <w:p>
      <w:r>
        <w:t>1. Alignment between Research Design and Research Questions</w:t>
      </w:r>
    </w:p>
    <w:p>
      <w:r>
        <w:t>The research investigates which models of human–AI collaboration can enhance emotional engagement and audience trust. It adopts a qualitative, interpretivist approach grounded in constructivist ontology, using methods including autoethnography, netnography, semi-structured interviews, and participatory exhibitions.</w:t>
      </w:r>
    </w:p>
    <w:p/>
    <w:p>
      <w:r>
        <w:t>This methodology is well-suited to exploring the nuanced and socially constructed nature of trust and emotional credibility in mediated contexts. The combination of personal reflection and public engagement provides insight into how meaning is co-created across human–machine boundaries. Early findings from the 2024 exhibition suggest that audience perceptions vary depending on both content type and anchoring format, validating the need for a typology of collaboration models and tools like the Emotional Synchronization Index (ESI).</w:t>
      </w:r>
    </w:p>
    <w:p/>
    <w:p>
      <w:r>
        <w:t>But this design also raises some concerns. Using autoethnography brings valuable insider insight, yet it can introduce bias because the researcher is both the presenter and the AI designer. To manage this, the study cross-checks different data sources and uses reflective journaling, following Tandoc and Maitra’s (2022) guidance on keeping interpretations trustworthy.</w:t>
      </w:r>
      <w:r>
        <w:rPr>
          <w:rFonts w:hint="eastAsia"/>
          <w:lang w:eastAsia="zh-CN"/>
        </w:rPr>
        <w:t xml:space="preserve"> </w:t>
      </w:r>
      <w:r>
        <w:t>Another difficulty is measuring emotional credibility. The Emotional Sensitivity Index (ESI) provides a useful overall score, but it may overlook key factors like social context, cultural background, and empathy (Lischer, 2021). Future versions could add physiological data or storytelling methods to better capture emotional responses.</w:t>
      </w:r>
    </w:p>
    <w:p/>
    <w:p>
      <w:r>
        <w:t>Cultural differences make things even more complex. While the study looks at Chinese and Western audiences, global media habits aren’t easily divided by region. The lack of input from areas like Africa or Latin America may also limit the findings. Hermida and Young (2019) highlight the importance of including diverse voices in media tech research.</w:t>
      </w:r>
    </w:p>
    <w:p>
      <w:pPr>
        <w:rPr>
          <w:u w:val="single"/>
        </w:rPr>
      </w:pPr>
    </w:p>
    <w:p>
      <w:r>
        <w:t>In addition, the rapid pace of AI development presents a timing challenge. Technologies seen as emotionally limited today may soon evolve. To stay relevant, this study focuses on core patterns of human–machine interaction rather than on specific tools, aiming for longer-lasting conceptual value.</w:t>
      </w:r>
      <w:r>
        <w:rPr>
          <w:rFonts w:hint="eastAsia"/>
          <w:lang w:eastAsia="zh-CN"/>
        </w:rPr>
        <w:t xml:space="preserve"> </w:t>
      </w:r>
      <w:r>
        <w:t>These factors highlight the necessity of methodological flexibility, reflexivity, and cultural awareness in the next stage of the research.</w:t>
      </w:r>
    </w:p>
    <w:p/>
    <w:p>
      <w:r>
        <w:t>2. Collaboration Models: Patterns and Propositions</w:t>
      </w:r>
    </w:p>
    <w:p>
      <w:r>
        <w:t>Through theoretical synthesis and early exhibition feedback, this study proposes three models of AI–human news collaboration:</w:t>
      </w:r>
    </w:p>
    <w:p>
      <w:r>
        <w:t>Full Replacement: AI anchors deliver all content independently;</w:t>
      </w:r>
    </w:p>
    <w:p>
      <w:r>
        <w:t>Supportive: AI enhances human presentation (e.g., through translation or overlays);</w:t>
      </w:r>
    </w:p>
    <w:p>
      <w:r>
        <w:t>Co-hosting: Human and AI anchors appear together and share roles.</w:t>
      </w:r>
    </w:p>
    <w:p/>
    <w:p>
      <w:r>
        <w:t>These models reflect current experimentation in media settings. Xinhua’s AI anchors and HeyGen’s multilingual clips exemplify the full replacement model, often used for neutral, low-affect content like finance or weather. BBC’s automated captioning and CGTN’s translation systems illustrate the supportive model, where AI assists without replacing the human anchor. Co-hosting models, such as those in CCTV’s Spring Festival Gala or MBN TV’s AI-human segments, offer more visible interaction but also raise concerns about affective authenticity.</w:t>
      </w:r>
    </w:p>
    <w:p/>
    <w:p>
      <w:r>
        <w:t>Based on preliminary feedback, the supportive model appears most acceptable to general audiences. It balances technological novelty with emotional clarity. In contrast, co-hosting formats, while engaging, risk confusing viewers about the emotional capabilities and communicative intent of AI, leading to what Guzman and Lewis (2020) call “emotional misattribution.” Full replacement is tolerated only in contexts where affect is minimal, echoing findings from Haim and Graefe (2018).</w:t>
      </w:r>
    </w:p>
    <w:p/>
    <w:p>
      <w:r>
        <w:t>Netnographic observations reinforce these insights. On platforms like Bilibili, collaborative content—such as co-hosting formats—tends to generate higher engagement, especially when creators leverage community features and interactive tools. Bilibili’s 2023 Annual Report notes that professional user-generated videos (PUGVs) and live broadcasting both contributed to a 25% year-on-year increase in total daily video views, reaching 4.3 billion in 2023, reflecting the platform’s strong engagement with diverse and interactive content formats (Bilibili, 2024). Research also shows that Bilibili’s audience, primarily Gen Z, values authenticity, creativity, and community participation, which are often enhanced through collaborative and avatar-driven content (BWB Agency, 2025). In contrast, viewers on traditional television or official platforms tend to favour the supportive model, prioritising empathy, professionalism, and ethical clarity. Studies indicate that traditional news anchors build trust through authoritative presentation, formal attire, and standardised language, which help establish credibility and reliability in the eyes of the audience (Clausius Press, 2024). Comparative studies of virtual and traditional anchors further highlight the continued importance of human anchors for trust and emotional connection in conventional media environments (Library Progress International, 2024). These patterns suggest that the acceptance of different collaboration models is shaped by platform culture, content genre, and audience demographics.</w:t>
      </w:r>
    </w:p>
    <w:p/>
    <w:p>
      <w:r>
        <w:t>3. Mechanical Sincerity and Digital-Native Familiarity</w:t>
      </w:r>
    </w:p>
    <w:p>
      <w:r>
        <w:t>A key insight from preliminary data is the emerging concept of mechanical sincerity. While the "uncanny valley" hypothesis (Mori et al., 2012) suggests discomfort when machines mimic humans imperfectly, some Gen Z viewers interpret AI’s emotional neutrality not as unsettling, but as a form of authenticity.</w:t>
      </w:r>
    </w:p>
    <w:p/>
    <w:p>
      <w:r>
        <w:t>Feedback from the Residuum 2024 exhibition—where participants engaged with both AI and human anchors in a blind setting—revealed that although 82% of respondents preferred the human anchor, citing emotional connection and authenticity, 18% explicitly favored the AI host (Huang, 2024). This minority group often referenced the AI’s composure and consistency as positive attributes. Additionally, 79% correctly identified the AI avatar, suggesting that while realism is improving, human-AI differences remain perceptible.</w:t>
      </w:r>
    </w:p>
    <w:p/>
    <w:p/>
    <w:p>
      <w:r>
        <w:drawing>
          <wp:inline distT="0" distB="0" distL="114300" distR="114300">
            <wp:extent cx="5267960" cy="3268980"/>
            <wp:effectExtent l="0" t="0" r="15240" b="7620"/>
            <wp:docPr id="971770673" name="图片 971770673" descr="截屏2025-04-14 19.4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70673" name="图片 971770673" descr="截屏2025-04-14 19.46.24"/>
                    <pic:cNvPicPr>
                      <a:picLocks noChangeAspect="1"/>
                    </pic:cNvPicPr>
                  </pic:nvPicPr>
                  <pic:blipFill>
                    <a:blip r:embed="rId8"/>
                    <a:stretch>
                      <a:fillRect/>
                    </a:stretch>
                  </pic:blipFill>
                  <pic:spPr>
                    <a:xfrm>
                      <a:off x="0" y="0"/>
                      <a:ext cx="5267960" cy="3268980"/>
                    </a:xfrm>
                    <a:prstGeom prst="rect">
                      <a:avLst/>
                    </a:prstGeom>
                  </pic:spPr>
                </pic:pic>
              </a:graphicData>
            </a:graphic>
          </wp:inline>
        </w:drawing>
      </w:r>
    </w:p>
    <w:p>
      <w:pPr>
        <w:jc w:val="center"/>
      </w:pPr>
      <w:r>
        <w:t>Figure 3: Audience Perceptions of AI and Human Anchors in the 2024 Residuum Exhibition (Huang, 2024)</w:t>
      </w:r>
    </w:p>
    <w:p/>
    <w:p/>
    <w:p>
      <w:pPr>
        <w:jc w:val="center"/>
      </w:pPr>
    </w:p>
    <w:p>
      <w:pPr>
        <w:jc w:val="center"/>
      </w:pPr>
    </w:p>
    <w:p>
      <w:pPr>
        <w:jc w:val="center"/>
      </w:pPr>
    </w:p>
    <w:p>
      <w:pPr>
        <w:jc w:val="center"/>
      </w:pPr>
    </w:p>
    <w:p>
      <w:pPr>
        <w:jc w:val="center"/>
      </w:pPr>
      <w:r>
        <w:drawing>
          <wp:inline distT="0" distB="0" distL="114300" distR="114300">
            <wp:extent cx="4604385" cy="6139815"/>
            <wp:effectExtent l="0" t="0" r="18415" b="6985"/>
            <wp:docPr id="2" name="图片 2"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1"/>
                    <pic:cNvPicPr>
                      <a:picLocks noChangeAspect="1"/>
                    </pic:cNvPicPr>
                  </pic:nvPicPr>
                  <pic:blipFill>
                    <a:blip r:embed="rId9"/>
                    <a:stretch>
                      <a:fillRect/>
                    </a:stretch>
                  </pic:blipFill>
                  <pic:spPr>
                    <a:xfrm>
                      <a:off x="0" y="0"/>
                      <a:ext cx="4604385" cy="6139815"/>
                    </a:xfrm>
                    <a:prstGeom prst="rect">
                      <a:avLst/>
                    </a:prstGeom>
                  </pic:spPr>
                </pic:pic>
              </a:graphicData>
            </a:graphic>
          </wp:inline>
        </w:drawing>
      </w:r>
      <w:r>
        <w:t xml:space="preserve">  </w:t>
      </w:r>
    </w:p>
    <w:p>
      <w:pPr>
        <w:jc w:val="center"/>
      </w:pPr>
      <w:r>
        <w:t>Figure 4: Exhibition Scene</w:t>
      </w:r>
    </w:p>
    <w:p>
      <w:pPr>
        <w:jc w:val="center"/>
      </w:pPr>
      <w:r>
        <w:t>(Huang, 2024)</w:t>
      </w:r>
    </w:p>
    <w:p/>
    <w:p>
      <w:r>
        <w:t>These nuanced responses echo broader generational patterns. A 2024 report by Sprout Social found that Gen Z users are 46% more likely than older groups to express interest in AI influencers, and less concerned with emotional authenticity in media content (Sprout Social, 2024). A Gallup study commissioned by the Walton Family Foundation similarly reported that while 40% of Gen Z respondents feel anxious about AI, nearly half believe AI literacy is essential for their future careers (Gallup &amp; Walton Family Foundation, 2024).</w:t>
      </w:r>
    </w:p>
    <w:p/>
    <w:p>
      <w:r>
        <w:t>Taken together, these findings suggest that while human anchors remain dominant in terms of emotional appeal, AI presenters may still resonate with younger digital-native audiences under specific conditions. This necessitates a reconsideration of human-centric norms of authenticity and opens up interpretive possibilities for AI design in news broadcasting. The study anticipates that future testing will confirm generational and cultural variations in affective tolerance and trust.</w:t>
      </w:r>
    </w:p>
    <w:p/>
    <w:p>
      <w:r>
        <w:t>4. Reframing Emotional Engagement Through Theory</w:t>
      </w:r>
    </w:p>
    <w:p>
      <w:r>
        <w:t>The research draws on three core communication theories to interpret audience reactions:</w:t>
      </w:r>
    </w:p>
    <w:p>
      <w:r>
        <w:t>Uses and Gratifications Theory (Katz et al., 1973) explains diverse motivations behind audience choices. Some seek efficiency and clarity—attributes associated with AI—while others prioritize relational connection, favoring human or hybrid anchors.</w:t>
      </w:r>
    </w:p>
    <w:p/>
    <w:p>
      <w:r>
        <w:t>Affective Disposition Theory (Zillmann &amp; Cantor, 1977) posits that trust arises from alignment between presenter and viewer. However, the notion of mechanical sincerity complicates this, suggesting that affective neutrality can itself signal reliability.</w:t>
      </w:r>
    </w:p>
    <w:p/>
    <w:p>
      <w:r>
        <w:t>Posthumanist Theory (Hayles, 1999; Braidotti, 2013) provides a non-binary framework for understanding the anchor as a “cyborg communicator.” Zhang and Li’s (2022) concept of the hybrid anchor reframes emotional performance as a relational negotiation rather than an innate trait.</w:t>
      </w:r>
      <w:r>
        <w:rPr>
          <w:rFonts w:hint="eastAsia"/>
          <w:lang w:eastAsia="zh-CN"/>
        </w:rPr>
        <w:t xml:space="preserve"> </w:t>
      </w:r>
      <w:r>
        <w:t>These frameworks help decenter anthropocentrism and recognize AI as a legitimate, though different, actor in the emotional ecology of news broadcasting.</w:t>
      </w:r>
    </w:p>
    <w:p/>
    <w:p>
      <w:r>
        <w:t>5. Ethical Reflections and Design Implications</w:t>
      </w:r>
    </w:p>
    <w:p>
      <w:r>
        <w:t>Ethical concerns surfaced across both literature and early audience responses. Fang et al. (2023) and exhibition feedback highlight discomfort with hyper-feminized AI avatars, suggesting that gender stereotyping remains an unresolved issue in avatar design. This reinforces Noble’s (2018) critique that AI often reproduces social biases unless intentionally corrected.</w:t>
      </w:r>
    </w:p>
    <w:p/>
    <w:p>
      <w:r>
        <w:t>Carlson (2018) raises the issue of algorithmic opacity, echoed by audience confusion over whether AI segments were pre-scripted or autonomous. This underlines the importance of transparency in AI-human formats. The integration of explainable AI (XAI) principles and clear visual cues will be vital in managing audience expectations.</w:t>
      </w:r>
    </w:p>
    <w:p/>
    <w:p>
      <w:r>
        <w:t>Additionally, as co-anchoring technologies evolve, audiences may demand more participatory input into how AI anchors are developed. Participatory design—where users help shape the appearance, voice, and demeanor of AI avatars—may increase emotional identification and cultural relevance while reducing aesthetic bias.</w:t>
      </w:r>
    </w:p>
    <w:p/>
    <w:p>
      <w:r>
        <w:t>6. Current Limitations</w:t>
      </w:r>
    </w:p>
    <w:p>
      <w:r>
        <w:t xml:space="preserve">Given the study’s ongoing nature, all claims remain provisional. </w:t>
      </w:r>
    </w:p>
    <w:p>
      <w:r>
        <w:t>This discussion is grounded in:</w:t>
      </w:r>
    </w:p>
    <w:p>
      <w:r>
        <w:t>A literature review from communication and media studies;</w:t>
      </w:r>
    </w:p>
    <w:p>
      <w:r>
        <w:t>Conceptual development from earlier modules;</w:t>
      </w:r>
    </w:p>
    <w:p>
      <w:r>
        <w:t>Autoethnographic and exhibition-based insights;</w:t>
      </w:r>
    </w:p>
    <w:p>
      <w:r>
        <w:t>Early audience feedback and netnographic data.</w:t>
      </w:r>
    </w:p>
    <w:p/>
    <w:p>
      <w:r>
        <w:t>The full series of interviews and surveys is forthcoming and will provide a more robust empirical foundation. Therefore, the interpretations here function as informed hypotheses to guide the next stage of inquiry.</w:t>
      </w:r>
    </w:p>
    <w:p/>
    <w:p>
      <w:r>
        <w:t>7. Anticipated Contributions and Future Directions</w:t>
      </w:r>
    </w:p>
    <w:p>
      <w:r>
        <w:t>Despite its limitations, this research offers several anticipated contributions:</w:t>
      </w:r>
    </w:p>
    <w:p>
      <w:r>
        <w:t>It introduces mechanical sincerity as a credible emotional affordance, particularly relevant for younger, digital-native audiences;</w:t>
      </w:r>
    </w:p>
    <w:p>
      <w:r>
        <w:t>It highlights the contextual and cultural flexibility of trust in hybrid anchor formats;</w:t>
      </w:r>
    </w:p>
    <w:p>
      <w:r>
        <w:t>It proposes a roadmap for the development of the Emotional Synchronization Index (ESI) as a tool for real-time affective analysis.</w:t>
      </w:r>
    </w:p>
    <w:p/>
    <w:p>
      <w:r>
        <w:t>Future research will aim to:</w:t>
      </w:r>
    </w:p>
    <w:p>
      <w:pPr>
        <w:pStyle w:val="20"/>
        <w:numPr>
          <w:ilvl w:val="0"/>
          <w:numId w:val="4"/>
        </w:numPr>
        <w:ind w:left="425" w:leftChars="0" w:hanging="425" w:firstLineChars="0"/>
      </w:pPr>
      <w:r>
        <w:t>Test the ESI through audience feedback in controlled environments;</w:t>
      </w:r>
    </w:p>
    <w:p>
      <w:pPr>
        <w:pStyle w:val="20"/>
        <w:numPr>
          <w:ilvl w:val="0"/>
          <w:numId w:val="4"/>
        </w:numPr>
        <w:ind w:left="425" w:leftChars="0" w:hanging="425" w:firstLineChars="0"/>
      </w:pPr>
      <w:r>
        <w:t>Compare audience responses across age groups and cultural contexts;</w:t>
      </w:r>
    </w:p>
    <w:p>
      <w:pPr>
        <w:pStyle w:val="20"/>
        <w:numPr>
          <w:ilvl w:val="0"/>
          <w:numId w:val="4"/>
        </w:numPr>
        <w:ind w:left="425" w:leftChars="0" w:hanging="425" w:firstLineChars="0"/>
      </w:pPr>
      <w:r>
        <w:t>Explore participatory avatar design to promote ethical and inclusive development;</w:t>
      </w:r>
    </w:p>
    <w:p>
      <w:pPr>
        <w:pStyle w:val="20"/>
        <w:numPr>
          <w:ilvl w:val="0"/>
          <w:numId w:val="4"/>
        </w:numPr>
        <w:ind w:left="425" w:leftChars="0" w:hanging="425" w:firstLineChars="0"/>
      </w:pPr>
      <w:r>
        <w:t>Investigate disclosure policies around AI voice/image rights;</w:t>
      </w:r>
    </w:p>
    <w:p>
      <w:pPr>
        <w:pStyle w:val="20"/>
        <w:numPr>
          <w:ilvl w:val="0"/>
          <w:numId w:val="4"/>
        </w:numPr>
        <w:ind w:left="425" w:leftChars="0" w:hanging="425" w:firstLineChars="0"/>
      </w:pPr>
      <w:r>
        <w:t>Observe long-term trends in trust and emotional preference for hybrid formats.</w:t>
      </w:r>
    </w:p>
    <w:p>
      <w:pPr>
        <w:rPr>
          <w:b/>
          <w:bCs w:val="0"/>
        </w:rPr>
      </w:pPr>
    </w:p>
    <w:p>
      <w:r>
        <w:t>These emerging hypotheses—including mechanical sincerity and generational affective preference—lay the groundwork for the study’s next stage. Rather than replicating human affect, future broadcast AI systems may evolve toward fostering new forms of relational credibility, where emotional clarity and ethical transparency coexist with technical innovation.</w:t>
      </w:r>
    </w:p>
    <w:p>
      <w:pPr>
        <w:widowControl/>
        <w:rPr>
          <w:lang w:eastAsia="zh-CN"/>
        </w:rPr>
      </w:pPr>
      <w:r>
        <w:rPr>
          <w:lang w:eastAsia="zh-CN"/>
        </w:rPr>
        <w:br w:type="page"/>
      </w:r>
    </w:p>
    <w:p>
      <w:pPr>
        <w:rPr>
          <w:lang w:eastAsia="zh-CN"/>
        </w:rPr>
      </w:pPr>
    </w:p>
    <w:p>
      <w:pPr>
        <w:pStyle w:val="2"/>
        <w:rPr>
          <w:lang w:eastAsia="zh-CN"/>
        </w:rPr>
      </w:pPr>
      <w:bookmarkStart w:id="5" w:name="_Toc195741149"/>
      <w:r>
        <w:rPr>
          <w:lang w:eastAsia="zh-CN"/>
        </w:rPr>
        <w:t>Conclusion</w:t>
      </w:r>
      <w:bookmarkEnd w:id="5"/>
    </w:p>
    <w:p>
      <w:r>
        <w:t>This study set out to explore how collaborative models between human anchors and AI systems might sustain emotional resonance, preserve trust, and improve audience experience in contemporary news broadcasting. Anchored in constructivist ontology, interpretivist epistemology, and posthumanist thinking, the research used a transdisciplinary, practice-based approach—combining autoethnography, netnography, semi-structured interviews, and participatory exhibition.</w:t>
      </w:r>
    </w:p>
    <w:p/>
    <w:p>
      <w:r>
        <w:t>So far, the investigation has focused on how different collaboration types—full replacement, supportive presence, and co-hosting—shape emotional responses and audience perceptions. Early findings suggest that while AI anchors offer speed and consistency, their affective neutrality can weaken trust, especially in emotionally charged reporting. The concept of “mechanical sincerity” has emerged as a lens through which Gen Z viewers, in particular, may interpret emotionless delivery as authentic. Among the models explored, the supportive format appears to offer the most balanced combination of efficiency and emotional credibility.</w:t>
      </w:r>
    </w:p>
    <w:p/>
    <w:p>
      <w:r>
        <w:t>Theoretical frameworks such as Uses and Gratifications, Affective Disposition Theory, and posthumanist perspectives have helped position AI not merely as a tool, but as a co-performer in hybrid broadcast settings. Future explorations may further investigate the potential of co-hosting formats and inform the refinement of the Emotional Synchronization Index (ESI) through additional public engagement and testing.</w:t>
      </w:r>
      <w:r>
        <w:rPr>
          <w:rFonts w:hint="eastAsia"/>
          <w:lang w:eastAsia="zh-CN"/>
        </w:rPr>
        <w:t xml:space="preserve"> </w:t>
      </w:r>
      <w:r>
        <w:t>Methodologically, the use of reflexive journaling and audience-centred feedback has highlighted the complexity of trust and emotion in human–AI interaction. The insights gained are not only conceptual, but also practical. Broadcasters may use this study as a reference for integrating AI through collaboration. Media organisations might apply the trust-based model when deploying AI avatars, and educators could consider incorporating affective AI literacy into broadcast training.</w:t>
      </w:r>
    </w:p>
    <w:p/>
    <w:p>
      <w:r>
        <w:t>Importantly, the research also surfaces ethical risks, such as algorithmic opacity and emotional ambiguity. These challenges underline the need for transparent design and inclusive development processes. Future stages will extend the study to cross-cultural audiences and test the application of ESI across generational contexts. In doing so, the research aspires to contribute to the ethical, emotional, and creative future of hybrid news broadcasting—where human intuition and machine capacity can complement each other meaningfully.</w:t>
      </w:r>
    </w:p>
    <w:p>
      <w:pPr>
        <w:rPr>
          <w:lang w:eastAsia="zh-CN"/>
        </w:rPr>
      </w:pPr>
    </w:p>
    <w:p>
      <w:pPr>
        <w:rPr>
          <w:lang w:eastAsia="zh-CN"/>
        </w:rPr>
      </w:pPr>
      <w:r>
        <w:rPr>
          <w:lang w:eastAsia="zh-CN"/>
        </w:rPr>
        <w:br w:type="page"/>
      </w:r>
    </w:p>
    <w:p>
      <w:pPr>
        <w:pStyle w:val="2"/>
        <w:rPr>
          <w:lang w:eastAsia="zh-CN"/>
        </w:rPr>
      </w:pPr>
      <w:bookmarkStart w:id="6" w:name="_Toc195741150"/>
      <w:r>
        <w:rPr>
          <w:rFonts w:hint="eastAsia"/>
          <w:lang w:eastAsia="zh-CN"/>
        </w:rPr>
        <w:t>Reference</w:t>
      </w:r>
      <w:bookmarkEnd w:id="6"/>
    </w:p>
    <w:p>
      <w:r>
        <w:t>BBC News (2018) China’s Xinhua agency unveils AI news presenter, BBC News, 8 November. Available at: https://www.bbc.com/news/technology-46136504 (Accessed: 20 April 2024).</w:t>
      </w:r>
    </w:p>
    <w:p/>
    <w:p>
      <w:r>
        <w:t>BBC News (2023) Use of Artificial Intelligence (AI). Available at: https://www.bbc.co.uk/editorialguidelines/guidance/use-of-artificial-intelligence (Accessed: 13 April 2025).</w:t>
      </w:r>
    </w:p>
    <w:p/>
    <w:p>
      <w:r>
        <w:t>Bilibili (2024) Bilibili Inc. 2023 Annual Report. Available at: https://ir.bilibili.com/media/lvrofkwj/bilibili-inc-2023-annual-report.pdf (Accessed: 14 April 2025).</w:t>
      </w:r>
    </w:p>
    <w:p/>
    <w:p>
      <w:r>
        <w:t>Braidotti, R. (2013) The Posthuman. Cambridge: Polity Press.</w:t>
      </w:r>
    </w:p>
    <w:p/>
    <w:p>
      <w:r>
        <w:t>BWB Agency (2025) ‘What is Bilibili: The cultural force of China’s younger generation and opportunities for brands in 2025’. Available at: https://www.bwb.agency/post/what-is-bilibili-the-cultural-force-of-china-s-younger-generation-and-opportunities-for-brands-in-2 (Accessed: 14 April 2025).</w:t>
      </w:r>
    </w:p>
    <w:p/>
    <w:p>
      <w:r>
        <w:t>Carlson, M. (2014) ‘The Robotic Reporter: Automated journalism and the redefinition of labor, compositional forms, and journalistic authority’, Digital Journalism, 3(3), pp. 416–431. doi: 10.1080/21670811.2014.976412.</w:t>
      </w:r>
    </w:p>
    <w:p/>
    <w:p>
      <w:r>
        <w:t>CCTV (2019) ‘“Twin brother” little Sa Beining to be laid off?’, CCTV, 29 January. Available at: https://tv.cctv.com/2019/01/29/VIDEGPBwLm7sAwRPUqAeWhPN190129.shtml (Accessed: 25 December 2024).</w:t>
      </w:r>
    </w:p>
    <w:p/>
    <w:p>
      <w:r>
        <w:t>CCTV (2021) CCTV News AI Sign Language Anchor Officially Debuted, 25 November. Available at: https://tv.cctv.com/2021/11/25/VIDEvdM9ij9diAzEvRNjlh3H211125.shtml (Accessed: 11 December 2024).</w:t>
      </w:r>
    </w:p>
    <w:p/>
    <w:p>
      <w:r>
        <w:t>CCTV (2024) Humanoid Robot Reports on Autonomous Driving in Beijing, 24 June. Available at: https://tv.cctv.com/2024/06/24/VIDEhfJJBG6uMuJvUDwrOiZh240624.shtml (Accessed: 20 December 2024).</w:t>
      </w:r>
    </w:p>
    <w:p/>
    <w:p>
      <w:r>
        <w:t>CGTN (2024) CMG launches AI channel and miniseries on digital platform Yangshipin, 22 March. Available at: https://news.cgtn.com/news/2024-03-22/CMG-launches-AI-channel-and-miniseries-on-digital-platform-Yangshipin-1sbbJxAuBTG/p.html (Accessed: 11 December 2024).</w:t>
      </w:r>
    </w:p>
    <w:p/>
    <w:p>
      <w:r>
        <w:t>Chaudhury, D.R. (2023) 'India's AI newsreaders are multilingual, cost-saving and “never tired”. Can they replace humans?', South China Morning Post, 24 July. Available at: https://www.scmp.com/week-asia/lifestyle-culture/article/3228570/ (Accessed: 1 January 2025).</w:t>
      </w:r>
    </w:p>
    <w:p/>
    <w:p>
      <w:r>
        <w:t>Choi, B.C.K. and Pak, A.W.P. (2006) 'Multidisciplinarity, interdisciplinarity and transdisciplinarity in health research, services, education and policy: 1. Definitions, objectives, and evidence of effectiveness', Clinical and Investigative Medicine, 29(6), pp. 351–364.</w:t>
      </w:r>
    </w:p>
    <w:p/>
    <w:p>
      <w:r>
        <w:t>Clausius Press (2024) ‘News Anchors in the Short Video Era: Balancing Authoritative Image and Audience Engagement’. Available at: https://www.clausiuspress.com/assets/default/article/2024/11/12/article_1731403153.pdf (Accessed: 14 April 2025).</w:t>
      </w:r>
    </w:p>
    <w:p/>
    <w:p>
      <w:r>
        <w:t>Diakopoulos, N. (2019) Automating the News: How Algorithms Are Rewriting the Media. Cambridge, MA: Harvard University Press.</w:t>
      </w:r>
    </w:p>
    <w:p/>
    <w:p>
      <w:r>
        <w:t>Dörr, K.N. (2016) ‘Mapping the field of algorithmic journalism’, Digital Journalism, 4(6), pp. 700–722. https://doi.org/10.1080/21670811.2015.1096748</w:t>
      </w:r>
    </w:p>
    <w:p/>
    <w:p>
      <w:r>
        <w:t>Dong, C. and Ding, Y. (2021) ‘Algorithmic avatars: Virtual anchors and emotional labor on short video platforms’, Guoji Xinwenjie [International Journalism], 43(2), pp. 45–62.</w:t>
      </w:r>
    </w:p>
    <w:p/>
    <w:p>
      <w:r>
        <w:t>Eubanks, V. (2017) Automating Inequality: How High-Tech Tools Profile, Police, and Punish the Poor. New York: St. Martin’s Press.</w:t>
      </w:r>
    </w:p>
    <w:p/>
    <w:p>
      <w:r>
        <w:t>Gallup &amp; Walton Family Foundation (2024) Gen Z and the Future of Work: Navigating AI Anxiety and Opportunity. Available at: https://www.businessinsider.com/genz-young-americans-anxious-ai-schools-career-gallup-survey-2025-4 (Accessed: 14 April 2025).</w:t>
      </w:r>
    </w:p>
    <w:p/>
    <w:p>
      <w:r>
        <w:t>Guzman, A.L. and Lewis, S.C. (2020) ‘Artificial intelligence and communication: A human–machine communication research agenda’, New Media &amp; Society, 22(1), pp. 70–86. https://doi.org/10.1177/1461444819858691</w:t>
      </w:r>
    </w:p>
    <w:p/>
    <w:p>
      <w:r>
        <w:t>Hayles, N.K. (1999) How We Became Posthuman: Virtual Bodies in Cybernetics, Literature, and Informatics. Chicago: University of Chicago Press.</w:t>
      </w:r>
    </w:p>
    <w:p/>
    <w:p>
      <w:r>
        <w:t>HeyGen (2024) 'HeyGen – AI Video Generator'. Available at: https://www.heygen.com (Accessed: 13 December 2024).</w:t>
      </w:r>
    </w:p>
    <w:p/>
    <w:p>
      <w:r>
        <w:t>HeyGen (2024) 'Introducing Avatar 2.0 – Instant Avatar'. Available at: https://www.heygen.com/article/introducing-avatar-2-0-instant-avatar (Accessed: 13 December 2024).</w:t>
      </w:r>
    </w:p>
    <w:p/>
    <w:p>
      <w:r>
        <w:t>Hermida, A. and Young, M.L. (2019) 'From peripheral to prominent: Embracing emotion in journalism', Journalism Studies, 20(14), pp. 1960–1977. https://doi.org/10.1080/1461670X.2018.1545599</w:t>
      </w:r>
    </w:p>
    <w:p/>
    <w:p>
      <w:r>
        <w:t>Hess, P. and Liberatore, S. (2023) 'Shock as news channel announces it’ll become first to use AI anchors from next year', Daily Mail, 13 December. Available at: https://www.dailymail.co.uk/sciencetech/article-12859887/ (Accessed: 22 December 2024).</w:t>
      </w:r>
    </w:p>
    <w:p/>
    <w:p>
      <w:r>
        <w:t>Horton, D. and Wohl, R.R. (1956) ‘Mass communication and para-social interaction: Observations on intimacy at a distance’, Psychiatry, 19(3), pp. 215–229. https://doi.org/10.1080/00332747.1956.11023049</w:t>
      </w:r>
    </w:p>
    <w:p/>
    <w:p>
      <w:r>
        <w:t>Huang, Y. (2024) Broadcast Anchors vs. AI: Evaluating the Potential for Complete Replacement. Unpublished MA report. University of Wales Trinity Saint David.</w:t>
      </w:r>
    </w:p>
    <w:p/>
    <w:p>
      <w:r>
        <w:t>iiMedia Research (2024) White Paper on the Development of China's Virtual Digital Human Industry in 2024. Available at: https://www.chujiaodt.com/hybgnew/4082.html?lang=en [Accessed 14 Apr 2025].</w:t>
      </w:r>
    </w:p>
    <w:p/>
    <w:p>
      <w:r>
        <w:t>Katz, E., Blumler, J.G. and Gurevitch, M. (1973) ‘Uses and gratifications research’, Public Opinion Quarterly, 37(4), pp. 509–523. https://doi.org/10.1086/268109</w:t>
      </w:r>
    </w:p>
    <w:p/>
    <w:p>
      <w:r>
        <w:t>Lewis, S.C. and Westlund, O. (2015) ‘Actors, actants, audiences, and activities in cross-media news work: A matrix and a research agenda’, Digital Journalism, 3(1), pp. 19–37. https://doi.org/10.1080/21670811.2014.927986</w:t>
      </w:r>
    </w:p>
    <w:p/>
    <w:p>
      <w:r>
        <w:t>Library Progress International (2024) ‘A Comparative Study of Virtual Anchor and Traditional Anchor in the Era of Artificial Intelligence’. Available at: https://bpasjournals.com/library-science/index.php/journal/article/download/1270/2209/5000 (Accessed: 14 April 2025).</w:t>
      </w:r>
    </w:p>
    <w:p/>
    <w:p>
      <w:r>
        <w:t>Lischer, S. (2021) ‘When emotion matters: Why human anchors outperform AI in crisis news’, Journal of Media Psychology, 33(3), pp. 142–155. https://doi.org/10.1027/1864-1105/a000289</w:t>
      </w:r>
    </w:p>
    <w:p/>
    <w:p>
      <w:r>
        <w:t>Liu, X., Zawawi, J.W.M. and Ghazali, A.H.A. (2024) 'A systematic literature review of personification communication of AI anchor', Journal of Infrastructure, Policy and Development, 8(15), p. 9659. https://doi.org/10.24294/jipd9659</w:t>
      </w:r>
    </w:p>
    <w:p/>
    <w:p>
      <w:r>
        <w:t>Lyu, X., Ramasamy, S. and Ying, F. (2024) ‘The role of AI digital anchors in enhancing the news broadcasting user experience’, in Proceedings of the 1st International Conference on Artificial Intelligence, Communication, IoT, Data Engineering and Security (IACIDS 2023), 23–25 November, Lavasa, Pune, India.</w:t>
      </w:r>
    </w:p>
    <w:p/>
    <w:p>
      <w:r>
        <w:t>MacDorman, K.F. and Diel, S. (2022) 'Revisiting the uncanny valley theory: Evolving perspectives in human–robot interaction', Computers in Human Behavior, 127, 107037. https://doi.org/10.1016/j.chb.2021.107037</w:t>
      </w:r>
    </w:p>
    <w:p/>
    <w:p>
      <w:r>
        <w:t>Mori, M., MacDorman, K.F. and Kageki, N. (2012) ‘The uncanny valley’, IEEE Robotics &amp; Automation Magazine, 19(2), pp. 98–100. https://doi.org/10.1109/MRA.2012.2192811</w:t>
      </w:r>
    </w:p>
    <w:p>
      <w:r>
        <w:t>Noble, S.U. (2018) Algorithms of Oppression: How Search Engines Reinforce Racism. New York: NYU Press.</w:t>
      </w:r>
    </w:p>
    <w:p/>
    <w:p>
      <w:r>
        <w:t>People's Daily Online (2025) 'Virtual anchors and hosts on the rise', People's Daily Online, 6 March. Available at: http://en.people.cn/n3/2025/0306/c90000-20285557.html (Accessed: 15 April 2025).</w:t>
      </w:r>
    </w:p>
    <w:p/>
    <w:p>
      <w:r>
        <w:t>Picard, R.W. (1997) Affective Computing. Cambridge, MA: MIT Press.</w:t>
      </w:r>
    </w:p>
    <w:p/>
    <w:p>
      <w:r>
        <w:t>Statista (2024) Market size and year-over-year growth of digital humans in China from 2017 to 2023 with estimates until 2025. Available at: https://www.statista.com/statistics/1310770/china-virtual-human-market-size/ [Accessed 14 Apr 2025].</w:t>
      </w:r>
    </w:p>
    <w:p/>
    <w:p>
      <w:r>
        <w:t>Sundar, S.S. (2020) ‘Rise of machine communication: Interrogating the role of artificial intelligence in communication’, Human Communication Research, 46(2), pp. 170–191. https://doi.org/10.1093/hcr/hqz020</w:t>
      </w:r>
    </w:p>
    <w:p/>
    <w:p>
      <w:r>
        <w:t>Sprout Social (2024) Gen Z and AI: Emerging Attitudes Toward Artificial Influencers. Available at: https://nypost.com/2024/05/08/gen-z-has-a-surprising-opinion-about-ai-influencers-on-social-media-study-finds (Accessed: 14 April 2025).</w:t>
      </w:r>
    </w:p>
    <w:p/>
    <w:p>
      <w:r>
        <w:t>Synthesia (2024) What is an AI avatar? Available at: https://www.synthesia.io (Accessed: 9 April 2025).</w:t>
      </w:r>
    </w:p>
    <w:p/>
    <w:p>
      <w:r>
        <w:t>Tandoc, E.C. and Maitra, J. (2022) ‘AI in the newsroom: Perceptions, challenges, and opportunities’, Digital Journalism, 10(4), pp. 512–529. https://doi.org/10.1080/21670811.2021.1945937</w:t>
      </w:r>
    </w:p>
    <w:p/>
    <w:p>
      <w:r>
        <w:t>Xinhua News Agency (2018) ‘World’s first AI news anchor makes his China debut’, Xinhuanet.com, 8 November. Available at: http://www.xinhuanet.com/english/2018-11/08/c_137591813.htm (Accessed: 20 April 2024).</w:t>
      </w:r>
    </w:p>
    <w:p/>
    <w:p>
      <w:r>
        <w:t>Xue, K., Li, Y. and Jin, H. (2022) 'What do you think of AI? Research on the influence of AI news anchor image on watching intention', Behavioral Sciences, 12(11), p. 465. https://doi.org/10.3390/bs12110465</w:t>
      </w:r>
    </w:p>
    <w:p/>
    <w:p>
      <w:r>
        <w:t>Yang, D. (2023) ‘Analysis of the "human–machine symbiosis" path between human anchors and AI anchors in the era of intelligent media’, Journal of News Research, 23(1), pp. 4–6.</w:t>
      </w:r>
    </w:p>
    <w:p/>
    <w:p>
      <w:r>
        <w:t>Yang, Y., Yang, J. and Yu, G. (2021) ‘Beyond Interface: AI news anchors as a form of brand-new media presentation—A Chinese case based on the ITO model’, French Journal for Media Research, 15. Available at: https://frenchjournalformediaresearch.com/lodel-1.0/main/index.php?id=2103 (Accessed: 13 April 2025).</w:t>
      </w:r>
    </w:p>
    <w:p/>
    <w:p>
      <w:r>
        <w:t>Zillmann, D. and Cantor, J.R. (1977) ‘Affective responses to the emotions of a protagonist’, Journal of Experimental Social Psychology, 13(2), pp. 155–165. Available at: https://doi.org/10.1016/S0022-1031(77)80008-5 (Accessed: 13 April 2025).</w:t>
      </w:r>
    </w:p>
    <w:p>
      <w:pPr>
        <w:rPr>
          <w:lang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 New Roman Bold">
    <w:panose1 w:val="02020603050405020304"/>
    <w:charset w:val="00"/>
    <w:family w:val="auto"/>
    <w:pitch w:val="default"/>
    <w:sig w:usb0="E0002AEF" w:usb1="C0007841"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y0PJtKwIAAFUEAAAOAAAAZHJz&#10;L2Uyb0RvYy54bWytVM2O0zAQviPxDpbvNG0Rq6pquipbFSFV7EoFcXYdp4nkP9luk/IA8AacuHDn&#10;ufocfHaSLlo47IGLM/aMv/H3zUwWt62S5CScr43O6WQ0pkRobopaH3L66ePm1YwSH5gumDRa5PQs&#10;PL1dvnyxaOxcTE1lZCEcAYj288bmtArBzrPM80oo5kfGCg1naZxiAVt3yArHGqArmU3H45usMa6w&#10;znDhPU7XnZP2iO45gKYsay7Whh+V0KFDdUKyAEq+qq2ny/TashQ83JelF4HInIJpSCuSwN7HNVsu&#10;2PzgmK1q3j+BPecJTzgpVmskvUKtWWDk6Oq/oFTNnfGmDCNuVNYRSYqAxWT8RJtdxaxIXCC1t1fR&#10;/f+D5R9OD47URU5Rds0UCn75/u3y49fl51cyi/I01s8RtbOIC+1b06JphnOPw8i6LZ2KX/Ah8EPc&#10;81Vc0QbC46XZdDYbw8XhGzbAzx6vW+fDO2EUiUZOHaqXRGWnrQ9d6BASs2mzqaVMFZSaNDm9ef1m&#10;nC5cPQCXGjkiie6x0Qrtvu2Z7U1xBjFnus7wlm9qJN8yHx6YQyvgwRiWcI+llAZJTG9RUhn35V/n&#10;MR4VgpeSBq2VU41JokS+16gcAMNguMHYD4Y+qjuDXp1gCC1PJi64IAezdEZ9xgStYg64mObIlNMw&#10;mHeha29MIBerVQpCr1kWtnpneYSO4nm7OgYImHSNonRK9Fqh21Jl+smI7fznPkU9/g2W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WAAAA&#10;ZHJzL1BLAQIUABQAAAAIAIdO4kCzSVju0AAAAAUBAAAPAAAAAAAAAAEAIAAAADgAAABkcnMvZG93&#10;bnJldi54bWxQSwECFAAUAAAACACHTuJActDybSsCAABVBAAADgAAAAAAAAABACAAAAA1AQAAZHJz&#10;L2Uyb0RvYy54bWxQSwUGAAAAAAYABgBZAQAA0g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FFE8651"/>
    <w:multiLevelType w:val="singleLevel"/>
    <w:tmpl w:val="9FFE8651"/>
    <w:lvl w:ilvl="0" w:tentative="0">
      <w:start w:val="1"/>
      <w:numFmt w:val="decimal"/>
      <w:lvlText w:val="%1."/>
      <w:lvlJc w:val="left"/>
      <w:pPr>
        <w:ind w:left="425" w:hanging="425"/>
      </w:pPr>
      <w:rPr>
        <w:rFonts w:hint="default"/>
      </w:rPr>
    </w:lvl>
  </w:abstractNum>
  <w:abstractNum w:abstractNumId="1">
    <w:nsid w:val="ADB9F0BA"/>
    <w:multiLevelType w:val="singleLevel"/>
    <w:tmpl w:val="ADB9F0BA"/>
    <w:lvl w:ilvl="0" w:tentative="0">
      <w:start w:val="1"/>
      <w:numFmt w:val="decimal"/>
      <w:lvlText w:val="(%1)"/>
      <w:lvlJc w:val="left"/>
      <w:pPr>
        <w:ind w:left="425" w:hanging="425"/>
      </w:pPr>
      <w:rPr>
        <w:rFonts w:hint="default"/>
      </w:rPr>
    </w:lvl>
  </w:abstractNum>
  <w:abstractNum w:abstractNumId="2">
    <w:nsid w:val="AFB7D915"/>
    <w:multiLevelType w:val="singleLevel"/>
    <w:tmpl w:val="AFB7D915"/>
    <w:lvl w:ilvl="0" w:tentative="0">
      <w:start w:val="1"/>
      <w:numFmt w:val="bullet"/>
      <w:lvlText w:val=""/>
      <w:lvlJc w:val="left"/>
      <w:pPr>
        <w:ind w:left="420" w:hanging="420"/>
      </w:pPr>
      <w:rPr>
        <w:rFonts w:hint="default" w:ascii="Wingdings" w:hAnsi="Wingdings"/>
      </w:rPr>
    </w:lvl>
  </w:abstractNum>
  <w:abstractNum w:abstractNumId="3">
    <w:nsid w:val="1CB96F2E"/>
    <w:multiLevelType w:val="singleLevel"/>
    <w:tmpl w:val="1CB96F2E"/>
    <w:lvl w:ilvl="0" w:tentative="0">
      <w:start w:val="1"/>
      <w:numFmt w:val="decimal"/>
      <w:lvlText w:val="(%1)"/>
      <w:lvlJc w:val="left"/>
      <w:pPr>
        <w:ind w:left="425" w:hanging="425"/>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doNotDisplayPageBoundaries w:val="1"/>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DBCB67B8"/>
    <w:rsid w:val="003B6F42"/>
    <w:rsid w:val="004D4B4D"/>
    <w:rsid w:val="00675D73"/>
    <w:rsid w:val="0070075B"/>
    <w:rsid w:val="007B60D5"/>
    <w:rsid w:val="00943FFD"/>
    <w:rsid w:val="00A352A5"/>
    <w:rsid w:val="00AB528D"/>
    <w:rsid w:val="00BD2E65"/>
    <w:rsid w:val="00C571E6"/>
    <w:rsid w:val="00C66066"/>
    <w:rsid w:val="00DF3F71"/>
    <w:rsid w:val="00E31158"/>
    <w:rsid w:val="00E846D3"/>
    <w:rsid w:val="00EF590C"/>
    <w:rsid w:val="00FF28B0"/>
    <w:rsid w:val="3AF5D528"/>
    <w:rsid w:val="4BEA76DF"/>
    <w:rsid w:val="6D7B273D"/>
    <w:rsid w:val="73BD5953"/>
    <w:rsid w:val="DBCB67B8"/>
    <w:rsid w:val="DF3D2F6C"/>
    <w:rsid w:val="EDFF1E71"/>
    <w:rsid w:val="F6DADAA5"/>
    <w:rsid w:val="F99E7339"/>
    <w:rsid w:val="FDE909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pPr>
    <w:rPr>
      <w:rFonts w:ascii="Times New Roman" w:hAnsi="Times New Roman" w:cs="Times New Roman" w:eastAsiaTheme="minorEastAsia"/>
      <w:bCs/>
      <w:kern w:val="2"/>
      <w:sz w:val="24"/>
      <w:szCs w:val="24"/>
      <w:lang w:val="en-US" w:eastAsia="zh-Hans" w:bidi="ar-SA"/>
    </w:rPr>
  </w:style>
  <w:style w:type="paragraph" w:styleId="2">
    <w:name w:val="heading 1"/>
    <w:basedOn w:val="1"/>
    <w:next w:val="1"/>
    <w:link w:val="14"/>
    <w:qFormat/>
    <w:uiPriority w:val="9"/>
    <w:pPr>
      <w:spacing w:line="480" w:lineRule="auto"/>
      <w:jc w:val="center"/>
      <w:outlineLvl w:val="0"/>
    </w:pPr>
    <w:rPr>
      <w:rFonts w:ascii="Times New Roman Bold" w:hAnsi="Times New Roman Bold" w:cs="Times New Roman Bold"/>
      <w:b/>
      <w:caps/>
    </w:rPr>
  </w:style>
  <w:style w:type="paragraph" w:styleId="3">
    <w:name w:val="heading 2"/>
    <w:basedOn w:val="1"/>
    <w:next w:val="1"/>
    <w:link w:val="15"/>
    <w:unhideWhenUsed/>
    <w:qFormat/>
    <w:uiPriority w:val="9"/>
    <w:pPr>
      <w:spacing w:before="100" w:beforeLines="100" w:line="480" w:lineRule="auto"/>
      <w:outlineLvl w:val="1"/>
    </w:pPr>
    <w:rPr>
      <w:rFonts w:ascii="Times New Roman Bold" w:hAnsi="Times New Roman Bold" w:cs="Times New Roman Bold"/>
      <w:b/>
    </w:rPr>
  </w:style>
  <w:style w:type="paragraph" w:styleId="4">
    <w:name w:val="heading 3"/>
    <w:basedOn w:val="1"/>
    <w:next w:val="1"/>
    <w:link w:val="17"/>
    <w:unhideWhenUsed/>
    <w:qFormat/>
    <w:uiPriority w:val="9"/>
    <w:pPr>
      <w:keepNext/>
      <w:keepLines/>
      <w:spacing w:line="480" w:lineRule="auto"/>
      <w:ind w:left="480" w:leftChars="200"/>
      <w:outlineLvl w:val="2"/>
    </w:pPr>
    <w:rPr>
      <w:bCs w:val="0"/>
    </w:rPr>
  </w:style>
  <w:style w:type="character" w:default="1" w:styleId="11">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paragraph" w:styleId="8">
    <w:name w:val="toc 1"/>
    <w:basedOn w:val="1"/>
    <w:next w:val="1"/>
    <w:uiPriority w:val="39"/>
  </w:style>
  <w:style w:type="paragraph" w:styleId="9">
    <w:name w:val="toc 2"/>
    <w:basedOn w:val="1"/>
    <w:next w:val="1"/>
    <w:uiPriority w:val="0"/>
    <w:pPr>
      <w:ind w:left="420" w:leftChars="200"/>
    </w:pPr>
  </w:style>
  <w:style w:type="character" w:styleId="12">
    <w:name w:val="Strong"/>
    <w:basedOn w:val="11"/>
    <w:qFormat/>
    <w:uiPriority w:val="0"/>
    <w:rPr>
      <w:b/>
    </w:rPr>
  </w:style>
  <w:style w:type="character" w:styleId="13">
    <w:name w:val="Hyperlink"/>
    <w:basedOn w:val="11"/>
    <w:unhideWhenUsed/>
    <w:uiPriority w:val="99"/>
    <w:rPr>
      <w:color w:val="0026E5" w:themeColor="hyperlink"/>
      <w:u w:val="single"/>
      <w14:textFill>
        <w14:solidFill>
          <w14:schemeClr w14:val="hlink"/>
        </w14:solidFill>
      </w14:textFill>
    </w:rPr>
  </w:style>
  <w:style w:type="character" w:customStyle="1" w:styleId="14">
    <w:name w:val="标题 1 字符"/>
    <w:link w:val="2"/>
    <w:uiPriority w:val="0"/>
    <w:rPr>
      <w:rFonts w:ascii="Times New Roman Bold" w:hAnsi="Times New Roman Bold" w:cs="Times New Roman Bold"/>
      <w:b/>
      <w:caps/>
    </w:rPr>
  </w:style>
  <w:style w:type="character" w:customStyle="1" w:styleId="15">
    <w:name w:val="标题 2 字符"/>
    <w:link w:val="3"/>
    <w:uiPriority w:val="0"/>
    <w:rPr>
      <w:rFonts w:ascii="Times New Roman Bold" w:hAnsi="Times New Roman Bold" w:cs="Times New Roman Bold" w:eastAsiaTheme="minorEastAsia"/>
      <w:b/>
    </w:rPr>
  </w:style>
  <w:style w:type="paragraph" w:customStyle="1" w:styleId="16">
    <w:name w:val="WPSOffice手动目录 1"/>
    <w:uiPriority w:val="0"/>
    <w:rPr>
      <w:rFonts w:ascii="Times New Roman" w:hAnsi="Times New Roman" w:eastAsia="宋体" w:cs="Times New Roman"/>
      <w:lang w:val="en-US" w:eastAsia="zh-CN" w:bidi="ar-SA"/>
    </w:rPr>
  </w:style>
  <w:style w:type="character" w:customStyle="1" w:styleId="17">
    <w:name w:val="标题 3 字符"/>
    <w:basedOn w:val="11"/>
    <w:link w:val="4"/>
    <w:uiPriority w:val="9"/>
    <w:rPr>
      <w:rFonts w:ascii="Times New Roman" w:hAnsi="Times New Roman" w:eastAsiaTheme="minorEastAsia"/>
      <w:sz w:val="24"/>
      <w:szCs w:val="24"/>
    </w:rPr>
  </w:style>
  <w:style w:type="paragraph" w:customStyle="1" w:styleId="18">
    <w:name w:val="WPSOffice手动目录 3"/>
    <w:uiPriority w:val="0"/>
    <w:pPr>
      <w:ind w:left="400" w:leftChars="400"/>
    </w:pPr>
    <w:rPr>
      <w:rFonts w:ascii="Times New Roman" w:hAnsi="Times New Roman" w:eastAsia="宋体" w:cs="Times New Roman"/>
      <w:lang w:val="en-US" w:eastAsia="zh-CN" w:bidi="ar-SA"/>
    </w:rPr>
  </w:style>
  <w:style w:type="paragraph" w:customStyle="1" w:styleId="19">
    <w:name w:val="WPSOffice手动目录 2"/>
    <w:uiPriority w:val="0"/>
    <w:pPr>
      <w:ind w:left="200" w:leftChars="200"/>
    </w:pPr>
    <w:rPr>
      <w:rFonts w:ascii="Times New Roman" w:hAnsi="Times New Roman" w:eastAsia="宋体" w:cs="Times New Roman"/>
      <w:lang w:val="en-US" w:eastAsia="zh-CN" w:bidi="ar-SA"/>
    </w:rPr>
  </w:style>
  <w:style w:type="paragraph" w:styleId="20">
    <w:name w:val="List Paragraph"/>
    <w:basedOn w:val="1"/>
    <w:unhideWhenUsed/>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29</Pages>
  <Words>7554</Words>
  <Characters>49253</Characters>
  <Lines>1026</Lines>
  <Paragraphs>273</Paragraphs>
  <TotalTime>87</TotalTime>
  <ScaleCrop>false</ScaleCrop>
  <LinksUpToDate>false</LinksUpToDate>
  <CharactersWithSpaces>56534</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2025-04-17T09:05:00Z</dcterms:created>
  <dc:creator>黄一兒</dc:creator>
  <cp:lastModifiedBy>黄一兒</cp:lastModifiedBy>
  <dcterms:modified xsi:type="dcterms:W3CDTF">2025-05-03T21:22:19Z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B2656A2FC56D704C57081668978BC10D_43</vt:lpwstr>
  </property>
</Properties>
</file>