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5FE9E" w14:textId="341EAA58" w:rsidR="002B7477" w:rsidRPr="009D1728" w:rsidRDefault="002B7477" w:rsidP="00CA4AB4">
      <w:pPr>
        <w:spacing w:line="480" w:lineRule="auto"/>
        <w:jc w:val="center"/>
        <w:rPr>
          <w:rFonts w:cstheme="minorHAnsi"/>
          <w:u w:val="single"/>
        </w:rPr>
      </w:pPr>
      <w:r w:rsidRPr="009D1728">
        <w:rPr>
          <w:rFonts w:cstheme="minorHAnsi"/>
          <w:u w:val="single"/>
        </w:rPr>
        <w:t xml:space="preserve">Commentary 2 – </w:t>
      </w:r>
      <w:r w:rsidR="005C70CC" w:rsidRPr="009D1728">
        <w:rPr>
          <w:rFonts w:cstheme="minorHAnsi"/>
          <w:u w:val="single"/>
        </w:rPr>
        <w:t>The Domesday Book</w:t>
      </w:r>
    </w:p>
    <w:p w14:paraId="77F44B77" w14:textId="129BF763" w:rsidR="0034621E" w:rsidRPr="009D1728" w:rsidRDefault="005C70CC" w:rsidP="00CA4AB4">
      <w:pPr>
        <w:pStyle w:val="NormalWeb"/>
        <w:spacing w:line="480" w:lineRule="auto"/>
        <w:rPr>
          <w:rFonts w:asciiTheme="minorHAnsi" w:hAnsiTheme="minorHAnsi" w:cstheme="minorHAnsi"/>
          <w:sz w:val="22"/>
          <w:szCs w:val="22"/>
        </w:rPr>
      </w:pPr>
      <w:r w:rsidRPr="009D1728">
        <w:rPr>
          <w:rFonts w:asciiTheme="minorHAnsi" w:hAnsiTheme="minorHAnsi" w:cstheme="minorHAnsi"/>
          <w:b/>
          <w:bCs/>
          <w:sz w:val="22"/>
          <w:szCs w:val="22"/>
        </w:rPr>
        <w:t>“</w:t>
      </w:r>
      <w:r w:rsidR="0034621E" w:rsidRPr="009D1728">
        <w:rPr>
          <w:rFonts w:asciiTheme="minorHAnsi" w:hAnsiTheme="minorHAnsi" w:cstheme="minorHAnsi"/>
          <w:b/>
          <w:bCs/>
          <w:sz w:val="22"/>
          <w:szCs w:val="22"/>
        </w:rPr>
        <w:t>INSTRUCTIONS FOR COLLECTION OF THE DOMESDAY RETURNS.</w:t>
      </w:r>
    </w:p>
    <w:p w14:paraId="7200036C" w14:textId="1D04EA79" w:rsidR="0034621E" w:rsidRPr="009D1728" w:rsidRDefault="0034621E" w:rsidP="00CA4AB4">
      <w:pPr>
        <w:pStyle w:val="NormalWeb"/>
        <w:spacing w:line="480" w:lineRule="auto"/>
        <w:rPr>
          <w:rFonts w:asciiTheme="minorHAnsi" w:hAnsiTheme="minorHAnsi" w:cstheme="minorHAnsi"/>
          <w:sz w:val="22"/>
          <w:szCs w:val="22"/>
        </w:rPr>
      </w:pPr>
      <w:r w:rsidRPr="009D1728">
        <w:rPr>
          <w:rFonts w:asciiTheme="minorHAnsi" w:hAnsiTheme="minorHAnsi" w:cstheme="minorHAnsi"/>
          <w:sz w:val="22"/>
          <w:szCs w:val="22"/>
        </w:rPr>
        <w:t xml:space="preserve">Here is subscribed the inquisition of lands as the barons of the king have made inquiry into them; that is to say by the oath of the sheriff of the shire, and of all the barons and their Frenchmen, and the whole hundred, the priests, reeves, and six villagers of each manor; then, what the manor is called, who held it in the time of King Edward, who holds now; how many hides, how many plowlands in demesne, how many belonging to the men, how many villagers, how many cottagers, how many slaves, how many free-men, how many socmen, how much woods, how much meadow, how many pastures, how many mills, how many fish-ponds, how much has been added or taken away, how much it was worth altogether at that time, and how much now, how much each free man or socman had or has. All this threefold, </w:t>
      </w:r>
      <w:proofErr w:type="gramStart"/>
      <w:r w:rsidRPr="009D1728">
        <w:rPr>
          <w:rFonts w:asciiTheme="minorHAnsi" w:hAnsiTheme="minorHAnsi" w:cstheme="minorHAnsi"/>
          <w:sz w:val="22"/>
          <w:szCs w:val="22"/>
        </w:rPr>
        <w:t>that is to say in</w:t>
      </w:r>
      <w:proofErr w:type="gramEnd"/>
      <w:r w:rsidRPr="009D1728">
        <w:rPr>
          <w:rFonts w:asciiTheme="minorHAnsi" w:hAnsiTheme="minorHAnsi" w:cstheme="minorHAnsi"/>
          <w:sz w:val="22"/>
          <w:szCs w:val="22"/>
        </w:rPr>
        <w:t xml:space="preserve"> the time of King Edward [the Confessor, 1003?-1066], and when King William [the Conqueror--or the Bastard, c.1028-1087] gave it, and as it is now; and whether more can be had than is had.</w:t>
      </w:r>
    </w:p>
    <w:p w14:paraId="0590355B" w14:textId="77777777" w:rsidR="0034621E" w:rsidRPr="009D1728" w:rsidRDefault="0034621E" w:rsidP="00CA4AB4">
      <w:pPr>
        <w:pStyle w:val="NormalWeb"/>
        <w:spacing w:line="480" w:lineRule="auto"/>
        <w:rPr>
          <w:rFonts w:asciiTheme="minorHAnsi" w:hAnsiTheme="minorHAnsi" w:cstheme="minorHAnsi"/>
          <w:sz w:val="22"/>
          <w:szCs w:val="22"/>
        </w:rPr>
      </w:pPr>
      <w:proofErr w:type="spellStart"/>
      <w:r w:rsidRPr="009D1728">
        <w:rPr>
          <w:rFonts w:asciiTheme="minorHAnsi" w:hAnsiTheme="minorHAnsi" w:cstheme="minorHAnsi"/>
          <w:sz w:val="22"/>
          <w:szCs w:val="22"/>
        </w:rPr>
        <w:t>Fredrebruge</w:t>
      </w:r>
      <w:proofErr w:type="spellEnd"/>
      <w:r w:rsidRPr="009D1728">
        <w:rPr>
          <w:rFonts w:asciiTheme="minorHAnsi" w:hAnsiTheme="minorHAnsi" w:cstheme="minorHAnsi"/>
          <w:sz w:val="22"/>
          <w:szCs w:val="22"/>
        </w:rPr>
        <w:t xml:space="preserve"> Hundred and half </w:t>
      </w:r>
      <w:proofErr w:type="spellStart"/>
      <w:r w:rsidRPr="009D1728">
        <w:rPr>
          <w:rFonts w:asciiTheme="minorHAnsi" w:hAnsiTheme="minorHAnsi" w:cstheme="minorHAnsi"/>
          <w:sz w:val="22"/>
          <w:szCs w:val="22"/>
        </w:rPr>
        <w:t>Glorestorp</w:t>
      </w:r>
      <w:proofErr w:type="spellEnd"/>
      <w:r w:rsidRPr="009D1728">
        <w:rPr>
          <w:rFonts w:asciiTheme="minorHAnsi" w:hAnsiTheme="minorHAnsi" w:cstheme="minorHAnsi"/>
          <w:sz w:val="22"/>
          <w:szCs w:val="22"/>
        </w:rPr>
        <w:t xml:space="preserve">. Godwin, a freeman, held it. Two plowlands of land in the time of King Edward. Then and afterwards 8 villagers; now 3. Then and afterwards 3 cottagers; now 5. At all times 3 slaves, and 30 acres of meadow. At all times 2 plowlands in demesne. Then half a plowland of the men, and now. Woods for 8 swine, and 2 mills. Here are located 13 socmen, of 40 acres of land. When it was received there were 2 riding horses, now 1. At all times 8 swine, then 20 sheep, and it is worth 60 shillings. </w:t>
      </w:r>
    </w:p>
    <w:p w14:paraId="2C2D4A1D" w14:textId="0C095F64" w:rsidR="0034621E" w:rsidRPr="009D1728" w:rsidRDefault="0034621E" w:rsidP="00CA4AB4">
      <w:pPr>
        <w:pStyle w:val="NormalWeb"/>
        <w:spacing w:line="480" w:lineRule="auto"/>
        <w:rPr>
          <w:rFonts w:asciiTheme="minorHAnsi" w:hAnsiTheme="minorHAnsi" w:cstheme="minorHAnsi"/>
          <w:sz w:val="22"/>
          <w:szCs w:val="22"/>
        </w:rPr>
      </w:pPr>
      <w:r w:rsidRPr="009D1728">
        <w:rPr>
          <w:rFonts w:asciiTheme="minorHAnsi" w:hAnsiTheme="minorHAnsi" w:cstheme="minorHAnsi"/>
          <w:sz w:val="22"/>
          <w:szCs w:val="22"/>
        </w:rPr>
        <w:t xml:space="preserve">There is situated there, in addition, one demesne farm, as the manor of </w:t>
      </w:r>
      <w:proofErr w:type="spellStart"/>
      <w:r w:rsidRPr="009D1728">
        <w:rPr>
          <w:rFonts w:asciiTheme="minorHAnsi" w:hAnsiTheme="minorHAnsi" w:cstheme="minorHAnsi"/>
          <w:sz w:val="22"/>
          <w:szCs w:val="22"/>
        </w:rPr>
        <w:t>Heuseda</w:t>
      </w:r>
      <w:proofErr w:type="spellEnd"/>
      <w:r w:rsidRPr="009D1728">
        <w:rPr>
          <w:rFonts w:asciiTheme="minorHAnsi" w:hAnsiTheme="minorHAnsi" w:cstheme="minorHAnsi"/>
          <w:sz w:val="22"/>
          <w:szCs w:val="22"/>
        </w:rPr>
        <w:t xml:space="preserve">. In the time of King Edward, 1 plowland of land; then and afterwards 7 villagers, now 5. At all times 12 cottagers, and 3 slaves, and 40 acres of meadow; 1 mill. Woods for 16 swine and 1 salt pond and a half. Then 1 riding horse, and now 14 swine, 30 sheep, and 50 goats. In this demesne farm are located 3 socmen, of 10 </w:t>
      </w:r>
      <w:r w:rsidRPr="009D1728">
        <w:rPr>
          <w:rFonts w:asciiTheme="minorHAnsi" w:hAnsiTheme="minorHAnsi" w:cstheme="minorHAnsi"/>
          <w:sz w:val="22"/>
          <w:szCs w:val="22"/>
        </w:rPr>
        <w:lastRenderedPageBreak/>
        <w:t>acres of land, and it is worth 30 shillings. The two manors have 2 leagues in length and 4 furlongs in breadth. Whosoever is tenant there, returns 12 pence of the twenty shillings of geld.</w:t>
      </w:r>
      <w:r w:rsidR="005C70CC" w:rsidRPr="009D1728">
        <w:rPr>
          <w:rFonts w:asciiTheme="minorHAnsi" w:hAnsiTheme="minorHAnsi" w:cstheme="minorHAnsi"/>
          <w:sz w:val="22"/>
          <w:szCs w:val="22"/>
        </w:rPr>
        <w:t>”</w:t>
      </w:r>
    </w:p>
    <w:p w14:paraId="6EC51B2B" w14:textId="2F1E3459" w:rsidR="00903F88" w:rsidRPr="009D1728" w:rsidRDefault="001D2CC0" w:rsidP="00CA4AB4">
      <w:pPr>
        <w:spacing w:line="480" w:lineRule="auto"/>
        <w:rPr>
          <w:rFonts w:cstheme="minorHAnsi"/>
        </w:rPr>
      </w:pPr>
      <w:r w:rsidRPr="009D1728">
        <w:rPr>
          <w:rFonts w:cstheme="minorHAnsi"/>
        </w:rPr>
        <w:t>This source is an extract from the Domesday Book</w:t>
      </w:r>
      <w:r w:rsidR="00445E52" w:rsidRPr="009D1728">
        <w:rPr>
          <w:rFonts w:cstheme="minorHAnsi"/>
        </w:rPr>
        <w:t xml:space="preserve"> of 1086. It describes </w:t>
      </w:r>
      <w:r w:rsidR="00053697" w:rsidRPr="009D1728">
        <w:rPr>
          <w:rFonts w:cstheme="minorHAnsi"/>
        </w:rPr>
        <w:t xml:space="preserve">how </w:t>
      </w:r>
      <w:r w:rsidR="001851F2" w:rsidRPr="009D1728">
        <w:rPr>
          <w:rFonts w:cstheme="minorHAnsi"/>
        </w:rPr>
        <w:t xml:space="preserve">the information for the Domesday Survey should be collected, including the information on what the manor was called, who owned it in 1066 and who owned it now, how many people live there, divided by whether they are villagers, cottagers, slaves, or free men, how many resources they have, such as woodlands, meadows, ponds, and pastures, how much has been taken away from this sector of land since 1066, and how much the land is worth. As this extract summarises at the end of its first paragraph, how much was there in the time of Edward the Confessor, how much was given by William the Conqueror, and what is left now? This extract then goes on to summarise one area of land, split into two different manors. This section of land, known as a ‘hundred’, </w:t>
      </w:r>
      <w:r w:rsidR="005149B2" w:rsidRPr="009D1728">
        <w:rPr>
          <w:rFonts w:cstheme="minorHAnsi"/>
        </w:rPr>
        <w:t xml:space="preserve">contains a total of 3  ‘plowlands’, meaning the amount of taxable land that can be ploughed by 8 oxen. </w:t>
      </w:r>
      <w:r w:rsidR="00DA404F" w:rsidRPr="009D1728">
        <w:rPr>
          <w:rFonts w:cstheme="minorHAnsi"/>
        </w:rPr>
        <w:t xml:space="preserve">Split between 16 socmen, or landowners, is 50 acres of land containing a number of swine, sheep, goats, and horses. </w:t>
      </w:r>
      <w:r w:rsidR="00DA2061" w:rsidRPr="009D1728">
        <w:rPr>
          <w:rFonts w:cstheme="minorHAnsi"/>
        </w:rPr>
        <w:t xml:space="preserve">It also contains 3 mills, and a saltwater pond for fishing. </w:t>
      </w:r>
      <w:r w:rsidR="0032604D" w:rsidRPr="009D1728">
        <w:rPr>
          <w:rFonts w:cstheme="minorHAnsi"/>
        </w:rPr>
        <w:t xml:space="preserve">At the time of Edward the Confessor, a total of 15 people lived in villagers, 15 people lived in cottages, and 6 slaves lived in this area. At the time of the survey this had changed to 8 villagers and 17 people in cottages, with the number of slaves staying consistent. </w:t>
      </w:r>
      <w:r w:rsidR="00DA2061" w:rsidRPr="009D1728">
        <w:rPr>
          <w:rFonts w:cstheme="minorHAnsi"/>
        </w:rPr>
        <w:t xml:space="preserve">In total, this land </w:t>
      </w:r>
      <w:r w:rsidR="0032604D" w:rsidRPr="009D1728">
        <w:rPr>
          <w:rFonts w:cstheme="minorHAnsi"/>
        </w:rPr>
        <w:t xml:space="preserve">was </w:t>
      </w:r>
      <w:r w:rsidR="00DA2061" w:rsidRPr="009D1728">
        <w:rPr>
          <w:rFonts w:cstheme="minorHAnsi"/>
        </w:rPr>
        <w:t>worth 90 shillings</w:t>
      </w:r>
      <w:r w:rsidR="0032604D" w:rsidRPr="009D1728">
        <w:rPr>
          <w:rFonts w:cstheme="minorHAnsi"/>
        </w:rPr>
        <w:t xml:space="preserve"> by the time of the Survey. </w:t>
      </w:r>
    </w:p>
    <w:p w14:paraId="73ADC339" w14:textId="266FBB57" w:rsidR="001D2CC0" w:rsidRPr="009D1728" w:rsidRDefault="00693266" w:rsidP="00CA4AB4">
      <w:pPr>
        <w:spacing w:line="480" w:lineRule="auto"/>
        <w:rPr>
          <w:rFonts w:cstheme="minorHAnsi"/>
        </w:rPr>
      </w:pPr>
      <w:r w:rsidRPr="009D1728">
        <w:rPr>
          <w:rFonts w:cstheme="minorHAnsi"/>
        </w:rPr>
        <w:t>This hundred i</w:t>
      </w:r>
      <w:r w:rsidR="00B5506C" w:rsidRPr="009D1728">
        <w:rPr>
          <w:rFonts w:cstheme="minorHAnsi"/>
        </w:rPr>
        <w:t xml:space="preserve">s referred to in this extract of the Domesday survey as </w:t>
      </w:r>
      <w:r w:rsidR="00A80776" w:rsidRPr="009D1728">
        <w:rPr>
          <w:rFonts w:cstheme="minorHAnsi"/>
        </w:rPr>
        <w:t>Freudebridge and</w:t>
      </w:r>
      <w:r w:rsidR="00903F88" w:rsidRPr="009D1728">
        <w:rPr>
          <w:rFonts w:cstheme="minorHAnsi"/>
        </w:rPr>
        <w:t xml:space="preserve"> is thought to contain the areas of Freebridge </w:t>
      </w:r>
      <w:proofErr w:type="spellStart"/>
      <w:r w:rsidR="00903F88" w:rsidRPr="009D1728">
        <w:rPr>
          <w:rFonts w:cstheme="minorHAnsi"/>
        </w:rPr>
        <w:t>citra</w:t>
      </w:r>
      <w:proofErr w:type="spellEnd"/>
      <w:r w:rsidR="00903F88" w:rsidRPr="009D1728">
        <w:rPr>
          <w:rFonts w:cstheme="minorHAnsi"/>
        </w:rPr>
        <w:t xml:space="preserve"> Lynn, making up the Hundred, and Freebridge Marshland, making up the Half-Hundred.</w:t>
      </w:r>
      <w:r w:rsidR="00903F88" w:rsidRPr="009D1728">
        <w:rPr>
          <w:rStyle w:val="FootnoteReference"/>
          <w:rFonts w:cstheme="minorHAnsi"/>
        </w:rPr>
        <w:footnoteReference w:id="1"/>
      </w:r>
      <w:r w:rsidR="00A80776" w:rsidRPr="009D1728">
        <w:rPr>
          <w:rFonts w:cstheme="minorHAnsi"/>
        </w:rPr>
        <w:t xml:space="preserve"> </w:t>
      </w:r>
      <w:r w:rsidR="00DF2508" w:rsidRPr="009D1728">
        <w:rPr>
          <w:rFonts w:cstheme="minorHAnsi"/>
        </w:rPr>
        <w:t xml:space="preserve">Although </w:t>
      </w:r>
      <w:r w:rsidR="00622969" w:rsidRPr="009D1728">
        <w:rPr>
          <w:rFonts w:cstheme="minorHAnsi"/>
        </w:rPr>
        <w:t>its</w:t>
      </w:r>
      <w:r w:rsidR="00DF2508" w:rsidRPr="009D1728">
        <w:rPr>
          <w:rFonts w:cstheme="minorHAnsi"/>
        </w:rPr>
        <w:t xml:space="preserve"> exact whereabouts are unclear, as this referenced bridge could be anywhere over the River Ouse, it is theorised that this </w:t>
      </w:r>
      <w:r w:rsidR="00542555" w:rsidRPr="009D1728">
        <w:rPr>
          <w:rFonts w:cstheme="minorHAnsi"/>
        </w:rPr>
        <w:t>hundred lies somewhere between Wigenhale, St. Germans, and Islington in the area of Norfolk, England.</w:t>
      </w:r>
      <w:r w:rsidR="00542555" w:rsidRPr="009D1728">
        <w:rPr>
          <w:rStyle w:val="FootnoteReference"/>
          <w:rFonts w:cstheme="minorHAnsi"/>
        </w:rPr>
        <w:footnoteReference w:id="2"/>
      </w:r>
      <w:r w:rsidR="00542555" w:rsidRPr="009D1728">
        <w:rPr>
          <w:rFonts w:cstheme="minorHAnsi"/>
        </w:rPr>
        <w:t xml:space="preserve"> </w:t>
      </w:r>
    </w:p>
    <w:p w14:paraId="259D9AD8" w14:textId="5AE72932" w:rsidR="001D52ED" w:rsidRPr="009D1728" w:rsidRDefault="00C0326C" w:rsidP="00CA4AB4">
      <w:pPr>
        <w:spacing w:line="480" w:lineRule="auto"/>
        <w:rPr>
          <w:rFonts w:cstheme="minorHAnsi"/>
        </w:rPr>
      </w:pPr>
      <w:r w:rsidRPr="009D1728">
        <w:rPr>
          <w:rFonts w:cstheme="minorHAnsi"/>
        </w:rPr>
        <w:lastRenderedPageBreak/>
        <w:t xml:space="preserve">It has been argued that the contents of the Domesday book </w:t>
      </w:r>
      <w:r w:rsidR="008909F3" w:rsidRPr="009D1728">
        <w:rPr>
          <w:rFonts w:cstheme="minorHAnsi"/>
        </w:rPr>
        <w:t>serve</w:t>
      </w:r>
      <w:r w:rsidRPr="009D1728">
        <w:rPr>
          <w:rFonts w:cstheme="minorHAnsi"/>
        </w:rPr>
        <w:t xml:space="preserve"> as nothing more than an archive of property and estates across England, concerning only </w:t>
      </w:r>
      <w:r w:rsidR="00B245AF" w:rsidRPr="009D1728">
        <w:rPr>
          <w:rFonts w:cstheme="minorHAnsi"/>
        </w:rPr>
        <w:t>lordships, real estate, and the economy of 1086</w:t>
      </w:r>
      <w:r w:rsidRPr="009D1728">
        <w:rPr>
          <w:rFonts w:cstheme="minorHAnsi"/>
        </w:rPr>
        <w:t>.</w:t>
      </w:r>
      <w:r w:rsidRPr="009D1728">
        <w:rPr>
          <w:rStyle w:val="FootnoteReference"/>
          <w:rFonts w:cstheme="minorHAnsi"/>
        </w:rPr>
        <w:footnoteReference w:id="3"/>
      </w:r>
      <w:r w:rsidR="00B245AF" w:rsidRPr="009D1728">
        <w:rPr>
          <w:rFonts w:cstheme="minorHAnsi"/>
        </w:rPr>
        <w:t xml:space="preserve"> However, this extract from the Domesday Book can tell us much more. </w:t>
      </w:r>
      <w:r w:rsidR="001D52ED" w:rsidRPr="009D1728">
        <w:rPr>
          <w:rFonts w:cstheme="minorHAnsi"/>
        </w:rPr>
        <w:t xml:space="preserve">By examining </w:t>
      </w:r>
      <w:r w:rsidR="008909F3" w:rsidRPr="009D1728">
        <w:rPr>
          <w:rFonts w:cstheme="minorHAnsi"/>
        </w:rPr>
        <w:t>the</w:t>
      </w:r>
      <w:r w:rsidR="001D52ED" w:rsidRPr="009D1728">
        <w:rPr>
          <w:rFonts w:cstheme="minorHAnsi"/>
        </w:rPr>
        <w:t xml:space="preserve"> information</w:t>
      </w:r>
      <w:r w:rsidR="008909F3" w:rsidRPr="009D1728">
        <w:rPr>
          <w:rFonts w:cstheme="minorHAnsi"/>
        </w:rPr>
        <w:t xml:space="preserve"> that</w:t>
      </w:r>
      <w:r w:rsidR="001D52ED" w:rsidRPr="009D1728">
        <w:rPr>
          <w:rFonts w:cstheme="minorHAnsi"/>
        </w:rPr>
        <w:t xml:space="preserve"> the survey hoped to gather, we can learn why it was commissioned, what it hoped to achieve, and why it happened so quickly. </w:t>
      </w:r>
    </w:p>
    <w:p w14:paraId="67433E92" w14:textId="742DE88F" w:rsidR="007F4875" w:rsidRPr="009D1728" w:rsidRDefault="002E4435" w:rsidP="00CA4AB4">
      <w:pPr>
        <w:spacing w:line="480" w:lineRule="auto"/>
        <w:rPr>
          <w:rFonts w:cstheme="minorHAnsi"/>
        </w:rPr>
      </w:pPr>
      <w:r w:rsidRPr="009D1728">
        <w:rPr>
          <w:rFonts w:cstheme="minorHAnsi"/>
        </w:rPr>
        <w:t>The Domesday survey was commissioned by King William I, given the title of the Conqueror, in</w:t>
      </w:r>
      <w:r w:rsidR="0084309F" w:rsidRPr="009D1728">
        <w:rPr>
          <w:rFonts w:cstheme="minorHAnsi"/>
        </w:rPr>
        <w:t xml:space="preserve"> the winter of</w:t>
      </w:r>
      <w:r w:rsidRPr="009D1728">
        <w:rPr>
          <w:rFonts w:cstheme="minorHAnsi"/>
        </w:rPr>
        <w:t xml:space="preserve"> 1085.</w:t>
      </w:r>
      <w:r w:rsidRPr="009D1728">
        <w:rPr>
          <w:rStyle w:val="FootnoteReference"/>
          <w:rFonts w:cstheme="minorHAnsi"/>
        </w:rPr>
        <w:footnoteReference w:id="4"/>
      </w:r>
      <w:r w:rsidRPr="009D1728">
        <w:rPr>
          <w:rFonts w:cstheme="minorHAnsi"/>
        </w:rPr>
        <w:t xml:space="preserve"> </w:t>
      </w:r>
      <w:r w:rsidR="0084309F" w:rsidRPr="009D1728">
        <w:rPr>
          <w:rFonts w:cstheme="minorHAnsi"/>
        </w:rPr>
        <w:t xml:space="preserve">Most of the work on the Domesday book, such as the surveys and transcriptions, was therefore completed in the following year of 1086. </w:t>
      </w:r>
      <w:r w:rsidRPr="009D1728">
        <w:rPr>
          <w:rFonts w:cstheme="minorHAnsi"/>
        </w:rPr>
        <w:t xml:space="preserve">Rather than being one single manuscript, it was split into two separate sections, known as Greater Domesday and Little Domesday colloquially. </w:t>
      </w:r>
      <w:proofErr w:type="gramStart"/>
      <w:r w:rsidR="00DC522A" w:rsidRPr="009D1728">
        <w:rPr>
          <w:rFonts w:cstheme="minorHAnsi"/>
        </w:rPr>
        <w:t>Both of these</w:t>
      </w:r>
      <w:proofErr w:type="gramEnd"/>
      <w:r w:rsidR="00DC522A" w:rsidRPr="009D1728">
        <w:rPr>
          <w:rFonts w:cstheme="minorHAnsi"/>
        </w:rPr>
        <w:t xml:space="preserve"> manuscripts are </w:t>
      </w:r>
      <w:r w:rsidR="005F5AC8" w:rsidRPr="009D1728">
        <w:rPr>
          <w:rFonts w:cstheme="minorHAnsi"/>
        </w:rPr>
        <w:t xml:space="preserve">written </w:t>
      </w:r>
      <w:r w:rsidR="00DC522A" w:rsidRPr="009D1728">
        <w:rPr>
          <w:rFonts w:cstheme="minorHAnsi"/>
        </w:rPr>
        <w:t xml:space="preserve">in Latin and </w:t>
      </w:r>
      <w:r w:rsidR="005F5AC8" w:rsidRPr="009D1728">
        <w:rPr>
          <w:rFonts w:cstheme="minorHAnsi"/>
        </w:rPr>
        <w:t xml:space="preserve">transcribed </w:t>
      </w:r>
      <w:r w:rsidR="00DC522A" w:rsidRPr="009D1728">
        <w:rPr>
          <w:rFonts w:cstheme="minorHAnsi"/>
        </w:rPr>
        <w:t>onto folios</w:t>
      </w:r>
      <w:r w:rsidR="005F5AC8" w:rsidRPr="009D1728">
        <w:rPr>
          <w:rFonts w:cstheme="minorHAnsi"/>
        </w:rPr>
        <w:t>, with Greater Domesday being written in 2 columns for extra space, opposed to Little Domesday’s one column per page.</w:t>
      </w:r>
      <w:r w:rsidR="005F5AC8" w:rsidRPr="009D1728">
        <w:rPr>
          <w:rStyle w:val="FootnoteReference"/>
          <w:rFonts w:cstheme="minorHAnsi"/>
        </w:rPr>
        <w:footnoteReference w:id="5"/>
      </w:r>
      <w:r w:rsidR="00BB5527" w:rsidRPr="009D1728">
        <w:rPr>
          <w:rFonts w:cstheme="minorHAnsi"/>
        </w:rPr>
        <w:t xml:space="preserve"> </w:t>
      </w:r>
      <w:r w:rsidR="00BE56AA" w:rsidRPr="009D1728">
        <w:rPr>
          <w:rFonts w:cstheme="minorHAnsi"/>
        </w:rPr>
        <w:t xml:space="preserve">Important sections of the manuscript, such as place names </w:t>
      </w:r>
      <w:r w:rsidR="00721BD1" w:rsidRPr="009D1728">
        <w:rPr>
          <w:rFonts w:cstheme="minorHAnsi"/>
        </w:rPr>
        <w:t>and manors, are indicated through both capitalisation and the use of red ink.</w:t>
      </w:r>
      <w:r w:rsidR="00721BD1" w:rsidRPr="009D1728">
        <w:rPr>
          <w:rStyle w:val="FootnoteReference"/>
          <w:rFonts w:cstheme="minorHAnsi"/>
        </w:rPr>
        <w:footnoteReference w:id="6"/>
      </w:r>
      <w:r w:rsidR="00721BD1" w:rsidRPr="009D1728">
        <w:rPr>
          <w:rFonts w:cstheme="minorHAnsi"/>
        </w:rPr>
        <w:t xml:space="preserve"> This indicates that the Domesday book was meant to be used as a point of reference for trials of property and inheritance, as places are easily locatable within the manuscript. </w:t>
      </w:r>
    </w:p>
    <w:p w14:paraId="3A013173" w14:textId="2A4EAD9A" w:rsidR="00690560" w:rsidRPr="009D1728" w:rsidRDefault="00690560" w:rsidP="00CA4AB4">
      <w:pPr>
        <w:spacing w:line="480" w:lineRule="auto"/>
        <w:rPr>
          <w:rFonts w:cstheme="minorHAnsi"/>
        </w:rPr>
      </w:pPr>
      <w:r w:rsidRPr="009D1728">
        <w:rPr>
          <w:rFonts w:cstheme="minorHAnsi"/>
        </w:rPr>
        <w:t xml:space="preserve">However, </w:t>
      </w:r>
      <w:r w:rsidR="00E178BC" w:rsidRPr="009D1728">
        <w:rPr>
          <w:rFonts w:cstheme="minorHAnsi"/>
        </w:rPr>
        <w:t xml:space="preserve">was not an isolated document, instead being predated by hundreds of individual surveys </w:t>
      </w:r>
      <w:r w:rsidR="00D2478B" w:rsidRPr="009D1728">
        <w:rPr>
          <w:rFonts w:cstheme="minorHAnsi"/>
        </w:rPr>
        <w:t xml:space="preserve">that documented the individual hundreds of England. </w:t>
      </w:r>
      <w:r w:rsidR="00A009BB" w:rsidRPr="009D1728">
        <w:rPr>
          <w:rFonts w:cstheme="minorHAnsi"/>
        </w:rPr>
        <w:t>E</w:t>
      </w:r>
      <w:r w:rsidR="00547820" w:rsidRPr="009D1728">
        <w:rPr>
          <w:rFonts w:cstheme="minorHAnsi"/>
        </w:rPr>
        <w:t>xample</w:t>
      </w:r>
      <w:r w:rsidR="00F65AFB" w:rsidRPr="009D1728">
        <w:rPr>
          <w:rFonts w:cstheme="minorHAnsi"/>
        </w:rPr>
        <w:t xml:space="preserve">s of </w:t>
      </w:r>
      <w:r w:rsidR="00A009BB" w:rsidRPr="009D1728">
        <w:rPr>
          <w:rFonts w:cstheme="minorHAnsi"/>
        </w:rPr>
        <w:t xml:space="preserve">these </w:t>
      </w:r>
      <w:r w:rsidR="00F65AFB" w:rsidRPr="009D1728">
        <w:rPr>
          <w:rFonts w:cstheme="minorHAnsi"/>
        </w:rPr>
        <w:t xml:space="preserve">prior manuscripts include </w:t>
      </w:r>
      <w:r w:rsidR="00A009BB" w:rsidRPr="009D1728">
        <w:rPr>
          <w:rFonts w:cstheme="minorHAnsi"/>
        </w:rPr>
        <w:t xml:space="preserve">the </w:t>
      </w:r>
      <w:proofErr w:type="spellStart"/>
      <w:r w:rsidR="00A009BB" w:rsidRPr="009D1728">
        <w:rPr>
          <w:rFonts w:cstheme="minorHAnsi"/>
          <w:i/>
          <w:iCs/>
        </w:rPr>
        <w:t>Inquisito</w:t>
      </w:r>
      <w:proofErr w:type="spellEnd"/>
      <w:r w:rsidR="00A009BB" w:rsidRPr="009D1728">
        <w:rPr>
          <w:rFonts w:cstheme="minorHAnsi"/>
          <w:i/>
          <w:iCs/>
        </w:rPr>
        <w:t xml:space="preserve"> Comitatus </w:t>
      </w:r>
      <w:proofErr w:type="spellStart"/>
      <w:r w:rsidR="00A009BB" w:rsidRPr="009D1728">
        <w:rPr>
          <w:rFonts w:cstheme="minorHAnsi"/>
          <w:i/>
          <w:iCs/>
        </w:rPr>
        <w:t>Cantabrigiensis</w:t>
      </w:r>
      <w:proofErr w:type="spellEnd"/>
      <w:r w:rsidR="00A009BB" w:rsidRPr="009D1728">
        <w:rPr>
          <w:rFonts w:cstheme="minorHAnsi"/>
        </w:rPr>
        <w:t xml:space="preserve">, also known as the Cambridge Inquisition, a first draft of the survey of Cambridgeshire that exists in the Domesday book, and the </w:t>
      </w:r>
      <w:proofErr w:type="spellStart"/>
      <w:r w:rsidR="008078FC" w:rsidRPr="009D1728">
        <w:rPr>
          <w:rFonts w:cstheme="minorHAnsi"/>
          <w:i/>
          <w:iCs/>
        </w:rPr>
        <w:t>Inquisitio</w:t>
      </w:r>
      <w:proofErr w:type="spellEnd"/>
      <w:r w:rsidR="008078FC" w:rsidRPr="009D1728">
        <w:rPr>
          <w:rFonts w:cstheme="minorHAnsi"/>
          <w:i/>
          <w:iCs/>
        </w:rPr>
        <w:t xml:space="preserve"> </w:t>
      </w:r>
      <w:proofErr w:type="spellStart"/>
      <w:r w:rsidR="008078FC" w:rsidRPr="009D1728">
        <w:rPr>
          <w:rFonts w:cstheme="minorHAnsi"/>
          <w:i/>
          <w:iCs/>
        </w:rPr>
        <w:t>Eliensis</w:t>
      </w:r>
      <w:proofErr w:type="spellEnd"/>
      <w:r w:rsidR="008078FC" w:rsidRPr="009D1728">
        <w:rPr>
          <w:rFonts w:cstheme="minorHAnsi"/>
        </w:rPr>
        <w:t xml:space="preserve">, also known as the Ely Inquiry, </w:t>
      </w:r>
      <w:r w:rsidR="00603B4A" w:rsidRPr="009D1728">
        <w:rPr>
          <w:rFonts w:cstheme="minorHAnsi"/>
        </w:rPr>
        <w:t xml:space="preserve">which surveyed </w:t>
      </w:r>
      <w:r w:rsidR="00F14780" w:rsidRPr="009D1728">
        <w:rPr>
          <w:rFonts w:cstheme="minorHAnsi"/>
        </w:rPr>
        <w:t>the Ely Abbey in Cambridgeshire.</w:t>
      </w:r>
      <w:r w:rsidR="00F14780" w:rsidRPr="009D1728">
        <w:rPr>
          <w:rStyle w:val="FootnoteReference"/>
          <w:rFonts w:cstheme="minorHAnsi"/>
        </w:rPr>
        <w:footnoteReference w:id="7"/>
      </w:r>
      <w:r w:rsidR="009919E5" w:rsidRPr="009D1728">
        <w:rPr>
          <w:rFonts w:cstheme="minorHAnsi"/>
        </w:rPr>
        <w:t xml:space="preserve"> These preliminary surveys also followed a similar line of inquiry with regards to property, including the questions of who owned it then, who owns it now, and what it is worth. These smaller surveys also highlight how the full </w:t>
      </w:r>
      <w:r w:rsidR="009919E5" w:rsidRPr="009D1728">
        <w:rPr>
          <w:rFonts w:cstheme="minorHAnsi"/>
        </w:rPr>
        <w:lastRenderedPageBreak/>
        <w:t>Domesday Survey was carried out, with smaller regional surveys compiling the information for each hundred and then collating the information into the full manuscript.</w:t>
      </w:r>
      <w:r w:rsidR="009919E5" w:rsidRPr="009D1728">
        <w:rPr>
          <w:rStyle w:val="FootnoteReference"/>
          <w:rFonts w:cstheme="minorHAnsi"/>
        </w:rPr>
        <w:footnoteReference w:id="8"/>
      </w:r>
      <w:r w:rsidR="009919E5" w:rsidRPr="009D1728">
        <w:rPr>
          <w:rFonts w:cstheme="minorHAnsi"/>
        </w:rPr>
        <w:t xml:space="preserve"> It is therefore likely that the process for collecting information for the Domesday Survey was fully established as it is written in this source long before the collation of information </w:t>
      </w:r>
      <w:r w:rsidR="00DD4B73" w:rsidRPr="009D1728">
        <w:rPr>
          <w:rFonts w:cstheme="minorHAnsi"/>
        </w:rPr>
        <w:t xml:space="preserve">fully </w:t>
      </w:r>
      <w:r w:rsidR="009919E5" w:rsidRPr="009D1728">
        <w:rPr>
          <w:rFonts w:cstheme="minorHAnsi"/>
        </w:rPr>
        <w:t xml:space="preserve">began in 1086. </w:t>
      </w:r>
    </w:p>
    <w:p w14:paraId="3D5821B5" w14:textId="77777777" w:rsidR="00BE359C" w:rsidRPr="009D1728" w:rsidRDefault="007F4875" w:rsidP="00CA4AB4">
      <w:pPr>
        <w:spacing w:line="480" w:lineRule="auto"/>
        <w:rPr>
          <w:rFonts w:cstheme="minorHAnsi"/>
        </w:rPr>
      </w:pPr>
      <w:r w:rsidRPr="009D1728">
        <w:rPr>
          <w:rFonts w:cstheme="minorHAnsi"/>
        </w:rPr>
        <w:t>It has been argued that the point of the Domesday Survey was always to produce this type of written record of property and ownership.</w:t>
      </w:r>
      <w:r w:rsidRPr="009D1728">
        <w:rPr>
          <w:rStyle w:val="FootnoteReference"/>
          <w:rFonts w:cstheme="minorHAnsi"/>
        </w:rPr>
        <w:footnoteReference w:id="9"/>
      </w:r>
      <w:r w:rsidR="0025114C" w:rsidRPr="009D1728">
        <w:rPr>
          <w:rFonts w:cstheme="minorHAnsi"/>
        </w:rPr>
        <w:t xml:space="preserve"> When William the Conqueror came to power in Norman England, his view was that every piece of land under his rule was owned by him, and that he was ‘lending out’ to anyone who owned land under him, such as barons or knights.</w:t>
      </w:r>
      <w:r w:rsidR="0025114C" w:rsidRPr="009D1728">
        <w:rPr>
          <w:rStyle w:val="FootnoteReference"/>
          <w:rFonts w:cstheme="minorHAnsi"/>
        </w:rPr>
        <w:footnoteReference w:id="10"/>
      </w:r>
      <w:r w:rsidR="0025114C" w:rsidRPr="009D1728">
        <w:rPr>
          <w:rFonts w:cstheme="minorHAnsi"/>
        </w:rPr>
        <w:t xml:space="preserve"> It could be argued, therefore, that by ordering the survey to be done, William I was ordering an inventory of his property. </w:t>
      </w:r>
      <w:r w:rsidR="0084309F" w:rsidRPr="009D1728">
        <w:rPr>
          <w:rFonts w:cstheme="minorHAnsi"/>
        </w:rPr>
        <w:t xml:space="preserve">This </w:t>
      </w:r>
      <w:r w:rsidR="00BE56AA" w:rsidRPr="009D1728">
        <w:rPr>
          <w:rFonts w:cstheme="minorHAnsi"/>
        </w:rPr>
        <w:t xml:space="preserve">reordering and recounting of property </w:t>
      </w:r>
      <w:r w:rsidR="00DA1BE9" w:rsidRPr="009D1728">
        <w:rPr>
          <w:rFonts w:cstheme="minorHAnsi"/>
        </w:rPr>
        <w:t>also served to solidify William I’s rule in England</w:t>
      </w:r>
      <w:r w:rsidR="009563D9" w:rsidRPr="009D1728">
        <w:rPr>
          <w:rFonts w:cstheme="minorHAnsi"/>
        </w:rPr>
        <w:t xml:space="preserve"> through the act of legitimisation</w:t>
      </w:r>
      <w:r w:rsidR="00DA1BE9" w:rsidRPr="009D1728">
        <w:rPr>
          <w:rFonts w:cstheme="minorHAnsi"/>
        </w:rPr>
        <w:t xml:space="preserve">. </w:t>
      </w:r>
      <w:r w:rsidR="00363D76" w:rsidRPr="009D1728">
        <w:rPr>
          <w:rFonts w:cstheme="minorHAnsi"/>
        </w:rPr>
        <w:t>By ordering this survey, it allowed William to demonstrate</w:t>
      </w:r>
      <w:r w:rsidR="009563D9" w:rsidRPr="009D1728">
        <w:rPr>
          <w:rFonts w:cstheme="minorHAnsi"/>
        </w:rPr>
        <w:t xml:space="preserve"> that he does have full authority over English lands, economy, and therefore has full power and legitimacy as the king.</w:t>
      </w:r>
      <w:r w:rsidR="009563D9" w:rsidRPr="009D1728">
        <w:rPr>
          <w:rStyle w:val="FootnoteReference"/>
          <w:rFonts w:cstheme="minorHAnsi"/>
        </w:rPr>
        <w:footnoteReference w:id="11"/>
      </w:r>
      <w:r w:rsidR="009563D9" w:rsidRPr="009D1728">
        <w:rPr>
          <w:rFonts w:cstheme="minorHAnsi"/>
        </w:rPr>
        <w:t xml:space="preserve"> Furthermore, by having a complete account of the resources of the country, </w:t>
      </w:r>
      <w:r w:rsidR="002A3BDD" w:rsidRPr="009D1728">
        <w:rPr>
          <w:rFonts w:cstheme="minorHAnsi"/>
        </w:rPr>
        <w:t>William was able to take full control of taxation, including the change and implementation of new taxation laws</w:t>
      </w:r>
      <w:r w:rsidR="000A41DB" w:rsidRPr="009D1728">
        <w:rPr>
          <w:rFonts w:cstheme="minorHAnsi"/>
        </w:rPr>
        <w:t xml:space="preserve">. This change of law, alongside the replacement of a large portion of the English aristocracy with Normans who were loyal to William, created an Anglo-Norman era defined by the replacement of </w:t>
      </w:r>
      <w:r w:rsidR="00E02A87" w:rsidRPr="009D1728">
        <w:rPr>
          <w:rFonts w:cstheme="minorHAnsi"/>
        </w:rPr>
        <w:t>Anglo-Saxon</w:t>
      </w:r>
      <w:r w:rsidR="000A41DB" w:rsidRPr="009D1728">
        <w:rPr>
          <w:rFonts w:cstheme="minorHAnsi"/>
        </w:rPr>
        <w:t xml:space="preserve"> customs and laws with Norman ones.</w:t>
      </w:r>
      <w:r w:rsidR="000A41DB" w:rsidRPr="009D1728">
        <w:rPr>
          <w:rStyle w:val="FootnoteReference"/>
          <w:rFonts w:cstheme="minorHAnsi"/>
        </w:rPr>
        <w:footnoteReference w:id="12"/>
      </w:r>
      <w:r w:rsidR="000A41DB" w:rsidRPr="009D1728">
        <w:rPr>
          <w:rFonts w:cstheme="minorHAnsi"/>
        </w:rPr>
        <w:t xml:space="preserve"> </w:t>
      </w:r>
    </w:p>
    <w:p w14:paraId="52E6C26D" w14:textId="5CB5F9C7" w:rsidR="008770C7" w:rsidRPr="009D1728" w:rsidRDefault="000A41DB" w:rsidP="00CA4AB4">
      <w:pPr>
        <w:spacing w:line="480" w:lineRule="auto"/>
        <w:rPr>
          <w:rFonts w:cstheme="minorHAnsi"/>
        </w:rPr>
      </w:pPr>
      <w:r w:rsidRPr="009D1728">
        <w:rPr>
          <w:rFonts w:cstheme="minorHAnsi"/>
        </w:rPr>
        <w:t>This</w:t>
      </w:r>
      <w:r w:rsidR="00BE359C" w:rsidRPr="009D1728">
        <w:rPr>
          <w:rFonts w:cstheme="minorHAnsi"/>
        </w:rPr>
        <w:t xml:space="preserve"> creation of an Anglo-Norman era </w:t>
      </w:r>
      <w:r w:rsidRPr="009D1728">
        <w:rPr>
          <w:rFonts w:cstheme="minorHAnsi"/>
        </w:rPr>
        <w:t xml:space="preserve">can be </w:t>
      </w:r>
      <w:r w:rsidR="00C33C5E" w:rsidRPr="009D1728">
        <w:rPr>
          <w:rFonts w:cstheme="minorHAnsi"/>
        </w:rPr>
        <w:t xml:space="preserve">seen through the source, where the Domesday survey prioritises the collection of data </w:t>
      </w:r>
      <w:proofErr w:type="gramStart"/>
      <w:r w:rsidR="00C33C5E" w:rsidRPr="009D1728">
        <w:rPr>
          <w:rFonts w:cstheme="minorHAnsi"/>
        </w:rPr>
        <w:t>in regards to</w:t>
      </w:r>
      <w:proofErr w:type="gramEnd"/>
      <w:r w:rsidR="00C33C5E" w:rsidRPr="009D1728">
        <w:rPr>
          <w:rFonts w:cstheme="minorHAnsi"/>
        </w:rPr>
        <w:t xml:space="preserve"> </w:t>
      </w:r>
      <w:r w:rsidR="0028401E" w:rsidRPr="009D1728">
        <w:rPr>
          <w:rFonts w:cstheme="minorHAnsi"/>
        </w:rPr>
        <w:t xml:space="preserve">not only what exists in the time of the survey, but also what was there in the reign of King Edward the Confessor. This emphasis of the two periods of surveying implies that </w:t>
      </w:r>
      <w:r w:rsidR="00E02A87" w:rsidRPr="009D1728">
        <w:rPr>
          <w:rFonts w:cstheme="minorHAnsi"/>
        </w:rPr>
        <w:t xml:space="preserve">they are collating this information both in regards to what came before in Edward’s time, but also what exists in the current era of William I. This also indicates that according </w:t>
      </w:r>
      <w:r w:rsidR="00E02A87" w:rsidRPr="009D1728">
        <w:rPr>
          <w:rFonts w:cstheme="minorHAnsi"/>
        </w:rPr>
        <w:lastRenderedPageBreak/>
        <w:t>to William I, who ordered the Domesday survey, the last legitimate king of England was Edward the Confessor, and not Harold Godwinson who had come before him, adding to the propagation of William’s legitimacy as king, as he claims to have been promised the Kingdom by Edward the Confessor.</w:t>
      </w:r>
      <w:r w:rsidR="00E02A87" w:rsidRPr="009D1728">
        <w:rPr>
          <w:rStyle w:val="FootnoteReference"/>
          <w:rFonts w:cstheme="minorHAnsi"/>
        </w:rPr>
        <w:footnoteReference w:id="13"/>
      </w:r>
      <w:r w:rsidR="00BE359C" w:rsidRPr="009D1728">
        <w:rPr>
          <w:rFonts w:cstheme="minorHAnsi"/>
        </w:rPr>
        <w:t xml:space="preserve"> </w:t>
      </w:r>
    </w:p>
    <w:p w14:paraId="5D16E89D" w14:textId="45FAE50C" w:rsidR="008770C7" w:rsidRPr="009D1728" w:rsidRDefault="00A70D9F" w:rsidP="00CA4AB4">
      <w:pPr>
        <w:spacing w:line="480" w:lineRule="auto"/>
        <w:rPr>
          <w:rFonts w:cstheme="minorHAnsi"/>
        </w:rPr>
      </w:pPr>
      <w:r w:rsidRPr="009D1728">
        <w:rPr>
          <w:rFonts w:cstheme="minorHAnsi"/>
        </w:rPr>
        <w:t xml:space="preserve">In conclusion, this source highlights how the information for the Domesday Survey was collated, what they were looking to gain information on, and therefore helps us to understand why it was undertaken by William I and what was stood to gain from this resource being created. </w:t>
      </w:r>
    </w:p>
    <w:p w14:paraId="3155A554" w14:textId="5A71FE73" w:rsidR="00380091" w:rsidRPr="009D1728" w:rsidRDefault="00380091" w:rsidP="00CA4AB4">
      <w:pPr>
        <w:spacing w:line="480" w:lineRule="auto"/>
        <w:rPr>
          <w:rFonts w:cstheme="minorHAnsi"/>
        </w:rPr>
      </w:pPr>
      <w:r w:rsidRPr="009D1728">
        <w:rPr>
          <w:rFonts w:cstheme="minorHAnsi"/>
        </w:rPr>
        <w:t xml:space="preserve">[Word Count </w:t>
      </w:r>
      <w:r w:rsidR="00A70D9F" w:rsidRPr="009D1728">
        <w:rPr>
          <w:rFonts w:cstheme="minorHAnsi"/>
        </w:rPr>
        <w:t>–</w:t>
      </w:r>
      <w:r w:rsidRPr="009D1728">
        <w:rPr>
          <w:rFonts w:cstheme="minorHAnsi"/>
        </w:rPr>
        <w:t xml:space="preserve"> </w:t>
      </w:r>
      <w:r w:rsidR="00A70D9F" w:rsidRPr="009D1728">
        <w:rPr>
          <w:rFonts w:cstheme="minorHAnsi"/>
        </w:rPr>
        <w:t>1168]</w:t>
      </w:r>
    </w:p>
    <w:p w14:paraId="047FD3FB" w14:textId="2D70D85E" w:rsidR="008770C7" w:rsidRPr="009D1728" w:rsidRDefault="008770C7" w:rsidP="00CA4AB4">
      <w:pPr>
        <w:spacing w:line="480" w:lineRule="auto"/>
        <w:rPr>
          <w:rFonts w:cstheme="minorHAnsi"/>
          <w:b/>
          <w:bCs/>
          <w:sz w:val="24"/>
          <w:szCs w:val="24"/>
          <w:u w:val="single"/>
        </w:rPr>
      </w:pPr>
      <w:r w:rsidRPr="009D1728">
        <w:rPr>
          <w:rFonts w:cstheme="minorHAnsi"/>
          <w:b/>
          <w:bCs/>
          <w:sz w:val="24"/>
          <w:szCs w:val="24"/>
          <w:u w:val="single"/>
        </w:rPr>
        <w:t xml:space="preserve">Bibliography </w:t>
      </w:r>
    </w:p>
    <w:p w14:paraId="4F9EB17E" w14:textId="24A45B3D" w:rsidR="00182409" w:rsidRPr="009D1728" w:rsidRDefault="00182409" w:rsidP="00CA4AB4">
      <w:pPr>
        <w:spacing w:line="480" w:lineRule="auto"/>
        <w:rPr>
          <w:rFonts w:cstheme="minorHAnsi"/>
        </w:rPr>
      </w:pPr>
      <w:r w:rsidRPr="009D1728">
        <w:rPr>
          <w:rFonts w:cstheme="minorHAnsi"/>
        </w:rPr>
        <w:t>Baxter, Stephen, ‘How and Why Was Domesday Made?’, The English Historical Review, 135.576 (2020), 1085–11</w:t>
      </w:r>
      <w:r w:rsidR="009D1728" w:rsidRPr="009D1728">
        <w:rPr>
          <w:rFonts w:cstheme="minorHAnsi"/>
        </w:rPr>
        <w:t xml:space="preserve">3. </w:t>
      </w:r>
    </w:p>
    <w:p w14:paraId="170CF70B" w14:textId="2EA7D36F" w:rsidR="00182409" w:rsidRPr="009D1728" w:rsidRDefault="00182409" w:rsidP="00CA4AB4">
      <w:pPr>
        <w:spacing w:line="480" w:lineRule="auto"/>
        <w:rPr>
          <w:rFonts w:cstheme="minorHAnsi"/>
        </w:rPr>
      </w:pPr>
      <w:proofErr w:type="spellStart"/>
      <w:r w:rsidRPr="009D1728">
        <w:rPr>
          <w:rFonts w:cstheme="minorHAnsi"/>
        </w:rPr>
        <w:t>Bekar</w:t>
      </w:r>
      <w:proofErr w:type="spellEnd"/>
      <w:r w:rsidRPr="009D1728">
        <w:rPr>
          <w:rFonts w:cstheme="minorHAnsi"/>
        </w:rPr>
        <w:t>, Cliff T, and Clyde G Reed, ‘Land Markets and Inequality: Evidence from Medieval England’, European Review of Economic History, 17.3 (2013), 294–317</w:t>
      </w:r>
      <w:r w:rsidR="009D1728" w:rsidRPr="009D1728">
        <w:rPr>
          <w:rFonts w:cstheme="minorHAnsi"/>
        </w:rPr>
        <w:t xml:space="preserve">. </w:t>
      </w:r>
    </w:p>
    <w:p w14:paraId="7AF6E247" w14:textId="4B2AEA82" w:rsidR="00182409" w:rsidRPr="009D1728" w:rsidRDefault="00182409" w:rsidP="00CA4AB4">
      <w:pPr>
        <w:spacing w:line="480" w:lineRule="auto"/>
        <w:rPr>
          <w:rFonts w:cstheme="minorHAnsi"/>
        </w:rPr>
      </w:pPr>
      <w:proofErr w:type="spellStart"/>
      <w:r w:rsidRPr="009D1728">
        <w:rPr>
          <w:rFonts w:cstheme="minorHAnsi"/>
        </w:rPr>
        <w:t>Blomefield</w:t>
      </w:r>
      <w:proofErr w:type="spellEnd"/>
      <w:r w:rsidRPr="009D1728">
        <w:rPr>
          <w:rFonts w:cstheme="minorHAnsi"/>
        </w:rPr>
        <w:t xml:space="preserve">, Francis, ‘Freebridge Hundred and Half’ </w:t>
      </w:r>
      <w:r w:rsidRPr="009D1728">
        <w:rPr>
          <w:rFonts w:cstheme="minorHAnsi"/>
          <w:i/>
          <w:iCs/>
        </w:rPr>
        <w:t xml:space="preserve">An Essay Towards </w:t>
      </w:r>
      <w:proofErr w:type="gramStart"/>
      <w:r w:rsidRPr="009D1728">
        <w:rPr>
          <w:rFonts w:cstheme="minorHAnsi"/>
          <w:i/>
          <w:iCs/>
        </w:rPr>
        <w:t>A</w:t>
      </w:r>
      <w:proofErr w:type="gramEnd"/>
      <w:r w:rsidRPr="009D1728">
        <w:rPr>
          <w:rFonts w:cstheme="minorHAnsi"/>
          <w:i/>
          <w:iCs/>
        </w:rPr>
        <w:t xml:space="preserve"> Topographical History of the County of Norfolk: Volume 8</w:t>
      </w:r>
      <w:r w:rsidRPr="009D1728">
        <w:rPr>
          <w:rFonts w:cstheme="minorHAnsi"/>
        </w:rPr>
        <w:t xml:space="preserve">. London: W Miller (1808) [online] Available at </w:t>
      </w:r>
      <w:hyperlink r:id="rId7" w:history="1">
        <w:r w:rsidRPr="009D1728">
          <w:rPr>
            <w:rStyle w:val="Hyperlink"/>
            <w:rFonts w:cstheme="minorHAnsi"/>
          </w:rPr>
          <w:t>http://www.british-history.ac.uk/topographical-hist-norfolk/vol8/pp327-328</w:t>
        </w:r>
      </w:hyperlink>
      <w:r w:rsidRPr="009D1728">
        <w:rPr>
          <w:rFonts w:cstheme="minorHAnsi"/>
        </w:rPr>
        <w:t xml:space="preserve"> (last accessed 1st February 2023). </w:t>
      </w:r>
    </w:p>
    <w:p w14:paraId="487349BA" w14:textId="383B90C2" w:rsidR="00182409" w:rsidRPr="009D1728" w:rsidRDefault="00182409" w:rsidP="00CA4AB4">
      <w:pPr>
        <w:spacing w:line="480" w:lineRule="auto"/>
        <w:rPr>
          <w:rFonts w:cstheme="minorHAnsi"/>
        </w:rPr>
      </w:pPr>
      <w:r w:rsidRPr="009D1728">
        <w:rPr>
          <w:rFonts w:cstheme="minorHAnsi"/>
        </w:rPr>
        <w:t xml:space="preserve">Harvey, Sally, </w:t>
      </w:r>
      <w:r w:rsidR="009D1728" w:rsidRPr="009D1728">
        <w:rPr>
          <w:rFonts w:cstheme="minorHAnsi"/>
        </w:rPr>
        <w:t>‘</w:t>
      </w:r>
      <w:r w:rsidRPr="009D1728">
        <w:rPr>
          <w:rFonts w:cstheme="minorHAnsi"/>
        </w:rPr>
        <w:t>Domesday : Book of Judgement</w:t>
      </w:r>
      <w:r w:rsidR="009D1728" w:rsidRPr="009D1728">
        <w:rPr>
          <w:rFonts w:cstheme="minorHAnsi"/>
        </w:rPr>
        <w:t>’</w:t>
      </w:r>
      <w:r w:rsidRPr="009D1728">
        <w:rPr>
          <w:rFonts w:cstheme="minorHAnsi"/>
        </w:rPr>
        <w:t>, First edition</w:t>
      </w:r>
      <w:r w:rsidR="009D1728" w:rsidRPr="009D1728">
        <w:rPr>
          <w:rFonts w:cstheme="minorHAnsi"/>
        </w:rPr>
        <w:t xml:space="preserve">, </w:t>
      </w:r>
      <w:r w:rsidRPr="009D1728">
        <w:rPr>
          <w:rFonts w:cstheme="minorHAnsi"/>
        </w:rPr>
        <w:t>Oxford: Oxford University Press</w:t>
      </w:r>
      <w:r w:rsidR="009D1728" w:rsidRPr="009D1728">
        <w:rPr>
          <w:rFonts w:cstheme="minorHAnsi"/>
        </w:rPr>
        <w:t xml:space="preserve"> (</w:t>
      </w:r>
      <w:r w:rsidRPr="009D1728">
        <w:rPr>
          <w:rFonts w:cstheme="minorHAnsi"/>
        </w:rPr>
        <w:t>201</w:t>
      </w:r>
      <w:r w:rsidR="009D1728" w:rsidRPr="009D1728">
        <w:rPr>
          <w:rFonts w:cstheme="minorHAnsi"/>
        </w:rPr>
        <w:t xml:space="preserve">4). </w:t>
      </w:r>
    </w:p>
    <w:p w14:paraId="78C35ED5" w14:textId="6EC2CDF1" w:rsidR="00182409" w:rsidRPr="009D1728" w:rsidRDefault="00182409" w:rsidP="00CA4AB4">
      <w:pPr>
        <w:spacing w:line="480" w:lineRule="auto"/>
        <w:rPr>
          <w:rFonts w:cstheme="minorHAnsi"/>
        </w:rPr>
      </w:pPr>
      <w:r w:rsidRPr="009D1728">
        <w:rPr>
          <w:rFonts w:cstheme="minorHAnsi"/>
        </w:rPr>
        <w:t>Jones, Michael John, ‘Domesday Book: An Early Fiscal, Accounting Narrative?’, The British Accounting Review, 50.3 (2018), 275–90</w:t>
      </w:r>
      <w:r w:rsidR="009D1728" w:rsidRPr="009D1728">
        <w:rPr>
          <w:rFonts w:cstheme="minorHAnsi"/>
        </w:rPr>
        <w:t xml:space="preserve">. </w:t>
      </w:r>
    </w:p>
    <w:p w14:paraId="5D295C99" w14:textId="7E36FBD9" w:rsidR="008770C7" w:rsidRPr="009D1728" w:rsidRDefault="008770C7" w:rsidP="00CA4AB4">
      <w:pPr>
        <w:spacing w:line="480" w:lineRule="auto"/>
        <w:rPr>
          <w:rFonts w:cstheme="minorHAnsi"/>
        </w:rPr>
      </w:pPr>
      <w:proofErr w:type="spellStart"/>
      <w:r w:rsidRPr="009D1728">
        <w:rPr>
          <w:rFonts w:cstheme="minorHAnsi"/>
        </w:rPr>
        <w:t>Roffe</w:t>
      </w:r>
      <w:proofErr w:type="spellEnd"/>
      <w:r w:rsidRPr="009D1728">
        <w:rPr>
          <w:rFonts w:cstheme="minorHAnsi"/>
        </w:rPr>
        <w:t xml:space="preserve">, David., </w:t>
      </w:r>
      <w:r w:rsidR="009D1728" w:rsidRPr="009D1728">
        <w:rPr>
          <w:rFonts w:cstheme="minorHAnsi"/>
        </w:rPr>
        <w:t>‘</w:t>
      </w:r>
      <w:r w:rsidRPr="009D1728">
        <w:rPr>
          <w:rFonts w:cstheme="minorHAnsi"/>
        </w:rPr>
        <w:t>Decoding Domesday</w:t>
      </w:r>
      <w:r w:rsidR="009D1728" w:rsidRPr="009D1728">
        <w:rPr>
          <w:rFonts w:cstheme="minorHAnsi"/>
        </w:rPr>
        <w:t xml:space="preserve">’, </w:t>
      </w:r>
      <w:r w:rsidRPr="009D1728">
        <w:rPr>
          <w:rFonts w:cstheme="minorHAnsi"/>
        </w:rPr>
        <w:t>Woodbridge</w:t>
      </w:r>
      <w:r w:rsidR="009D1728" w:rsidRPr="009D1728">
        <w:rPr>
          <w:rFonts w:cstheme="minorHAnsi"/>
        </w:rPr>
        <w:t xml:space="preserve">: </w:t>
      </w:r>
      <w:r w:rsidRPr="009D1728">
        <w:rPr>
          <w:rFonts w:cstheme="minorHAnsi"/>
        </w:rPr>
        <w:t xml:space="preserve">Boydell Press, </w:t>
      </w:r>
      <w:r w:rsidR="009D1728" w:rsidRPr="009D1728">
        <w:rPr>
          <w:rFonts w:cstheme="minorHAnsi"/>
        </w:rPr>
        <w:t>(</w:t>
      </w:r>
      <w:r w:rsidRPr="009D1728">
        <w:rPr>
          <w:rFonts w:cstheme="minorHAnsi"/>
        </w:rPr>
        <w:t>2007)</w:t>
      </w:r>
      <w:r w:rsidR="009D1728" w:rsidRPr="009D1728">
        <w:rPr>
          <w:rFonts w:cstheme="minorHAnsi"/>
        </w:rPr>
        <w:t xml:space="preserve">. </w:t>
      </w:r>
    </w:p>
    <w:p w14:paraId="4A0ACE5B" w14:textId="6EEB660D" w:rsidR="00DC522A" w:rsidRPr="009D1728" w:rsidRDefault="00DC522A" w:rsidP="00CA4AB4">
      <w:pPr>
        <w:spacing w:line="480" w:lineRule="auto"/>
        <w:rPr>
          <w:rFonts w:cstheme="minorHAnsi"/>
        </w:rPr>
      </w:pPr>
    </w:p>
    <w:sectPr w:rsidR="00DC522A" w:rsidRPr="009D17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AFD1F" w14:textId="77777777" w:rsidR="0097593E" w:rsidRDefault="0097593E" w:rsidP="00200711">
      <w:pPr>
        <w:spacing w:after="0" w:line="240" w:lineRule="auto"/>
      </w:pPr>
      <w:r>
        <w:separator/>
      </w:r>
    </w:p>
  </w:endnote>
  <w:endnote w:type="continuationSeparator" w:id="0">
    <w:p w14:paraId="0783FB63" w14:textId="77777777" w:rsidR="0097593E" w:rsidRDefault="0097593E" w:rsidP="00200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621AF" w14:textId="77777777" w:rsidR="0097593E" w:rsidRDefault="0097593E" w:rsidP="00200711">
      <w:pPr>
        <w:spacing w:after="0" w:line="240" w:lineRule="auto"/>
      </w:pPr>
      <w:r>
        <w:separator/>
      </w:r>
    </w:p>
  </w:footnote>
  <w:footnote w:type="continuationSeparator" w:id="0">
    <w:p w14:paraId="1FBA4724" w14:textId="77777777" w:rsidR="0097593E" w:rsidRDefault="0097593E" w:rsidP="00200711">
      <w:pPr>
        <w:spacing w:after="0" w:line="240" w:lineRule="auto"/>
      </w:pPr>
      <w:r>
        <w:continuationSeparator/>
      </w:r>
    </w:p>
  </w:footnote>
  <w:footnote w:id="1">
    <w:p w14:paraId="5A746515" w14:textId="143054C5" w:rsidR="00903F88" w:rsidRPr="009D1728" w:rsidRDefault="00903F88" w:rsidP="009D1728">
      <w:pPr>
        <w:rPr>
          <w:rFonts w:ascii="Comic Sans MS" w:hAnsi="Comic Sans MS"/>
        </w:rPr>
      </w:pPr>
      <w:r>
        <w:rPr>
          <w:rStyle w:val="FootnoteReference"/>
        </w:rPr>
        <w:footnoteRef/>
      </w:r>
      <w:r>
        <w:t xml:space="preserve"> </w:t>
      </w:r>
      <w:r w:rsidR="009D1728" w:rsidRPr="009D1728">
        <w:rPr>
          <w:sz w:val="20"/>
          <w:szCs w:val="20"/>
        </w:rPr>
        <w:t xml:space="preserve">Francis </w:t>
      </w:r>
      <w:proofErr w:type="spellStart"/>
      <w:r w:rsidR="009D1728" w:rsidRPr="009D1728">
        <w:rPr>
          <w:sz w:val="20"/>
          <w:szCs w:val="20"/>
        </w:rPr>
        <w:t>Blomefield</w:t>
      </w:r>
      <w:proofErr w:type="spellEnd"/>
      <w:r w:rsidR="009D1728" w:rsidRPr="009D1728">
        <w:rPr>
          <w:sz w:val="20"/>
          <w:szCs w:val="20"/>
        </w:rPr>
        <w:t>, ‘</w:t>
      </w:r>
      <w:r w:rsidRPr="009D1728">
        <w:rPr>
          <w:sz w:val="20"/>
          <w:szCs w:val="20"/>
        </w:rPr>
        <w:t>Freebridge Hundred and Half</w:t>
      </w:r>
      <w:r w:rsidR="009D1728" w:rsidRPr="009D1728">
        <w:rPr>
          <w:sz w:val="20"/>
          <w:szCs w:val="20"/>
        </w:rPr>
        <w:t>’, An Essay Towards A Topographical History of the County of Norfolk: Volume 8. [online].</w:t>
      </w:r>
    </w:p>
  </w:footnote>
  <w:footnote w:id="2">
    <w:p w14:paraId="621042C9" w14:textId="7FA2B102" w:rsidR="00542555" w:rsidRDefault="00542555">
      <w:pPr>
        <w:pStyle w:val="FootnoteText"/>
      </w:pPr>
      <w:r>
        <w:rPr>
          <w:rStyle w:val="FootnoteReference"/>
        </w:rPr>
        <w:footnoteRef/>
      </w:r>
      <w:r>
        <w:t xml:space="preserve"> </w:t>
      </w:r>
      <w:proofErr w:type="spellStart"/>
      <w:r w:rsidR="009D1728">
        <w:t>Blomefield</w:t>
      </w:r>
      <w:proofErr w:type="spellEnd"/>
      <w:r w:rsidR="009D1728">
        <w:t xml:space="preserve">, </w:t>
      </w:r>
      <w:r>
        <w:t xml:space="preserve">Freebridge Hundred and Half </w:t>
      </w:r>
      <w:r w:rsidR="009D1728">
        <w:t xml:space="preserve">[online]. </w:t>
      </w:r>
    </w:p>
  </w:footnote>
  <w:footnote w:id="3">
    <w:p w14:paraId="68031F76" w14:textId="01829692" w:rsidR="00C0326C" w:rsidRDefault="00C0326C">
      <w:pPr>
        <w:pStyle w:val="FootnoteText"/>
      </w:pPr>
      <w:r>
        <w:rPr>
          <w:rStyle w:val="FootnoteReference"/>
        </w:rPr>
        <w:footnoteRef/>
      </w:r>
      <w:r>
        <w:t xml:space="preserve"> D</w:t>
      </w:r>
      <w:r w:rsidR="00B83753">
        <w:t xml:space="preserve">avid </w:t>
      </w:r>
      <w:proofErr w:type="spellStart"/>
      <w:r w:rsidR="00B83753">
        <w:t>Roffe</w:t>
      </w:r>
      <w:proofErr w:type="spellEnd"/>
      <w:r w:rsidR="00B83753">
        <w:t xml:space="preserve">, ‘Decoding Domesday’, Woodbridge: Boydell press (2007), p.5. </w:t>
      </w:r>
    </w:p>
  </w:footnote>
  <w:footnote w:id="4">
    <w:p w14:paraId="5C4EBE16" w14:textId="639F3533" w:rsidR="002E4435" w:rsidRDefault="002E4435" w:rsidP="002E4435">
      <w:pPr>
        <w:pStyle w:val="FootnoteText"/>
      </w:pPr>
      <w:r>
        <w:rPr>
          <w:rStyle w:val="FootnoteReference"/>
        </w:rPr>
        <w:footnoteRef/>
      </w:r>
      <w:r>
        <w:t xml:space="preserve"> </w:t>
      </w:r>
      <w:proofErr w:type="spellStart"/>
      <w:r w:rsidR="00B83753">
        <w:t>Roffe</w:t>
      </w:r>
      <w:proofErr w:type="spellEnd"/>
      <w:r w:rsidR="00B83753">
        <w:t xml:space="preserve">, </w:t>
      </w:r>
      <w:r>
        <w:t>Decoding Domesday</w:t>
      </w:r>
      <w:r w:rsidR="00B83753">
        <w:t>, p.1.</w:t>
      </w:r>
    </w:p>
  </w:footnote>
  <w:footnote w:id="5">
    <w:p w14:paraId="2CD1A1E2" w14:textId="275E318A" w:rsidR="005F5AC8" w:rsidRDefault="005F5AC8">
      <w:pPr>
        <w:pStyle w:val="FootnoteText"/>
      </w:pPr>
      <w:r>
        <w:rPr>
          <w:rStyle w:val="FootnoteReference"/>
        </w:rPr>
        <w:footnoteRef/>
      </w:r>
      <w:r>
        <w:t xml:space="preserve"> </w:t>
      </w:r>
      <w:proofErr w:type="spellStart"/>
      <w:r w:rsidR="00B83753">
        <w:t>Roffe</w:t>
      </w:r>
      <w:proofErr w:type="spellEnd"/>
      <w:r w:rsidR="00B83753">
        <w:t>, Decoding Domesday</w:t>
      </w:r>
      <w:r w:rsidR="00B83753">
        <w:t>, p.1.</w:t>
      </w:r>
    </w:p>
  </w:footnote>
  <w:footnote w:id="6">
    <w:p w14:paraId="68308BD6" w14:textId="5B45FF40" w:rsidR="00721BD1" w:rsidRDefault="00721BD1">
      <w:pPr>
        <w:pStyle w:val="FootnoteText"/>
      </w:pPr>
      <w:r>
        <w:rPr>
          <w:rStyle w:val="FootnoteReference"/>
        </w:rPr>
        <w:footnoteRef/>
      </w:r>
      <w:r>
        <w:t xml:space="preserve"> </w:t>
      </w:r>
      <w:proofErr w:type="spellStart"/>
      <w:r w:rsidR="00B83753">
        <w:t>Roffe</w:t>
      </w:r>
      <w:proofErr w:type="spellEnd"/>
      <w:r w:rsidR="00B83753">
        <w:t>, Decoding Domesday</w:t>
      </w:r>
      <w:r w:rsidR="00B83753">
        <w:t>, p.2.</w:t>
      </w:r>
    </w:p>
  </w:footnote>
  <w:footnote w:id="7">
    <w:p w14:paraId="7F4F8E78" w14:textId="0A3526D0" w:rsidR="00F14780" w:rsidRDefault="00F14780">
      <w:pPr>
        <w:pStyle w:val="FootnoteText"/>
      </w:pPr>
      <w:r>
        <w:rPr>
          <w:rStyle w:val="FootnoteReference"/>
        </w:rPr>
        <w:footnoteRef/>
      </w:r>
      <w:r>
        <w:t xml:space="preserve"> </w:t>
      </w:r>
      <w:proofErr w:type="spellStart"/>
      <w:r w:rsidR="00B83753">
        <w:t>Roffe</w:t>
      </w:r>
      <w:proofErr w:type="spellEnd"/>
      <w:r w:rsidR="00B83753">
        <w:t>, Decoding Domesday</w:t>
      </w:r>
      <w:r w:rsidR="00B83753">
        <w:t>, p.3.</w:t>
      </w:r>
    </w:p>
  </w:footnote>
  <w:footnote w:id="8">
    <w:p w14:paraId="529561A9" w14:textId="1F6D9E34" w:rsidR="009919E5" w:rsidRPr="009D1728" w:rsidRDefault="009919E5" w:rsidP="009D1728">
      <w:pPr>
        <w:spacing w:after="0" w:line="240" w:lineRule="auto"/>
        <w:rPr>
          <w:rFonts w:ascii="Comic Sans MS" w:hAnsi="Comic Sans MS"/>
          <w:sz w:val="20"/>
          <w:szCs w:val="20"/>
        </w:rPr>
      </w:pPr>
      <w:r>
        <w:rPr>
          <w:rStyle w:val="FootnoteReference"/>
        </w:rPr>
        <w:footnoteRef/>
      </w:r>
      <w:r>
        <w:t xml:space="preserve"> </w:t>
      </w:r>
      <w:r w:rsidR="009D1728" w:rsidRPr="009D1728">
        <w:rPr>
          <w:sz w:val="20"/>
          <w:szCs w:val="20"/>
        </w:rPr>
        <w:t>Sally Harvey, ‘Domesday: Book of Judgement’, First Edition, Oxford University Press (2014), p.57.</w:t>
      </w:r>
    </w:p>
  </w:footnote>
  <w:footnote w:id="9">
    <w:p w14:paraId="4CA23775" w14:textId="09844011" w:rsidR="007F4875" w:rsidRPr="009D1728" w:rsidRDefault="007F4875">
      <w:pPr>
        <w:pStyle w:val="FootnoteText"/>
      </w:pPr>
      <w:r w:rsidRPr="009D1728">
        <w:rPr>
          <w:rStyle w:val="FootnoteReference"/>
        </w:rPr>
        <w:footnoteRef/>
      </w:r>
      <w:r w:rsidRPr="009D1728">
        <w:t xml:space="preserve"> </w:t>
      </w:r>
      <w:r w:rsidR="009D1728" w:rsidRPr="009D1728">
        <w:t xml:space="preserve">Harvey, ‘Domesday: Book of Judgement’, p.56. </w:t>
      </w:r>
    </w:p>
  </w:footnote>
  <w:footnote w:id="10">
    <w:p w14:paraId="3B0C4D10" w14:textId="3D432070" w:rsidR="0025114C" w:rsidRPr="009D1728" w:rsidRDefault="0025114C">
      <w:pPr>
        <w:pStyle w:val="FootnoteText"/>
      </w:pPr>
      <w:r w:rsidRPr="009D1728">
        <w:rPr>
          <w:rStyle w:val="FootnoteReference"/>
        </w:rPr>
        <w:footnoteRef/>
      </w:r>
      <w:r w:rsidRPr="009D1728">
        <w:t xml:space="preserve"> </w:t>
      </w:r>
      <w:r w:rsidR="009D1728" w:rsidRPr="009D1728">
        <w:t xml:space="preserve">Michael John Jones, ‘Domesday Book: An Early Fiscal Accounting Narrative?’, The British Accounting Review (2018). </w:t>
      </w:r>
    </w:p>
  </w:footnote>
  <w:footnote w:id="11">
    <w:p w14:paraId="55405811" w14:textId="4EF2F105" w:rsidR="009563D9" w:rsidRPr="009D1728" w:rsidRDefault="009563D9">
      <w:pPr>
        <w:pStyle w:val="FootnoteText"/>
      </w:pPr>
      <w:r w:rsidRPr="009D1728">
        <w:rPr>
          <w:rStyle w:val="FootnoteReference"/>
        </w:rPr>
        <w:footnoteRef/>
      </w:r>
      <w:r w:rsidRPr="009D1728">
        <w:t xml:space="preserve"> </w:t>
      </w:r>
      <w:r w:rsidR="009D1728" w:rsidRPr="009D1728">
        <w:t xml:space="preserve">Jones, ‘Early Fiscal Accounting Narrative?’. </w:t>
      </w:r>
    </w:p>
  </w:footnote>
  <w:footnote w:id="12">
    <w:p w14:paraId="6EA91CCF" w14:textId="7FF92359" w:rsidR="000A41DB" w:rsidRDefault="000A41DB">
      <w:pPr>
        <w:pStyle w:val="FootnoteText"/>
      </w:pPr>
      <w:r w:rsidRPr="009D1728">
        <w:rPr>
          <w:rStyle w:val="FootnoteReference"/>
        </w:rPr>
        <w:footnoteRef/>
      </w:r>
      <w:r w:rsidRPr="009D1728">
        <w:t xml:space="preserve"> </w:t>
      </w:r>
      <w:r w:rsidR="009D1728" w:rsidRPr="009D1728">
        <w:t>Jones, ‘Early Fiscal Accounting Narrative?’.</w:t>
      </w:r>
      <w:r w:rsidR="009D1728">
        <w:t xml:space="preserve"> </w:t>
      </w:r>
    </w:p>
  </w:footnote>
  <w:footnote w:id="13">
    <w:p w14:paraId="29916FE2" w14:textId="6F394BF7" w:rsidR="00E02A87" w:rsidRDefault="00E02A87">
      <w:pPr>
        <w:pStyle w:val="FootnoteText"/>
      </w:pPr>
      <w:r>
        <w:rPr>
          <w:rStyle w:val="FootnoteReference"/>
        </w:rPr>
        <w:footnoteRef/>
      </w:r>
      <w:r>
        <w:t xml:space="preserve"> </w:t>
      </w:r>
      <w:r w:rsidR="009D1728">
        <w:t>Jones, ‘Early Fiscal Accounting Narrative?’.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52CB7"/>
    <w:multiLevelType w:val="hybridMultilevel"/>
    <w:tmpl w:val="4B2EA09A"/>
    <w:lvl w:ilvl="0" w:tplc="D722CA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B01D9"/>
    <w:multiLevelType w:val="hybridMultilevel"/>
    <w:tmpl w:val="BBC27880"/>
    <w:lvl w:ilvl="0" w:tplc="054EBC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316BE"/>
    <w:multiLevelType w:val="hybridMultilevel"/>
    <w:tmpl w:val="C1706992"/>
    <w:lvl w:ilvl="0" w:tplc="9F90FE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4438226">
    <w:abstractNumId w:val="0"/>
  </w:num>
  <w:num w:numId="2" w16cid:durableId="378626993">
    <w:abstractNumId w:val="2"/>
  </w:num>
  <w:num w:numId="3" w16cid:durableId="60256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477"/>
    <w:rsid w:val="00053697"/>
    <w:rsid w:val="000A41DB"/>
    <w:rsid w:val="000F7B57"/>
    <w:rsid w:val="00182409"/>
    <w:rsid w:val="001851F2"/>
    <w:rsid w:val="001D2CC0"/>
    <w:rsid w:val="001D52ED"/>
    <w:rsid w:val="001E58EB"/>
    <w:rsid w:val="00200711"/>
    <w:rsid w:val="0025114C"/>
    <w:rsid w:val="00255A22"/>
    <w:rsid w:val="0028401E"/>
    <w:rsid w:val="002A3BDD"/>
    <w:rsid w:val="002B7477"/>
    <w:rsid w:val="002D3789"/>
    <w:rsid w:val="002E4435"/>
    <w:rsid w:val="00310FAF"/>
    <w:rsid w:val="0032604D"/>
    <w:rsid w:val="0034621E"/>
    <w:rsid w:val="00363D76"/>
    <w:rsid w:val="00380091"/>
    <w:rsid w:val="00445E52"/>
    <w:rsid w:val="004A390D"/>
    <w:rsid w:val="005149B2"/>
    <w:rsid w:val="00542555"/>
    <w:rsid w:val="005456D9"/>
    <w:rsid w:val="00547820"/>
    <w:rsid w:val="0058115F"/>
    <w:rsid w:val="005C70CC"/>
    <w:rsid w:val="005F5AC8"/>
    <w:rsid w:val="00603B4A"/>
    <w:rsid w:val="00622969"/>
    <w:rsid w:val="00690560"/>
    <w:rsid w:val="00693266"/>
    <w:rsid w:val="006C3C06"/>
    <w:rsid w:val="006F0F7E"/>
    <w:rsid w:val="006F7E88"/>
    <w:rsid w:val="00721BD1"/>
    <w:rsid w:val="00787960"/>
    <w:rsid w:val="007C1486"/>
    <w:rsid w:val="007F4875"/>
    <w:rsid w:val="008078FC"/>
    <w:rsid w:val="0082672E"/>
    <w:rsid w:val="0084309F"/>
    <w:rsid w:val="008770C7"/>
    <w:rsid w:val="008909F3"/>
    <w:rsid w:val="00903F88"/>
    <w:rsid w:val="009563D9"/>
    <w:rsid w:val="0097593E"/>
    <w:rsid w:val="009919E5"/>
    <w:rsid w:val="00995E60"/>
    <w:rsid w:val="009C4063"/>
    <w:rsid w:val="009D1728"/>
    <w:rsid w:val="00A009BB"/>
    <w:rsid w:val="00A57F42"/>
    <w:rsid w:val="00A70D9F"/>
    <w:rsid w:val="00A80776"/>
    <w:rsid w:val="00AC5016"/>
    <w:rsid w:val="00B245AF"/>
    <w:rsid w:val="00B5506C"/>
    <w:rsid w:val="00B83753"/>
    <w:rsid w:val="00B95198"/>
    <w:rsid w:val="00BB5527"/>
    <w:rsid w:val="00BE359C"/>
    <w:rsid w:val="00BE56AA"/>
    <w:rsid w:val="00BF58E8"/>
    <w:rsid w:val="00C0326C"/>
    <w:rsid w:val="00C33C5E"/>
    <w:rsid w:val="00CA1946"/>
    <w:rsid w:val="00CA4AB4"/>
    <w:rsid w:val="00CF2DB5"/>
    <w:rsid w:val="00D2478B"/>
    <w:rsid w:val="00DA1BE9"/>
    <w:rsid w:val="00DA2061"/>
    <w:rsid w:val="00DA404F"/>
    <w:rsid w:val="00DC522A"/>
    <w:rsid w:val="00DD23A6"/>
    <w:rsid w:val="00DD4B73"/>
    <w:rsid w:val="00DF2508"/>
    <w:rsid w:val="00E02A87"/>
    <w:rsid w:val="00E178BC"/>
    <w:rsid w:val="00E2339F"/>
    <w:rsid w:val="00E26CE4"/>
    <w:rsid w:val="00F14780"/>
    <w:rsid w:val="00F65AFB"/>
    <w:rsid w:val="00F83A24"/>
    <w:rsid w:val="00FF0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28639"/>
  <w15:chartTrackingRefBased/>
  <w15:docId w15:val="{FE4FD849-0A99-487B-BA51-C4CF110E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2B7477"/>
    <w:pPr>
      <w:spacing w:after="240" w:line="480" w:lineRule="auto"/>
      <w:jc w:val="center"/>
    </w:pPr>
    <w:rPr>
      <w:rFonts w:ascii="Times New Roman" w:eastAsia="Times New Roman" w:hAnsi="Times New Roman" w:cs="Times New Roman"/>
      <w:b/>
      <w:kern w:val="0"/>
      <w:sz w:val="24"/>
      <w:szCs w:val="20"/>
      <w:lang w:eastAsia="en-GB"/>
      <w14:ligatures w14:val="none"/>
    </w:rPr>
  </w:style>
  <w:style w:type="character" w:customStyle="1" w:styleId="BodyTextChar">
    <w:name w:val="Body Text Char"/>
    <w:basedOn w:val="DefaultParagraphFont"/>
    <w:link w:val="BodyText"/>
    <w:rsid w:val="002B7477"/>
    <w:rPr>
      <w:rFonts w:ascii="Times New Roman" w:eastAsia="Times New Roman" w:hAnsi="Times New Roman" w:cs="Times New Roman"/>
      <w:b/>
      <w:kern w:val="0"/>
      <w:sz w:val="24"/>
      <w:szCs w:val="20"/>
      <w:lang w:eastAsia="en-GB"/>
      <w14:ligatures w14:val="none"/>
    </w:rPr>
  </w:style>
  <w:style w:type="paragraph" w:styleId="ListParagraph">
    <w:name w:val="List Paragraph"/>
    <w:basedOn w:val="Normal"/>
    <w:uiPriority w:val="34"/>
    <w:qFormat/>
    <w:rsid w:val="006C3C06"/>
    <w:pPr>
      <w:ind w:left="720"/>
      <w:contextualSpacing/>
    </w:pPr>
  </w:style>
  <w:style w:type="paragraph" w:styleId="NormalWeb">
    <w:name w:val="Normal (Web)"/>
    <w:basedOn w:val="Normal"/>
    <w:uiPriority w:val="99"/>
    <w:unhideWhenUsed/>
    <w:rsid w:val="003462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noteText">
    <w:name w:val="footnote text"/>
    <w:basedOn w:val="Normal"/>
    <w:link w:val="FootnoteTextChar"/>
    <w:uiPriority w:val="99"/>
    <w:semiHidden/>
    <w:unhideWhenUsed/>
    <w:rsid w:val="002007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0711"/>
    <w:rPr>
      <w:sz w:val="20"/>
      <w:szCs w:val="20"/>
    </w:rPr>
  </w:style>
  <w:style w:type="character" w:styleId="FootnoteReference">
    <w:name w:val="footnote reference"/>
    <w:basedOn w:val="DefaultParagraphFont"/>
    <w:uiPriority w:val="99"/>
    <w:semiHidden/>
    <w:unhideWhenUsed/>
    <w:rsid w:val="00200711"/>
    <w:rPr>
      <w:vertAlign w:val="superscript"/>
    </w:rPr>
  </w:style>
  <w:style w:type="character" w:styleId="Emphasis">
    <w:name w:val="Emphasis"/>
    <w:basedOn w:val="DefaultParagraphFont"/>
    <w:uiPriority w:val="20"/>
    <w:qFormat/>
    <w:rsid w:val="00B5506C"/>
    <w:rPr>
      <w:i/>
      <w:iCs/>
    </w:rPr>
  </w:style>
  <w:style w:type="character" w:styleId="Hyperlink">
    <w:name w:val="Hyperlink"/>
    <w:basedOn w:val="DefaultParagraphFont"/>
    <w:uiPriority w:val="99"/>
    <w:unhideWhenUsed/>
    <w:rsid w:val="00B5506C"/>
    <w:rPr>
      <w:color w:val="0563C1" w:themeColor="hyperlink"/>
      <w:u w:val="single"/>
    </w:rPr>
  </w:style>
  <w:style w:type="character" w:styleId="UnresolvedMention">
    <w:name w:val="Unresolved Mention"/>
    <w:basedOn w:val="DefaultParagraphFont"/>
    <w:uiPriority w:val="99"/>
    <w:semiHidden/>
    <w:unhideWhenUsed/>
    <w:rsid w:val="00B55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8096217">
      <w:bodyDiv w:val="1"/>
      <w:marLeft w:val="0"/>
      <w:marRight w:val="0"/>
      <w:marTop w:val="0"/>
      <w:marBottom w:val="0"/>
      <w:divBdr>
        <w:top w:val="none" w:sz="0" w:space="0" w:color="auto"/>
        <w:left w:val="none" w:sz="0" w:space="0" w:color="auto"/>
        <w:bottom w:val="none" w:sz="0" w:space="0" w:color="auto"/>
        <w:right w:val="none" w:sz="0" w:space="0" w:color="auto"/>
      </w:divBdr>
    </w:div>
    <w:div w:id="205029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ritish-history.ac.uk/topographical-hist-norfolk/vol8/pp327-3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5</Pages>
  <Words>1459</Words>
  <Characters>8321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Laughlin</dc:creator>
  <cp:keywords/>
  <dc:description/>
  <cp:lastModifiedBy>Becky Laughlin</cp:lastModifiedBy>
  <cp:revision>77</cp:revision>
  <dcterms:created xsi:type="dcterms:W3CDTF">2023-01-31T14:06:00Z</dcterms:created>
  <dcterms:modified xsi:type="dcterms:W3CDTF">2023-02-01T18:02:00Z</dcterms:modified>
</cp:coreProperties>
</file>