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C328B" w14:textId="5EEA9766" w:rsidR="00437BC3" w:rsidRDefault="008A797D" w:rsidP="00042B68">
      <w:pPr>
        <w:spacing w:after="2958" w:line="259" w:lineRule="auto"/>
        <w:ind w:left="773" w:firstLine="0"/>
        <w:jc w:val="left"/>
      </w:pPr>
      <w:r>
        <w:rPr>
          <w:b/>
        </w:rPr>
        <w:t>Abstract</w:t>
      </w:r>
      <w:r w:rsidR="003A6F59">
        <w:rPr>
          <w:b/>
        </w:rPr>
        <w:t xml:space="preserve"> </w:t>
      </w:r>
      <w:r w:rsidR="003A6F59">
        <w:rPr>
          <w:b/>
        </w:rPr>
        <w:tab/>
      </w:r>
      <w:r w:rsidR="003A6F59">
        <w:rPr>
          <w:b/>
        </w:rPr>
        <w:tab/>
      </w:r>
      <w:r w:rsidR="003A6F59">
        <w:rPr>
          <w:b/>
        </w:rPr>
        <w:tab/>
      </w:r>
      <w:r w:rsidR="003A6F59">
        <w:rPr>
          <w:b/>
        </w:rPr>
        <w:tab/>
      </w:r>
      <w:r w:rsidR="003A6F59">
        <w:rPr>
          <w:b/>
        </w:rPr>
        <w:tab/>
      </w:r>
      <w:r w:rsidR="003A6F59">
        <w:rPr>
          <w:b/>
        </w:rPr>
        <w:tab/>
      </w:r>
      <w:r w:rsidR="003A6F59">
        <w:rPr>
          <w:b/>
        </w:rPr>
        <w:tab/>
      </w:r>
      <w:r w:rsidR="003A6F59">
        <w:rPr>
          <w:b/>
        </w:rPr>
        <w:tab/>
      </w:r>
      <w:r w:rsidR="003A6F59">
        <w:rPr>
          <w:b/>
        </w:rPr>
        <w:tab/>
      </w:r>
      <w:r w:rsidR="003A6F59">
        <w:rPr>
          <w:b/>
        </w:rPr>
        <w:tab/>
      </w:r>
      <w:r w:rsidR="003A6F59">
        <w:rPr>
          <w:b/>
        </w:rPr>
        <w:tab/>
      </w:r>
      <w:r w:rsidR="003A6F59">
        <w:rPr>
          <w:b/>
        </w:rPr>
        <w:tab/>
      </w:r>
      <w:r w:rsidR="003A6F59">
        <w:rPr>
          <w:b/>
        </w:rPr>
        <w:tab/>
      </w:r>
      <w:r w:rsidR="00A917D2" w:rsidRPr="00A917D2">
        <w:rPr>
          <w:bCs/>
        </w:rPr>
        <w:t>The Crossrail is a significant project that will build a new underground tunnel under central London and carry additional rail services from Reading and Heathrow Airport to Shenfield in Essex and Abbey Wood in south-east London. When finished, the new railway will be around 73 miles (118 km) long, with 26 miles (42 km) of new tunnels. The system's proponents established a total budget goal for the project in 2010 of $19.15 billion US (£14.8 billion UK), including contingency funds.</w:t>
      </w:r>
      <w:r w:rsidR="003A6F59">
        <w:t xml:space="preserve"> </w:t>
      </w:r>
      <w:r w:rsidR="00A917D2">
        <w:t>Interviews with important senior individuals engaged in system installation and oversight, as well as evaluation and examination of material given by Crossrail Ltd. and partners, served as the basis for the report. On the east and west ends of the line in London, some services are already in operation, but not yet through the middle portion. It's expected that this goal date will not be fulfilled considering the history of substantial delays and management challenges.</w:t>
      </w:r>
      <w:r w:rsidR="00005ECB">
        <w:t xml:space="preserve">      </w:t>
      </w:r>
      <w:r w:rsidR="003A6F59">
        <w:t xml:space="preserve">                                                          </w:t>
      </w:r>
      <w:r w:rsidR="00A917D2">
        <w:t xml:space="preserve">                                                    </w:t>
      </w:r>
      <w:r w:rsidR="003A6F59">
        <w:t xml:space="preserve"> </w:t>
      </w:r>
      <w:r w:rsidR="00005ECB">
        <w:t xml:space="preserve">  </w:t>
      </w:r>
      <w:r w:rsidRPr="00005ECB">
        <w:rPr>
          <w:b/>
          <w:bCs/>
        </w:rPr>
        <w:t>INTRODUCTION</w:t>
      </w:r>
      <w:r w:rsidRPr="00005ECB">
        <w:rPr>
          <w:rFonts w:ascii="Calibri" w:eastAsia="Calibri" w:hAnsi="Calibri" w:cs="Calibri"/>
          <w:b/>
          <w:bCs/>
        </w:rPr>
        <w:t xml:space="preserve"> </w:t>
      </w:r>
      <w:r w:rsidR="00005ECB">
        <w:t xml:space="preserve">   </w:t>
      </w:r>
      <w:r w:rsidR="00005ECB">
        <w:tab/>
      </w:r>
      <w:r w:rsidR="00005ECB">
        <w:tab/>
      </w:r>
      <w:r w:rsidR="00005ECB">
        <w:tab/>
      </w:r>
      <w:r w:rsidR="00005ECB">
        <w:tab/>
      </w:r>
      <w:r w:rsidR="00005ECB">
        <w:tab/>
      </w:r>
      <w:r w:rsidR="00005ECB">
        <w:tab/>
      </w:r>
      <w:r w:rsidR="00005ECB">
        <w:tab/>
      </w:r>
      <w:r w:rsidR="00005ECB">
        <w:tab/>
      </w:r>
      <w:r w:rsidR="00005ECB">
        <w:tab/>
      </w:r>
      <w:r w:rsidR="00005ECB">
        <w:tab/>
      </w:r>
      <w:r w:rsidR="00005ECB">
        <w:tab/>
      </w:r>
      <w:r w:rsidR="00005ECB">
        <w:tab/>
      </w:r>
      <w:r w:rsidR="00005ECB">
        <w:tab/>
      </w:r>
      <w:r w:rsidR="00005ECB">
        <w:tab/>
      </w:r>
      <w:r w:rsidR="00005ECB">
        <w:tab/>
        <w:t xml:space="preserve">                                                                                                                                            </w:t>
      </w:r>
      <w:r w:rsidR="00A917D2">
        <w:t>In order to run new, direct rail services between Reading and Heathrow Airport on the west ends of the railway, Shenfield in Essex, and Abbey Wood on the east ends of south-east London, there is a massive, complex project called Crossrail. Crossrail's primary goals include alleviating congestion while increasing capacity, enhancing dependability, reducing travel times throughout London (</w:t>
      </w:r>
      <w:proofErr w:type="spellStart"/>
      <w:r w:rsidR="00A917D2">
        <w:t>Pollalis</w:t>
      </w:r>
      <w:proofErr w:type="spellEnd"/>
      <w:r w:rsidR="00A917D2">
        <w:t xml:space="preserve">, </w:t>
      </w:r>
      <w:proofErr w:type="spellStart"/>
      <w:r w:rsidR="00A917D2">
        <w:t>Lappas</w:t>
      </w:r>
      <w:proofErr w:type="spellEnd"/>
      <w:r w:rsidR="00A917D2">
        <w:t xml:space="preserve">), upgrading existing stations while constructing new ones, extending the current rail line to Heathrow Airport, and electrifying </w:t>
      </w:r>
      <w:r>
        <w:t>stretches</w:t>
      </w:r>
      <w:r w:rsidR="00A917D2">
        <w:t xml:space="preserve"> of the existing railway system. (Crossrail) Crossrail Ltd predicts that the programme will result in a 10% increase in capacity in central </w:t>
      </w:r>
      <w:r>
        <w:t>London. The</w:t>
      </w:r>
      <w:r>
        <w:t xml:space="preserve"> railway will be about 73 miles (118 </w:t>
      </w:r>
      <w:r w:rsidR="00005ECB">
        <w:t>kilometres</w:t>
      </w:r>
      <w:r>
        <w:t xml:space="preserve"> long) when complete, stopping a</w:t>
      </w:r>
      <w:r>
        <w:t xml:space="preserve">t more than 40 stations, including 10 new stations and 26 miles (42 </w:t>
      </w:r>
      <w:r w:rsidR="00005ECB">
        <w:t>kilometres</w:t>
      </w:r>
      <w:r>
        <w:t>) of new tunnels. Once Crossrail is open, it becomes part of the rail and underground network of Transport for London (TfL).  The Crossrail was renamed “The Elizabeth Line” in Fe</w:t>
      </w:r>
      <w:r>
        <w:t xml:space="preserve">bruary 2016; however, for this report’s purposes will continue to be called “Crossrail.” </w:t>
      </w:r>
      <w:r>
        <w:t xml:space="preserve">Crossrail is one of Britain's largest civil infrastructure projects and one of the largest in the world. It is a highly complex undertaking involving: </w:t>
      </w:r>
      <w:r w:rsidR="00005ECB">
        <w:t xml:space="preserve">                                                                    </w:t>
      </w:r>
      <w:r>
        <w:t xml:space="preserve">                                                                                                      </w:t>
      </w:r>
      <w:r w:rsidR="00005ECB">
        <w:t xml:space="preserve">     - </w:t>
      </w:r>
      <w:r>
        <w:t>The construc</w:t>
      </w:r>
      <w:r>
        <w:t xml:space="preserve">tion of approximately 26 miles of tunnels under London; </w:t>
      </w:r>
      <w:r w:rsidR="00005ECB">
        <w:t xml:space="preserve">                                                                     - </w:t>
      </w:r>
      <w:r>
        <w:t xml:space="preserve">The construction of 10 new, custom-made stations, </w:t>
      </w:r>
      <w:r>
        <w:t xml:space="preserve">including eight new underground stations, substantially larger than most existing underground stations and interchanges with underground stations and lines; </w:t>
      </w:r>
      <w:r w:rsidR="00005ECB">
        <w:t xml:space="preserve">                                                                                                                                                                         - </w:t>
      </w:r>
      <w:r>
        <w:t xml:space="preserve">Construction work in central London and underground construction sites; </w:t>
      </w:r>
      <w:r w:rsidR="00005ECB">
        <w:t xml:space="preserve">                                                                            - </w:t>
      </w:r>
      <w:r>
        <w:t xml:space="preserve">Building work in central </w:t>
      </w:r>
      <w:r>
        <w:t xml:space="preserve">London and in sealed subways and built-up construction sites, raising the infrastructure and technology challenge;  </w:t>
      </w:r>
      <w:r w:rsidR="00005ECB">
        <w:t xml:space="preserve">                                                                                                                 - </w:t>
      </w:r>
      <w:r>
        <w:t xml:space="preserve">A modern electrification project, </w:t>
      </w:r>
      <w:r w:rsidR="00005ECB">
        <w:t>signalling</w:t>
      </w:r>
      <w:r>
        <w:t xml:space="preserve"> and the expansion of 31 current stations on the Great Western and Great Eastern main lines by N</w:t>
      </w:r>
      <w:r>
        <w:t xml:space="preserve">etwork Rail, which together marks one of the largest improvements for Network Rail. </w:t>
      </w:r>
      <w:r w:rsidR="00005ECB">
        <w:t xml:space="preserve">                                                                                                                                                           </w:t>
      </w:r>
      <w:r>
        <w:t xml:space="preserve">In </w:t>
      </w:r>
      <w:r w:rsidR="00005ECB">
        <w:t>April</w:t>
      </w:r>
      <w:r>
        <w:t xml:space="preserve"> 2019, based on its completed, revised plan, Crossrail Ltd announced that it will introduce 12 peak-time services an hour on the central section between Paddingto</w:t>
      </w:r>
      <w:r>
        <w:t xml:space="preserve">n and Abbey Wood sometime between the months of </w:t>
      </w:r>
      <w:r w:rsidR="00005ECB">
        <w:t>October</w:t>
      </w:r>
      <w:r>
        <w:t xml:space="preserve"> 2020 and </w:t>
      </w:r>
      <w:r w:rsidR="00005ECB">
        <w:t>March</w:t>
      </w:r>
      <w:r>
        <w:t xml:space="preserve"> 2021. These services will not initially stop at Bond Street because that station is significantly delayed due to design and delivery challenges. A four trains per hour peak service be</w:t>
      </w:r>
      <w:r>
        <w:t xml:space="preserve">tween Paddington and Reading will start in </w:t>
      </w:r>
      <w:r w:rsidR="00005ECB">
        <w:t>December</w:t>
      </w:r>
      <w:r>
        <w:t xml:space="preserve"> 2019. It remains unclear when a full 24 trains an hour service between Heathrow and Reading in the West and Shenfield and Abbey Wood in the east will begin.</w:t>
      </w:r>
      <w:r w:rsidR="00005ECB">
        <w:t xml:space="preserve">  </w:t>
      </w:r>
      <w:r w:rsidR="00005ECB">
        <w:tab/>
      </w:r>
      <w:r w:rsidR="00005ECB">
        <w:tab/>
      </w:r>
      <w:r w:rsidR="00005ECB">
        <w:tab/>
      </w:r>
      <w:r w:rsidR="00005ECB">
        <w:tab/>
      </w:r>
      <w:r w:rsidR="00005ECB">
        <w:tab/>
      </w:r>
      <w:r w:rsidR="00005ECB">
        <w:tab/>
      </w:r>
      <w:r w:rsidR="00005ECB">
        <w:tab/>
      </w:r>
      <w:r w:rsidR="00005ECB">
        <w:tab/>
      </w:r>
      <w:r w:rsidR="00005ECB">
        <w:tab/>
      </w:r>
      <w:r w:rsidR="00005ECB">
        <w:tab/>
      </w:r>
      <w:r w:rsidR="00005ECB">
        <w:tab/>
      </w:r>
      <w:r w:rsidR="00005ECB">
        <w:tab/>
      </w:r>
      <w:r w:rsidR="00005ECB">
        <w:tab/>
      </w:r>
      <w:r w:rsidR="00005ECB">
        <w:tab/>
        <w:t xml:space="preserve">                                                                                                                                                           </w:t>
      </w:r>
      <w:r w:rsidRPr="00005ECB">
        <w:rPr>
          <w:b/>
          <w:bCs/>
        </w:rPr>
        <w:t xml:space="preserve">LOCATION </w:t>
      </w:r>
      <w:r w:rsidR="003A6F59">
        <w:rPr>
          <w:b/>
          <w:bCs/>
        </w:rPr>
        <w:t xml:space="preserve">                                                                                                                                                               </w:t>
      </w:r>
      <w:r>
        <w:lastRenderedPageBreak/>
        <w:t>Under central London, the cen</w:t>
      </w:r>
      <w:r>
        <w:t xml:space="preserve">tral section of Crossrail uses new east-west twin tunnels, dividing into two branches at either end. The tunnel sections are about 14 miles long (22 </w:t>
      </w:r>
      <w:r w:rsidR="00005ECB">
        <w:t>kilometres</w:t>
      </w:r>
      <w:r>
        <w:t xml:space="preserve">). </w:t>
      </w:r>
      <w:r w:rsidR="009B56E4">
        <w:tab/>
      </w:r>
      <w:r w:rsidR="009B56E4">
        <w:tab/>
      </w:r>
      <w:r w:rsidR="009B56E4">
        <w:tab/>
      </w:r>
      <w:r w:rsidR="009B56E4">
        <w:tab/>
      </w:r>
      <w:r w:rsidR="009B56E4">
        <w:tab/>
      </w:r>
      <w:r w:rsidR="009B56E4">
        <w:rPr>
          <w:noProof/>
        </w:rPr>
        <w:drawing>
          <wp:inline distT="0" distB="0" distL="0" distR="0" wp14:anchorId="7F2F42C1" wp14:editId="032F9344">
            <wp:extent cx="6299835" cy="3284220"/>
            <wp:effectExtent l="0" t="0" r="5715" b="0"/>
            <wp:docPr id="537" name="Picture 537"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537" name="Picture 537" descr="Diagram&#10;&#10;Description automatically generated"/>
                    <pic:cNvPicPr/>
                  </pic:nvPicPr>
                  <pic:blipFill>
                    <a:blip r:embed="rId7"/>
                    <a:stretch>
                      <a:fillRect/>
                    </a:stretch>
                  </pic:blipFill>
                  <pic:spPr>
                    <a:xfrm>
                      <a:off x="0" y="0"/>
                      <a:ext cx="6299835" cy="3284220"/>
                    </a:xfrm>
                    <a:prstGeom prst="rect">
                      <a:avLst/>
                    </a:prstGeom>
                  </pic:spPr>
                </pic:pic>
              </a:graphicData>
            </a:graphic>
          </wp:inline>
        </w:drawing>
      </w:r>
      <w:r w:rsidR="009B56E4">
        <w:tab/>
      </w:r>
      <w:r w:rsidR="009B56E4">
        <w:tab/>
      </w:r>
      <w:r w:rsidR="009B56E4">
        <w:tab/>
      </w:r>
      <w:r w:rsidR="009B56E4">
        <w:tab/>
      </w:r>
      <w:r w:rsidR="009B56E4">
        <w:tab/>
      </w:r>
      <w:r w:rsidR="009B56E4">
        <w:tab/>
      </w:r>
      <w:r w:rsidR="009B56E4">
        <w:tab/>
      </w:r>
      <w:r w:rsidR="009B56E4">
        <w:tab/>
      </w:r>
      <w:r w:rsidR="009B56E4">
        <w:tab/>
      </w:r>
      <w:r w:rsidR="009B56E4">
        <w:tab/>
      </w:r>
      <w:r w:rsidR="009B56E4">
        <w:tab/>
      </w:r>
      <w:r w:rsidR="009B56E4">
        <w:tab/>
      </w:r>
      <w:r w:rsidR="009B56E4">
        <w:tab/>
      </w:r>
      <w:r w:rsidR="009B56E4">
        <w:tab/>
        <w:t xml:space="preserve">                             </w:t>
      </w:r>
      <w:r>
        <w:t>The line branches in the east at Whitechapel, with one branch passing over the current Great Eastern Main Line from Stratford to Shenfield, and the other branch going via Canary Wharf and emerging from the tunnel at Custom House on a disused part of the No</w:t>
      </w:r>
      <w:r>
        <w:t xml:space="preserve">rth London Line and heading to Abbey Wood under the Thames River. </w:t>
      </w:r>
      <w:r>
        <w:t xml:space="preserve">In the west, the road links to Paddington's Great Western Main Line and continues to Hayes and </w:t>
      </w:r>
      <w:r>
        <w:t xml:space="preserve">Harlington where it splits. Another branch connects to Heathrow Airport, Heathrow Terminal 4 and Terminal 5, and the other travels to Reading through the current main line. </w:t>
      </w:r>
      <w:r w:rsidR="009B56E4">
        <w:t xml:space="preserve">          </w:t>
      </w:r>
      <w:r w:rsidR="009B56E4">
        <w:tab/>
      </w:r>
      <w:r w:rsidR="009B56E4">
        <w:tab/>
      </w:r>
      <w:r w:rsidR="009B56E4">
        <w:tab/>
      </w:r>
      <w:r w:rsidR="009B56E4">
        <w:tab/>
      </w:r>
      <w:r w:rsidR="009B56E4">
        <w:tab/>
      </w:r>
      <w:r w:rsidR="009B56E4">
        <w:tab/>
      </w:r>
      <w:r w:rsidR="009B56E4">
        <w:tab/>
      </w:r>
      <w:r w:rsidR="009B56E4">
        <w:tab/>
      </w:r>
      <w:r w:rsidR="009B56E4">
        <w:tab/>
      </w:r>
      <w:r w:rsidR="009B56E4">
        <w:tab/>
      </w:r>
      <w:r w:rsidR="009B56E4">
        <w:tab/>
      </w:r>
      <w:r w:rsidR="009B56E4">
        <w:tab/>
      </w:r>
      <w:r w:rsidR="009B56E4">
        <w:tab/>
      </w:r>
      <w:r w:rsidR="009B56E4">
        <w:tab/>
      </w:r>
      <w:r w:rsidR="009B56E4">
        <w:tab/>
        <w:t xml:space="preserve">                                           </w:t>
      </w:r>
      <w:r w:rsidRPr="009B56E4">
        <w:rPr>
          <w:b/>
          <w:bCs/>
        </w:rPr>
        <w:t xml:space="preserve">FUNDING </w:t>
      </w:r>
      <w:r>
        <w:t xml:space="preserve"> </w:t>
      </w:r>
      <w:r w:rsidR="009B56E4">
        <w:t xml:space="preserve">                                                                                                                                                                       </w:t>
      </w:r>
      <w:r>
        <w:t>The Crossrail Program is jointly sponsored by the Transport Departme</w:t>
      </w:r>
      <w:r>
        <w:t xml:space="preserve">nt (the Department) and TfL. </w:t>
      </w:r>
      <w:r>
        <w:t xml:space="preserve">Crossrail Ltd, a </w:t>
      </w:r>
      <w:r w:rsidR="009B56E4">
        <w:t>wholly owned</w:t>
      </w:r>
      <w:r>
        <w:t xml:space="preserve"> TfL subsidiary is responsible for the delivery of the railway </w:t>
      </w:r>
      <w:r w:rsidR="009B56E4">
        <w:t>operation. Network</w:t>
      </w:r>
      <w:r>
        <w:t xml:space="preserve"> Rail is working to improve current surface facilities and meet the new service's needs. TfL granted MTR Crossrail t</w:t>
      </w:r>
      <w:r>
        <w:t xml:space="preserve">he contract to run The Elizabeth Line services in </w:t>
      </w:r>
      <w:r w:rsidR="009B56E4">
        <w:t>July</w:t>
      </w:r>
      <w:r>
        <w:t xml:space="preserve"> 2014. </w:t>
      </w:r>
      <w:r w:rsidR="009B56E4">
        <w:t xml:space="preserve">                                                        </w:t>
      </w:r>
      <w:r>
        <w:t>$19.15 billion dollars US (£14.8 billion pounds UK) funding including contingency was agreed for the Crossrail in 2010. $22.77 billion dollars US (£17.6 billion pounds UK) is the current tota</w:t>
      </w:r>
      <w:r>
        <w:t xml:space="preserve">l funding package for Crossrail, an increase of 19% </w:t>
      </w:r>
      <w:r w:rsidR="009B56E4">
        <w:t>overestimates</w:t>
      </w:r>
      <w:r>
        <w:t xml:space="preserve">. As of </w:t>
      </w:r>
      <w:r w:rsidR="009B56E4">
        <w:t>March 2019,</w:t>
      </w:r>
      <w:r>
        <w:t xml:space="preserve"> Crossrail Ltd expects the overall program to cost around $23.03 billion dollars US (£17.8 billion pounds UK). </w:t>
      </w:r>
      <w:r w:rsidR="009B56E4">
        <w:t xml:space="preserve"> </w:t>
      </w:r>
      <w:r>
        <w:t>The funding framework for Crossrail was established in Octo</w:t>
      </w:r>
      <w:r>
        <w:t>ber 2007 when the Prime Minister announced that the cost of Crossrail will be met by the government, the London Mayor, and businesses in London. At that time (2007), the $20.57 billion dollars US (£15.9 billion dollars UK) funding package had been proposed</w:t>
      </w:r>
      <w:r>
        <w:t xml:space="preserve"> for the entire Crossrail project. </w:t>
      </w:r>
      <w:r w:rsidR="009B56E4">
        <w:t xml:space="preserve"> </w:t>
      </w:r>
      <w:r>
        <w:t>A revised funding package of $19.15 billion dollars US (£14.8 billion pounds UK) was agreed to in October 2010. The financing pool rose to $22.77 billion dollars US (£17.6 billion pounds UK) in 2018. Network Rail has req</w:t>
      </w:r>
      <w:r>
        <w:t xml:space="preserve">uired additional unanticipated funding to complete their portion of the </w:t>
      </w:r>
      <w:r>
        <w:lastRenderedPageBreak/>
        <w:t>project, raising the approved funding package to $23.03 billion dollars US (£17.8 billion pounds UK) in July 2019. About 60% of the funding for the project was supported by taxation on</w:t>
      </w:r>
      <w:r>
        <w:t xml:space="preserve"> Londoners and businesses in London. </w:t>
      </w:r>
      <w:r w:rsidR="009B56E4">
        <w:tab/>
      </w:r>
      <w:r w:rsidR="009B56E4">
        <w:tab/>
      </w:r>
      <w:r w:rsidR="009B56E4">
        <w:tab/>
      </w:r>
      <w:r w:rsidR="009B56E4">
        <w:tab/>
      </w:r>
      <w:r w:rsidR="009B56E4">
        <w:tab/>
      </w:r>
      <w:r w:rsidR="009B56E4">
        <w:tab/>
      </w:r>
      <w:r w:rsidR="009B56E4">
        <w:tab/>
      </w:r>
      <w:r w:rsidR="009B56E4">
        <w:tab/>
        <w:t xml:space="preserve">                           </w:t>
      </w:r>
      <w:r w:rsidRPr="009B56E4">
        <w:rPr>
          <w:b/>
          <w:bCs/>
        </w:rPr>
        <w:t xml:space="preserve">WORKFORCE </w:t>
      </w:r>
      <w:r w:rsidR="009B56E4">
        <w:t xml:space="preserve">                                                                                                                                                  </w:t>
      </w:r>
      <w:r>
        <w:t xml:space="preserve">According to Crossrail statistics, “over 15,000 men and women have worked on the project and over 120 million working hours have been completed. “Additionally, the Cross-rail website mentions that over 1,000 apprenticeships have been awarded to workers on </w:t>
      </w:r>
      <w:r>
        <w:t xml:space="preserve">the project to date. Bechtel Corp. data includes additional Crossrail project workforce milestones and workforce impact, including:  </w:t>
      </w:r>
      <w:r w:rsidR="009B56E4">
        <w:t xml:space="preserve">                                                                          - </w:t>
      </w:r>
      <w:r>
        <w:t xml:space="preserve">Approx. 75,000 new business opportunities were created in the UK, supporting 55,000 full time employment positions, </w:t>
      </w:r>
      <w:r w:rsidR="009B56E4">
        <w:t xml:space="preserve">                                                                                                                                                        - </w:t>
      </w:r>
      <w:r>
        <w:t>4,544</w:t>
      </w:r>
      <w:r>
        <w:t xml:space="preserve"> jobs were filled by local and/or previously unemployed people, </w:t>
      </w:r>
      <w:r w:rsidR="009B56E4">
        <w:t xml:space="preserve">                                                                      - </w:t>
      </w:r>
      <w:r>
        <w:t xml:space="preserve">62% of Tier 1 contracts (companies having direct contact with the project owners) were awarded to small and medium sized businesses, </w:t>
      </w:r>
      <w:r w:rsidR="009B56E4">
        <w:t xml:space="preserve">                                                                                                                                        - </w:t>
      </w:r>
      <w:r>
        <w:t>96% of all Crossrail contracts were companies in the UK a</w:t>
      </w:r>
      <w:r>
        <w:t xml:space="preserve">nd 62% of suppliers are based outside </w:t>
      </w:r>
      <w:r>
        <w:t xml:space="preserve">London. </w:t>
      </w:r>
      <w:r w:rsidR="005A0889">
        <w:tab/>
      </w:r>
      <w:r w:rsidR="005A0889">
        <w:tab/>
      </w:r>
      <w:r w:rsidR="005A0889">
        <w:tab/>
      </w:r>
      <w:r w:rsidR="005A0889">
        <w:tab/>
      </w:r>
      <w:r w:rsidR="005A0889">
        <w:tab/>
      </w:r>
      <w:r w:rsidR="005A0889">
        <w:tab/>
      </w:r>
      <w:r w:rsidR="005A0889">
        <w:tab/>
      </w:r>
      <w:r w:rsidR="005A0889">
        <w:tab/>
      </w:r>
      <w:r w:rsidR="005A0889">
        <w:tab/>
      </w:r>
      <w:r w:rsidR="005A0889">
        <w:tab/>
      </w:r>
      <w:r w:rsidR="005A0889">
        <w:tab/>
      </w:r>
      <w:r w:rsidR="005A0889">
        <w:tab/>
      </w:r>
      <w:r w:rsidR="005A0889">
        <w:tab/>
        <w:t xml:space="preserve">                     </w:t>
      </w:r>
      <w:r w:rsidRPr="005A0889">
        <w:rPr>
          <w:b/>
          <w:bCs/>
        </w:rPr>
        <w:t>PROJECT EXECUTION PLAN</w:t>
      </w:r>
      <w:r>
        <w:t xml:space="preserve"> </w:t>
      </w:r>
      <w:r w:rsidR="005A0889">
        <w:t xml:space="preserve">                                                                                                                                       </w:t>
      </w:r>
      <w:r>
        <w:rPr>
          <w:rFonts w:ascii="Arial" w:eastAsia="Arial" w:hAnsi="Arial" w:cs="Arial"/>
        </w:rPr>
        <w:t xml:space="preserve"> </w:t>
      </w:r>
      <w:r w:rsidR="005A0889">
        <w:rPr>
          <w:rFonts w:ascii="Arial" w:eastAsia="Arial" w:hAnsi="Arial" w:cs="Arial"/>
        </w:rPr>
        <w:tab/>
      </w:r>
      <w:r w:rsidRPr="005A0889">
        <w:rPr>
          <w:b/>
          <w:bCs/>
        </w:rPr>
        <w:t>Management Structure</w:t>
      </w:r>
      <w:r>
        <w:t xml:space="preserve"> </w:t>
      </w:r>
      <w:r w:rsidR="005A0889">
        <w:t xml:space="preserve">                                                                                                                                        </w:t>
      </w:r>
      <w:r>
        <w:t>I</w:t>
      </w:r>
      <w:r>
        <w:t xml:space="preserve">n 2009, Cross rail’s </w:t>
      </w:r>
      <w:r>
        <w:t>delivery plan was focused on a framework in which Crossrail and its industry partners, third-party investors and the supply chain will design, source, construct and sanction the overall work system. An integrated delivery team in which Crossrail was to acc</w:t>
      </w:r>
      <w:r>
        <w:t xml:space="preserve">omplish this: </w:t>
      </w:r>
      <w:r w:rsidR="005A0889">
        <w:t xml:space="preserve">                                                   - </w:t>
      </w:r>
      <w:r>
        <w:t xml:space="preserve">remained responsible for delivery and assurance of the sponsor’s requirements, </w:t>
      </w:r>
      <w:r w:rsidR="005A0889">
        <w:t xml:space="preserve">                                                 - </w:t>
      </w:r>
      <w:r>
        <w:t xml:space="preserve">entered into agreements with Network Rail, London Underground and other third parties as necessary to deliver the program, </w:t>
      </w:r>
      <w:r w:rsidR="005A0889">
        <w:t xml:space="preserve">                                                                                                                                                     - </w:t>
      </w:r>
      <w:r>
        <w:t>defined the health and safety, enviro</w:t>
      </w:r>
      <w:r>
        <w:t xml:space="preserve">nmental and quality regime under which the program would be delivered, managed finance and funding, defined and implemented the strategies for procurement of design, construction and other services to deliver the program. </w:t>
      </w:r>
      <w:r w:rsidR="005A0889">
        <w:t xml:space="preserve">                                                                                   </w:t>
      </w:r>
      <w:r w:rsidR="005A0889">
        <w:tab/>
      </w:r>
      <w:r w:rsidR="005A0889">
        <w:tab/>
      </w:r>
      <w:r w:rsidR="005A0889">
        <w:tab/>
      </w:r>
      <w:r w:rsidR="005A0889">
        <w:tab/>
      </w:r>
      <w:r w:rsidR="005A0889">
        <w:tab/>
      </w:r>
      <w:r w:rsidR="005A0889">
        <w:tab/>
      </w:r>
      <w:r w:rsidR="005A0889">
        <w:tab/>
      </w:r>
      <w:r w:rsidR="005A0889">
        <w:tab/>
      </w:r>
      <w:r w:rsidR="005A0889">
        <w:tab/>
      </w:r>
      <w:r w:rsidR="005A0889">
        <w:tab/>
      </w:r>
      <w:r w:rsidR="005A0889">
        <w:tab/>
      </w:r>
      <w:r w:rsidR="005A0889">
        <w:tab/>
      </w:r>
      <w:r w:rsidR="005A0889">
        <w:tab/>
        <w:t xml:space="preserve">                </w:t>
      </w:r>
      <w:r>
        <w:t xml:space="preserve">Crossrail also named a program </w:t>
      </w:r>
      <w:r>
        <w:t xml:space="preserve">director to oversee an external management team consisting of Crossrail, project personnel and supply chain stakeholders for development, </w:t>
      </w:r>
      <w:r w:rsidR="00042B68">
        <w:t>installation,</w:t>
      </w:r>
      <w:r>
        <w:t xml:space="preserve"> and execution. </w:t>
      </w:r>
      <w:r w:rsidR="00042B68">
        <w:t xml:space="preserve">                                     </w:t>
      </w:r>
      <w:r>
        <w:t xml:space="preserve">Bechtel Corporation served as the primary contractor and construction manager for all the 83 construction and logistics contracts and served as the primary engineering and construction program </w:t>
      </w:r>
      <w:r>
        <w:t xml:space="preserve">lead.   </w:t>
      </w:r>
      <w:r w:rsidR="00042B68">
        <w:t xml:space="preserve">                       </w:t>
      </w:r>
      <w:r>
        <w:t xml:space="preserve">Crossrail retained a contract partner's resources to provide a qualified system, </w:t>
      </w:r>
      <w:r w:rsidR="00042B68">
        <w:t>project,</w:t>
      </w:r>
      <w:r>
        <w:t xml:space="preserve"> and engineering management expertise to the business community and to facilitate project oversight and leadership at program stage. Transcend, a joint venture between </w:t>
      </w:r>
      <w:r>
        <w:t xml:space="preserve">CH2M Hill, </w:t>
      </w:r>
      <w:r w:rsidR="00042B68">
        <w:t>AECOM,</w:t>
      </w:r>
      <w:r>
        <w:t xml:space="preserve"> and The Nichols Group, was awarded this contract in 2009. Agreements have been established with industry partners on Network Rail and upgrades to existing London Underground (London Underground), Canary Wharf (Canary Wharf Group) and Woolw</w:t>
      </w:r>
      <w:r>
        <w:t xml:space="preserve">ich (Berkeley Homes) stations. </w:t>
      </w:r>
    </w:p>
    <w:p w14:paraId="0D9BE35A" w14:textId="77777777" w:rsidR="00437BC3" w:rsidRDefault="008A797D">
      <w:pPr>
        <w:spacing w:after="7" w:line="259" w:lineRule="auto"/>
        <w:ind w:left="0" w:right="1813" w:firstLine="0"/>
        <w:jc w:val="right"/>
      </w:pPr>
      <w:r>
        <w:rPr>
          <w:noProof/>
        </w:rPr>
        <w:lastRenderedPageBreak/>
        <w:drawing>
          <wp:inline distT="0" distB="0" distL="0" distR="0" wp14:anchorId="75683E02" wp14:editId="27D2A213">
            <wp:extent cx="4486275" cy="5074920"/>
            <wp:effectExtent l="0" t="0" r="9525" b="0"/>
            <wp:docPr id="3687" name="Picture 3687"/>
            <wp:cNvGraphicFramePr/>
            <a:graphic xmlns:a="http://schemas.openxmlformats.org/drawingml/2006/main">
              <a:graphicData uri="http://schemas.openxmlformats.org/drawingml/2006/picture">
                <pic:pic xmlns:pic="http://schemas.openxmlformats.org/drawingml/2006/picture">
                  <pic:nvPicPr>
                    <pic:cNvPr id="3687" name="Picture 3687"/>
                    <pic:cNvPicPr/>
                  </pic:nvPicPr>
                  <pic:blipFill>
                    <a:blip r:embed="rId8"/>
                    <a:stretch>
                      <a:fillRect/>
                    </a:stretch>
                  </pic:blipFill>
                  <pic:spPr>
                    <a:xfrm>
                      <a:off x="0" y="0"/>
                      <a:ext cx="4486275" cy="5074920"/>
                    </a:xfrm>
                    <a:prstGeom prst="rect">
                      <a:avLst/>
                    </a:prstGeom>
                  </pic:spPr>
                </pic:pic>
              </a:graphicData>
            </a:graphic>
          </wp:inline>
        </w:drawing>
      </w:r>
      <w:r>
        <w:t xml:space="preserve"> </w:t>
      </w:r>
    </w:p>
    <w:p w14:paraId="306DBA0E" w14:textId="3F9DC5E0" w:rsidR="00437BC3" w:rsidRDefault="008A797D">
      <w:pPr>
        <w:spacing w:after="236" w:line="265" w:lineRule="auto"/>
        <w:ind w:left="364" w:right="34"/>
        <w:jc w:val="center"/>
      </w:pPr>
      <w:r>
        <w:rPr>
          <w:i/>
          <w:color w:val="44546A"/>
          <w:sz w:val="18"/>
        </w:rPr>
        <w:t xml:space="preserve">Figure </w:t>
      </w:r>
      <w:r w:rsidR="00042B68">
        <w:rPr>
          <w:i/>
          <w:color w:val="44546A"/>
          <w:sz w:val="18"/>
        </w:rPr>
        <w:t>1</w:t>
      </w:r>
      <w:r>
        <w:rPr>
          <w:i/>
          <w:color w:val="44546A"/>
          <w:sz w:val="18"/>
        </w:rPr>
        <w:t xml:space="preserve"> Program management structure </w:t>
      </w:r>
    </w:p>
    <w:p w14:paraId="737C86DD" w14:textId="11704B84" w:rsidR="00437BC3" w:rsidRPr="00042B68" w:rsidRDefault="008A797D" w:rsidP="00042B68">
      <w:pPr>
        <w:spacing w:after="358" w:line="259" w:lineRule="auto"/>
        <w:ind w:left="773" w:firstLine="0"/>
        <w:jc w:val="left"/>
        <w:rPr>
          <w:b/>
          <w:bCs/>
        </w:rPr>
      </w:pPr>
      <w:r w:rsidRPr="00042B68">
        <w:rPr>
          <w:b/>
          <w:bCs/>
        </w:rPr>
        <w:t xml:space="preserve">Procurement </w:t>
      </w:r>
    </w:p>
    <w:p w14:paraId="0B4ED2A3" w14:textId="77777777" w:rsidR="00437BC3" w:rsidRDefault="008A797D">
      <w:pPr>
        <w:spacing w:line="357" w:lineRule="auto"/>
        <w:ind w:left="768" w:right="444"/>
      </w:pPr>
      <w:r>
        <w:t>A</w:t>
      </w:r>
      <w:r>
        <w:t xml:space="preserve"> key component of the overall strategy for implementation was a comprehensive acquisition approach that was consistent with the mission, principles, goals, req</w:t>
      </w:r>
      <w:r>
        <w:t xml:space="preserve">uirements, the wider policy </w:t>
      </w:r>
      <w:proofErr w:type="gramStart"/>
      <w:r>
        <w:t>climate</w:t>
      </w:r>
      <w:proofErr w:type="gramEnd"/>
      <w:r>
        <w:t xml:space="preserve"> and best practices in place at the time. The position of Crossrail is described as a utility and, as such, contract procurement procedures above the applicable financial threshold are required to comply with the Utilitie</w:t>
      </w:r>
      <w:r>
        <w:t xml:space="preserve">s Contracts Regulations 2006 (HMG, 2006). </w:t>
      </w:r>
    </w:p>
    <w:p w14:paraId="69F35E8D" w14:textId="77777777" w:rsidR="00437BC3" w:rsidRDefault="008A797D">
      <w:pPr>
        <w:spacing w:line="358" w:lineRule="auto"/>
        <w:ind w:left="768" w:right="444"/>
      </w:pPr>
      <w:r>
        <w:t xml:space="preserve">Crossrail had the ability, per contract, to determine restricted or negotiated procedures, pre-qualify economic operators for tender lists and award contracts on the most economically advantageous offer.  </w:t>
      </w:r>
    </w:p>
    <w:p w14:paraId="387F2EED" w14:textId="5D294913" w:rsidR="00437BC3" w:rsidRDefault="008A797D">
      <w:pPr>
        <w:spacing w:line="357" w:lineRule="auto"/>
        <w:ind w:left="768" w:right="444"/>
      </w:pPr>
      <w:r>
        <w:t xml:space="preserve">Contracting with the supply chain as soon as possible </w:t>
      </w:r>
      <w:r w:rsidR="00FE1674">
        <w:t>based on</w:t>
      </w:r>
      <w:r>
        <w:t xml:space="preserve"> a fair assignment of risk to the group best placed to manage the risk. Incorporating a proactive and sustainable approach to purchasing. Setting up negotiated performance management syst</w:t>
      </w:r>
      <w:r>
        <w:t xml:space="preserve">ems. </w:t>
      </w:r>
    </w:p>
    <w:p w14:paraId="3678665E" w14:textId="483C96B0" w:rsidR="00437BC3" w:rsidRDefault="008A797D" w:rsidP="00FE1674">
      <w:pPr>
        <w:spacing w:after="242" w:line="357" w:lineRule="auto"/>
        <w:ind w:left="768" w:right="444"/>
      </w:pPr>
      <w:r>
        <w:lastRenderedPageBreak/>
        <w:t xml:space="preserve">Detailed procurement strategies were developed and approved to outline contract packaging and logistics for the procurement of the main services in the design, advancement and facilitation of works, tunnels, </w:t>
      </w:r>
      <w:r w:rsidR="00042B68">
        <w:t>stations,</w:t>
      </w:r>
      <w:r>
        <w:t xml:space="preserve"> and railway systems to be managed</w:t>
      </w:r>
      <w:r>
        <w:t xml:space="preserve"> by the integrated program management team. </w:t>
      </w:r>
      <w:r>
        <w:rPr>
          <w:rFonts w:ascii="Arial" w:eastAsia="Arial" w:hAnsi="Arial" w:cs="Arial"/>
        </w:rPr>
        <w:t xml:space="preserve"> </w:t>
      </w:r>
    </w:p>
    <w:p w14:paraId="43FBF9B8" w14:textId="77777777" w:rsidR="00437BC3" w:rsidRDefault="008A797D">
      <w:pPr>
        <w:spacing w:line="357" w:lineRule="auto"/>
        <w:ind w:left="768" w:right="444"/>
      </w:pPr>
      <w:r>
        <w:t>D</w:t>
      </w:r>
      <w:r>
        <w:t>uring the development, selection and authorizing work processes, the initial discipline-based model was used to ensure consistent specificatio</w:t>
      </w:r>
      <w:r>
        <w:t xml:space="preserve">ns and outcomes through concurrent contracts providing the same outputs. </w:t>
      </w:r>
    </w:p>
    <w:p w14:paraId="34A7E2F5" w14:textId="61D87BCC" w:rsidR="00437BC3" w:rsidRDefault="008A797D">
      <w:pPr>
        <w:spacing w:line="357" w:lineRule="auto"/>
        <w:ind w:left="768" w:right="444"/>
      </w:pPr>
      <w:r>
        <w:t xml:space="preserve">The three areas were structured in 2011 to include all contracts within the geographic boundaries of the three major bored tunnel contracts.  </w:t>
      </w:r>
      <w:r w:rsidR="00FE1674">
        <w:t>Tunnelling</w:t>
      </w:r>
      <w:r>
        <w:t xml:space="preserve"> completion in 2015 marked a ma</w:t>
      </w:r>
      <w:r>
        <w:t xml:space="preserve">jor transition of the project from a </w:t>
      </w:r>
      <w:r w:rsidR="00FE1674">
        <w:t>tunnelling</w:t>
      </w:r>
      <w:r>
        <w:t xml:space="preserve"> and heavy civil engineering focus to a rail system and station </w:t>
      </w:r>
      <w:r w:rsidR="00FE1674">
        <w:t>fit out</w:t>
      </w:r>
      <w:r>
        <w:t xml:space="preserve"> focus that needed to be managed in a manner that would support the eventual commissioning of a single railway across the entire central se</w:t>
      </w:r>
      <w:r>
        <w:t xml:space="preserve">ction. </w:t>
      </w:r>
    </w:p>
    <w:p w14:paraId="27BAA60D" w14:textId="77777777" w:rsidR="00437BC3" w:rsidRDefault="008A797D">
      <w:pPr>
        <w:spacing w:after="0" w:line="259" w:lineRule="auto"/>
        <w:ind w:left="773" w:firstLine="0"/>
        <w:jc w:val="left"/>
      </w:pPr>
      <w:r>
        <w:t xml:space="preserve"> </w:t>
      </w:r>
    </w:p>
    <w:p w14:paraId="7513AF76" w14:textId="00520FF7" w:rsidR="00437BC3" w:rsidRDefault="008A797D" w:rsidP="00926F19">
      <w:pPr>
        <w:spacing w:after="263" w:line="358" w:lineRule="auto"/>
        <w:ind w:left="768" w:right="444"/>
      </w:pPr>
      <w:r>
        <w:t xml:space="preserve">Crossrail </w:t>
      </w:r>
      <w:r w:rsidR="00FE1674">
        <w:t>endeavoured</w:t>
      </w:r>
      <w:r>
        <w:t xml:space="preserve"> to use best practice management and contract management delivery systems. Traditional project management tools such as a work breakdown structure with associated cost control and financial management, an integrated program ma</w:t>
      </w:r>
      <w:r>
        <w:t xml:space="preserve">nagement schedule, earned value reporting based on commodities, and a robust trend and change control process have been used. </w:t>
      </w:r>
      <w:r w:rsidR="00926F19">
        <w:t xml:space="preserve">                                                      </w:t>
      </w:r>
      <w:r>
        <w:rPr>
          <w:b/>
          <w:sz w:val="26"/>
        </w:rPr>
        <w:t xml:space="preserve"> RISKS </w:t>
      </w:r>
      <w:r w:rsidR="00926F19">
        <w:rPr>
          <w:b/>
          <w:sz w:val="26"/>
        </w:rPr>
        <w:t>FACTORS</w:t>
      </w:r>
    </w:p>
    <w:p w14:paraId="0F3F44D8" w14:textId="2F0E4973" w:rsidR="00437BC3" w:rsidRDefault="008A797D">
      <w:pPr>
        <w:spacing w:line="358" w:lineRule="auto"/>
        <w:ind w:left="768" w:right="444"/>
      </w:pPr>
      <w:r>
        <w:t>Crossrail being a multi-billion-dollar infras</w:t>
      </w:r>
      <w:r>
        <w:t>tructure project, comprising mostly of tunnels and underground stations, which would serve London and its surrounding areas, it was necessary to</w:t>
      </w:r>
      <w:r w:rsidR="00FE1674">
        <w:t xml:space="preserve"> </w:t>
      </w:r>
      <w:r>
        <w:t>understand what lies beneath the ground to prevent obstacles in its construction and hence ensuring that is suc</w:t>
      </w:r>
      <w:r>
        <w:t xml:space="preserve">cessfully delivered.  </w:t>
      </w:r>
    </w:p>
    <w:p w14:paraId="0940D96E" w14:textId="02AF5AC2" w:rsidR="00437BC3" w:rsidRDefault="008A797D">
      <w:pPr>
        <w:spacing w:line="361" w:lineRule="auto"/>
        <w:ind w:left="768" w:right="444"/>
      </w:pPr>
      <w:r>
        <w:t xml:space="preserve">To begin with, establishing the geographical conditions in detail was necessary. As Crossrail's head of geotechnics observed, ‘understanding of the geological structure of certain areas has increased significantly </w:t>
      </w:r>
      <w:r w:rsidR="00FE1674">
        <w:t>because of</w:t>
      </w:r>
      <w:r>
        <w:t xml:space="preserve"> the </w:t>
      </w:r>
      <w:r>
        <w:t xml:space="preserve">Crossrail </w:t>
      </w:r>
      <w:r w:rsidR="00FE1674">
        <w:t>works</w:t>
      </w:r>
      <w:r>
        <w:t xml:space="preserve">. Even though an extensive survey of maps and all other available resources was carried out, it was hard to expect what the construction team could encounter. The obstructions might be wells, old </w:t>
      </w:r>
      <w:r w:rsidR="00FE1674">
        <w:t>boreholes,</w:t>
      </w:r>
      <w:r>
        <w:t xml:space="preserve"> or foundations of long-demolished </w:t>
      </w:r>
      <w:r>
        <w:t>structures. Hence, it was inevitable to encounter some obstructions while carrying out works beneath the ground. Also, along with these risks, some unsure concerns were raised. The risk of possible anthrax epidemic being triggered was addressed by Lord Jam</w:t>
      </w:r>
      <w:r>
        <w:t xml:space="preserve">es of the Conservative party. He told the Parliament that 10 Hayne Street, which falls on one of the routes, maybe the lost anthrax burial ground and carrying out excavation works </w:t>
      </w:r>
      <w:r>
        <w:lastRenderedPageBreak/>
        <w:t>might trigger an epidemic.  Even the possibility of coming across unexploded</w:t>
      </w:r>
      <w:r>
        <w:t xml:space="preserve"> bombs from the Second World War was presented.  </w:t>
      </w:r>
    </w:p>
    <w:p w14:paraId="17E204F7" w14:textId="5BC024B3" w:rsidR="00437BC3" w:rsidRDefault="008A797D">
      <w:pPr>
        <w:spacing w:line="358" w:lineRule="auto"/>
        <w:ind w:left="768" w:right="444"/>
      </w:pPr>
      <w:r>
        <w:t>However, the risks were greater closer to the city of London as it has been inhabited for hundreds of years. Even though a great amount of data is available about the geographical strata, several undiscover</w:t>
      </w:r>
      <w:r>
        <w:t xml:space="preserve">ed faults and deviations were known to be present that could pose problems for </w:t>
      </w:r>
      <w:proofErr w:type="spellStart"/>
      <w:r>
        <w:t>tunneling</w:t>
      </w:r>
      <w:proofErr w:type="spellEnd"/>
      <w:r>
        <w:t xml:space="preserve"> works.  </w:t>
      </w:r>
      <w:r w:rsidR="00926F19" w:rsidRPr="00926F19">
        <w:drawing>
          <wp:inline distT="0" distB="0" distL="0" distR="0" wp14:anchorId="7FB66E30" wp14:editId="3680E9DC">
            <wp:extent cx="6508115" cy="3304540"/>
            <wp:effectExtent l="0" t="0" r="6985" b="0"/>
            <wp:docPr id="1" name="Picture 1" descr="Route map May 2022 - Crossr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ute map May 2022 - Crossrai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508115" cy="3304540"/>
                    </a:xfrm>
                    <a:prstGeom prst="rect">
                      <a:avLst/>
                    </a:prstGeom>
                    <a:noFill/>
                    <a:ln>
                      <a:noFill/>
                    </a:ln>
                  </pic:spPr>
                </pic:pic>
              </a:graphicData>
            </a:graphic>
          </wp:inline>
        </w:drawing>
      </w:r>
    </w:p>
    <w:p w14:paraId="54E52D74" w14:textId="042F2DD1" w:rsidR="00437BC3" w:rsidRDefault="008A797D">
      <w:pPr>
        <w:spacing w:after="306" w:line="351" w:lineRule="auto"/>
        <w:ind w:left="2511" w:right="1582"/>
        <w:jc w:val="left"/>
      </w:pPr>
      <w:r>
        <w:t xml:space="preserve"> </w:t>
      </w:r>
      <w:r>
        <w:rPr>
          <w:i/>
          <w:color w:val="44546A"/>
          <w:sz w:val="18"/>
        </w:rPr>
        <w:t xml:space="preserve">Figure </w:t>
      </w:r>
      <w:r w:rsidR="00926F19">
        <w:rPr>
          <w:i/>
          <w:color w:val="44546A"/>
          <w:sz w:val="18"/>
        </w:rPr>
        <w:t>2</w:t>
      </w:r>
      <w:r>
        <w:rPr>
          <w:i/>
          <w:color w:val="44546A"/>
          <w:sz w:val="18"/>
        </w:rPr>
        <w:t xml:space="preserve">: Plan of the central </w:t>
      </w:r>
      <w:r w:rsidR="00926F19">
        <w:rPr>
          <w:i/>
          <w:color w:val="44546A"/>
          <w:sz w:val="18"/>
        </w:rPr>
        <w:t>tunnelled</w:t>
      </w:r>
      <w:r>
        <w:rPr>
          <w:i/>
          <w:color w:val="44546A"/>
          <w:sz w:val="18"/>
        </w:rPr>
        <w:t xml:space="preserve"> section of the new Elizabeth line across London </w:t>
      </w:r>
    </w:p>
    <w:p w14:paraId="770D9E0B" w14:textId="2DC27853" w:rsidR="00437BC3" w:rsidRDefault="008A797D">
      <w:pPr>
        <w:spacing w:after="167" w:line="265" w:lineRule="auto"/>
        <w:ind w:left="768"/>
        <w:jc w:val="left"/>
      </w:pPr>
      <w:r>
        <w:rPr>
          <w:rFonts w:ascii="Arial" w:eastAsia="Arial" w:hAnsi="Arial" w:cs="Arial"/>
          <w:b/>
          <w:i/>
        </w:rPr>
        <w:t xml:space="preserve"> </w:t>
      </w:r>
      <w:r>
        <w:rPr>
          <w:b/>
          <w:i/>
        </w:rPr>
        <w:t xml:space="preserve">Geotechnical Risks:  </w:t>
      </w:r>
    </w:p>
    <w:p w14:paraId="60750335" w14:textId="50D1AF86" w:rsidR="00437BC3" w:rsidRDefault="008A797D">
      <w:pPr>
        <w:ind w:left="1503" w:right="444"/>
      </w:pPr>
      <w:r>
        <w:t>Several key geotechnical hazards and the consequent risks that they pose were identified in the early stages of the feasibility design process</w:t>
      </w:r>
      <w:r>
        <w:t xml:space="preserve">. Data from the Jubilee line extension project and High Speed 1 railway projects were also used in identifying various risks as they were similar in scale and </w:t>
      </w:r>
      <w:r w:rsidR="00926F19">
        <w:t>tunnelling</w:t>
      </w:r>
      <w:r>
        <w:t xml:space="preserve"> methods. Following were the key hazards identified: </w:t>
      </w:r>
    </w:p>
    <w:p w14:paraId="0408E1CC" w14:textId="0F712F58" w:rsidR="00437BC3" w:rsidRDefault="008A797D">
      <w:pPr>
        <w:numPr>
          <w:ilvl w:val="0"/>
          <w:numId w:val="5"/>
        </w:numPr>
        <w:ind w:right="444"/>
      </w:pPr>
      <w:r>
        <w:t xml:space="preserve">Groundwater management during the </w:t>
      </w:r>
      <w:r w:rsidR="00926F19">
        <w:t>tunnelling</w:t>
      </w:r>
      <w:r>
        <w:t xml:space="preserve"> process and long-term groundwater levels and gas entrapment from dewatering recovery.  </w:t>
      </w:r>
    </w:p>
    <w:p w14:paraId="63CB04E8" w14:textId="77777777" w:rsidR="00437BC3" w:rsidRDefault="008A797D">
      <w:pPr>
        <w:numPr>
          <w:ilvl w:val="0"/>
          <w:numId w:val="5"/>
        </w:numPr>
        <w:ind w:right="444"/>
      </w:pPr>
      <w:r>
        <w:t xml:space="preserve">The risk of instability of the ground due to the mixed face conditions faulted ground and drift-filled hollows. </w:t>
      </w:r>
    </w:p>
    <w:p w14:paraId="7E882227" w14:textId="77777777" w:rsidR="00437BC3" w:rsidRDefault="008A797D">
      <w:pPr>
        <w:numPr>
          <w:ilvl w:val="0"/>
          <w:numId w:val="5"/>
        </w:numPr>
        <w:ind w:right="444"/>
      </w:pPr>
      <w:r>
        <w:lastRenderedPageBreak/>
        <w:t xml:space="preserve">Hard strata including limestone and cemented </w:t>
      </w:r>
      <w:r>
        <w:t xml:space="preserve">units in the Lambeth Group and claystone in the London Clay.  </w:t>
      </w:r>
    </w:p>
    <w:p w14:paraId="47932542" w14:textId="77777777" w:rsidR="00437BC3" w:rsidRDefault="008A797D">
      <w:pPr>
        <w:numPr>
          <w:ilvl w:val="0"/>
          <w:numId w:val="5"/>
        </w:numPr>
        <w:ind w:right="444"/>
      </w:pPr>
      <w:r>
        <w:t xml:space="preserve">Effect of groundwater and other minerals in the ground on the durability of cast iron tunnel segments and concrete.  </w:t>
      </w:r>
    </w:p>
    <w:p w14:paraId="73092ED0" w14:textId="77777777" w:rsidR="00437BC3" w:rsidRDefault="008A797D">
      <w:pPr>
        <w:spacing w:after="144" w:line="259" w:lineRule="auto"/>
        <w:ind w:left="0" w:right="1333" w:firstLine="0"/>
        <w:jc w:val="right"/>
      </w:pPr>
      <w:r>
        <w:rPr>
          <w:noProof/>
        </w:rPr>
        <w:drawing>
          <wp:inline distT="0" distB="0" distL="0" distR="0" wp14:anchorId="5F2706AE" wp14:editId="7738363F">
            <wp:extent cx="4411599" cy="3348990"/>
            <wp:effectExtent l="0" t="0" r="0" b="0"/>
            <wp:docPr id="3982" name="Picture 3982"/>
            <wp:cNvGraphicFramePr/>
            <a:graphic xmlns:a="http://schemas.openxmlformats.org/drawingml/2006/main">
              <a:graphicData uri="http://schemas.openxmlformats.org/drawingml/2006/picture">
                <pic:pic xmlns:pic="http://schemas.openxmlformats.org/drawingml/2006/picture">
                  <pic:nvPicPr>
                    <pic:cNvPr id="3982" name="Picture 3982"/>
                    <pic:cNvPicPr/>
                  </pic:nvPicPr>
                  <pic:blipFill>
                    <a:blip r:embed="rId10"/>
                    <a:stretch>
                      <a:fillRect/>
                    </a:stretch>
                  </pic:blipFill>
                  <pic:spPr>
                    <a:xfrm>
                      <a:off x="0" y="0"/>
                      <a:ext cx="4411599" cy="3348990"/>
                    </a:xfrm>
                    <a:prstGeom prst="rect">
                      <a:avLst/>
                    </a:prstGeom>
                  </pic:spPr>
                </pic:pic>
              </a:graphicData>
            </a:graphic>
          </wp:inline>
        </w:drawing>
      </w:r>
      <w:r>
        <w:t xml:space="preserve"> </w:t>
      </w:r>
    </w:p>
    <w:p w14:paraId="4255D999" w14:textId="022B6402" w:rsidR="00437BC3" w:rsidRDefault="008A797D">
      <w:pPr>
        <w:spacing w:after="236" w:line="265" w:lineRule="auto"/>
        <w:ind w:left="364"/>
        <w:jc w:val="center"/>
      </w:pPr>
      <w:r>
        <w:rPr>
          <w:i/>
          <w:color w:val="44546A"/>
          <w:sz w:val="18"/>
        </w:rPr>
        <w:t xml:space="preserve">                     Figure </w:t>
      </w:r>
      <w:r w:rsidR="00926F19">
        <w:rPr>
          <w:i/>
          <w:color w:val="44546A"/>
          <w:sz w:val="18"/>
        </w:rPr>
        <w:t>3</w:t>
      </w:r>
      <w:r>
        <w:rPr>
          <w:i/>
          <w:color w:val="44546A"/>
          <w:sz w:val="18"/>
        </w:rPr>
        <w:t>: Significant regional faults intersect the</w:t>
      </w:r>
      <w:r>
        <w:rPr>
          <w:i/>
          <w:color w:val="44546A"/>
          <w:sz w:val="18"/>
        </w:rPr>
        <w:t xml:space="preserve"> central </w:t>
      </w:r>
      <w:r w:rsidR="00926F19">
        <w:rPr>
          <w:i/>
          <w:color w:val="44546A"/>
          <w:sz w:val="18"/>
        </w:rPr>
        <w:t>tunnelled</w:t>
      </w:r>
      <w:r>
        <w:rPr>
          <w:i/>
          <w:color w:val="44546A"/>
          <w:sz w:val="18"/>
        </w:rPr>
        <w:t xml:space="preserve"> section of the Elizabeth Line </w:t>
      </w:r>
    </w:p>
    <w:p w14:paraId="72899C1E" w14:textId="6B4AC74E" w:rsidR="00437BC3" w:rsidRDefault="008A797D">
      <w:pPr>
        <w:ind w:left="768" w:right="444"/>
      </w:pPr>
      <w:r>
        <w:t xml:space="preserve">The ground beneath the western section from Paddington is clay hence providing ideal conditions for </w:t>
      </w:r>
      <w:r w:rsidR="00926F19">
        <w:t>tunnelling</w:t>
      </w:r>
      <w:r>
        <w:t xml:space="preserve"> as it contains little water and is of consistent density. As the tunnels descend eastwards toward</w:t>
      </w:r>
      <w:r>
        <w:t xml:space="preserve">s Farringdon, the geology changes into a stratum called the Lambeth Group, a complex mix of sands, silts, and clays, creating tougher conditions for </w:t>
      </w:r>
      <w:r w:rsidR="00926F19">
        <w:t>tunnelling</w:t>
      </w:r>
      <w:r>
        <w:t>.  Also, between Farringdon and Canary Wharf, the tunnels crisscross between the London clay and v</w:t>
      </w:r>
      <w:r>
        <w:t xml:space="preserve">arious deposits of the Lambeth group which make </w:t>
      </w:r>
      <w:r w:rsidR="00926F19">
        <w:t>tunnelling</w:t>
      </w:r>
      <w:r>
        <w:t xml:space="preserve"> and subsurface excavation challenging due to the variability of material types. In such conditions, unexpected water flows and instability during excavation constitute a significant danger.  </w:t>
      </w:r>
    </w:p>
    <w:p w14:paraId="24372D6D" w14:textId="77777777" w:rsidR="00437BC3" w:rsidRDefault="008A797D">
      <w:pPr>
        <w:spacing w:after="7" w:line="259" w:lineRule="auto"/>
        <w:ind w:left="0" w:right="966" w:firstLine="0"/>
        <w:jc w:val="right"/>
      </w:pPr>
      <w:r>
        <w:rPr>
          <w:noProof/>
        </w:rPr>
        <w:lastRenderedPageBreak/>
        <w:drawing>
          <wp:inline distT="0" distB="0" distL="0" distR="0" wp14:anchorId="42860473" wp14:editId="2A658978">
            <wp:extent cx="5287772" cy="3875405"/>
            <wp:effectExtent l="0" t="0" r="0" b="0"/>
            <wp:docPr id="4029" name="Picture 4029"/>
            <wp:cNvGraphicFramePr/>
            <a:graphic xmlns:a="http://schemas.openxmlformats.org/drawingml/2006/main">
              <a:graphicData uri="http://schemas.openxmlformats.org/drawingml/2006/picture">
                <pic:pic xmlns:pic="http://schemas.openxmlformats.org/drawingml/2006/picture">
                  <pic:nvPicPr>
                    <pic:cNvPr id="4029" name="Picture 4029"/>
                    <pic:cNvPicPr/>
                  </pic:nvPicPr>
                  <pic:blipFill>
                    <a:blip r:embed="rId11"/>
                    <a:stretch>
                      <a:fillRect/>
                    </a:stretch>
                  </pic:blipFill>
                  <pic:spPr>
                    <a:xfrm>
                      <a:off x="0" y="0"/>
                      <a:ext cx="5287772" cy="3875405"/>
                    </a:xfrm>
                    <a:prstGeom prst="rect">
                      <a:avLst/>
                    </a:prstGeom>
                  </pic:spPr>
                </pic:pic>
              </a:graphicData>
            </a:graphic>
          </wp:inline>
        </w:drawing>
      </w:r>
      <w:r>
        <w:t xml:space="preserve"> </w:t>
      </w:r>
    </w:p>
    <w:p w14:paraId="04EA28A5" w14:textId="0C74B811" w:rsidR="00437BC3" w:rsidRDefault="008A797D" w:rsidP="006E59C5">
      <w:pPr>
        <w:spacing w:after="378" w:line="265" w:lineRule="auto"/>
        <w:ind w:left="364" w:right="42"/>
        <w:jc w:val="center"/>
      </w:pPr>
      <w:r>
        <w:rPr>
          <w:i/>
          <w:color w:val="44546A"/>
          <w:sz w:val="18"/>
        </w:rPr>
        <w:t xml:space="preserve">Figure </w:t>
      </w:r>
      <w:r w:rsidR="006E59C5">
        <w:rPr>
          <w:i/>
          <w:color w:val="44546A"/>
          <w:sz w:val="18"/>
        </w:rPr>
        <w:t>4</w:t>
      </w:r>
      <w:r>
        <w:rPr>
          <w:i/>
          <w:color w:val="44546A"/>
          <w:sz w:val="18"/>
        </w:rPr>
        <w:t xml:space="preserve">: Geological long-sections of the central </w:t>
      </w:r>
      <w:r w:rsidR="006E59C5">
        <w:rPr>
          <w:i/>
          <w:color w:val="44546A"/>
          <w:sz w:val="18"/>
        </w:rPr>
        <w:t>tunnelled</w:t>
      </w:r>
      <w:r>
        <w:rPr>
          <w:i/>
          <w:color w:val="44546A"/>
          <w:sz w:val="18"/>
        </w:rPr>
        <w:t xml:space="preserve"> section, which forks at Stepney Green </w:t>
      </w:r>
      <w:r w:rsidR="006E59C5">
        <w:t xml:space="preserve">                                                                  </w:t>
      </w:r>
      <w:r w:rsidR="006E59C5">
        <w:rPr>
          <w:b/>
          <w:i/>
        </w:rPr>
        <w:tab/>
      </w:r>
      <w:r w:rsidR="006E59C5">
        <w:rPr>
          <w:b/>
          <w:i/>
        </w:rPr>
        <w:tab/>
      </w:r>
      <w:r w:rsidR="006E59C5">
        <w:rPr>
          <w:b/>
          <w:i/>
        </w:rPr>
        <w:tab/>
      </w:r>
      <w:r w:rsidR="006E59C5">
        <w:rPr>
          <w:b/>
          <w:i/>
        </w:rPr>
        <w:tab/>
      </w:r>
      <w:r w:rsidR="006E59C5">
        <w:rPr>
          <w:b/>
          <w:i/>
        </w:rPr>
        <w:tab/>
      </w:r>
      <w:r w:rsidR="006E59C5">
        <w:rPr>
          <w:b/>
          <w:i/>
        </w:rPr>
        <w:tab/>
      </w:r>
      <w:r w:rsidR="006E59C5">
        <w:rPr>
          <w:b/>
          <w:i/>
        </w:rPr>
        <w:tab/>
      </w:r>
      <w:r w:rsidR="006E59C5">
        <w:rPr>
          <w:b/>
          <w:i/>
        </w:rPr>
        <w:tab/>
      </w:r>
      <w:r w:rsidR="006E59C5">
        <w:rPr>
          <w:b/>
          <w:i/>
        </w:rPr>
        <w:tab/>
      </w:r>
      <w:r w:rsidR="006E59C5">
        <w:rPr>
          <w:b/>
          <w:i/>
        </w:rPr>
        <w:tab/>
      </w:r>
      <w:r w:rsidR="006E59C5">
        <w:rPr>
          <w:b/>
          <w:i/>
        </w:rPr>
        <w:tab/>
      </w:r>
      <w:r w:rsidR="006E59C5">
        <w:rPr>
          <w:b/>
          <w:i/>
        </w:rPr>
        <w:tab/>
        <w:t xml:space="preserve">                                       </w:t>
      </w:r>
      <w:r w:rsidR="006E59C5">
        <w:rPr>
          <w:b/>
          <w:i/>
        </w:rPr>
        <w:tab/>
      </w:r>
      <w:r w:rsidR="006E59C5">
        <w:rPr>
          <w:b/>
          <w:i/>
        </w:rPr>
        <w:tab/>
      </w:r>
      <w:r w:rsidR="006E59C5">
        <w:rPr>
          <w:b/>
          <w:i/>
        </w:rPr>
        <w:tab/>
      </w:r>
      <w:r w:rsidR="006E59C5">
        <w:rPr>
          <w:b/>
          <w:i/>
        </w:rPr>
        <w:tab/>
      </w:r>
      <w:r w:rsidR="006E59C5">
        <w:rPr>
          <w:b/>
          <w:i/>
        </w:rPr>
        <w:tab/>
      </w:r>
      <w:r w:rsidR="006E59C5">
        <w:rPr>
          <w:b/>
          <w:i/>
        </w:rPr>
        <w:tab/>
      </w:r>
      <w:r w:rsidR="006E59C5">
        <w:rPr>
          <w:b/>
          <w:i/>
        </w:rPr>
        <w:tab/>
        <w:t xml:space="preserve">                                                                                                                </w:t>
      </w:r>
      <w:r w:rsidRPr="006E59C5">
        <w:rPr>
          <w:b/>
          <w:iCs/>
        </w:rPr>
        <w:t>Risks due to groundwater and its mitigation:</w:t>
      </w:r>
      <w:r>
        <w:rPr>
          <w:b/>
          <w:i/>
        </w:rPr>
        <w:t xml:space="preserve">  </w:t>
      </w:r>
    </w:p>
    <w:p w14:paraId="2625ED54" w14:textId="507E9131" w:rsidR="00437BC3" w:rsidRDefault="008A797D">
      <w:pPr>
        <w:ind w:left="768" w:right="444"/>
      </w:pPr>
      <w:r>
        <w:t xml:space="preserve">The most consequential hazard that would have potentially impacted most of the central </w:t>
      </w:r>
      <w:r w:rsidR="006E59C5">
        <w:t>tunnelled</w:t>
      </w:r>
      <w:r>
        <w:t xml:space="preserve"> section was probably groundwater. Methods such as </w:t>
      </w:r>
      <w:r w:rsidR="006E59C5">
        <w:t>dewatering,</w:t>
      </w:r>
      <w:r>
        <w:t xml:space="preserve"> and depressurization were extensively used on the eastern running tunnels between Farrington statio</w:t>
      </w:r>
      <w:r>
        <w:t xml:space="preserve">n and the portals at Pudding Mill Lane and Victoria Dock. As tunnels penetrated the Lambeth Group deposits in the eastbound and westbound sections, groundwater was concerning, as Lambeth Group consists of water bearing sand-units.  </w:t>
      </w:r>
    </w:p>
    <w:p w14:paraId="180E6983" w14:textId="77777777" w:rsidR="00437BC3" w:rsidRDefault="008A797D">
      <w:pPr>
        <w:spacing w:after="144" w:line="259" w:lineRule="auto"/>
        <w:ind w:left="2730" w:firstLine="0"/>
        <w:jc w:val="left"/>
      </w:pPr>
      <w:r>
        <w:rPr>
          <w:noProof/>
        </w:rPr>
        <w:lastRenderedPageBreak/>
        <w:drawing>
          <wp:inline distT="0" distB="0" distL="0" distR="0" wp14:anchorId="14578455" wp14:editId="7C7C6C25">
            <wp:extent cx="3752088" cy="2886075"/>
            <wp:effectExtent l="0" t="0" r="0" b="0"/>
            <wp:docPr id="4092" name="Picture 4092"/>
            <wp:cNvGraphicFramePr/>
            <a:graphic xmlns:a="http://schemas.openxmlformats.org/drawingml/2006/main">
              <a:graphicData uri="http://schemas.openxmlformats.org/drawingml/2006/picture">
                <pic:pic xmlns:pic="http://schemas.openxmlformats.org/drawingml/2006/picture">
                  <pic:nvPicPr>
                    <pic:cNvPr id="4092" name="Picture 4092"/>
                    <pic:cNvPicPr/>
                  </pic:nvPicPr>
                  <pic:blipFill>
                    <a:blip r:embed="rId12"/>
                    <a:stretch>
                      <a:fillRect/>
                    </a:stretch>
                  </pic:blipFill>
                  <pic:spPr>
                    <a:xfrm>
                      <a:off x="0" y="0"/>
                      <a:ext cx="3752088" cy="2886075"/>
                    </a:xfrm>
                    <a:prstGeom prst="rect">
                      <a:avLst/>
                    </a:prstGeom>
                  </pic:spPr>
                </pic:pic>
              </a:graphicData>
            </a:graphic>
          </wp:inline>
        </w:drawing>
      </w:r>
      <w:r>
        <w:t xml:space="preserve"> </w:t>
      </w:r>
    </w:p>
    <w:p w14:paraId="7BF290B1" w14:textId="437BD345" w:rsidR="00437BC3" w:rsidRDefault="008A797D">
      <w:pPr>
        <w:spacing w:after="236" w:line="265" w:lineRule="auto"/>
        <w:ind w:left="364" w:right="38"/>
        <w:jc w:val="center"/>
      </w:pPr>
      <w:r>
        <w:rPr>
          <w:i/>
          <w:color w:val="44546A"/>
          <w:sz w:val="18"/>
        </w:rPr>
        <w:t xml:space="preserve">Figure </w:t>
      </w:r>
      <w:r w:rsidR="006E59C5">
        <w:rPr>
          <w:i/>
          <w:color w:val="44546A"/>
          <w:sz w:val="18"/>
        </w:rPr>
        <w:t>5</w:t>
      </w:r>
      <w:r>
        <w:rPr>
          <w:i/>
          <w:color w:val="44546A"/>
          <w:sz w:val="18"/>
        </w:rPr>
        <w:t>: Geological</w:t>
      </w:r>
      <w:r>
        <w:rPr>
          <w:i/>
          <w:color w:val="44546A"/>
          <w:sz w:val="18"/>
        </w:rPr>
        <w:t xml:space="preserve"> profile of the westbound cavern at Stepney Green showing water-bearing sand units </w:t>
      </w:r>
    </w:p>
    <w:p w14:paraId="2A14DC34" w14:textId="3C4C9394" w:rsidR="00437BC3" w:rsidRDefault="006E59C5" w:rsidP="006E59C5">
      <w:pPr>
        <w:ind w:left="768" w:right="444"/>
      </w:pPr>
      <w:r>
        <w:t>To</w:t>
      </w:r>
      <w:r w:rsidR="008A797D">
        <w:t xml:space="preserve"> reduce water levels to a level below that of excavation, surface dewatering wells were installed. But, since the sand units were highly permeable, their recharg</w:t>
      </w:r>
      <w:r w:rsidR="008A797D">
        <w:t>e proved that just surface dewatering would be inefficient. Therefore, it was supplemented with in-tunnel depressurization. But depressurization resulted in air entrapment during recovery. To mitigate this dewatering was done in phases to ensure that air w</w:t>
      </w:r>
      <w:r w:rsidR="008A797D">
        <w:t xml:space="preserve">as naturally migrating away from the structural traps. Several ventilation wells were also installed to make sure that air has completely escaped. </w:t>
      </w:r>
      <w:r>
        <w:t xml:space="preserve">   </w:t>
      </w:r>
      <w:r>
        <w:tab/>
        <w:t xml:space="preserve">                                                                                                                       </w:t>
      </w:r>
      <w:r w:rsidR="008A797D">
        <w:rPr>
          <w:b/>
          <w:i/>
        </w:rPr>
        <w:t>Risks due to mixed face conditions and its mitigation</w:t>
      </w:r>
      <w:r w:rsidR="008A797D">
        <w:rPr>
          <w:b/>
        </w:rPr>
        <w:t xml:space="preserve">:  </w:t>
      </w:r>
    </w:p>
    <w:p w14:paraId="14C4DF04" w14:textId="271679DD" w:rsidR="00437BC3" w:rsidRDefault="008A797D" w:rsidP="006E59C5">
      <w:pPr>
        <w:spacing w:after="233"/>
        <w:ind w:left="768" w:right="444"/>
      </w:pPr>
      <w:r>
        <w:t>The risk from variable ground was present wherever</w:t>
      </w:r>
      <w:r>
        <w:t xml:space="preserve"> the tunnels and excavations encountered the Lambeth Group deposits especially at Farringdon station where the tunnels were driven through the entire Lambeth Group sequence consisting of a series of sub-parallel normal faults. This problematic ground condi</w:t>
      </w:r>
      <w:r>
        <w:t>tion was identified early in the ground investigations and further phases of geotechnical investigation were undertaken. To understand the stratigraphy and faulting better and to avoid hurdles, a three-dimensional ground model of the station was produced w</w:t>
      </w:r>
      <w:r>
        <w:t xml:space="preserve">ith the available data. This model became very useful in predicting the distribution and extent of these sand units. Once the presence of sand had been proven, permeation grouting was employed in the larger sand bodies to reduce </w:t>
      </w:r>
      <w:r>
        <w:lastRenderedPageBreak/>
        <w:t xml:space="preserve">groundwater flow.  </w:t>
      </w:r>
      <w:r w:rsidR="006E59C5">
        <w:t xml:space="preserve">  </w:t>
      </w:r>
      <w:r w:rsidR="006E59C5">
        <w:tab/>
        <w:t xml:space="preserve">                                                                                                                                                                     </w:t>
      </w:r>
      <w:r>
        <w:rPr>
          <w:b/>
          <w:i/>
        </w:rPr>
        <w:t>Risk of</w:t>
      </w:r>
      <w:r>
        <w:rPr>
          <w:b/>
          <w:i/>
        </w:rPr>
        <w:t xml:space="preserve"> ground settlement and its mitigation:  </w:t>
      </w:r>
    </w:p>
    <w:p w14:paraId="5FAC6090" w14:textId="1BC13ED2" w:rsidR="00437BC3" w:rsidRDefault="008A797D">
      <w:pPr>
        <w:ind w:left="768" w:right="444"/>
      </w:pPr>
      <w:r>
        <w:t>Along with the above risks, the boring of tunnels posed a possible catastrophic risk of ground settlement. Above the alignment of the tunnel were a staggering 17500 buildings that could be affected. Ground settlemen</w:t>
      </w:r>
      <w:r>
        <w:t xml:space="preserve">t risk was tackled by controlling the way </w:t>
      </w:r>
      <w:r w:rsidR="006E59C5">
        <w:t>tunnelling</w:t>
      </w:r>
      <w:r>
        <w:t xml:space="preserve"> was carried out by treating the ground, where necessary, so that it was less likely to move. One effective way adopted was ‘compensation grouting’.  </w:t>
      </w:r>
    </w:p>
    <w:p w14:paraId="7301526B" w14:textId="61CE6082" w:rsidR="00437BC3" w:rsidRDefault="008A797D">
      <w:pPr>
        <w:ind w:left="768" w:right="444"/>
      </w:pPr>
      <w:r>
        <w:t>During construction extensive use of compensation grou</w:t>
      </w:r>
      <w:r>
        <w:t xml:space="preserve">ting was made. This is the technique employed on </w:t>
      </w:r>
      <w:r w:rsidR="006E59C5">
        <w:t>tunnelling</w:t>
      </w:r>
      <w:r>
        <w:t xml:space="preserve"> projects around the world to minimize settlement. A cement-like substance, called grout, is injected into the ground to firm up the area where settlement is expected to occur.  </w:t>
      </w:r>
    </w:p>
    <w:p w14:paraId="14C3D879" w14:textId="77777777" w:rsidR="00437BC3" w:rsidRDefault="008A797D">
      <w:pPr>
        <w:spacing w:after="196" w:line="259" w:lineRule="auto"/>
        <w:ind w:left="0" w:right="954" w:firstLine="0"/>
        <w:jc w:val="right"/>
      </w:pPr>
      <w:r>
        <w:rPr>
          <w:noProof/>
        </w:rPr>
        <w:drawing>
          <wp:inline distT="0" distB="0" distL="0" distR="0" wp14:anchorId="4C4DBB48" wp14:editId="5D168C1A">
            <wp:extent cx="5943600" cy="3851910"/>
            <wp:effectExtent l="0" t="0" r="0" b="0"/>
            <wp:docPr id="4152" name="Picture 4152"/>
            <wp:cNvGraphicFramePr/>
            <a:graphic xmlns:a="http://schemas.openxmlformats.org/drawingml/2006/main">
              <a:graphicData uri="http://schemas.openxmlformats.org/drawingml/2006/picture">
                <pic:pic xmlns:pic="http://schemas.openxmlformats.org/drawingml/2006/picture">
                  <pic:nvPicPr>
                    <pic:cNvPr id="4152" name="Picture 4152"/>
                    <pic:cNvPicPr/>
                  </pic:nvPicPr>
                  <pic:blipFill>
                    <a:blip r:embed="rId13"/>
                    <a:stretch>
                      <a:fillRect/>
                    </a:stretch>
                  </pic:blipFill>
                  <pic:spPr>
                    <a:xfrm>
                      <a:off x="0" y="0"/>
                      <a:ext cx="5943600" cy="3851910"/>
                    </a:xfrm>
                    <a:prstGeom prst="rect">
                      <a:avLst/>
                    </a:prstGeom>
                  </pic:spPr>
                </pic:pic>
              </a:graphicData>
            </a:graphic>
          </wp:inline>
        </w:drawing>
      </w:r>
      <w:r>
        <w:t xml:space="preserve"> </w:t>
      </w:r>
    </w:p>
    <w:p w14:paraId="38544857" w14:textId="77777777" w:rsidR="00437BC3" w:rsidRDefault="008A797D">
      <w:pPr>
        <w:spacing w:after="0" w:line="259" w:lineRule="auto"/>
        <w:ind w:left="773" w:firstLine="0"/>
        <w:jc w:val="left"/>
      </w:pPr>
      <w:r>
        <w:t xml:space="preserve"> </w:t>
      </w:r>
    </w:p>
    <w:p w14:paraId="1467F5CB" w14:textId="091EF0F9" w:rsidR="00437BC3" w:rsidRDefault="008A797D">
      <w:pPr>
        <w:ind w:left="768" w:right="444"/>
      </w:pPr>
      <w:r>
        <w:t>Even with thes</w:t>
      </w:r>
      <w:r>
        <w:t xml:space="preserve">e measures, some level of the settlement was inevitable although the amount of settlement on the project has generally been lower than anticipated. Also, thousands of properties near tunnels were </w:t>
      </w:r>
      <w:r>
        <w:lastRenderedPageBreak/>
        <w:t xml:space="preserve">surveyed before </w:t>
      </w:r>
      <w:r w:rsidR="006E59C5">
        <w:t>tunnelling</w:t>
      </w:r>
      <w:r>
        <w:t xml:space="preserve"> to record existing defects. These </w:t>
      </w:r>
      <w:r>
        <w:t xml:space="preserve">properties were surveyed after the </w:t>
      </w:r>
      <w:r w:rsidR="006E59C5">
        <w:t>tunnelling</w:t>
      </w:r>
      <w:r>
        <w:t xml:space="preserve"> has stopped to understand the repair damage that </w:t>
      </w:r>
      <w:r w:rsidR="006E59C5">
        <w:t>tunnelling</w:t>
      </w:r>
      <w:r>
        <w:t xml:space="preserve"> work must have caused.  </w:t>
      </w:r>
    </w:p>
    <w:p w14:paraId="734D2B75" w14:textId="68F1E432" w:rsidR="00437BC3" w:rsidRDefault="008A797D">
      <w:pPr>
        <w:ind w:left="768" w:right="444"/>
      </w:pPr>
      <w:r>
        <w:t xml:space="preserve">Now, when most of the major </w:t>
      </w:r>
      <w:r w:rsidR="006E59C5">
        <w:t>tunnelling</w:t>
      </w:r>
      <w:r>
        <w:t xml:space="preserve"> work has been completed, it has observed that a relatively small number of geotechnical r</w:t>
      </w:r>
      <w:r>
        <w:t>isk-related issues arisen during construction and the vast majority of these were minor in terms of their impact. A thorough understanding of the ground through detailed desk studies, targeted ground investigations, and consistent client-led interpretive r</w:t>
      </w:r>
      <w:r>
        <w:t xml:space="preserve">eporting as well as reviewing the lessons learned from other construction projects in London ensured that risks could be identified, well </w:t>
      </w:r>
      <w:r w:rsidR="006E59C5">
        <w:t>defined,</w:t>
      </w:r>
      <w:r>
        <w:t xml:space="preserve"> and appropriately dealt with.  </w:t>
      </w:r>
    </w:p>
    <w:p w14:paraId="12F5FA3B" w14:textId="22CC3EBD" w:rsidR="00437BC3" w:rsidRPr="006E59C5" w:rsidRDefault="008A797D" w:rsidP="006E59C5">
      <w:pPr>
        <w:spacing w:after="380" w:line="259" w:lineRule="auto"/>
        <w:ind w:left="773" w:firstLine="0"/>
        <w:jc w:val="left"/>
        <w:rPr>
          <w:b/>
          <w:bCs/>
        </w:rPr>
      </w:pPr>
      <w:r w:rsidRPr="006E59C5">
        <w:rPr>
          <w:b/>
          <w:bCs/>
        </w:rPr>
        <w:t xml:space="preserve"> </w:t>
      </w:r>
      <w:r w:rsidRPr="006E59C5">
        <w:rPr>
          <w:b/>
          <w:bCs/>
        </w:rPr>
        <w:t xml:space="preserve">ACTUAL PROBLEM PRESENTED IN THE PROJECT </w:t>
      </w:r>
    </w:p>
    <w:p w14:paraId="0FAC1308" w14:textId="7CDA434B" w:rsidR="00437BC3" w:rsidRDefault="008A797D" w:rsidP="00C46EB5">
      <w:pPr>
        <w:ind w:left="768" w:right="444"/>
      </w:pPr>
      <w:r>
        <w:t>This part explains where and why cost increases and delays occurred and the features of Crossrail Ltd.’s delivery of the project that added risk and contributed the problems. When Crossrail announced the delay of its D</w:t>
      </w:r>
      <w:r>
        <w:t xml:space="preserve">ecember opening date, the </w:t>
      </w:r>
      <w:r w:rsidR="006E59C5">
        <w:t>signalling</w:t>
      </w:r>
      <w:r>
        <w:t xml:space="preserve"> system and safety were said to be the reason. But after talking to certain senior people, the main reason was unfinished stations, lack of accountability and unrealistic completion dates, plus a lack of adequate producti</w:t>
      </w:r>
      <w:r>
        <w:t xml:space="preserve">vity. The integration of three separate </w:t>
      </w:r>
      <w:r w:rsidR="006E59C5">
        <w:t>signalling</w:t>
      </w:r>
      <w:r>
        <w:t xml:space="preserve"> systems on The Elizabeth Line had been difficult and subsequent testing had been slower than expected. </w:t>
      </w:r>
      <w:r>
        <w:t>The estimated project expense of the Crossrail system by Crossrail L</w:t>
      </w:r>
      <w:r>
        <w:t>td, including trains and depot maintenance on the existing network by Network Rail and a provision to mitigate calculated costs to just over $22 billion dollars US (£17 billion pounds UK). This is about $2.85 billion dollars US (£2.2 billion pounds UK) mor</w:t>
      </w:r>
      <w:r>
        <w:t xml:space="preserve">e than the $19.15 billion dollars US (£14.8 billion pounds UK) investors expected in </w:t>
      </w:r>
      <w:r w:rsidR="00C46EB5">
        <w:t>2010-, and $776.4 million-dollars</w:t>
      </w:r>
      <w:r>
        <w:t xml:space="preserve"> US (£600 million pounds UK) more than the current level of $22.77 billion dollars US (£17.6 billion pounds UK) approved funding. </w:t>
      </w:r>
      <w:r w:rsidR="00C46EB5">
        <w:t xml:space="preserve">   </w:t>
      </w:r>
      <w:r w:rsidR="00C46EB5">
        <w:tab/>
        <w:t xml:space="preserve">                                                         </w:t>
      </w:r>
      <w:r>
        <w:t>Increasi</w:t>
      </w:r>
      <w:r>
        <w:t xml:space="preserve">ng program costs is not the result of a project or contract failure. Costs on most of the central section's 36 major works have risen, including contracts for </w:t>
      </w:r>
      <w:r w:rsidR="00C46EB5">
        <w:t>tunnelling</w:t>
      </w:r>
      <w:r>
        <w:t xml:space="preserve">, civil engineering, station building, </w:t>
      </w:r>
      <w:r w:rsidR="00C46EB5">
        <w:t>fit outs</w:t>
      </w:r>
      <w:r>
        <w:t>, and the installation of railway and sta</w:t>
      </w:r>
      <w:r>
        <w:t xml:space="preserve">tion operating systems. </w:t>
      </w:r>
      <w:r w:rsidR="00C46EB5">
        <w:t xml:space="preserve">      </w:t>
      </w:r>
      <w:r w:rsidR="00C46EB5">
        <w:tab/>
        <w:t xml:space="preserve">                                                         </w:t>
      </w:r>
      <w:r>
        <w:lastRenderedPageBreak/>
        <w:t>The biggest changes were in the deals for constructing the track and main infrastructure in tunnels and some of the new stations including Whitechapel, Bond Street, and Paddington. In general, because of the problems in constructio</w:t>
      </w:r>
      <w:r>
        <w:t xml:space="preserve">n between current London underground and over ground networks, </w:t>
      </w:r>
      <w:r>
        <w:rPr>
          <w:b/>
          <w:sz w:val="26"/>
        </w:rPr>
        <w:t>CONCLUSIO</w:t>
      </w:r>
      <w:r w:rsidR="00C46EB5">
        <w:rPr>
          <w:b/>
          <w:sz w:val="26"/>
        </w:rPr>
        <w:t>N</w:t>
      </w:r>
      <w:r w:rsidR="00C46EB5">
        <w:t xml:space="preserve">                                                                                                                                                             </w:t>
      </w:r>
      <w:r>
        <w:t xml:space="preserve"> </w:t>
      </w:r>
      <w:r w:rsidR="00C46EB5">
        <w:t xml:space="preserve">                    </w:t>
      </w:r>
      <w:r>
        <w:t xml:space="preserve">  </w:t>
      </w:r>
      <w:r>
        <w:t xml:space="preserve">London Crossrail, Europe’s biggest infrastructure project </w:t>
      </w:r>
      <w:r w:rsidR="00C46EB5">
        <w:t>rivalling</w:t>
      </w:r>
      <w:r>
        <w:t xml:space="preserve"> the scale of the Channel tunnel is severely delayed and nearly 4 billion USD over budget. It was supposed to have opened and started servicing Londoners but, on the contrary, has led to sev</w:t>
      </w:r>
      <w:r>
        <w:t>ere stress and frustration for them, especially to the new businesses and residents who moved to areas nearby new stations in anticipation of business growth and ease of commute. Unrealistic deadlines, several design modifications, lack of transparency, mi</w:t>
      </w:r>
      <w:r>
        <w:t xml:space="preserve">scommunication and many other factors have led to this delay and massive cost overrun.  </w:t>
      </w:r>
    </w:p>
    <w:p w14:paraId="5762E642" w14:textId="77777777" w:rsidR="00437BC3" w:rsidRDefault="008A797D">
      <w:pPr>
        <w:ind w:left="768" w:right="444"/>
      </w:pPr>
      <w:r>
        <w:t>This report focused on the scale of the project and its promised benefits, anticipated risks and measures implemented to mitigate them, hurdles faced along with projec</w:t>
      </w:r>
      <w:r>
        <w:t>t progression and finally putting up a few suggestions on how the project could have been handled to ensure its successful delivery. If the failings of the Crossrail are kept aside, it cannot be ignored that once finished, its benefits would be overwhelmin</w:t>
      </w:r>
      <w:r>
        <w:t>g, and it is certain that Londoners would eventually forget the troubles they had to bear. Finally, it could only be anticipated that concerned people would learn from the failings of Crossrail and implement the lessons thus learned in successfully materia</w:t>
      </w:r>
      <w:r>
        <w:t xml:space="preserve">lizing future projects of such a huge magnitude.  </w:t>
      </w:r>
    </w:p>
    <w:p w14:paraId="08284F57" w14:textId="77777777" w:rsidR="00437BC3" w:rsidRDefault="008A797D">
      <w:pPr>
        <w:spacing w:after="252" w:line="259" w:lineRule="auto"/>
        <w:ind w:left="773" w:firstLine="0"/>
        <w:jc w:val="left"/>
      </w:pPr>
      <w:r>
        <w:t xml:space="preserve"> </w:t>
      </w:r>
    </w:p>
    <w:p w14:paraId="0D787C86" w14:textId="77777777" w:rsidR="00437BC3" w:rsidRDefault="008A797D">
      <w:pPr>
        <w:spacing w:after="0" w:line="259" w:lineRule="auto"/>
        <w:ind w:left="773" w:firstLine="0"/>
        <w:jc w:val="left"/>
      </w:pPr>
      <w:r>
        <w:t xml:space="preserve"> </w:t>
      </w:r>
      <w:r>
        <w:tab/>
        <w:t xml:space="preserve"> </w:t>
      </w:r>
      <w:r>
        <w:br w:type="page"/>
      </w:r>
    </w:p>
    <w:p w14:paraId="624DD1D5" w14:textId="77777777" w:rsidR="00437BC3" w:rsidRPr="003A6F59" w:rsidRDefault="008A797D">
      <w:pPr>
        <w:spacing w:after="252" w:line="259" w:lineRule="auto"/>
        <w:ind w:left="768" w:right="444"/>
        <w:rPr>
          <w:b/>
          <w:bCs/>
        </w:rPr>
      </w:pPr>
      <w:r w:rsidRPr="003A6F59">
        <w:rPr>
          <w:b/>
          <w:bCs/>
        </w:rPr>
        <w:lastRenderedPageBreak/>
        <w:t xml:space="preserve">REFERENCES </w:t>
      </w:r>
    </w:p>
    <w:p w14:paraId="5E77B836" w14:textId="77777777" w:rsidR="00437BC3" w:rsidRDefault="008A797D">
      <w:pPr>
        <w:spacing w:after="7" w:line="249" w:lineRule="auto"/>
        <w:ind w:left="768" w:right="440"/>
      </w:pPr>
      <w:r>
        <w:rPr>
          <w:i/>
        </w:rPr>
        <w:t>26 MILES OF NEW RAIL TUNNELS CONSTRUCTED BENEATH BUILDING THE RAIL TUNNELS</w:t>
      </w:r>
      <w:r>
        <w:t xml:space="preserve">. </w:t>
      </w:r>
    </w:p>
    <w:p w14:paraId="31E2D5AC" w14:textId="77777777" w:rsidR="00437BC3" w:rsidRDefault="008A797D">
      <w:pPr>
        <w:spacing w:line="259" w:lineRule="auto"/>
        <w:ind w:left="1263" w:right="444"/>
      </w:pPr>
      <w:r>
        <w:t xml:space="preserve">(2015). </w:t>
      </w:r>
    </w:p>
    <w:p w14:paraId="662BEA18" w14:textId="77777777" w:rsidR="00437BC3" w:rsidRDefault="008A797D">
      <w:pPr>
        <w:spacing w:after="27" w:line="238" w:lineRule="auto"/>
        <w:ind w:left="1248" w:hanging="490"/>
        <w:jc w:val="left"/>
      </w:pPr>
      <w:r>
        <w:t xml:space="preserve">Bishop, P. (2014). </w:t>
      </w:r>
      <w:r>
        <w:rPr>
          <w:i/>
        </w:rPr>
        <w:t>Crossrail Management Plan Volume 4 - Operations</w:t>
      </w:r>
      <w:r>
        <w:t xml:space="preserve">. </w:t>
      </w:r>
      <w:r>
        <w:rPr>
          <w:i/>
        </w:rPr>
        <w:t>4</w:t>
      </w:r>
      <w:r>
        <w:t>. Retrieved from https://learni</w:t>
      </w:r>
      <w:r>
        <w:t xml:space="preserve">nglegacy.crossrail.co.uk/wp-content/uploads/2017/03/1L-001-09_Management-PlanVolume-4-Operations-Rev-1.0.pdf </w:t>
      </w:r>
    </w:p>
    <w:p w14:paraId="3DC086EA" w14:textId="77777777" w:rsidR="00437BC3" w:rsidRDefault="008A797D">
      <w:pPr>
        <w:spacing w:after="7" w:line="249" w:lineRule="auto"/>
        <w:ind w:left="768" w:right="440"/>
      </w:pPr>
      <w:r>
        <w:rPr>
          <w:i/>
        </w:rPr>
        <w:t>Crossrail: what’s the hold-up with London’s long-awaited line?</w:t>
      </w:r>
      <w:r>
        <w:t xml:space="preserve"> (2019). 1–13. </w:t>
      </w:r>
    </w:p>
    <w:p w14:paraId="1E04A3F0" w14:textId="77777777" w:rsidR="00437BC3" w:rsidRDefault="008A797D">
      <w:pPr>
        <w:tabs>
          <w:tab w:val="center" w:pos="1236"/>
          <w:tab w:val="center" w:pos="2334"/>
          <w:tab w:val="center" w:pos="3402"/>
          <w:tab w:val="center" w:pos="4215"/>
          <w:tab w:val="center" w:pos="5037"/>
          <w:tab w:val="center" w:pos="6222"/>
          <w:tab w:val="center" w:pos="7371"/>
          <w:tab w:val="center" w:pos="8394"/>
          <w:tab w:val="center" w:pos="9474"/>
          <w:tab w:val="center" w:pos="10459"/>
        </w:tabs>
        <w:spacing w:line="259" w:lineRule="auto"/>
        <w:ind w:left="0" w:firstLine="0"/>
        <w:jc w:val="left"/>
      </w:pPr>
      <w:r>
        <w:rPr>
          <w:rFonts w:ascii="Calibri" w:eastAsia="Calibri" w:hAnsi="Calibri" w:cs="Calibri"/>
          <w:sz w:val="22"/>
        </w:rPr>
        <w:tab/>
      </w:r>
      <w:r>
        <w:t xml:space="preserve">Crossrail. </w:t>
      </w:r>
      <w:r>
        <w:tab/>
        <w:t xml:space="preserve">(2015). </w:t>
      </w:r>
      <w:r>
        <w:tab/>
        <w:t xml:space="preserve">Crossrail </w:t>
      </w:r>
      <w:r>
        <w:tab/>
        <w:t xml:space="preserve">in </w:t>
      </w:r>
      <w:r>
        <w:tab/>
        <w:t xml:space="preserve">numbers. </w:t>
      </w:r>
      <w:r>
        <w:tab/>
      </w:r>
      <w:r>
        <w:rPr>
          <w:i/>
        </w:rPr>
        <w:t xml:space="preserve">Crossrail </w:t>
      </w:r>
      <w:r>
        <w:rPr>
          <w:i/>
        </w:rPr>
        <w:tab/>
        <w:t>Website</w:t>
      </w:r>
      <w:r>
        <w:t xml:space="preserve">, </w:t>
      </w:r>
      <w:r>
        <w:tab/>
      </w:r>
      <w:r>
        <w:t xml:space="preserve">(May). </w:t>
      </w:r>
      <w:r>
        <w:tab/>
        <w:t xml:space="preserve">Retrieved </w:t>
      </w:r>
      <w:r>
        <w:tab/>
        <w:t xml:space="preserve">from </w:t>
      </w:r>
    </w:p>
    <w:p w14:paraId="3311FB5D" w14:textId="77777777" w:rsidR="00437BC3" w:rsidRDefault="008A797D">
      <w:pPr>
        <w:spacing w:line="259" w:lineRule="auto"/>
        <w:ind w:left="1263" w:right="444"/>
      </w:pPr>
      <w:r>
        <w:t xml:space="preserve">http://www.crossrail.co.uk/news/crossrail-in-numbers </w:t>
      </w:r>
    </w:p>
    <w:p w14:paraId="53E4FC12" w14:textId="77777777" w:rsidR="00437BC3" w:rsidRDefault="008A797D">
      <w:pPr>
        <w:tabs>
          <w:tab w:val="center" w:pos="1236"/>
          <w:tab w:val="center" w:pos="2314"/>
          <w:tab w:val="center" w:pos="3170"/>
          <w:tab w:val="center" w:pos="3843"/>
          <w:tab w:val="center" w:pos="4523"/>
          <w:tab w:val="center" w:pos="5524"/>
          <w:tab w:val="center" w:pos="6730"/>
          <w:tab w:val="center" w:pos="7491"/>
          <w:tab w:val="center" w:pos="8281"/>
          <w:tab w:val="center" w:pos="9498"/>
          <w:tab w:val="center" w:pos="10462"/>
        </w:tabs>
        <w:spacing w:after="7" w:line="249" w:lineRule="auto"/>
        <w:ind w:left="0" w:firstLine="0"/>
        <w:jc w:val="left"/>
      </w:pPr>
      <w:r>
        <w:rPr>
          <w:rFonts w:ascii="Calibri" w:eastAsia="Calibri" w:hAnsi="Calibri" w:cs="Calibri"/>
          <w:sz w:val="22"/>
        </w:rPr>
        <w:tab/>
      </w:r>
      <w:r>
        <w:t xml:space="preserve">Crossrail. </w:t>
      </w:r>
      <w:r>
        <w:tab/>
        <w:t xml:space="preserve">(2016). </w:t>
      </w:r>
      <w:r>
        <w:tab/>
      </w:r>
      <w:r>
        <w:rPr>
          <w:i/>
        </w:rPr>
        <w:t xml:space="preserve">Meet </w:t>
      </w:r>
      <w:r>
        <w:rPr>
          <w:i/>
        </w:rPr>
        <w:tab/>
        <w:t xml:space="preserve">our </w:t>
      </w:r>
      <w:r>
        <w:rPr>
          <w:i/>
        </w:rPr>
        <w:tab/>
        <w:t xml:space="preserve">giant </w:t>
      </w:r>
      <w:r>
        <w:rPr>
          <w:i/>
        </w:rPr>
        <w:tab/>
        <w:t xml:space="preserve">tunnelling </w:t>
      </w:r>
      <w:r>
        <w:rPr>
          <w:i/>
        </w:rPr>
        <w:tab/>
        <w:t xml:space="preserve">machines </w:t>
      </w:r>
      <w:r>
        <w:rPr>
          <w:i/>
        </w:rPr>
        <w:tab/>
        <w:t xml:space="preserve">- </w:t>
      </w:r>
      <w:r>
        <w:rPr>
          <w:i/>
        </w:rPr>
        <w:tab/>
        <w:t>Crossrail</w:t>
      </w:r>
      <w:r>
        <w:t xml:space="preserve">. </w:t>
      </w:r>
      <w:r>
        <w:tab/>
        <w:t xml:space="preserve">Retrieved </w:t>
      </w:r>
      <w:r>
        <w:tab/>
        <w:t xml:space="preserve">from </w:t>
      </w:r>
    </w:p>
    <w:p w14:paraId="12A71DDA" w14:textId="77777777" w:rsidR="00437BC3" w:rsidRDefault="008A797D">
      <w:pPr>
        <w:spacing w:line="259" w:lineRule="auto"/>
        <w:ind w:left="1263" w:right="444"/>
      </w:pPr>
      <w:r>
        <w:t xml:space="preserve">http://www.crossrail.co.uk/construction/tunnelling/meet-our-giant-tunnelling-machines/ </w:t>
      </w:r>
    </w:p>
    <w:p w14:paraId="3030E978" w14:textId="77777777" w:rsidR="00437BC3" w:rsidRDefault="008A797D">
      <w:pPr>
        <w:spacing w:line="238" w:lineRule="auto"/>
        <w:ind w:left="1238" w:right="444" w:hanging="480"/>
      </w:pPr>
      <w:r>
        <w:t xml:space="preserve">Department for Transport, &amp; Transport for London. (2016). Driving Industry Standards for Design Innovation on Major Infrastructure Projects. </w:t>
      </w:r>
      <w:r>
        <w:rPr>
          <w:i/>
        </w:rPr>
        <w:t>Crossrail Ltd</w:t>
      </w:r>
      <w:r>
        <w:t>. Retrieved fr</w:t>
      </w:r>
      <w:r>
        <w:t xml:space="preserve">om </w:t>
      </w:r>
    </w:p>
    <w:p w14:paraId="5F79800D" w14:textId="77777777" w:rsidR="00437BC3" w:rsidRDefault="008A797D">
      <w:pPr>
        <w:spacing w:line="259" w:lineRule="auto"/>
        <w:ind w:left="1263" w:right="444"/>
      </w:pPr>
      <w:r>
        <w:t xml:space="preserve">http://www.crossrail.co.uk/construction/building-information-modelling/ </w:t>
      </w:r>
    </w:p>
    <w:p w14:paraId="53325C4C" w14:textId="77777777" w:rsidR="00437BC3" w:rsidRDefault="008A797D">
      <w:pPr>
        <w:spacing w:after="7" w:line="249" w:lineRule="auto"/>
        <w:ind w:left="768" w:right="440"/>
      </w:pPr>
      <w:r>
        <w:t xml:space="preserve">Health, S., &amp; Practices, S. B. (n.d.). </w:t>
      </w:r>
      <w:r>
        <w:rPr>
          <w:i/>
        </w:rPr>
        <w:t>CROSSRAIL HEALTH AND SAFETY - INDUSTRY BEST</w:t>
      </w:r>
      <w:r>
        <w:t xml:space="preserve">. </w:t>
      </w:r>
    </w:p>
    <w:p w14:paraId="4E0BA6D3" w14:textId="77777777" w:rsidR="00437BC3" w:rsidRDefault="008A797D">
      <w:pPr>
        <w:spacing w:line="244" w:lineRule="auto"/>
        <w:ind w:left="1238" w:right="444" w:hanging="480"/>
      </w:pPr>
      <w:proofErr w:type="spellStart"/>
      <w:r>
        <w:t>Hojjati</w:t>
      </w:r>
      <w:proofErr w:type="spellEnd"/>
      <w:r>
        <w:t xml:space="preserve">, </w:t>
      </w:r>
      <w:r>
        <w:tab/>
        <w:t xml:space="preserve">N., </w:t>
      </w:r>
      <w:r>
        <w:tab/>
        <w:t xml:space="preserve">&amp; </w:t>
      </w:r>
      <w:r>
        <w:tab/>
        <w:t xml:space="preserve">De </w:t>
      </w:r>
      <w:r>
        <w:tab/>
        <w:t xml:space="preserve">Silva, </w:t>
      </w:r>
      <w:r>
        <w:tab/>
        <w:t xml:space="preserve">M. </w:t>
      </w:r>
      <w:r>
        <w:tab/>
        <w:t xml:space="preserve">(2016). </w:t>
      </w:r>
      <w:r>
        <w:tab/>
      </w:r>
      <w:r>
        <w:rPr>
          <w:i/>
        </w:rPr>
        <w:t xml:space="preserve">Crossrail </w:t>
      </w:r>
      <w:r>
        <w:rPr>
          <w:i/>
        </w:rPr>
        <w:tab/>
        <w:t xml:space="preserve">learning </w:t>
      </w:r>
      <w:r>
        <w:rPr>
          <w:i/>
        </w:rPr>
        <w:tab/>
        <w:t xml:space="preserve">legacy </w:t>
      </w:r>
      <w:r>
        <w:rPr>
          <w:i/>
        </w:rPr>
        <w:tab/>
        <w:t xml:space="preserve">- </w:t>
      </w:r>
      <w:r>
        <w:rPr>
          <w:i/>
        </w:rPr>
        <w:tab/>
        <w:t>Crossrail</w:t>
      </w:r>
      <w:r>
        <w:t xml:space="preserve">. </w:t>
      </w:r>
      <w:r>
        <w:tab/>
        <w:t>1–5. ht</w:t>
      </w:r>
      <w:r>
        <w:t xml:space="preserve">tps://doi.org/10.1016/0168-5597(91)90134-J </w:t>
      </w:r>
    </w:p>
    <w:p w14:paraId="300BD6FA" w14:textId="77777777" w:rsidR="00437BC3" w:rsidRDefault="008A797D">
      <w:pPr>
        <w:spacing w:line="240" w:lineRule="auto"/>
        <w:ind w:left="1238" w:right="444" w:hanging="480"/>
      </w:pPr>
      <w:r>
        <w:t xml:space="preserve">Holt, M. (2014). Everything you need to know about services. </w:t>
      </w:r>
      <w:r>
        <w:rPr>
          <w:i/>
        </w:rPr>
        <w:t>EC and M: Electrical Construction and Maintenance</w:t>
      </w:r>
      <w:r>
        <w:t xml:space="preserve">, </w:t>
      </w:r>
      <w:r>
        <w:rPr>
          <w:i/>
        </w:rPr>
        <w:t>113</w:t>
      </w:r>
      <w:r>
        <w:t xml:space="preserve">(5), 1–16. </w:t>
      </w:r>
    </w:p>
    <w:p w14:paraId="514304FE" w14:textId="349BE86B" w:rsidR="00437BC3" w:rsidRDefault="008A797D">
      <w:pPr>
        <w:spacing w:after="7" w:line="249" w:lineRule="auto"/>
        <w:ind w:left="768" w:right="440"/>
      </w:pPr>
      <w:r>
        <w:t xml:space="preserve">Information, R. S. (n.d.). </w:t>
      </w:r>
      <w:r>
        <w:rPr>
          <w:i/>
        </w:rPr>
        <w:t xml:space="preserve">Approved </w:t>
      </w:r>
      <w:r w:rsidR="00C46EB5">
        <w:rPr>
          <w:i/>
        </w:rPr>
        <w:t>Crossrail</w:t>
      </w:r>
      <w:r>
        <w:rPr>
          <w:i/>
        </w:rPr>
        <w:t xml:space="preserve"> lorry routes</w:t>
      </w:r>
      <w:r>
        <w:t xml:space="preserve">. </w:t>
      </w:r>
    </w:p>
    <w:p w14:paraId="13236BC1" w14:textId="77777777" w:rsidR="00437BC3" w:rsidRDefault="008A797D">
      <w:pPr>
        <w:spacing w:line="259" w:lineRule="auto"/>
        <w:ind w:left="768" w:right="444"/>
      </w:pPr>
      <w:r>
        <w:t>Interest, C. O. F., &amp; Co</w:t>
      </w:r>
      <w:r>
        <w:t xml:space="preserve">nsultants, E. O. F. (n.d.). </w:t>
      </w:r>
      <w:r>
        <w:rPr>
          <w:i/>
        </w:rPr>
        <w:t>PROCUREMENT POLICIES &amp; PROCEDURES</w:t>
      </w:r>
      <w:r>
        <w:t xml:space="preserve">. </w:t>
      </w:r>
    </w:p>
    <w:p w14:paraId="50E978AB" w14:textId="77777777" w:rsidR="00437BC3" w:rsidRDefault="008A797D">
      <w:pPr>
        <w:spacing w:line="259" w:lineRule="auto"/>
        <w:ind w:left="768" w:right="444"/>
      </w:pPr>
      <w:r>
        <w:t xml:space="preserve">Khan, S., Grayling, C., &amp; Secretary, T. (2020). </w:t>
      </w:r>
      <w:r>
        <w:rPr>
          <w:i/>
        </w:rPr>
        <w:t>Over-budget Crossrail costing £ 30m per week</w:t>
      </w:r>
      <w:r>
        <w:t xml:space="preserve">. 63–65. </w:t>
      </w:r>
    </w:p>
    <w:p w14:paraId="27C722BF" w14:textId="3D4E0C06" w:rsidR="00437BC3" w:rsidRDefault="008A797D">
      <w:pPr>
        <w:spacing w:after="7" w:line="249" w:lineRule="auto"/>
        <w:ind w:left="1238" w:right="440" w:hanging="480"/>
      </w:pPr>
      <w:r>
        <w:t xml:space="preserve">Legacy, C. L. (2018). </w:t>
      </w:r>
      <w:r>
        <w:rPr>
          <w:i/>
        </w:rPr>
        <w:t xml:space="preserve">CROSSRAIL LEARNING LEGACY </w:t>
      </w:r>
      <w:r w:rsidR="00C46EB5">
        <w:rPr>
          <w:i/>
        </w:rPr>
        <w:t>INTEGRATION,</w:t>
      </w:r>
      <w:r>
        <w:rPr>
          <w:i/>
        </w:rPr>
        <w:t xml:space="preserve"> TESTING AND COMMISSIONING AT</w:t>
      </w:r>
      <w:r>
        <w:rPr>
          <w:i/>
        </w:rPr>
        <w:t xml:space="preserve"> READ THE FULL DOCUMENT</w:t>
      </w:r>
      <w:r>
        <w:t xml:space="preserve">. </w:t>
      </w:r>
    </w:p>
    <w:p w14:paraId="1D8CBF13" w14:textId="77777777" w:rsidR="00437BC3" w:rsidRDefault="008A797D">
      <w:pPr>
        <w:spacing w:after="7" w:line="249" w:lineRule="auto"/>
        <w:ind w:left="768" w:right="440"/>
      </w:pPr>
      <w:r>
        <w:t xml:space="preserve">Line, E. (2008). </w:t>
      </w:r>
      <w:r>
        <w:rPr>
          <w:i/>
        </w:rPr>
        <w:t>NOISE MITIGATION - MANAGING THE EFFECTS OF BUILDING THE</w:t>
      </w:r>
      <w:r>
        <w:t xml:space="preserve">. </w:t>
      </w:r>
      <w:r>
        <w:rPr>
          <w:i/>
        </w:rPr>
        <w:t>2008</w:t>
      </w:r>
      <w:r>
        <w:t xml:space="preserve">. </w:t>
      </w:r>
    </w:p>
    <w:p w14:paraId="3B8AEC88" w14:textId="2F761491" w:rsidR="00437BC3" w:rsidRDefault="008A797D">
      <w:pPr>
        <w:spacing w:line="239" w:lineRule="auto"/>
        <w:ind w:left="1238" w:right="444" w:hanging="480"/>
      </w:pPr>
      <w:r>
        <w:t xml:space="preserve">Lovelock, H. (2016). Update on Progress. </w:t>
      </w:r>
      <w:r w:rsidR="00C46EB5">
        <w:rPr>
          <w:i/>
        </w:rPr>
        <w:t>Cast</w:t>
      </w:r>
      <w:r>
        <w:t xml:space="preserve">. Retrieved from http://www.coldsprayteam.com/W7 Heidi TWI CSAT 2016 CORSAIR FINAL.pdf </w:t>
      </w:r>
    </w:p>
    <w:p w14:paraId="5BA0F2D3" w14:textId="72B52D8E" w:rsidR="00437BC3" w:rsidRDefault="008A797D">
      <w:pPr>
        <w:spacing w:after="7" w:line="249" w:lineRule="auto"/>
        <w:ind w:left="768" w:right="440"/>
      </w:pPr>
      <w:r>
        <w:t xml:space="preserve">Material, E. (n.d.). </w:t>
      </w:r>
      <w:r>
        <w:rPr>
          <w:i/>
        </w:rPr>
        <w:t xml:space="preserve">Beneficially Re-Using Material Excavated During </w:t>
      </w:r>
      <w:r w:rsidR="00C46EB5">
        <w:rPr>
          <w:i/>
        </w:rPr>
        <w:t>Crossrail’s</w:t>
      </w:r>
      <w:r>
        <w:rPr>
          <w:i/>
        </w:rPr>
        <w:t xml:space="preserve"> Construction</w:t>
      </w:r>
      <w:r>
        <w:t xml:space="preserve">. </w:t>
      </w:r>
    </w:p>
    <w:p w14:paraId="48906530" w14:textId="77777777" w:rsidR="00437BC3" w:rsidRDefault="008A797D">
      <w:pPr>
        <w:spacing w:line="238" w:lineRule="auto"/>
        <w:ind w:left="1238" w:right="444" w:hanging="480"/>
      </w:pPr>
      <w:proofErr w:type="spellStart"/>
      <w:r>
        <w:t>Metsa</w:t>
      </w:r>
      <w:proofErr w:type="spellEnd"/>
      <w:r>
        <w:t xml:space="preserve">. (2016). </w:t>
      </w:r>
      <w:r>
        <w:rPr>
          <w:i/>
        </w:rPr>
        <w:t>ENVIRONMENTAL POLICY Introduction and objectives</w:t>
      </w:r>
      <w:r>
        <w:t xml:space="preserve">. Retrieved from www.metsagroup.com </w:t>
      </w:r>
    </w:p>
    <w:p w14:paraId="6686C8CA" w14:textId="77777777" w:rsidR="00437BC3" w:rsidRDefault="008A797D">
      <w:pPr>
        <w:spacing w:line="238" w:lineRule="auto"/>
        <w:ind w:left="768" w:right="444"/>
      </w:pPr>
      <w:r>
        <w:t xml:space="preserve">National Audit Office. (2019). </w:t>
      </w:r>
      <w:r>
        <w:rPr>
          <w:i/>
        </w:rPr>
        <w:t>Completing Crossrail</w:t>
      </w:r>
      <w:r>
        <w:t xml:space="preserve">. (May), 1–53. Retrieved from https://www.nao.org.uk/wp-content/uploads/2019/05/Completing-Crossrail.pdf Order, W. A., &amp; Transport, T. (2008). </w:t>
      </w:r>
      <w:r>
        <w:rPr>
          <w:i/>
        </w:rPr>
        <w:t>PUBLIC CONSULTATIONS DURI</w:t>
      </w:r>
      <w:r>
        <w:rPr>
          <w:i/>
        </w:rPr>
        <w:t>NG</w:t>
      </w:r>
      <w:r>
        <w:t xml:space="preserve">. </w:t>
      </w:r>
    </w:p>
    <w:p w14:paraId="5BD1CBDE" w14:textId="77777777" w:rsidR="00437BC3" w:rsidRDefault="008A797D">
      <w:pPr>
        <w:spacing w:line="259" w:lineRule="auto"/>
        <w:ind w:left="768" w:right="444"/>
      </w:pPr>
      <w:r>
        <w:t xml:space="preserve">Our, P., Rules, G., The, A. T., &amp; Of, H. (2019). </w:t>
      </w:r>
      <w:r>
        <w:rPr>
          <w:i/>
        </w:rPr>
        <w:t>ZERO</w:t>
      </w:r>
      <w:r>
        <w:t xml:space="preserve">. </w:t>
      </w:r>
    </w:p>
    <w:p w14:paraId="1A86DF5D" w14:textId="73BBEA74" w:rsidR="00437BC3" w:rsidRDefault="008A797D">
      <w:pPr>
        <w:spacing w:line="249" w:lineRule="auto"/>
        <w:ind w:left="768" w:right="444"/>
      </w:pPr>
      <w:r>
        <w:t xml:space="preserve">Park, S. (n.d.). </w:t>
      </w:r>
      <w:r>
        <w:rPr>
          <w:i/>
        </w:rPr>
        <w:t xml:space="preserve">Figure 1 The Crossrail route and stations Route Map River Thames Completing Crossrail Part One 11 </w:t>
      </w:r>
      <w:r w:rsidR="00C46EB5">
        <w:rPr>
          <w:i/>
        </w:rPr>
        <w:t>Source:</w:t>
      </w:r>
      <w:r>
        <w:rPr>
          <w:i/>
        </w:rPr>
        <w:t xml:space="preserve"> Crossrail Ltd</w:t>
      </w:r>
      <w:r>
        <w:t xml:space="preserve">. 11. Pidgeon, C., McCartney, J., </w:t>
      </w:r>
      <w:proofErr w:type="spellStart"/>
      <w:r>
        <w:t>Eshalomi</w:t>
      </w:r>
      <w:proofErr w:type="spellEnd"/>
      <w:r>
        <w:t>, F., O’Connell,</w:t>
      </w:r>
      <w:r>
        <w:t xml:space="preserve"> S., Bailey, S., Prince, K., … Shah, N. (2019). </w:t>
      </w:r>
    </w:p>
    <w:p w14:paraId="4333B2D9" w14:textId="25EE4D4F" w:rsidR="00437BC3" w:rsidRDefault="00C46EB5">
      <w:pPr>
        <w:spacing w:after="7" w:line="249" w:lineRule="auto"/>
        <w:ind w:left="1263" w:right="440"/>
      </w:pPr>
      <w:r>
        <w:rPr>
          <w:i/>
        </w:rPr>
        <w:t>Derailed:</w:t>
      </w:r>
      <w:r w:rsidR="008A797D">
        <w:rPr>
          <w:i/>
        </w:rPr>
        <w:t xml:space="preserve"> Getting Crossrail back on track</w:t>
      </w:r>
      <w:r w:rsidR="008A797D">
        <w:t xml:space="preserve">. (April), 1–48. </w:t>
      </w:r>
    </w:p>
    <w:p w14:paraId="31611449" w14:textId="45249C36" w:rsidR="00437BC3" w:rsidRDefault="008A797D">
      <w:pPr>
        <w:spacing w:line="238" w:lineRule="auto"/>
        <w:ind w:left="1238" w:right="444" w:hanging="480"/>
      </w:pPr>
      <w:proofErr w:type="spellStart"/>
      <w:r>
        <w:t>Pollalis</w:t>
      </w:r>
      <w:proofErr w:type="spellEnd"/>
      <w:r>
        <w:t xml:space="preserve">, P. S. N., &amp; </w:t>
      </w:r>
      <w:proofErr w:type="spellStart"/>
      <w:r>
        <w:t>Lappas</w:t>
      </w:r>
      <w:proofErr w:type="spellEnd"/>
      <w:r>
        <w:t xml:space="preserve">, D. (2019). </w:t>
      </w:r>
      <w:r w:rsidR="00C46EB5">
        <w:rPr>
          <w:i/>
        </w:rPr>
        <w:t>London,</w:t>
      </w:r>
      <w:r>
        <w:rPr>
          <w:i/>
        </w:rPr>
        <w:t xml:space="preserve"> UK The </w:t>
      </w:r>
      <w:proofErr w:type="spellStart"/>
      <w:r>
        <w:rPr>
          <w:i/>
        </w:rPr>
        <w:t>Zofnass</w:t>
      </w:r>
      <w:proofErr w:type="spellEnd"/>
      <w:r>
        <w:rPr>
          <w:i/>
        </w:rPr>
        <w:t xml:space="preserve"> Program at Harvard</w:t>
      </w:r>
      <w:r>
        <w:t xml:space="preserve">. (May 2017), 1– 16. </w:t>
      </w:r>
    </w:p>
    <w:p w14:paraId="74540C1C" w14:textId="77777777" w:rsidR="00437BC3" w:rsidRDefault="008A797D">
      <w:pPr>
        <w:spacing w:line="238" w:lineRule="auto"/>
        <w:ind w:left="1238" w:right="444" w:hanging="480"/>
      </w:pPr>
      <w:r>
        <w:t>Pradhan, Q., &amp; Pradhan, Q. (2017). Buildin</w:t>
      </w:r>
      <w:r>
        <w:t xml:space="preserve">g the Station. </w:t>
      </w:r>
      <w:r>
        <w:rPr>
          <w:i/>
        </w:rPr>
        <w:t>Empire in the Hills</w:t>
      </w:r>
      <w:r>
        <w:t xml:space="preserve">, 101–129. https://doi.org/10.1093/acprof:oso/9780199463558.003.0004 </w:t>
      </w:r>
    </w:p>
    <w:p w14:paraId="576174F9" w14:textId="77777777" w:rsidR="00437BC3" w:rsidRDefault="008A797D">
      <w:pPr>
        <w:spacing w:after="7" w:line="249" w:lineRule="auto"/>
        <w:ind w:left="768" w:right="440"/>
      </w:pPr>
      <w:r>
        <w:t xml:space="preserve">Rail, B. N. (2019). </w:t>
      </w:r>
      <w:r>
        <w:rPr>
          <w:i/>
        </w:rPr>
        <w:t>NETWORK RAIL AWARDS ILFORD AND ROMFORD STATION UPGRADE</w:t>
      </w:r>
      <w:r>
        <w:t xml:space="preserve">. </w:t>
      </w:r>
    </w:p>
    <w:p w14:paraId="50D15663" w14:textId="77777777" w:rsidR="00437BC3" w:rsidRDefault="008A797D">
      <w:pPr>
        <w:spacing w:after="7" w:line="249" w:lineRule="auto"/>
        <w:ind w:left="768" w:right="440"/>
      </w:pPr>
      <w:r>
        <w:t xml:space="preserve">Rail, C. (2020). </w:t>
      </w:r>
      <w:r>
        <w:rPr>
          <w:i/>
        </w:rPr>
        <w:t>Crossrail project likely to open in 2021 and cost more</w:t>
      </w:r>
      <w:r>
        <w:t>. (D</w:t>
      </w:r>
      <w:r>
        <w:t xml:space="preserve">ecember 2018), 2019–2022. </w:t>
      </w:r>
    </w:p>
    <w:p w14:paraId="09EBFD51" w14:textId="77777777" w:rsidR="00437BC3" w:rsidRDefault="008A797D">
      <w:pPr>
        <w:spacing w:after="7" w:line="249" w:lineRule="auto"/>
        <w:ind w:left="768" w:right="440"/>
      </w:pPr>
      <w:r>
        <w:t xml:space="preserve">Rail, N. (n.d.). </w:t>
      </w:r>
      <w:r>
        <w:rPr>
          <w:i/>
        </w:rPr>
        <w:t>Health and safety briefings</w:t>
      </w:r>
      <w:r>
        <w:t xml:space="preserve">. </w:t>
      </w:r>
    </w:p>
    <w:p w14:paraId="3D61CEBD" w14:textId="77777777" w:rsidR="00437BC3" w:rsidRDefault="008A797D">
      <w:pPr>
        <w:spacing w:after="7" w:line="249" w:lineRule="auto"/>
        <w:ind w:left="768" w:right="440"/>
      </w:pPr>
      <w:r>
        <w:lastRenderedPageBreak/>
        <w:t xml:space="preserve">Settlement, G. (n.d.). </w:t>
      </w:r>
      <w:r>
        <w:rPr>
          <w:i/>
        </w:rPr>
        <w:t>GROUND SETTLEMENT GROUND SETTLEMENT - MANAGING</w:t>
      </w:r>
      <w:r>
        <w:t xml:space="preserve">. </w:t>
      </w:r>
    </w:p>
    <w:p w14:paraId="6C44F8FB" w14:textId="3934F893" w:rsidR="00437BC3" w:rsidRDefault="008A797D">
      <w:pPr>
        <w:spacing w:line="259" w:lineRule="auto"/>
        <w:ind w:left="768" w:right="444"/>
      </w:pPr>
      <w:r>
        <w:t xml:space="preserve">Solutions, G. (2007). </w:t>
      </w:r>
      <w:r>
        <w:rPr>
          <w:i/>
        </w:rPr>
        <w:t>Tu</w:t>
      </w:r>
      <w:r>
        <w:rPr>
          <w:i/>
        </w:rPr>
        <w:t>rn</w:t>
      </w:r>
      <w:r>
        <w:rPr>
          <w:i/>
        </w:rPr>
        <w:t>in</w:t>
      </w:r>
      <w:r>
        <w:rPr>
          <w:i/>
        </w:rPr>
        <w:t>g Surface n</w:t>
      </w:r>
      <w:r>
        <w:t xml:space="preserve">. (October). </w:t>
      </w:r>
    </w:p>
    <w:p w14:paraId="2D10AA99" w14:textId="77777777" w:rsidR="00437BC3" w:rsidRDefault="008A797D">
      <w:pPr>
        <w:spacing w:after="7" w:line="249" w:lineRule="auto"/>
        <w:ind w:left="768" w:right="440"/>
      </w:pPr>
      <w:r>
        <w:rPr>
          <w:i/>
        </w:rPr>
        <w:t>STABILISING THE GROUND DURING</w:t>
      </w:r>
      <w:r>
        <w:t xml:space="preserve">. (n.d.). </w:t>
      </w:r>
    </w:p>
    <w:p w14:paraId="736D7B55" w14:textId="77777777" w:rsidR="00437BC3" w:rsidRDefault="008A797D">
      <w:pPr>
        <w:spacing w:after="7" w:line="249" w:lineRule="auto"/>
        <w:ind w:left="768" w:right="440"/>
      </w:pPr>
      <w:r>
        <w:t>Street, B. (20</w:t>
      </w:r>
      <w:r>
        <w:t xml:space="preserve">08). </w:t>
      </w:r>
      <w:r>
        <w:rPr>
          <w:i/>
        </w:rPr>
        <w:t>Community liaison panels</w:t>
      </w:r>
      <w:r>
        <w:t xml:space="preserve">. </w:t>
      </w:r>
      <w:r>
        <w:rPr>
          <w:i/>
        </w:rPr>
        <w:t>2008</w:t>
      </w:r>
      <w:r>
        <w:t xml:space="preserve">. </w:t>
      </w:r>
    </w:p>
    <w:p w14:paraId="4A215E38" w14:textId="77777777" w:rsidR="00437BC3" w:rsidRDefault="008A797D">
      <w:pPr>
        <w:spacing w:after="7" w:line="249" w:lineRule="auto"/>
        <w:ind w:left="768" w:right="440"/>
      </w:pPr>
      <w:r>
        <w:t xml:space="preserve">Street, B. (2009). </w:t>
      </w:r>
      <w:r>
        <w:rPr>
          <w:i/>
        </w:rPr>
        <w:t>DIRECT CROSSRAIL SUPPLIER AND</w:t>
      </w:r>
      <w:r>
        <w:t xml:space="preserve">. 5–7. </w:t>
      </w:r>
    </w:p>
    <w:p w14:paraId="7D286B5F" w14:textId="77777777" w:rsidR="00437BC3" w:rsidRDefault="008A797D">
      <w:pPr>
        <w:spacing w:after="7" w:line="249" w:lineRule="auto"/>
        <w:ind w:left="1238" w:right="440" w:hanging="480"/>
      </w:pPr>
      <w:r>
        <w:t xml:space="preserve">Symes, M., &amp; Ebert, M. (2010). </w:t>
      </w:r>
      <w:r>
        <w:rPr>
          <w:i/>
        </w:rPr>
        <w:t xml:space="preserve">Crossrail – </w:t>
      </w:r>
      <w:r>
        <w:rPr>
          <w:i/>
        </w:rPr>
        <w:t>Review of Risks for the London Assembly Lessons learned from other relevant programmes and projects</w:t>
      </w:r>
      <w:r>
        <w:t xml:space="preserve">. (February). </w:t>
      </w:r>
    </w:p>
    <w:p w14:paraId="12AC2455" w14:textId="77777777" w:rsidR="00437BC3" w:rsidRDefault="008A797D">
      <w:pPr>
        <w:spacing w:after="7" w:line="249" w:lineRule="auto"/>
        <w:ind w:left="1238" w:right="440" w:hanging="480"/>
      </w:pPr>
      <w:r>
        <w:t xml:space="preserve">The, D., Leadership, C., Our, T., &amp; Chain, S. (n.d.). </w:t>
      </w:r>
      <w:r>
        <w:rPr>
          <w:i/>
        </w:rPr>
        <w:t>HEALTH AND SAFETY CAMPAIGNS AND INITIATIVES DRIVING THE CROSSRAIL LEADERSHIP PROGRAMME</w:t>
      </w:r>
      <w:r>
        <w:t xml:space="preserve">. </w:t>
      </w:r>
    </w:p>
    <w:p w14:paraId="70FA9E6D" w14:textId="77777777" w:rsidR="00437BC3" w:rsidRDefault="008A797D">
      <w:pPr>
        <w:spacing w:after="7" w:line="249" w:lineRule="auto"/>
        <w:ind w:left="1238" w:right="440" w:hanging="480"/>
      </w:pPr>
      <w:r>
        <w:t xml:space="preserve">To, E., Oak, R., &amp; Before, P. (2014). </w:t>
      </w:r>
      <w:r>
        <w:rPr>
          <w:i/>
        </w:rPr>
        <w:t># EXPLORECROSSRAIL - BEFORE AND AFTER CROSSRAIL TUNNELLING - BEFORE</w:t>
      </w:r>
      <w:r>
        <w:t xml:space="preserve">. (January). </w:t>
      </w:r>
    </w:p>
    <w:p w14:paraId="599CBBB9" w14:textId="77777777" w:rsidR="00437BC3" w:rsidRDefault="008A797D">
      <w:pPr>
        <w:spacing w:line="259" w:lineRule="auto"/>
        <w:ind w:left="768" w:right="444"/>
      </w:pPr>
      <w:r>
        <w:t xml:space="preserve">To, W., Safety, E., &amp; Our, A. (n.d.). </w:t>
      </w:r>
      <w:r>
        <w:rPr>
          <w:i/>
        </w:rPr>
        <w:t>WORKING TO ENHANCE SAFETY ACROSS OUR</w:t>
      </w:r>
      <w:r>
        <w:t xml:space="preserve">. </w:t>
      </w:r>
    </w:p>
    <w:p w14:paraId="6CDA996C" w14:textId="77777777" w:rsidR="00437BC3" w:rsidRDefault="008A797D">
      <w:pPr>
        <w:spacing w:line="259" w:lineRule="auto"/>
        <w:ind w:left="768" w:right="444"/>
      </w:pPr>
      <w:r>
        <w:t xml:space="preserve">Transport, B., Sunday, F., &amp; Transport, D. (2020). </w:t>
      </w:r>
      <w:r>
        <w:rPr>
          <w:i/>
        </w:rPr>
        <w:t>TFL RAIL</w:t>
      </w:r>
      <w:r>
        <w:rPr>
          <w:i/>
        </w:rPr>
        <w:t xml:space="preserve"> TO OPERATE SERVICES TO</w:t>
      </w:r>
      <w:r>
        <w:t xml:space="preserve">. (January). </w:t>
      </w:r>
    </w:p>
    <w:p w14:paraId="193CAFAF" w14:textId="77777777" w:rsidR="00437BC3" w:rsidRDefault="008A797D">
      <w:pPr>
        <w:spacing w:line="238" w:lineRule="auto"/>
        <w:ind w:left="1238" w:right="444" w:hanging="480"/>
      </w:pPr>
      <w:r>
        <w:t xml:space="preserve">Transport for London. (2016). Elizabeth line. </w:t>
      </w:r>
      <w:r>
        <w:rPr>
          <w:i/>
        </w:rPr>
        <w:t>Transport for London</w:t>
      </w:r>
      <w:r>
        <w:t xml:space="preserve">, 1–2. Retrieved from https://tfl.gov.uk/travel-information/improvements-and-projects/elizabeth-line </w:t>
      </w:r>
    </w:p>
    <w:p w14:paraId="482C9255" w14:textId="77777777" w:rsidR="00437BC3" w:rsidRDefault="008A797D">
      <w:pPr>
        <w:spacing w:line="259" w:lineRule="auto"/>
        <w:ind w:left="768" w:right="444"/>
      </w:pPr>
      <w:r>
        <w:t xml:space="preserve">Transport for London. (2019). </w:t>
      </w:r>
      <w:r>
        <w:rPr>
          <w:i/>
        </w:rPr>
        <w:t>TfL Business Plan 201</w:t>
      </w:r>
      <w:r>
        <w:rPr>
          <w:i/>
        </w:rPr>
        <w:t>9-20 to 2023-24</w:t>
      </w:r>
      <w:r>
        <w:t xml:space="preserve">. Retrieved from </w:t>
      </w:r>
    </w:p>
    <w:p w14:paraId="70F6A4D6" w14:textId="18C561DF" w:rsidR="00437BC3" w:rsidRDefault="008A797D">
      <w:pPr>
        <w:spacing w:line="239" w:lineRule="auto"/>
        <w:ind w:left="758" w:right="4243" w:firstLine="480"/>
      </w:pPr>
      <w:r>
        <w:t xml:space="preserve">http://content.tfl.gov.uk/tfl-business-plan-2019-24.pdf </w:t>
      </w:r>
      <w:r w:rsidR="00C46EB5">
        <w:t>WA</w:t>
      </w:r>
      <w:r>
        <w:t xml:space="preserve">, I. D. E. (2007). </w:t>
      </w:r>
      <w:r>
        <w:rPr>
          <w:i/>
        </w:rPr>
        <w:t>MOOC m L</w:t>
      </w:r>
      <w:r>
        <w:rPr>
          <w:i/>
        </w:rPr>
        <w:t>e</w:t>
      </w:r>
      <w:r>
        <w:rPr>
          <w:i/>
        </w:rPr>
        <w:t>a</w:t>
      </w:r>
      <w:r>
        <w:rPr>
          <w:i/>
        </w:rPr>
        <w:t>rn</w:t>
      </w:r>
      <w:r>
        <w:rPr>
          <w:i/>
        </w:rPr>
        <w:t>i</w:t>
      </w:r>
      <w:r w:rsidR="00C46EB5">
        <w:rPr>
          <w:i/>
        </w:rPr>
        <w:t>n</w:t>
      </w:r>
      <w:r>
        <w:rPr>
          <w:i/>
        </w:rPr>
        <w:t>g</w:t>
      </w:r>
      <w:r>
        <w:t xml:space="preserve">. 23–29. </w:t>
      </w:r>
    </w:p>
    <w:p w14:paraId="411E9D67" w14:textId="77777777" w:rsidR="00437BC3" w:rsidRDefault="008A797D">
      <w:pPr>
        <w:spacing w:after="7" w:line="249" w:lineRule="auto"/>
        <w:ind w:left="768" w:right="440"/>
      </w:pPr>
      <w:r>
        <w:t xml:space="preserve">Work, S. O. F. (2019). </w:t>
      </w:r>
      <w:r>
        <w:rPr>
          <w:i/>
        </w:rPr>
        <w:t>Working with Crossrail to deliver the Elizabeth line</w:t>
      </w:r>
      <w:r>
        <w:t xml:space="preserve">. 1–8. </w:t>
      </w:r>
    </w:p>
    <w:p w14:paraId="4E895567" w14:textId="3101DAC4" w:rsidR="00437BC3" w:rsidRDefault="008A797D">
      <w:pPr>
        <w:spacing w:after="7" w:line="249" w:lineRule="auto"/>
        <w:ind w:left="768" w:right="440"/>
      </w:pPr>
      <w:r>
        <w:rPr>
          <w:i/>
        </w:rPr>
        <w:t xml:space="preserve">HEALTH &amp; SAFETY </w:t>
      </w:r>
      <w:r w:rsidR="00C46EB5">
        <w:rPr>
          <w:i/>
        </w:rPr>
        <w:t>ALERT:</w:t>
      </w:r>
      <w:r>
        <w:rPr>
          <w:i/>
        </w:rPr>
        <w:t xml:space="preserve"> Housekeeping and Storage of</w:t>
      </w:r>
      <w:r>
        <w:t xml:space="preserve">. (n.d.). 25. </w:t>
      </w:r>
    </w:p>
    <w:p w14:paraId="059E3A38" w14:textId="3BE55ACF" w:rsidR="00437BC3" w:rsidRDefault="008A797D">
      <w:pPr>
        <w:spacing w:after="262" w:line="249" w:lineRule="auto"/>
        <w:ind w:left="768" w:right="440"/>
      </w:pPr>
      <w:r>
        <w:rPr>
          <w:i/>
        </w:rPr>
        <w:t xml:space="preserve">HEALTH &amp; SAFETY </w:t>
      </w:r>
      <w:r w:rsidR="00C46EB5">
        <w:rPr>
          <w:i/>
        </w:rPr>
        <w:t>ALERT:</w:t>
      </w:r>
      <w:r>
        <w:rPr>
          <w:i/>
        </w:rPr>
        <w:t xml:space="preserve"> Precautions relating to buried services</w:t>
      </w:r>
      <w:r>
        <w:t xml:space="preserve">. (n.d.). 19. </w:t>
      </w:r>
    </w:p>
    <w:p w14:paraId="222C3C1B" w14:textId="77777777" w:rsidR="00437BC3" w:rsidRDefault="008A797D">
      <w:pPr>
        <w:spacing w:after="252" w:line="259" w:lineRule="auto"/>
        <w:ind w:left="773" w:firstLine="0"/>
        <w:jc w:val="left"/>
      </w:pPr>
      <w:r>
        <w:t xml:space="preserve"> </w:t>
      </w:r>
    </w:p>
    <w:p w14:paraId="160A8F69" w14:textId="77777777" w:rsidR="00437BC3" w:rsidRDefault="008A797D">
      <w:pPr>
        <w:spacing w:after="252" w:line="259" w:lineRule="auto"/>
        <w:ind w:left="773" w:firstLine="0"/>
        <w:jc w:val="left"/>
      </w:pPr>
      <w:r>
        <w:t xml:space="preserve"> </w:t>
      </w:r>
    </w:p>
    <w:p w14:paraId="2E2C5A14" w14:textId="77777777" w:rsidR="00437BC3" w:rsidRDefault="008A797D">
      <w:pPr>
        <w:spacing w:after="0" w:line="259" w:lineRule="auto"/>
        <w:ind w:left="773" w:firstLine="0"/>
        <w:jc w:val="left"/>
      </w:pPr>
      <w:r>
        <w:t xml:space="preserve"> </w:t>
      </w:r>
    </w:p>
    <w:sectPr w:rsidR="00437BC3" w:rsidSect="00005ECB">
      <w:headerReference w:type="even" r:id="rId14"/>
      <w:headerReference w:type="default" r:id="rId15"/>
      <w:footerReference w:type="even" r:id="rId16"/>
      <w:footerReference w:type="default" r:id="rId17"/>
      <w:headerReference w:type="first" r:id="rId18"/>
      <w:footerReference w:type="first" r:id="rId19"/>
      <w:pgSz w:w="12240" w:h="15840"/>
      <w:pgMar w:top="725" w:right="724" w:bottom="568" w:left="367"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C743B0" w14:textId="77777777" w:rsidR="00000000" w:rsidRDefault="008A797D">
      <w:pPr>
        <w:spacing w:after="0" w:line="240" w:lineRule="auto"/>
      </w:pPr>
      <w:r>
        <w:separator/>
      </w:r>
    </w:p>
  </w:endnote>
  <w:endnote w:type="continuationSeparator" w:id="0">
    <w:p w14:paraId="5104C866" w14:textId="77777777" w:rsidR="00000000" w:rsidRDefault="008A79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F206A3" w14:textId="77777777" w:rsidR="00437BC3" w:rsidRDefault="008A797D">
    <w:pPr>
      <w:spacing w:after="0" w:line="259" w:lineRule="auto"/>
      <w:ind w:left="773" w:firstLine="0"/>
      <w:jc w:val="left"/>
    </w:pPr>
    <w:r>
      <w:rPr>
        <w:i/>
        <w:sz w:val="18"/>
      </w:rPr>
      <w:t>BCM-58100-00</w:t>
    </w:r>
    <w:r>
      <w:rPr>
        <w:i/>
        <w:sz w:val="18"/>
      </w:rPr>
      <w:t xml:space="preserve">2 GLOBAL CONSTRUCTION OPERATIONS          </w:t>
    </w:r>
    <w:r>
      <w:fldChar w:fldCharType="begin"/>
    </w:r>
    <w:r>
      <w:instrText xml:space="preserve"> PAGE   \* MERGEFORMAT </w:instrText>
    </w:r>
    <w:r>
      <w:fldChar w:fldCharType="separate"/>
    </w:r>
    <w:r>
      <w:rPr>
        <w:i/>
        <w:sz w:val="18"/>
      </w:rPr>
      <w:t>2</w:t>
    </w:r>
    <w:r>
      <w:rPr>
        <w:i/>
        <w:sz w:val="18"/>
      </w:rPr>
      <w:fldChar w:fldCharType="end"/>
    </w:r>
    <w:r>
      <w:rPr>
        <w:i/>
        <w:sz w:val="18"/>
      </w:rPr>
      <w:t xml:space="preserve">                                                           FALL 2019                </w:t>
    </w:r>
  </w:p>
  <w:p w14:paraId="3DF59F9D" w14:textId="77777777" w:rsidR="00437BC3" w:rsidRDefault="008A797D">
    <w:pPr>
      <w:spacing w:after="15" w:line="259" w:lineRule="auto"/>
      <w:ind w:left="773" w:right="-705" w:firstLine="0"/>
    </w:pPr>
    <w:r>
      <w:rPr>
        <w:i/>
        <w:sz w:val="18"/>
      </w:rPr>
      <w:t xml:space="preserve"> </w:t>
    </w:r>
    <w:r>
      <w:rPr>
        <w:i/>
        <w:sz w:val="18"/>
      </w:rPr>
      <w:tab/>
      <w:t xml:space="preserve"> </w:t>
    </w:r>
    <w:r>
      <w:rPr>
        <w:i/>
        <w:sz w:val="18"/>
      </w:rPr>
      <w:tab/>
      <w:t xml:space="preserve">                            </w:t>
    </w:r>
    <w:r>
      <w:rPr>
        <w:i/>
        <w:sz w:val="4"/>
      </w:rPr>
      <w:t xml:space="preserve"> </w:t>
    </w:r>
  </w:p>
  <w:p w14:paraId="12F92261" w14:textId="77777777" w:rsidR="00437BC3" w:rsidRDefault="008A797D">
    <w:pPr>
      <w:spacing w:after="0" w:line="259" w:lineRule="auto"/>
      <w:ind w:left="773" w:firstLine="0"/>
      <w:jc w:val="left"/>
    </w:pPr>
    <w:r>
      <w:rPr>
        <w: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0506048"/>
      <w:docPartObj>
        <w:docPartGallery w:val="Page Numbers (Bottom of Page)"/>
        <w:docPartUnique/>
      </w:docPartObj>
    </w:sdtPr>
    <w:sdtEndPr>
      <w:rPr>
        <w:noProof/>
      </w:rPr>
    </w:sdtEndPr>
    <w:sdtContent>
      <w:p w14:paraId="65E58029" w14:textId="19C7620A" w:rsidR="00005ECB" w:rsidRDefault="00005E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9BC510" w14:textId="5D4DD27C" w:rsidR="00437BC3" w:rsidRDefault="00437BC3">
    <w:pPr>
      <w:spacing w:after="0" w:line="259" w:lineRule="auto"/>
      <w:ind w:left="773"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096312" w14:textId="77777777" w:rsidR="00437BC3" w:rsidRDefault="00437BC3">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99E35" w14:textId="77777777" w:rsidR="00000000" w:rsidRDefault="008A797D">
      <w:pPr>
        <w:spacing w:after="0" w:line="240" w:lineRule="auto"/>
      </w:pPr>
      <w:r>
        <w:separator/>
      </w:r>
    </w:p>
  </w:footnote>
  <w:footnote w:type="continuationSeparator" w:id="0">
    <w:p w14:paraId="37357FED" w14:textId="77777777" w:rsidR="00000000" w:rsidRDefault="008A79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0772" w14:textId="77777777" w:rsidR="00437BC3" w:rsidRDefault="008A797D">
    <w:pPr>
      <w:tabs>
        <w:tab w:val="center" w:pos="1493"/>
        <w:tab w:val="center" w:pos="5454"/>
      </w:tabs>
      <w:spacing w:after="0" w:line="259" w:lineRule="auto"/>
      <w:ind w:left="0" w:firstLine="0"/>
      <w:jc w:val="left"/>
    </w:pPr>
    <w:r>
      <w:rPr>
        <w:rFonts w:ascii="Calibri" w:eastAsia="Calibri" w:hAnsi="Calibri" w:cs="Calibri"/>
        <w:sz w:val="22"/>
      </w:rPr>
      <w:tab/>
    </w:r>
    <w:r>
      <w:rPr>
        <w:i/>
      </w:rPr>
      <w:t xml:space="preserve"> </w:t>
    </w:r>
    <w:r>
      <w:rPr>
        <w:i/>
      </w:rPr>
      <w:tab/>
      <w:t xml:space="preserve">LONDON CROSSRAIL PROJECT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AC0EB146E9AE4DC2913BFB03B1678A69"/>
      </w:placeholder>
      <w:temporary/>
      <w:showingPlcHdr/>
      <w15:appearance w15:val="hidden"/>
    </w:sdtPr>
    <w:sdtContent>
      <w:p w14:paraId="7F9123A9" w14:textId="77777777" w:rsidR="00005ECB" w:rsidRDefault="00005ECB">
        <w:pPr>
          <w:pStyle w:val="Header"/>
        </w:pPr>
        <w:r>
          <w:t>[Type here]</w:t>
        </w:r>
      </w:p>
    </w:sdtContent>
  </w:sdt>
  <w:p w14:paraId="2724D618" w14:textId="79A66582" w:rsidR="00437BC3" w:rsidRDefault="00437BC3">
    <w:pPr>
      <w:tabs>
        <w:tab w:val="center" w:pos="1493"/>
        <w:tab w:val="center" w:pos="5454"/>
      </w:tabs>
      <w:spacing w:after="0" w:line="259" w:lineRule="auto"/>
      <w:ind w:left="0" w:firstLine="0"/>
      <w:jc w:val="lef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5AD63B" w14:textId="77777777" w:rsidR="00437BC3" w:rsidRDefault="00437BC3">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85D28"/>
    <w:multiLevelType w:val="hybridMultilevel"/>
    <w:tmpl w:val="1DEAF6B8"/>
    <w:lvl w:ilvl="0" w:tplc="8BA020B2">
      <w:start w:val="1"/>
      <w:numFmt w:val="decimal"/>
      <w:lvlText w:val="%1."/>
      <w:lvlJc w:val="left"/>
      <w:pPr>
        <w:ind w:left="149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BEEC0584">
      <w:start w:val="1"/>
      <w:numFmt w:val="lowerLetter"/>
      <w:lvlText w:val="%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DAAED7F8">
      <w:start w:val="1"/>
      <w:numFmt w:val="lowerRoman"/>
      <w:lvlText w:val="%3"/>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D14CF6D0">
      <w:start w:val="1"/>
      <w:numFmt w:val="decimal"/>
      <w:lvlText w:val="%4"/>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17A6C402">
      <w:start w:val="1"/>
      <w:numFmt w:val="lowerLetter"/>
      <w:lvlText w:val="%5"/>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01463618">
      <w:start w:val="1"/>
      <w:numFmt w:val="lowerRoman"/>
      <w:lvlText w:val="%6"/>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B0982712">
      <w:start w:val="1"/>
      <w:numFmt w:val="decimal"/>
      <w:lvlText w:val="%7"/>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24D8F3D4">
      <w:start w:val="1"/>
      <w:numFmt w:val="lowerLetter"/>
      <w:lvlText w:val="%8"/>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ADC268CE">
      <w:start w:val="1"/>
      <w:numFmt w:val="lowerRoman"/>
      <w:lvlText w:val="%9"/>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DCF76EA"/>
    <w:multiLevelType w:val="hybridMultilevel"/>
    <w:tmpl w:val="6C50B5C4"/>
    <w:lvl w:ilvl="0" w:tplc="C0DC5920">
      <w:start w:val="1"/>
      <w:numFmt w:val="lowerLetter"/>
      <w:lvlText w:val="%1."/>
      <w:lvlJc w:val="left"/>
      <w:pPr>
        <w:ind w:left="2213"/>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tplc="A1C8F8D2">
      <w:start w:val="1"/>
      <w:numFmt w:val="lowerLetter"/>
      <w:lvlText w:val="%2"/>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4274E6F2">
      <w:start w:val="1"/>
      <w:numFmt w:val="lowerRoman"/>
      <w:lvlText w:val="%3"/>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56D4670A">
      <w:start w:val="1"/>
      <w:numFmt w:val="decimal"/>
      <w:lvlText w:val="%4"/>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896A45C0">
      <w:start w:val="1"/>
      <w:numFmt w:val="lowerLetter"/>
      <w:lvlText w:val="%5"/>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48FC6DCA">
      <w:start w:val="1"/>
      <w:numFmt w:val="lowerRoman"/>
      <w:lvlText w:val="%6"/>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51047250">
      <w:start w:val="1"/>
      <w:numFmt w:val="decimal"/>
      <w:lvlText w:val="%7"/>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EB2A2FB6">
      <w:start w:val="1"/>
      <w:numFmt w:val="lowerLetter"/>
      <w:lvlText w:val="%8"/>
      <w:lvlJc w:val="left"/>
      <w:pPr>
        <w:ind w:left="61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D19C050E">
      <w:start w:val="1"/>
      <w:numFmt w:val="lowerRoman"/>
      <w:lvlText w:val="%9"/>
      <w:lvlJc w:val="left"/>
      <w:pPr>
        <w:ind w:left="68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13380B6E"/>
    <w:multiLevelType w:val="hybridMultilevel"/>
    <w:tmpl w:val="41304F58"/>
    <w:lvl w:ilvl="0" w:tplc="5908E5CE">
      <w:start w:val="1"/>
      <w:numFmt w:val="bullet"/>
      <w:lvlText w:val="•"/>
      <w:lvlJc w:val="left"/>
      <w:pPr>
        <w:ind w:left="149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EF2256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229C21D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0AB0584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88B2F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414A018E">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9E85192">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0747976">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22EC413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262061E6"/>
    <w:multiLevelType w:val="hybridMultilevel"/>
    <w:tmpl w:val="201E9760"/>
    <w:lvl w:ilvl="0" w:tplc="B308B424">
      <w:start w:val="1"/>
      <w:numFmt w:val="decimal"/>
      <w:lvlText w:val="%1."/>
      <w:lvlJc w:val="left"/>
      <w:pPr>
        <w:ind w:left="149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47D2CBBE">
      <w:start w:val="1"/>
      <w:numFmt w:val="lowerLetter"/>
      <w:lvlText w:val="%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E7648A3A">
      <w:start w:val="1"/>
      <w:numFmt w:val="lowerRoman"/>
      <w:lvlText w:val="%3"/>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60B67D72">
      <w:start w:val="1"/>
      <w:numFmt w:val="decimal"/>
      <w:lvlText w:val="%4"/>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E19CA57E">
      <w:start w:val="1"/>
      <w:numFmt w:val="lowerLetter"/>
      <w:lvlText w:val="%5"/>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820C7DBE">
      <w:start w:val="1"/>
      <w:numFmt w:val="lowerRoman"/>
      <w:lvlText w:val="%6"/>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61882E3C">
      <w:start w:val="1"/>
      <w:numFmt w:val="decimal"/>
      <w:lvlText w:val="%7"/>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2E5CD38E">
      <w:start w:val="1"/>
      <w:numFmt w:val="lowerLetter"/>
      <w:lvlText w:val="%8"/>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9AD8EE6C">
      <w:start w:val="1"/>
      <w:numFmt w:val="lowerRoman"/>
      <w:lvlText w:val="%9"/>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33A16D91"/>
    <w:multiLevelType w:val="hybridMultilevel"/>
    <w:tmpl w:val="4C62AA48"/>
    <w:lvl w:ilvl="0" w:tplc="1BD2B91A">
      <w:start w:val="1"/>
      <w:numFmt w:val="lowerLetter"/>
      <w:lvlText w:val="%1."/>
      <w:lvlJc w:val="left"/>
      <w:pPr>
        <w:ind w:left="2213"/>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tplc="A3BA8318">
      <w:start w:val="1"/>
      <w:numFmt w:val="lowerLetter"/>
      <w:lvlText w:val="%2"/>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B98CAE86">
      <w:start w:val="1"/>
      <w:numFmt w:val="lowerRoman"/>
      <w:lvlText w:val="%3"/>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FC92F26E">
      <w:start w:val="1"/>
      <w:numFmt w:val="decimal"/>
      <w:lvlText w:val="%4"/>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00701056">
      <w:start w:val="1"/>
      <w:numFmt w:val="lowerLetter"/>
      <w:lvlText w:val="%5"/>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F35A840C">
      <w:start w:val="1"/>
      <w:numFmt w:val="lowerRoman"/>
      <w:lvlText w:val="%6"/>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514AF34E">
      <w:start w:val="1"/>
      <w:numFmt w:val="decimal"/>
      <w:lvlText w:val="%7"/>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AC26D7B8">
      <w:start w:val="1"/>
      <w:numFmt w:val="lowerLetter"/>
      <w:lvlText w:val="%8"/>
      <w:lvlJc w:val="left"/>
      <w:pPr>
        <w:ind w:left="61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5DE8FA34">
      <w:start w:val="1"/>
      <w:numFmt w:val="lowerRoman"/>
      <w:lvlText w:val="%9"/>
      <w:lvlJc w:val="left"/>
      <w:pPr>
        <w:ind w:left="68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3E01692E"/>
    <w:multiLevelType w:val="hybridMultilevel"/>
    <w:tmpl w:val="AAB2D86C"/>
    <w:lvl w:ilvl="0" w:tplc="2214A542">
      <w:start w:val="1"/>
      <w:numFmt w:val="lowerLetter"/>
      <w:lvlText w:val="%1."/>
      <w:lvlJc w:val="left"/>
      <w:pPr>
        <w:ind w:left="2213"/>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tplc="6824C568">
      <w:start w:val="1"/>
      <w:numFmt w:val="lowerLetter"/>
      <w:lvlText w:val="%2"/>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A7722FC6">
      <w:start w:val="1"/>
      <w:numFmt w:val="lowerRoman"/>
      <w:lvlText w:val="%3"/>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32706EBC">
      <w:start w:val="1"/>
      <w:numFmt w:val="decimal"/>
      <w:lvlText w:val="%4"/>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98EC44AE">
      <w:start w:val="1"/>
      <w:numFmt w:val="lowerLetter"/>
      <w:lvlText w:val="%5"/>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38B2675E">
      <w:start w:val="1"/>
      <w:numFmt w:val="lowerRoman"/>
      <w:lvlText w:val="%6"/>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FFACEE52">
      <w:start w:val="1"/>
      <w:numFmt w:val="decimal"/>
      <w:lvlText w:val="%7"/>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55061B60">
      <w:start w:val="1"/>
      <w:numFmt w:val="lowerLetter"/>
      <w:lvlText w:val="%8"/>
      <w:lvlJc w:val="left"/>
      <w:pPr>
        <w:ind w:left="61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8DA8D43A">
      <w:start w:val="1"/>
      <w:numFmt w:val="lowerRoman"/>
      <w:lvlText w:val="%9"/>
      <w:lvlJc w:val="left"/>
      <w:pPr>
        <w:ind w:left="68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4BD3332C"/>
    <w:multiLevelType w:val="hybridMultilevel"/>
    <w:tmpl w:val="D966D19E"/>
    <w:lvl w:ilvl="0" w:tplc="30E058F2">
      <w:start w:val="1"/>
      <w:numFmt w:val="decimal"/>
      <w:lvlText w:val="%1."/>
      <w:lvlJc w:val="left"/>
      <w:pPr>
        <w:ind w:left="150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D080508A">
      <w:start w:val="1"/>
      <w:numFmt w:val="lowerLetter"/>
      <w:lvlText w:val="%2"/>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0FA691B6">
      <w:start w:val="1"/>
      <w:numFmt w:val="lowerRoman"/>
      <w:lvlText w:val="%3"/>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5BBA7A7C">
      <w:start w:val="1"/>
      <w:numFmt w:val="decimal"/>
      <w:lvlText w:val="%4"/>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4CEC4932">
      <w:start w:val="1"/>
      <w:numFmt w:val="lowerLetter"/>
      <w:lvlText w:val="%5"/>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7904E8D4">
      <w:start w:val="1"/>
      <w:numFmt w:val="lowerRoman"/>
      <w:lvlText w:val="%6"/>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C39CE4C2">
      <w:start w:val="1"/>
      <w:numFmt w:val="decimal"/>
      <w:lvlText w:val="%7"/>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7BD29BA6">
      <w:start w:val="1"/>
      <w:numFmt w:val="lowerLetter"/>
      <w:lvlText w:val="%8"/>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D6D09ACA">
      <w:start w:val="1"/>
      <w:numFmt w:val="lowerRoman"/>
      <w:lvlText w:val="%9"/>
      <w:lvlJc w:val="left"/>
      <w:pPr>
        <w:ind w:left="68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52640900"/>
    <w:multiLevelType w:val="hybridMultilevel"/>
    <w:tmpl w:val="E9B0B08C"/>
    <w:lvl w:ilvl="0" w:tplc="8092EEB4">
      <w:start w:val="1"/>
      <w:numFmt w:val="bullet"/>
      <w:lvlText w:val="•"/>
      <w:lvlJc w:val="left"/>
      <w:pPr>
        <w:ind w:left="149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1D8DC06">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6AC0D2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03459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F4A483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8ECEF5F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7E4901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DE8D55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373C7FF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53843F80"/>
    <w:multiLevelType w:val="hybridMultilevel"/>
    <w:tmpl w:val="9848AFFC"/>
    <w:lvl w:ilvl="0" w:tplc="C9AA0094">
      <w:start w:val="1"/>
      <w:numFmt w:val="bullet"/>
      <w:lvlText w:val="•"/>
      <w:lvlJc w:val="left"/>
      <w:pPr>
        <w:ind w:left="149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4A89D8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B5562F50">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95705B9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D1856C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A02970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A1CE11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FE63CF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FE0FCB6">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5CCA7FA4"/>
    <w:multiLevelType w:val="hybridMultilevel"/>
    <w:tmpl w:val="15885C88"/>
    <w:lvl w:ilvl="0" w:tplc="407658EC">
      <w:start w:val="1"/>
      <w:numFmt w:val="bullet"/>
      <w:lvlText w:val="•"/>
      <w:lvlJc w:val="left"/>
      <w:pPr>
        <w:ind w:left="111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D524734">
      <w:start w:val="1"/>
      <w:numFmt w:val="bullet"/>
      <w:lvlText w:val="o"/>
      <w:lvlJc w:val="left"/>
      <w:pPr>
        <w:ind w:left="10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39A3AA0">
      <w:start w:val="1"/>
      <w:numFmt w:val="bullet"/>
      <w:lvlText w:val="▪"/>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92B81E44">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F10CC64">
      <w:start w:val="1"/>
      <w:numFmt w:val="bullet"/>
      <w:lvlText w:val="o"/>
      <w:lvlJc w:val="left"/>
      <w:pPr>
        <w:ind w:left="32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FF6C094">
      <w:start w:val="1"/>
      <w:numFmt w:val="bullet"/>
      <w:lvlText w:val="▪"/>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82E2817E">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3D0FFD6">
      <w:start w:val="1"/>
      <w:numFmt w:val="bullet"/>
      <w:lvlText w:val="o"/>
      <w:lvlJc w:val="left"/>
      <w:pPr>
        <w:ind w:left="54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88C8ECE">
      <w:start w:val="1"/>
      <w:numFmt w:val="bullet"/>
      <w:lvlText w:val="▪"/>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5FCD15ED"/>
    <w:multiLevelType w:val="multilevel"/>
    <w:tmpl w:val="C92C1D62"/>
    <w:lvl w:ilvl="0">
      <w:start w:val="3"/>
      <w:numFmt w:val="decimal"/>
      <w:lvlText w:val="%1"/>
      <w:lvlJc w:val="left"/>
      <w:pPr>
        <w:ind w:left="360"/>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1">
      <w:start w:val="2"/>
      <w:numFmt w:val="decimal"/>
      <w:lvlRestart w:val="0"/>
      <w:lvlText w:val="%1.%2"/>
      <w:lvlJc w:val="left"/>
      <w:pPr>
        <w:ind w:left="1334"/>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272"/>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992"/>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712"/>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432"/>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152"/>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872"/>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592"/>
      </w:pPr>
      <w:rPr>
        <w:rFonts w:ascii="Times New Roman" w:eastAsia="Times New Roman" w:hAnsi="Times New Roman" w:cs="Times New Roman"/>
        <w:b/>
        <w:bCs/>
        <w:i/>
        <w:iCs/>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74D55261"/>
    <w:multiLevelType w:val="hybridMultilevel"/>
    <w:tmpl w:val="4EB85BA8"/>
    <w:lvl w:ilvl="0" w:tplc="95148F4C">
      <w:start w:val="1"/>
      <w:numFmt w:val="decimal"/>
      <w:lvlText w:val="%1."/>
      <w:lvlJc w:val="left"/>
      <w:pPr>
        <w:ind w:left="149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C2CCB0EC">
      <w:start w:val="1"/>
      <w:numFmt w:val="lowerLetter"/>
      <w:lvlText w:val="%2."/>
      <w:lvlJc w:val="left"/>
      <w:pPr>
        <w:ind w:left="221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FB4093A0">
      <w:start w:val="1"/>
      <w:numFmt w:val="lowerRoman"/>
      <w:lvlText w:val="%3"/>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C6E6E5EC">
      <w:start w:val="1"/>
      <w:numFmt w:val="decimal"/>
      <w:lvlText w:val="%4"/>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0B529908">
      <w:start w:val="1"/>
      <w:numFmt w:val="lowerLetter"/>
      <w:lvlText w:val="%5"/>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3EDAC52C">
      <w:start w:val="1"/>
      <w:numFmt w:val="lowerRoman"/>
      <w:lvlText w:val="%6"/>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DAF8F354">
      <w:start w:val="1"/>
      <w:numFmt w:val="decimal"/>
      <w:lvlText w:val="%7"/>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A8D43956">
      <w:start w:val="1"/>
      <w:numFmt w:val="lowerLetter"/>
      <w:lvlText w:val="%8"/>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103C2830">
      <w:start w:val="1"/>
      <w:numFmt w:val="lowerRoman"/>
      <w:lvlText w:val="%9"/>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2" w15:restartNumberingAfterBreak="0">
    <w:nsid w:val="7CA17F61"/>
    <w:multiLevelType w:val="hybridMultilevel"/>
    <w:tmpl w:val="E12866C8"/>
    <w:lvl w:ilvl="0" w:tplc="996065F8">
      <w:start w:val="1"/>
      <w:numFmt w:val="decimal"/>
      <w:lvlText w:val="%1."/>
      <w:lvlJc w:val="left"/>
      <w:pPr>
        <w:ind w:left="7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4544B9A0">
      <w:start w:val="1"/>
      <w:numFmt w:val="decimal"/>
      <w:lvlText w:val="%2."/>
      <w:lvlJc w:val="left"/>
      <w:pPr>
        <w:ind w:left="1493"/>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BB66E432">
      <w:start w:val="1"/>
      <w:numFmt w:val="lowerRoman"/>
      <w:lvlText w:val="%3"/>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0CEAD816">
      <w:start w:val="1"/>
      <w:numFmt w:val="decimal"/>
      <w:lvlText w:val="%4"/>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4692B866">
      <w:start w:val="1"/>
      <w:numFmt w:val="lowerLetter"/>
      <w:lvlText w:val="%5"/>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A8FA02F0">
      <w:start w:val="1"/>
      <w:numFmt w:val="lowerRoman"/>
      <w:lvlText w:val="%6"/>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17EAED44">
      <w:start w:val="1"/>
      <w:numFmt w:val="decimal"/>
      <w:lvlText w:val="%7"/>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DC08C8B2">
      <w:start w:val="1"/>
      <w:numFmt w:val="lowerLetter"/>
      <w:lvlText w:val="%8"/>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03762AB8">
      <w:start w:val="1"/>
      <w:numFmt w:val="lowerRoman"/>
      <w:lvlText w:val="%9"/>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1913613280">
    <w:abstractNumId w:val="7"/>
  </w:num>
  <w:num w:numId="2" w16cid:durableId="1955359624">
    <w:abstractNumId w:val="8"/>
  </w:num>
  <w:num w:numId="3" w16cid:durableId="1564028918">
    <w:abstractNumId w:val="9"/>
  </w:num>
  <w:num w:numId="4" w16cid:durableId="164244847">
    <w:abstractNumId w:val="2"/>
  </w:num>
  <w:num w:numId="5" w16cid:durableId="1144467309">
    <w:abstractNumId w:val="6"/>
  </w:num>
  <w:num w:numId="6" w16cid:durableId="1997956074">
    <w:abstractNumId w:val="10"/>
  </w:num>
  <w:num w:numId="7" w16cid:durableId="279142318">
    <w:abstractNumId w:val="12"/>
  </w:num>
  <w:num w:numId="8" w16cid:durableId="942608386">
    <w:abstractNumId w:val="11"/>
  </w:num>
  <w:num w:numId="9" w16cid:durableId="1275332840">
    <w:abstractNumId w:val="3"/>
  </w:num>
  <w:num w:numId="10" w16cid:durableId="360480159">
    <w:abstractNumId w:val="0"/>
  </w:num>
  <w:num w:numId="11" w16cid:durableId="1554081610">
    <w:abstractNumId w:val="1"/>
  </w:num>
  <w:num w:numId="12" w16cid:durableId="273754982">
    <w:abstractNumId w:val="4"/>
  </w:num>
  <w:num w:numId="13" w16cid:durableId="6810076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7BC3"/>
    <w:rsid w:val="00005ECB"/>
    <w:rsid w:val="00042B68"/>
    <w:rsid w:val="0008481D"/>
    <w:rsid w:val="003A6F59"/>
    <w:rsid w:val="00437BC3"/>
    <w:rsid w:val="005A0889"/>
    <w:rsid w:val="006E59C5"/>
    <w:rsid w:val="008A797D"/>
    <w:rsid w:val="00926F19"/>
    <w:rsid w:val="009B56E4"/>
    <w:rsid w:val="00A917D2"/>
    <w:rsid w:val="00C46EB5"/>
    <w:rsid w:val="00FE1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AF68B"/>
  <w15:docId w15:val="{4F81E6CE-0065-40E2-A7B1-82DAB2188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483" w:lineRule="auto"/>
      <w:ind w:left="594"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0"/>
      <w:ind w:left="773"/>
      <w:outlineLvl w:val="0"/>
    </w:pPr>
    <w:rPr>
      <w:rFonts w:ascii="Calibri" w:eastAsia="Calibri" w:hAnsi="Calibri" w:cs="Calibri"/>
      <w:color w:val="000000"/>
      <w:sz w:val="56"/>
    </w:rPr>
  </w:style>
  <w:style w:type="paragraph" w:styleId="Heading2">
    <w:name w:val="heading 2"/>
    <w:next w:val="Normal"/>
    <w:link w:val="Heading2Char"/>
    <w:uiPriority w:val="9"/>
    <w:unhideWhenUsed/>
    <w:qFormat/>
    <w:pPr>
      <w:keepNext/>
      <w:keepLines/>
      <w:spacing w:after="322"/>
      <w:ind w:left="783" w:hanging="10"/>
      <w:outlineLvl w:val="1"/>
    </w:pPr>
    <w:rPr>
      <w:rFonts w:ascii="Times New Roman" w:eastAsia="Times New Roman" w:hAnsi="Times New Roman" w:cs="Times New Roman"/>
      <w:b/>
      <w:color w:val="000000"/>
      <w:sz w:val="26"/>
    </w:rPr>
  </w:style>
  <w:style w:type="paragraph" w:styleId="Heading3">
    <w:name w:val="heading 3"/>
    <w:next w:val="Normal"/>
    <w:link w:val="Heading3Char"/>
    <w:uiPriority w:val="9"/>
    <w:unhideWhenUsed/>
    <w:qFormat/>
    <w:pPr>
      <w:keepNext/>
      <w:keepLines/>
      <w:spacing w:after="307" w:line="265" w:lineRule="auto"/>
      <w:ind w:left="783" w:hanging="10"/>
      <w:outlineLvl w:val="2"/>
    </w:pPr>
    <w:rPr>
      <w:rFonts w:ascii="Times New Roman" w:eastAsia="Times New Roman" w:hAnsi="Times New Roman" w:cs="Times New Roman"/>
      <w:b/>
      <w:i/>
      <w:color w:val="000000"/>
      <w:sz w:val="24"/>
    </w:rPr>
  </w:style>
  <w:style w:type="paragraph" w:styleId="Heading4">
    <w:name w:val="heading 4"/>
    <w:next w:val="Normal"/>
    <w:link w:val="Heading4Char"/>
    <w:uiPriority w:val="9"/>
    <w:unhideWhenUsed/>
    <w:qFormat/>
    <w:pPr>
      <w:keepNext/>
      <w:keepLines/>
      <w:spacing w:after="258"/>
      <w:ind w:left="783" w:hanging="10"/>
      <w:outlineLvl w:val="3"/>
    </w:pPr>
    <w:rPr>
      <w:rFonts w:ascii="Times New Roman" w:eastAsia="Times New Roman" w:hAnsi="Times New Roman" w:cs="Times New Roman"/>
      <w:b/>
      <w:color w:val="000000"/>
      <w:sz w:val="24"/>
    </w:rPr>
  </w:style>
  <w:style w:type="paragraph" w:styleId="Heading5">
    <w:name w:val="heading 5"/>
    <w:next w:val="Normal"/>
    <w:link w:val="Heading5Char"/>
    <w:uiPriority w:val="9"/>
    <w:unhideWhenUsed/>
    <w:qFormat/>
    <w:pPr>
      <w:keepNext/>
      <w:keepLines/>
      <w:spacing w:after="258"/>
      <w:ind w:left="783" w:hanging="10"/>
      <w:outlineLvl w:val="4"/>
    </w:pPr>
    <w:rPr>
      <w:rFonts w:ascii="Times New Roman" w:eastAsia="Times New Roman" w:hAnsi="Times New Roman" w:cs="Times New Roman"/>
      <w:b/>
      <w:color w:val="000000"/>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link w:val="Heading4"/>
    <w:rPr>
      <w:rFonts w:ascii="Times New Roman" w:eastAsia="Times New Roman" w:hAnsi="Times New Roman" w:cs="Times New Roman"/>
      <w:b/>
      <w:color w:val="000000"/>
      <w:sz w:val="24"/>
    </w:rPr>
  </w:style>
  <w:style w:type="character" w:customStyle="1" w:styleId="Heading1Char">
    <w:name w:val="Heading 1 Char"/>
    <w:link w:val="Heading1"/>
    <w:rPr>
      <w:rFonts w:ascii="Calibri" w:eastAsia="Calibri" w:hAnsi="Calibri" w:cs="Calibri"/>
      <w:color w:val="000000"/>
      <w:sz w:val="56"/>
    </w:rPr>
  </w:style>
  <w:style w:type="character" w:customStyle="1" w:styleId="Heading2Char">
    <w:name w:val="Heading 2 Char"/>
    <w:link w:val="Heading2"/>
    <w:rPr>
      <w:rFonts w:ascii="Times New Roman" w:eastAsia="Times New Roman" w:hAnsi="Times New Roman" w:cs="Times New Roman"/>
      <w:b/>
      <w:color w:val="000000"/>
      <w:sz w:val="26"/>
    </w:rPr>
  </w:style>
  <w:style w:type="character" w:customStyle="1" w:styleId="Heading3Char">
    <w:name w:val="Heading 3 Char"/>
    <w:link w:val="Heading3"/>
    <w:rPr>
      <w:rFonts w:ascii="Times New Roman" w:eastAsia="Times New Roman" w:hAnsi="Times New Roman" w:cs="Times New Roman"/>
      <w:b/>
      <w:i/>
      <w:color w:val="000000"/>
      <w:sz w:val="24"/>
    </w:rPr>
  </w:style>
  <w:style w:type="character" w:customStyle="1" w:styleId="Heading5Char">
    <w:name w:val="Heading 5 Char"/>
    <w:link w:val="Heading5"/>
    <w:rPr>
      <w:rFonts w:ascii="Times New Roman" w:eastAsia="Times New Roman" w:hAnsi="Times New Roman" w:cs="Times New Roman"/>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005ECB"/>
    <w:pPr>
      <w:tabs>
        <w:tab w:val="center" w:pos="4680"/>
        <w:tab w:val="right" w:pos="9360"/>
      </w:tabs>
      <w:spacing w:after="0" w:line="240" w:lineRule="auto"/>
      <w:ind w:left="0" w:firstLine="0"/>
      <w:jc w:val="left"/>
    </w:pPr>
    <w:rPr>
      <w:rFonts w:asciiTheme="minorHAnsi" w:eastAsiaTheme="minorEastAsia" w:hAnsiTheme="minorHAnsi"/>
      <w:color w:val="auto"/>
      <w:sz w:val="22"/>
      <w:lang w:val="en-US" w:eastAsia="en-US"/>
    </w:rPr>
  </w:style>
  <w:style w:type="character" w:customStyle="1" w:styleId="HeaderChar">
    <w:name w:val="Header Char"/>
    <w:basedOn w:val="DefaultParagraphFont"/>
    <w:link w:val="Header"/>
    <w:uiPriority w:val="99"/>
    <w:rsid w:val="00005ECB"/>
    <w:rPr>
      <w:rFonts w:cs="Times New Roman"/>
      <w:lang w:val="en-US" w:eastAsia="en-US"/>
    </w:rPr>
  </w:style>
  <w:style w:type="paragraph" w:styleId="Footer">
    <w:name w:val="footer"/>
    <w:basedOn w:val="Normal"/>
    <w:link w:val="FooterChar"/>
    <w:uiPriority w:val="99"/>
    <w:unhideWhenUsed/>
    <w:rsid w:val="00005ECB"/>
    <w:pPr>
      <w:tabs>
        <w:tab w:val="center" w:pos="4680"/>
        <w:tab w:val="right" w:pos="9360"/>
      </w:tabs>
      <w:spacing w:after="0" w:line="240" w:lineRule="auto"/>
      <w:ind w:left="0" w:firstLine="0"/>
      <w:jc w:val="left"/>
    </w:pPr>
    <w:rPr>
      <w:rFonts w:asciiTheme="minorHAnsi" w:eastAsiaTheme="minorEastAsia" w:hAnsiTheme="minorHAnsi"/>
      <w:color w:val="auto"/>
      <w:sz w:val="22"/>
      <w:lang w:val="en-US" w:eastAsia="en-US"/>
    </w:rPr>
  </w:style>
  <w:style w:type="character" w:customStyle="1" w:styleId="FooterChar">
    <w:name w:val="Footer Char"/>
    <w:basedOn w:val="DefaultParagraphFont"/>
    <w:link w:val="Footer"/>
    <w:uiPriority w:val="99"/>
    <w:rsid w:val="00005ECB"/>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4.jp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C0EB146E9AE4DC2913BFB03B1678A69"/>
        <w:category>
          <w:name w:val="General"/>
          <w:gallery w:val="placeholder"/>
        </w:category>
        <w:types>
          <w:type w:val="bbPlcHdr"/>
        </w:types>
        <w:behaviors>
          <w:behavior w:val="content"/>
        </w:behaviors>
        <w:guid w:val="{B0A7A24D-F0FE-41ED-A11B-21D3D98734DD}"/>
      </w:docPartPr>
      <w:docPartBody>
        <w:p w:rsidR="00000000" w:rsidRDefault="007D6994" w:rsidP="007D6994">
          <w:pPr>
            <w:pStyle w:val="AC0EB146E9AE4DC2913BFB03B1678A69"/>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994"/>
    <w:rsid w:val="007D6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0EB146E9AE4DC2913BFB03B1678A69">
    <w:name w:val="AC0EB146E9AE4DC2913BFB03B1678A69"/>
    <w:rsid w:val="007D6994"/>
  </w:style>
  <w:style w:type="paragraph" w:customStyle="1" w:styleId="F350A1757736495D89C6ADA868B00FDA">
    <w:name w:val="F350A1757736495D89C6ADA868B00FDA"/>
    <w:rsid w:val="007D69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6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F97402B-EF45-4352-8E06-D60D769D373D}">
  <we:reference id="wa200000368" version="1.0.0.0" store="en-001"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3</TotalTime>
  <Pages>14</Pages>
  <Words>4482</Words>
  <Characters>25548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London crossrail project</vt:lpstr>
    </vt:vector>
  </TitlesOfParts>
  <Company/>
  <LinksUpToDate>false</LinksUpToDate>
  <CharactersWithSpaces>29971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London crossrail project</dc:title>
  <dc:subject/>
  <dc:creator>By Maulik Shamaldas Prajapati, Prajwal Manjunatha, &amp; Candice Sexton</dc:creator>
  <cp:keywords/>
  <cp:lastModifiedBy>Madalina Marinescu</cp:lastModifiedBy>
  <cp:revision>2</cp:revision>
  <dcterms:created xsi:type="dcterms:W3CDTF">2022-09-12T13:12:00Z</dcterms:created>
  <dcterms:modified xsi:type="dcterms:W3CDTF">2022-09-12T13:12:00Z</dcterms:modified>
</cp:coreProperties>
</file>