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9" w14:textId="77777777" w:rsidR="006601C9" w:rsidRDefault="00000000" w:rsidP="003B1B7F">
      <w:pPr>
        <w:ind w:left="720" w:firstLine="720"/>
        <w:rPr>
          <w:b/>
          <w:sz w:val="36"/>
          <w:szCs w:val="36"/>
        </w:rPr>
      </w:pPr>
      <w:r>
        <w:rPr>
          <w:b/>
          <w:sz w:val="36"/>
          <w:szCs w:val="36"/>
        </w:rPr>
        <w:t>Sustainable Hospitality &amp; Tourism Management</w:t>
      </w:r>
    </w:p>
    <w:p w14:paraId="23BE46D1" w14:textId="77777777" w:rsidR="003B1B7F" w:rsidRDefault="00000000">
      <w:pPr>
        <w:jc w:val="center"/>
        <w:rPr>
          <w:i/>
          <w:sz w:val="36"/>
          <w:szCs w:val="36"/>
        </w:rPr>
      </w:pPr>
      <w:r>
        <w:rPr>
          <w:i/>
          <w:sz w:val="36"/>
          <w:szCs w:val="36"/>
        </w:rPr>
        <w:t>Essay - Marriott International</w:t>
      </w:r>
    </w:p>
    <w:p w14:paraId="056EF497" w14:textId="0D9FFE93" w:rsidR="003B1B7F" w:rsidRPr="003B1B7F" w:rsidRDefault="00162CC3" w:rsidP="00162CC3">
      <w:pPr>
        <w:spacing w:before="100" w:beforeAutospacing="1" w:after="100" w:afterAutospacing="1"/>
        <w:outlineLvl w:val="2"/>
        <w:rPr>
          <w:sz w:val="32"/>
          <w:lang w:val="en-US"/>
        </w:rPr>
      </w:pPr>
      <w:r>
        <w:rPr>
          <w:sz w:val="32"/>
          <w:lang w:val="en-US"/>
        </w:rPr>
        <w:t xml:space="preserve">                                  </w:t>
      </w:r>
      <w:r w:rsidR="003B1B7F" w:rsidRPr="003B1B7F">
        <w:rPr>
          <w:sz w:val="32"/>
          <w:lang w:val="en-US"/>
        </w:rPr>
        <w:t xml:space="preserve">Module ID: </w:t>
      </w:r>
      <w:r w:rsidR="006E3283">
        <w:rPr>
          <w:sz w:val="32"/>
          <w:lang w:val="en-US"/>
        </w:rPr>
        <w:t>BMIH 5006</w:t>
      </w:r>
    </w:p>
    <w:p w14:paraId="0CA9EF45" w14:textId="0B49A472" w:rsidR="003B1B7F" w:rsidRDefault="00162CC3" w:rsidP="003B1B7F">
      <w:pPr>
        <w:spacing w:before="100" w:beforeAutospacing="1" w:after="100" w:afterAutospacing="1"/>
        <w:jc w:val="center"/>
        <w:outlineLvl w:val="2"/>
        <w:rPr>
          <w:sz w:val="32"/>
          <w:lang w:val="en-US"/>
        </w:rPr>
      </w:pPr>
      <w:r>
        <w:rPr>
          <w:sz w:val="32"/>
          <w:lang w:val="en-US"/>
        </w:rPr>
        <w:t xml:space="preserve">      </w:t>
      </w:r>
      <w:r w:rsidR="003B1B7F" w:rsidRPr="003B1B7F">
        <w:rPr>
          <w:sz w:val="32"/>
          <w:lang w:val="en-US"/>
        </w:rPr>
        <w:t>Student Name:</w:t>
      </w:r>
      <w:r w:rsidR="006E3283">
        <w:rPr>
          <w:sz w:val="32"/>
          <w:lang w:val="en-US"/>
        </w:rPr>
        <w:t xml:space="preserve"> Alin Stefanescu</w:t>
      </w:r>
    </w:p>
    <w:p w14:paraId="70E0EBD8" w14:textId="77777777" w:rsidR="00162CC3" w:rsidRPr="00162CC3" w:rsidRDefault="00162CC3" w:rsidP="00162CC3">
      <w:pPr>
        <w:spacing w:before="100" w:beforeAutospacing="1" w:after="100" w:afterAutospacing="1"/>
        <w:jc w:val="center"/>
        <w:outlineLvl w:val="2"/>
        <w:rPr>
          <w:sz w:val="32"/>
          <w:lang w:val="en-US"/>
        </w:rPr>
      </w:pPr>
      <w:r w:rsidRPr="00162CC3">
        <w:rPr>
          <w:sz w:val="32"/>
          <w:lang w:val="en-US"/>
        </w:rPr>
        <w:t>Tutor Name</w:t>
      </w:r>
      <w:r>
        <w:rPr>
          <w:sz w:val="32"/>
          <w:lang w:val="en-US"/>
        </w:rPr>
        <w:t xml:space="preserve">: </w:t>
      </w:r>
      <w:r w:rsidRPr="00162CC3">
        <w:rPr>
          <w:sz w:val="32"/>
          <w:lang w:val="en-US"/>
        </w:rPr>
        <w:t xml:space="preserve">Giulia </w:t>
      </w:r>
      <w:proofErr w:type="spellStart"/>
      <w:r w:rsidRPr="00162CC3">
        <w:rPr>
          <w:sz w:val="32"/>
          <w:lang w:val="en-US"/>
        </w:rPr>
        <w:t>Chifari</w:t>
      </w:r>
      <w:proofErr w:type="spellEnd"/>
    </w:p>
    <w:p w14:paraId="79D6306A" w14:textId="5DBFCE59" w:rsidR="00162CC3" w:rsidRDefault="00162CC3" w:rsidP="00162CC3">
      <w:pPr>
        <w:rPr>
          <w:rFonts w:ascii="Calibri" w:eastAsia="Calibri" w:hAnsi="Calibri"/>
          <w:sz w:val="32"/>
          <w:lang w:val="en-US"/>
        </w:rPr>
      </w:pPr>
      <w:r>
        <w:rPr>
          <w:rFonts w:ascii="Calibri" w:eastAsia="Calibri" w:hAnsi="Calibri"/>
          <w:sz w:val="32"/>
          <w:lang w:val="en-US"/>
        </w:rPr>
        <w:t xml:space="preserve">                                       </w:t>
      </w:r>
      <w:r w:rsidR="003B1B7F" w:rsidRPr="003B1B7F">
        <w:rPr>
          <w:rFonts w:ascii="Calibri" w:eastAsia="Calibri" w:hAnsi="Calibri"/>
          <w:sz w:val="32"/>
          <w:lang w:val="en-US"/>
        </w:rPr>
        <w:t>Student ID:</w:t>
      </w:r>
      <w:r w:rsidR="006E3283">
        <w:rPr>
          <w:rFonts w:ascii="Calibri" w:eastAsia="Calibri" w:hAnsi="Calibri"/>
          <w:sz w:val="32"/>
          <w:lang w:val="en-US"/>
        </w:rPr>
        <w:t xml:space="preserve"> 2230719</w:t>
      </w:r>
    </w:p>
    <w:p w14:paraId="7280DE6A" w14:textId="77777777" w:rsidR="00162CC3" w:rsidRDefault="00162CC3" w:rsidP="00162CC3">
      <w:pPr>
        <w:rPr>
          <w:rFonts w:ascii="Calibri" w:eastAsia="Calibri" w:hAnsi="Calibri"/>
          <w:sz w:val="32"/>
          <w:lang w:val="en-US"/>
        </w:rPr>
      </w:pPr>
    </w:p>
    <w:p w14:paraId="6A74A961" w14:textId="77777777" w:rsidR="00162CC3" w:rsidRDefault="00162CC3" w:rsidP="00162CC3">
      <w:pPr>
        <w:rPr>
          <w:rFonts w:ascii="Calibri" w:eastAsia="Calibri" w:hAnsi="Calibri"/>
          <w:sz w:val="32"/>
          <w:lang w:val="en-US"/>
        </w:rPr>
      </w:pPr>
    </w:p>
    <w:p w14:paraId="532F0C22" w14:textId="77777777" w:rsidR="00162CC3" w:rsidRDefault="00162CC3" w:rsidP="00162CC3">
      <w:pPr>
        <w:rPr>
          <w:rFonts w:ascii="Calibri" w:eastAsia="Calibri" w:hAnsi="Calibri"/>
          <w:sz w:val="32"/>
          <w:lang w:val="en-US"/>
        </w:rPr>
      </w:pPr>
    </w:p>
    <w:p w14:paraId="1C59C811" w14:textId="77777777" w:rsidR="00162CC3" w:rsidRDefault="00162CC3" w:rsidP="00162CC3">
      <w:pPr>
        <w:rPr>
          <w:rFonts w:ascii="Calibri" w:eastAsia="Calibri" w:hAnsi="Calibri"/>
          <w:sz w:val="32"/>
          <w:lang w:val="en-US"/>
        </w:rPr>
      </w:pPr>
    </w:p>
    <w:p w14:paraId="7951BF41" w14:textId="77777777" w:rsidR="00162CC3" w:rsidRDefault="00162CC3" w:rsidP="00162CC3">
      <w:pPr>
        <w:rPr>
          <w:rFonts w:ascii="Calibri" w:eastAsia="Calibri" w:hAnsi="Calibri"/>
          <w:sz w:val="32"/>
          <w:lang w:val="en-US"/>
        </w:rPr>
      </w:pPr>
    </w:p>
    <w:p w14:paraId="6EC8A26E" w14:textId="05838265" w:rsidR="00162CC3" w:rsidRDefault="00162CC3" w:rsidP="00162CC3">
      <w:pPr>
        <w:rPr>
          <w:rFonts w:ascii="Calibri" w:eastAsia="Calibri" w:hAnsi="Calibri"/>
          <w:sz w:val="32"/>
          <w:lang w:val="en-US"/>
        </w:rPr>
      </w:pPr>
      <w:r w:rsidRPr="00162CC3">
        <w:rPr>
          <w:rFonts w:ascii="Calibri" w:eastAsia="Calibri" w:hAnsi="Calibri"/>
          <w:sz w:val="32"/>
          <w:lang w:val="en-U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000000A" w14:textId="7883F836" w:rsidR="006601C9" w:rsidRDefault="003B1B7F" w:rsidP="003B1B7F">
      <w:pPr>
        <w:jc w:val="center"/>
        <w:rPr>
          <w:i/>
          <w:sz w:val="36"/>
          <w:szCs w:val="36"/>
        </w:rPr>
      </w:pPr>
      <w:r>
        <w:br w:type="page"/>
      </w:r>
    </w:p>
    <w:p w14:paraId="0000000B" w14:textId="77777777" w:rsidR="006601C9" w:rsidRDefault="00000000">
      <w:pPr>
        <w:jc w:val="center"/>
        <w:rPr>
          <w:sz w:val="28"/>
          <w:szCs w:val="28"/>
        </w:rPr>
      </w:pPr>
      <w:r>
        <w:rPr>
          <w:b/>
          <w:sz w:val="28"/>
          <w:szCs w:val="28"/>
        </w:rPr>
        <w:lastRenderedPageBreak/>
        <w:t>Table of Content</w:t>
      </w:r>
    </w:p>
    <w:sdt>
      <w:sdtPr>
        <w:id w:val="1253319642"/>
        <w:docPartObj>
          <w:docPartGallery w:val="Table of Contents"/>
          <w:docPartUnique/>
        </w:docPartObj>
      </w:sdtPr>
      <w:sdtContent>
        <w:p w14:paraId="0000000C" w14:textId="77777777" w:rsidR="006601C9" w:rsidRDefault="00000000">
          <w:pPr>
            <w:widowControl w:val="0"/>
            <w:tabs>
              <w:tab w:val="right" w:leader="dot" w:pos="12000"/>
            </w:tabs>
            <w:spacing w:before="60"/>
            <w:jc w:val="left"/>
            <w:rPr>
              <w:color w:val="000000"/>
            </w:rPr>
          </w:pPr>
          <w:r>
            <w:fldChar w:fldCharType="begin"/>
          </w:r>
          <w:r>
            <w:instrText xml:space="preserve"> TOC \h \u \z \t "Heading 1,1,Heading 2,2,Heading 3,3,Heading 4,4,Heading 5,5,Heading 6,6,"</w:instrText>
          </w:r>
          <w:r>
            <w:fldChar w:fldCharType="separate"/>
          </w:r>
          <w:hyperlink w:anchor="_hfneti4t16gx">
            <w:r w:rsidR="006601C9">
              <w:rPr>
                <w:color w:val="000000"/>
              </w:rPr>
              <w:t>Introduction</w:t>
            </w:r>
            <w:r w:rsidR="006601C9">
              <w:rPr>
                <w:color w:val="000000"/>
              </w:rPr>
              <w:tab/>
              <w:t>3</w:t>
            </w:r>
          </w:hyperlink>
        </w:p>
        <w:p w14:paraId="0000000D" w14:textId="77777777" w:rsidR="006601C9" w:rsidRDefault="006601C9">
          <w:pPr>
            <w:widowControl w:val="0"/>
            <w:tabs>
              <w:tab w:val="right" w:leader="dot" w:pos="12000"/>
            </w:tabs>
            <w:spacing w:before="60"/>
            <w:jc w:val="left"/>
            <w:rPr>
              <w:color w:val="000000"/>
            </w:rPr>
          </w:pPr>
          <w:hyperlink w:anchor="_m7aexu18vt7q">
            <w:r>
              <w:rPr>
                <w:color w:val="000000"/>
              </w:rPr>
              <w:t>Main Body</w:t>
            </w:r>
            <w:r>
              <w:rPr>
                <w:color w:val="000000"/>
              </w:rPr>
              <w:tab/>
              <w:t>3</w:t>
            </w:r>
          </w:hyperlink>
        </w:p>
        <w:p w14:paraId="0000000E" w14:textId="77777777" w:rsidR="006601C9" w:rsidRDefault="006601C9">
          <w:pPr>
            <w:widowControl w:val="0"/>
            <w:tabs>
              <w:tab w:val="right" w:leader="dot" w:pos="12000"/>
            </w:tabs>
            <w:spacing w:before="60"/>
            <w:jc w:val="left"/>
            <w:rPr>
              <w:color w:val="000000"/>
            </w:rPr>
          </w:pPr>
          <w:hyperlink w:anchor="_f28vmnjzxry1">
            <w:r>
              <w:rPr>
                <w:color w:val="000000"/>
              </w:rPr>
              <w:t>Conclusion</w:t>
            </w:r>
            <w:r>
              <w:rPr>
                <w:color w:val="000000"/>
              </w:rPr>
              <w:tab/>
              <w:t>7</w:t>
            </w:r>
          </w:hyperlink>
        </w:p>
        <w:p w14:paraId="0000000F" w14:textId="77777777" w:rsidR="006601C9" w:rsidRDefault="006601C9">
          <w:pPr>
            <w:widowControl w:val="0"/>
            <w:tabs>
              <w:tab w:val="right" w:leader="dot" w:pos="12000"/>
            </w:tabs>
            <w:spacing w:before="60"/>
            <w:jc w:val="left"/>
            <w:rPr>
              <w:color w:val="000000"/>
            </w:rPr>
          </w:pPr>
          <w:hyperlink w:anchor="_k1amr1qscesy">
            <w:r>
              <w:rPr>
                <w:color w:val="000000"/>
              </w:rPr>
              <w:t>References</w:t>
            </w:r>
            <w:r>
              <w:rPr>
                <w:color w:val="000000"/>
              </w:rPr>
              <w:tab/>
              <w:t>9</w:t>
            </w:r>
          </w:hyperlink>
          <w:r w:rsidR="00000000">
            <w:fldChar w:fldCharType="end"/>
          </w:r>
        </w:p>
      </w:sdtContent>
    </w:sdt>
    <w:p w14:paraId="00000010" w14:textId="77777777" w:rsidR="006601C9" w:rsidRDefault="006601C9">
      <w:pPr>
        <w:jc w:val="left"/>
        <w:rPr>
          <w:sz w:val="36"/>
          <w:szCs w:val="36"/>
        </w:rPr>
      </w:pPr>
    </w:p>
    <w:p w14:paraId="00000011" w14:textId="77777777" w:rsidR="006601C9" w:rsidRDefault="00000000">
      <w:pPr>
        <w:rPr>
          <w:b/>
        </w:rPr>
      </w:pPr>
      <w:r>
        <w:br w:type="page"/>
      </w:r>
    </w:p>
    <w:p w14:paraId="00000012" w14:textId="77777777" w:rsidR="006601C9" w:rsidRDefault="00000000">
      <w:pPr>
        <w:pStyle w:val="Heading1"/>
        <w:spacing w:after="0"/>
      </w:pPr>
      <w:bookmarkStart w:id="0" w:name="_hfneti4t16gx" w:colFirst="0" w:colLast="0"/>
      <w:bookmarkEnd w:id="0"/>
      <w:r>
        <w:lastRenderedPageBreak/>
        <w:t>Introduction</w:t>
      </w:r>
    </w:p>
    <w:p w14:paraId="00000013" w14:textId="77777777" w:rsidR="006601C9" w:rsidRDefault="00000000">
      <w:r>
        <w:t xml:space="preserve">Corporate Social Responsibility (CSR) is the approach or concept where the businesses combine socio, environment and ethical concerns into their operations as well as activities. This means going past just profit making to address environmental protection, social equity, economic development and achieve a positive impact on society (Cooper, 2021). CSR is increasingly important in the hospitality industry, where hotels and resorts must increasingly operate sustainably and reduce their environmental footprint. Taking into account Marriott International, a </w:t>
      </w:r>
      <w:proofErr w:type="spellStart"/>
      <w:proofErr w:type="gramStart"/>
      <w:r>
        <w:t>well known</w:t>
      </w:r>
      <w:proofErr w:type="spellEnd"/>
      <w:proofErr w:type="gramEnd"/>
      <w:r>
        <w:t xml:space="preserve"> global hotel chain led by CSR initiatives and sustainability strikes the core of this essay. Marriott places great emphasis on CSR, from environmental conservation to community membership, working with ethical suppliers, retaining diversity and inclusion. This essay will evaluate Marriott’s CSR initiatives, analyse the impact of implementing such practices with regard to sustainability in the hospitality sector and the challenges and opportunities of implementing such practices. This study will critically analyse Marriott’s approach to sustainability along with how its approach aligns with the features of relevant legislation; and the benefits Marriott’s adoption of robust CSR strategies in the hotel industry will provide. In this discussion we will see how Marriott’s CSR commitment affects the environment and leads to its marketing competitiveness and reputation.</w:t>
      </w:r>
    </w:p>
    <w:p w14:paraId="00000014" w14:textId="77777777" w:rsidR="006601C9" w:rsidRDefault="00000000">
      <w:pPr>
        <w:pStyle w:val="Heading1"/>
        <w:spacing w:after="0"/>
      </w:pPr>
      <w:bookmarkStart w:id="1" w:name="_m7aexu18vt7q" w:colFirst="0" w:colLast="0"/>
      <w:bookmarkEnd w:id="1"/>
      <w:r>
        <w:t>Main Body</w:t>
      </w:r>
    </w:p>
    <w:p w14:paraId="00000015" w14:textId="77777777" w:rsidR="006601C9" w:rsidRDefault="00000000">
      <w:r>
        <w:t xml:space="preserve">Marriott International is a large affordable hotel chain in the world, as it is spreading over 130 countries and territories worldwide. Founded as the Kiplinger Hotel Company in 1927, Marriott has emerged as the leading global hospitality company with a diverse portfolio of brands and businesses focused on delivering service, comfort, and value (Neupane and Khanal, 2022). Marriott was known over the years for its corporate social responsibility (CSR) and sustainability work, defining CSR towards corporate business operations and </w:t>
      </w:r>
      <w:proofErr w:type="gramStart"/>
      <w:r>
        <w:t>long term</w:t>
      </w:r>
      <w:proofErr w:type="gramEnd"/>
      <w:r>
        <w:t xml:space="preserve"> strategic goals. Marriott's CSR initiatives are guided by its “Serve 360: Through its “Doing Good in every Direction” program focused on making a good impact in four key areas: Sustainability, Community Engagement, Diversity and Inclusion, and Ethical Business Practices (</w:t>
      </w:r>
      <w:proofErr w:type="spellStart"/>
      <w:r>
        <w:t>Sanvitale</w:t>
      </w:r>
      <w:proofErr w:type="spellEnd"/>
      <w:r>
        <w:t xml:space="preserve">, 2020). The company is focused on cutting its environmental footprint by using energy and water saving measures, reducing waste, and practising sustainable sourcing. They aim to significantly reduce Marriott’s greenhouse gas footprint by more than double the use of renewable energy at its properties worldwide. About community engagement, Marriott stands for putting efforts towards supporting local communities through charitable contributions, volunteers and initiatives that promote economic opportunity to </w:t>
      </w:r>
      <w:r>
        <w:lastRenderedPageBreak/>
        <w:t>underrepresented groups. The company works with nonprofits and social enterprises to drive socially responsible change, contributing to education, healthcare and disaster relief efforts in the regions it operates in (Marin-</w:t>
      </w:r>
      <w:proofErr w:type="spellStart"/>
      <w:r>
        <w:t>Pantelescu</w:t>
      </w:r>
      <w:proofErr w:type="spellEnd"/>
      <w:r>
        <w:t xml:space="preserve">, 2021). CSR strategy also includes diversity and inclusion. The company aims to build an inclusive work culture through which all employees irrespective of gender, ethnicity and backgrounds can thrive in an equal opportunity environment. Marriott has established measurable targets for improving the representation of women and minorities in leadership roles, an aim the company says it takes seriously to promote diversity and inclusion in its workforce. The way Marriott operates ethically means to practise at the highest standards of integrity and compliance both locally and internationally (Selin, 2022). It also covers issues of responsible sourcing, human rights protection and </w:t>
      </w:r>
      <w:proofErr w:type="spellStart"/>
      <w:r>
        <w:t>anti corruption</w:t>
      </w:r>
      <w:proofErr w:type="spellEnd"/>
      <w:r>
        <w:t xml:space="preserve"> measures. Marriott hopes that by embedding these CSR principles into its business operations it will set the pace for hospitality to become more sustainable and socially responsible (Selin, 2022).</w:t>
      </w:r>
    </w:p>
    <w:p w14:paraId="00000016" w14:textId="77777777" w:rsidR="006601C9" w:rsidRDefault="00000000">
      <w:r>
        <w:t>Creating and reinforcing a culture of CSR and sustainability has been the strong emphasis of Marriott International's CSR initiatives which have not only contributed to the advancement of responsible business practices in the hospitality industry, but also, to a great extent, have helped reduce environmental impact and promote social welfare. Marriott is committed to helping integrate sustainability into all aspects of its operation, and contributing positively to the world around us through its comprehensive “Serve 360” program (</w:t>
      </w:r>
      <w:proofErr w:type="spellStart"/>
      <w:r>
        <w:t>Sanvitale</w:t>
      </w:r>
      <w:proofErr w:type="spellEnd"/>
      <w:r>
        <w:t xml:space="preserve">, 2020). Reducing its carbon footprint is a key point for one of Marriott's key sustainable practices. All of the hotel chain’s properties have technologies for reducing energy consumption, such as LED lighting, smart thermostats and energy management systems. As in other fields, Marriott also invests in renewable energy projects such as solar and wind power, and decreases its dependence on </w:t>
      </w:r>
      <w:proofErr w:type="spellStart"/>
      <w:r>
        <w:t>nonrenewable</w:t>
      </w:r>
      <w:proofErr w:type="spellEnd"/>
      <w:r>
        <w:t xml:space="preserve"> energy sources. Not only does this approach minimise greenhouse gas emissions, but it also advances Marriott’s ambition to reach a net 0 emissions company by 2050 (Chan, 2021). Marriott has also been an active force in water conservation. The company has also proactively implemented low-flow fixtures, greywater recycling systems, as well as water saving landscapes at its properties. In water scarce regions, these practices are especially important for sustainable water management as well as for local communities (Vlasceanu </w:t>
      </w:r>
      <w:r>
        <w:rPr>
          <w:i/>
        </w:rPr>
        <w:t>et al.,</w:t>
      </w:r>
      <w:r>
        <w:t xml:space="preserve"> 2020). When it comes to sustainability strategy, Marriott also emphasises waste management. But the hotel chain has big ambitions to increase recycling efforts, compost food waste, and partner with organisations to donate surplus food to the needy. Besides their </w:t>
      </w:r>
      <w:r>
        <w:lastRenderedPageBreak/>
        <w:t>contribution to environmental reduction of waste disposal, these initiatives also have a destination in supporting local character and food safety.</w:t>
      </w:r>
    </w:p>
    <w:p w14:paraId="00000017" w14:textId="77777777" w:rsidR="006601C9" w:rsidRDefault="00000000">
      <w:r>
        <w:t xml:space="preserve">While Marriott International has moved far ahead of many from a Corporate Social Responsibility (CSR) perspective in terms of integrating CSR into their operations, there are limitations and challenges to effectively putting them into place. High cost involves the adoption and maintenance of sustainable practices and is probably the greatest obstacle (Sloan </w:t>
      </w:r>
      <w:r>
        <w:rPr>
          <w:i/>
        </w:rPr>
        <w:t>et al.,</w:t>
      </w:r>
      <w:r>
        <w:t xml:space="preserve"> 2017). Such investments can be substantial in the direction of energy efficient technologies, renewables, waste management systems and water conservation infrastructure. But these costs are magnified, for a global hotel chain like Marriott, which has to upgrade or retrofit existing properties on the scale of its operations. Once CSR initiatives are implemented, operational disruptions also create problems. New technology and sustainable processes can mean training staff, changing operational workflows and temporarily or limiting services can affect guest experience and satisfaction (</w:t>
      </w:r>
      <w:proofErr w:type="spellStart"/>
      <w:r>
        <w:t>Haski</w:t>
      </w:r>
      <w:proofErr w:type="spellEnd"/>
      <w:r>
        <w:t xml:space="preserve">-Leventhal, 2018). For example, modifying a guest room so that it meets energy efficient system or water saving technology requirements can be inconvenient or even result in the temporary closing of one or more facilities. Sustainability efforts and providing seamless service on the one hand are complex and need careful planning and communication (Font </w:t>
      </w:r>
      <w:r>
        <w:rPr>
          <w:i/>
        </w:rPr>
        <w:t>et al.,</w:t>
      </w:r>
      <w:r>
        <w:t xml:space="preserve"> 2021). The second hurdle, Marriott has to meet with international and local regulations. The company is in different countries where they apply different Environment standards, labour laws and sustainability reporting. It can be tough to navigate these diverse regulations whilst consistently remaining on a bit of a CSR high across the rest of the global portfolio (Barreto and </w:t>
      </w:r>
      <w:proofErr w:type="spellStart"/>
      <w:r>
        <w:t>Mayya</w:t>
      </w:r>
      <w:proofErr w:type="spellEnd"/>
      <w:r>
        <w:t xml:space="preserve">, 2022). As Marriott should or can align its practices with its global CSR strategy, this process can be resource intensive and time consuming. They can hamper Marriott’s ability to keep to its commitment to sustainable practices. In markets where competition is fierce and profit margins are tight, high implementation costs may ultimately force the company to focus more on short term financial returns than on long term sustainable goals. Negative guest experiences as a result of operational disruptions can damage customer loyalty and satisfaction. In addition, failing to comply with ever changing regulations could lead to huge legal penalties, bad reputation and loss of trust of stakeholders (Saad </w:t>
      </w:r>
      <w:r>
        <w:rPr>
          <w:i/>
        </w:rPr>
        <w:t>et al.,</w:t>
      </w:r>
      <w:r>
        <w:t xml:space="preserve"> 2022).</w:t>
      </w:r>
    </w:p>
    <w:p w14:paraId="00000018" w14:textId="77777777" w:rsidR="006601C9" w:rsidRDefault="00000000">
      <w:r>
        <w:t xml:space="preserve">By virtue of Marriott International’s commitment to Corporate Social Responsibility (CSR), it has established themselves to a position beyond core operations as one of the hospitality industries leading </w:t>
      </w:r>
      <w:proofErr w:type="gramStart"/>
      <w:r>
        <w:t>light</w:t>
      </w:r>
      <w:proofErr w:type="gramEnd"/>
      <w:r>
        <w:t xml:space="preserve"> (Marriott International, 2023). Marriott’s CSR investments have contributed one of the most significant benefits of enhancing the brand reputation. Marriott has </w:t>
      </w:r>
      <w:r>
        <w:lastRenderedPageBreak/>
        <w:t xml:space="preserve">become a socially responsible leader in the hotel industry through strong commitment to sustainability, ethical business practices and community engagement. The brand’s positive image goes beyond differentiating the brand from its competitors and also building confidence and devotion from its guests and stakeholders. Marriott has also been able to attract more and more eco conscious customers such as the segment of customers that would choose places to stay based on the fact that they support CSR practices. Today, more and more travellers, specifically millennials and Gen Z, prefer to stay in hotels that share their values in environmental and social responsibility (Fan </w:t>
      </w:r>
      <w:r>
        <w:rPr>
          <w:i/>
        </w:rPr>
        <w:t>et al.,</w:t>
      </w:r>
      <w:r>
        <w:t xml:space="preserve"> 2023). These are guests who will listen to Marriott’s focus on reducing its carbon footprint, water conservation and waste management, which will result in increased bookings and more customer loyalty from this target market. Marriott’s CSR initiatives can also save it cost over the long term. By investing early in energy efficient technologies, renewable energy sources, and waste reduction strategies there will be high initial investment costs, but lower operational costs in the long term (Qadir </w:t>
      </w:r>
      <w:r>
        <w:rPr>
          <w:i/>
        </w:rPr>
        <w:t>et al.,</w:t>
      </w:r>
      <w:r>
        <w:t xml:space="preserve"> 2021). Such a reduction in energy and water consumption allows Marriott to divert the saved resources elsewhere in its business–improving profitability overall. Marriott's advantage in the hospitality industry is through capitalising on the CSR initiatives. Not only as a hotel which provides high quality service but as a socially and environmentally responsible corporate, which should change the image of the hotel as something solely valuing money for money and raking in as much profit as the situation permits. Not only does this attract customers, it also appeals to investors, partners and employees who see sustainability as a value proposition and creates business growth and enhances Marriott's market position.</w:t>
      </w:r>
    </w:p>
    <w:p w14:paraId="00000019" w14:textId="77777777" w:rsidR="006601C9" w:rsidRDefault="00000000">
      <w:r>
        <w:t xml:space="preserve">Marriott International is a big company, so it is operating in many countries, but its CSR must comply with the legislation and the legislation of each country. Several laws which are very crucial in the context of Marriott’s CSR are very crucial with regard to the company’s CSR in the United States as it’s a headquarters. Well publicised examples include the Clean Air Act, the Clean Water Act and a host of statewide regulations that require corporate environmental responsibility and pollution control. These laws are integrated into Marriott’s broader CSR initiatives which it adheres to. For example, as per the Clean air Act, Marriott works by looking into how to reduce their carbon emissions such as energy efficient systems and renewable energy sources (Hunton Andrews Kurth LLP, 2023). Outliving the Clean Water Act, the hotel chain puts into practice water conservation methods, such as low flow fixtures, recycling systems and sustainable landscaping to minimise where it is used (Hudiburgh, 2020). Also, in the UK they have been inclined with the Environment Act 2021 which aims to improve air and </w:t>
      </w:r>
      <w:r>
        <w:lastRenderedPageBreak/>
        <w:t>water quality, protect wildlife, increase recycling and reduce plastic waste (</w:t>
      </w:r>
      <w:proofErr w:type="spellStart"/>
      <w:r>
        <w:t>Filimonau</w:t>
      </w:r>
      <w:proofErr w:type="spellEnd"/>
      <w:r>
        <w:t>, 2021). These measures are designed to assure Marriott’s facilities operate or exceed the legal standards for environmental sustainability in the hospitality industry. Marriott CSR strategies are strongly guided by legal requirements, not only as a baseline of compliance but also as a tool to push forward with innovation. The legislation is the minimum that standards of environmental and social practices should appear, but Marriott frequently exceeds these requirements to prove that it is leading the way in sustainability. For instance, Marriott not only complies with the obligation to govern waste reduction and appropriate sourcing, but its business formation addresses the global trends of sustainability as it conforms to particular guidelines. In this way, these legal frameworks push Marriott to fulfil proactive approaches to CSR and expand Marriott’s alignment to ethical conduct and its position as a reputable corporate citizen. Marriott actively seeks to ensure compliance with relevant laws because this means avoiding loss from fines and legal disputes, and at the same time claim to be a sustainable hospitality leader (Marriott, 2023). For this reason, legal requirements become a motivation and the driving force behind Marriott’s CSR strategy and encourage Marriott to strive for a positive environmental and social impact.</w:t>
      </w:r>
    </w:p>
    <w:p w14:paraId="0000001A" w14:textId="77777777" w:rsidR="006601C9" w:rsidRDefault="00000000">
      <w:pPr>
        <w:pStyle w:val="Heading1"/>
        <w:spacing w:after="0"/>
      </w:pPr>
      <w:bookmarkStart w:id="2" w:name="_f28vmnjzxry1" w:colFirst="0" w:colLast="0"/>
      <w:bookmarkEnd w:id="2"/>
      <w:r>
        <w:t>Conclusion</w:t>
      </w:r>
    </w:p>
    <w:p w14:paraId="0000001B" w14:textId="77777777" w:rsidR="006601C9" w:rsidRDefault="00000000">
      <w:r>
        <w:t>In conclusion, the paper has showcased Marriott International Corporate Social Responsibility (CSR) initiatives' analysis as an instance of how CSR can help propel the sustainability movement within the hotel industry. Showing the whole picture of Marriott included in the event which includes the intention behind integrating sustainable practices like reducing carbon footprint, conserving water or managing waste, the company clearly makes its commitment to environmental stewardship and societal responsibility. Besides building the hotel’s reputation as a socially responsible brand, these efforts deliver long term savings and bring in eco conscious customers. The benefits of CSR in the hospitality industry are clear: It’s the driving force behind competitive advantage, brand loyalty, and in line with the broader need for environmental sustainability. But such initiatives can be hampered by implementation costs that are high, operational disruptions and the requirements to comply with multiple regulations. Marriott has to overcome these challenges and take advantage of the opportunities given by CSR practices in order to keep leading in sustainable hospitality.</w:t>
      </w:r>
    </w:p>
    <w:p w14:paraId="0000001C" w14:textId="77777777" w:rsidR="006601C9" w:rsidRDefault="00000000">
      <w:r>
        <w:t xml:space="preserve">Finally, the sustainable practices in the hospitality sector will benefit in long terms in terms of its positive impacts on both environment and business performance. Marriott continuously innovates and integrates CSR into its core strategy not only improves its market position but </w:t>
      </w:r>
      <w:r>
        <w:lastRenderedPageBreak/>
        <w:t>also contributes toward a more sustainable future for the entire industry. Sustainable practices are neither a fad nor some momentary or superficial trend; it is a core ingredient of a continued hospitality sector success story and is as relevant now as it has ever been.</w:t>
      </w:r>
      <w:r>
        <w:br w:type="page"/>
      </w:r>
    </w:p>
    <w:p w14:paraId="0000001D" w14:textId="77777777" w:rsidR="006601C9" w:rsidRDefault="00000000">
      <w:pPr>
        <w:pStyle w:val="Heading1"/>
        <w:spacing w:after="0"/>
      </w:pPr>
      <w:bookmarkStart w:id="3" w:name="_k1amr1qscesy" w:colFirst="0" w:colLast="0"/>
      <w:bookmarkEnd w:id="3"/>
      <w:r>
        <w:lastRenderedPageBreak/>
        <w:t>References</w:t>
      </w:r>
    </w:p>
    <w:p w14:paraId="0000001E" w14:textId="77777777" w:rsidR="006601C9" w:rsidRDefault="00000000">
      <w:pPr>
        <w:rPr>
          <w:color w:val="222222"/>
          <w:highlight w:val="white"/>
        </w:rPr>
      </w:pPr>
      <w:r>
        <w:rPr>
          <w:color w:val="222222"/>
          <w:highlight w:val="white"/>
        </w:rPr>
        <w:t xml:space="preserve">Barreto, N. and </w:t>
      </w:r>
      <w:proofErr w:type="spellStart"/>
      <w:r>
        <w:rPr>
          <w:color w:val="222222"/>
          <w:highlight w:val="white"/>
        </w:rPr>
        <w:t>Mayya</w:t>
      </w:r>
      <w:proofErr w:type="spellEnd"/>
      <w:r>
        <w:rPr>
          <w:color w:val="222222"/>
          <w:highlight w:val="white"/>
        </w:rPr>
        <w:t xml:space="preserve">, S. (2022). SWOC Analysis of Marriott International-A Case Study. </w:t>
      </w:r>
      <w:r>
        <w:rPr>
          <w:i/>
          <w:color w:val="222222"/>
          <w:highlight w:val="white"/>
        </w:rPr>
        <w:t>International Journal of Case Studies in Business, IT and Education (IJCSBE)</w:t>
      </w:r>
      <w:r>
        <w:rPr>
          <w:color w:val="222222"/>
          <w:highlight w:val="white"/>
        </w:rPr>
        <w:t xml:space="preserve">, </w:t>
      </w:r>
      <w:r>
        <w:rPr>
          <w:i/>
          <w:color w:val="222222"/>
          <w:highlight w:val="white"/>
        </w:rPr>
        <w:t>6</w:t>
      </w:r>
      <w:r>
        <w:rPr>
          <w:color w:val="222222"/>
          <w:highlight w:val="white"/>
        </w:rPr>
        <w:t>(2), pp.877-889.</w:t>
      </w:r>
    </w:p>
    <w:p w14:paraId="0000001F" w14:textId="77777777" w:rsidR="006601C9" w:rsidRDefault="00000000">
      <w:pPr>
        <w:rPr>
          <w:color w:val="222222"/>
          <w:highlight w:val="white"/>
        </w:rPr>
      </w:pPr>
      <w:r>
        <w:rPr>
          <w:color w:val="222222"/>
          <w:highlight w:val="white"/>
        </w:rPr>
        <w:t xml:space="preserve">Chan, E.S. (2021). Why do hotels find reducing their carbon footprint </w:t>
      </w:r>
      <w:proofErr w:type="gramStart"/>
      <w:r>
        <w:rPr>
          <w:color w:val="222222"/>
          <w:highlight w:val="white"/>
        </w:rPr>
        <w:t>difficult?.</w:t>
      </w:r>
      <w:proofErr w:type="gramEnd"/>
      <w:r>
        <w:rPr>
          <w:color w:val="222222"/>
          <w:highlight w:val="white"/>
        </w:rPr>
        <w:t xml:space="preserve"> </w:t>
      </w:r>
      <w:r>
        <w:rPr>
          <w:i/>
          <w:color w:val="222222"/>
          <w:highlight w:val="white"/>
        </w:rPr>
        <w:t>International Journal of Contemporary Hospitality Management</w:t>
      </w:r>
      <w:r>
        <w:rPr>
          <w:color w:val="222222"/>
          <w:highlight w:val="white"/>
        </w:rPr>
        <w:t xml:space="preserve">, </w:t>
      </w:r>
      <w:r>
        <w:rPr>
          <w:i/>
          <w:color w:val="222222"/>
          <w:highlight w:val="white"/>
        </w:rPr>
        <w:t>33</w:t>
      </w:r>
      <w:r>
        <w:rPr>
          <w:color w:val="222222"/>
          <w:highlight w:val="white"/>
        </w:rPr>
        <w:t>(5), pp.1646-1667.</w:t>
      </w:r>
    </w:p>
    <w:p w14:paraId="00000020" w14:textId="77777777" w:rsidR="006601C9" w:rsidRDefault="00000000">
      <w:pPr>
        <w:rPr>
          <w:color w:val="222222"/>
          <w:highlight w:val="white"/>
        </w:rPr>
      </w:pPr>
      <w:r>
        <w:rPr>
          <w:color w:val="222222"/>
          <w:highlight w:val="white"/>
        </w:rPr>
        <w:t xml:space="preserve">Cooper, C. (2021) </w:t>
      </w:r>
      <w:r>
        <w:rPr>
          <w:i/>
          <w:color w:val="222222"/>
          <w:highlight w:val="white"/>
        </w:rPr>
        <w:t>Essentials of tourism.</w:t>
      </w:r>
      <w:r>
        <w:rPr>
          <w:color w:val="222222"/>
          <w:highlight w:val="white"/>
        </w:rPr>
        <w:t xml:space="preserve"> Third edition. London: SAGE.</w:t>
      </w:r>
    </w:p>
    <w:p w14:paraId="00000021" w14:textId="77777777" w:rsidR="006601C9" w:rsidRDefault="00000000">
      <w:pPr>
        <w:rPr>
          <w:color w:val="222222"/>
          <w:highlight w:val="white"/>
        </w:rPr>
      </w:pPr>
      <w:r>
        <w:rPr>
          <w:color w:val="222222"/>
          <w:highlight w:val="white"/>
        </w:rPr>
        <w:t xml:space="preserve">Edgell. (2020). </w:t>
      </w:r>
      <w:r>
        <w:rPr>
          <w:i/>
          <w:color w:val="222222"/>
          <w:highlight w:val="white"/>
        </w:rPr>
        <w:t xml:space="preserve">Managing sustainable </w:t>
      </w:r>
      <w:proofErr w:type="gramStart"/>
      <w:r>
        <w:rPr>
          <w:i/>
          <w:color w:val="222222"/>
          <w:highlight w:val="white"/>
        </w:rPr>
        <w:t>tourism :</w:t>
      </w:r>
      <w:proofErr w:type="gramEnd"/>
      <w:r>
        <w:rPr>
          <w:i/>
          <w:color w:val="222222"/>
          <w:highlight w:val="white"/>
        </w:rPr>
        <w:t xml:space="preserve"> a legacy for the future (Third edition)</w:t>
      </w:r>
      <w:r>
        <w:rPr>
          <w:color w:val="222222"/>
          <w:highlight w:val="white"/>
        </w:rPr>
        <w:t>. Routledge.</w:t>
      </w:r>
    </w:p>
    <w:p w14:paraId="00000022" w14:textId="77777777" w:rsidR="006601C9" w:rsidRDefault="00000000">
      <w:pPr>
        <w:rPr>
          <w:color w:val="222222"/>
          <w:highlight w:val="white"/>
        </w:rPr>
      </w:pPr>
      <w:r>
        <w:rPr>
          <w:color w:val="222222"/>
          <w:highlight w:val="white"/>
        </w:rPr>
        <w:t xml:space="preserve">Fan, A., Shin, H.W., Shi, J. and Wu, L. (2023). Young people share, but do so differently: an empirical comparison of peer-to-peer accommodation consumption between millennials and generation Z. </w:t>
      </w:r>
      <w:r>
        <w:rPr>
          <w:i/>
          <w:color w:val="222222"/>
          <w:highlight w:val="white"/>
        </w:rPr>
        <w:t>Cornell Hospitality Quarterly</w:t>
      </w:r>
      <w:r>
        <w:rPr>
          <w:color w:val="222222"/>
          <w:highlight w:val="white"/>
        </w:rPr>
        <w:t xml:space="preserve">, </w:t>
      </w:r>
      <w:r>
        <w:rPr>
          <w:i/>
          <w:color w:val="222222"/>
          <w:highlight w:val="white"/>
        </w:rPr>
        <w:t>64</w:t>
      </w:r>
      <w:r>
        <w:rPr>
          <w:color w:val="222222"/>
          <w:highlight w:val="white"/>
        </w:rPr>
        <w:t>(3), pp.322-337.</w:t>
      </w:r>
    </w:p>
    <w:p w14:paraId="00000023" w14:textId="77777777" w:rsidR="006601C9" w:rsidRDefault="00000000">
      <w:pPr>
        <w:rPr>
          <w:color w:val="222222"/>
          <w:highlight w:val="white"/>
        </w:rPr>
      </w:pPr>
      <w:proofErr w:type="spellStart"/>
      <w:r>
        <w:rPr>
          <w:color w:val="222222"/>
          <w:highlight w:val="white"/>
        </w:rPr>
        <w:t>Filimonau</w:t>
      </w:r>
      <w:proofErr w:type="spellEnd"/>
      <w:r>
        <w:rPr>
          <w:color w:val="222222"/>
          <w:highlight w:val="white"/>
        </w:rPr>
        <w:t xml:space="preserve">, V. (2021). The prospects of waste management in the hospitality sector post COVID-19. </w:t>
      </w:r>
      <w:r>
        <w:rPr>
          <w:i/>
          <w:color w:val="222222"/>
          <w:highlight w:val="white"/>
        </w:rPr>
        <w:t>Resources, Conservation and Recycling</w:t>
      </w:r>
      <w:r>
        <w:rPr>
          <w:color w:val="222222"/>
          <w:highlight w:val="white"/>
        </w:rPr>
        <w:t xml:space="preserve">, </w:t>
      </w:r>
      <w:r>
        <w:rPr>
          <w:i/>
          <w:color w:val="222222"/>
          <w:highlight w:val="white"/>
        </w:rPr>
        <w:t>168</w:t>
      </w:r>
      <w:r>
        <w:rPr>
          <w:color w:val="222222"/>
          <w:highlight w:val="white"/>
        </w:rPr>
        <w:t>, p.105272.</w:t>
      </w:r>
    </w:p>
    <w:p w14:paraId="00000024" w14:textId="77777777" w:rsidR="006601C9" w:rsidRDefault="00000000">
      <w:pPr>
        <w:rPr>
          <w:color w:val="222222"/>
          <w:highlight w:val="white"/>
        </w:rPr>
      </w:pPr>
      <w:r>
        <w:rPr>
          <w:color w:val="222222"/>
          <w:highlight w:val="white"/>
        </w:rPr>
        <w:t xml:space="preserve">Font, X., English, R., </w:t>
      </w:r>
      <w:proofErr w:type="spellStart"/>
      <w:r>
        <w:rPr>
          <w:color w:val="222222"/>
          <w:highlight w:val="white"/>
        </w:rPr>
        <w:t>Gkritzali</w:t>
      </w:r>
      <w:proofErr w:type="spellEnd"/>
      <w:r>
        <w:rPr>
          <w:color w:val="222222"/>
          <w:highlight w:val="white"/>
        </w:rPr>
        <w:t xml:space="preserve">, A. and Tian, W.S. (2021). Value co-creation in sustainable tourism: A service-dominant logic approach. </w:t>
      </w:r>
      <w:r>
        <w:rPr>
          <w:i/>
          <w:color w:val="222222"/>
          <w:highlight w:val="white"/>
        </w:rPr>
        <w:t>Tourism Management</w:t>
      </w:r>
      <w:r>
        <w:rPr>
          <w:color w:val="222222"/>
          <w:highlight w:val="white"/>
        </w:rPr>
        <w:t xml:space="preserve">, </w:t>
      </w:r>
      <w:r>
        <w:rPr>
          <w:i/>
          <w:color w:val="222222"/>
          <w:highlight w:val="white"/>
        </w:rPr>
        <w:t>82</w:t>
      </w:r>
      <w:r>
        <w:rPr>
          <w:color w:val="222222"/>
          <w:highlight w:val="white"/>
        </w:rPr>
        <w:t>, p.104200.</w:t>
      </w:r>
    </w:p>
    <w:p w14:paraId="00000025" w14:textId="77777777" w:rsidR="006601C9" w:rsidRDefault="00000000">
      <w:pPr>
        <w:rPr>
          <w:color w:val="222222"/>
          <w:highlight w:val="white"/>
        </w:rPr>
      </w:pPr>
      <w:proofErr w:type="spellStart"/>
      <w:r>
        <w:rPr>
          <w:color w:val="222222"/>
          <w:highlight w:val="white"/>
        </w:rPr>
        <w:t>Haski</w:t>
      </w:r>
      <w:proofErr w:type="spellEnd"/>
      <w:r>
        <w:rPr>
          <w:color w:val="222222"/>
          <w:highlight w:val="white"/>
        </w:rPr>
        <w:t xml:space="preserve">-Leventhal, D. (2018). </w:t>
      </w:r>
      <w:r>
        <w:rPr>
          <w:i/>
          <w:color w:val="222222"/>
          <w:highlight w:val="white"/>
        </w:rPr>
        <w:t>Strategic corporate social responsibility: Tools and theories for responsible management</w:t>
      </w:r>
      <w:r>
        <w:rPr>
          <w:color w:val="222222"/>
          <w:highlight w:val="white"/>
        </w:rPr>
        <w:t>. Sage.</w:t>
      </w:r>
    </w:p>
    <w:p w14:paraId="00000026" w14:textId="77777777" w:rsidR="006601C9" w:rsidRDefault="00000000">
      <w:pPr>
        <w:rPr>
          <w:color w:val="222222"/>
          <w:highlight w:val="white"/>
        </w:rPr>
      </w:pPr>
      <w:r>
        <w:rPr>
          <w:color w:val="222222"/>
          <w:highlight w:val="white"/>
        </w:rPr>
        <w:t xml:space="preserve">Hudiburgh, G.W. (2020). The Clean Water Act. In </w:t>
      </w:r>
      <w:r>
        <w:rPr>
          <w:i/>
          <w:color w:val="222222"/>
          <w:highlight w:val="white"/>
        </w:rPr>
        <w:t>Fundamentals of Aquatic Toxicology</w:t>
      </w:r>
      <w:r>
        <w:rPr>
          <w:color w:val="222222"/>
          <w:highlight w:val="white"/>
        </w:rPr>
        <w:t xml:space="preserve"> (pp. 717-733). CRC Press.</w:t>
      </w:r>
    </w:p>
    <w:p w14:paraId="00000027" w14:textId="77777777" w:rsidR="006601C9" w:rsidRDefault="00000000">
      <w:pPr>
        <w:rPr>
          <w:color w:val="222222"/>
          <w:highlight w:val="white"/>
        </w:rPr>
      </w:pPr>
      <w:r>
        <w:rPr>
          <w:color w:val="222222"/>
          <w:highlight w:val="white"/>
        </w:rPr>
        <w:t xml:space="preserve">Hunton Andrews Kurth LLP (2023). </w:t>
      </w:r>
      <w:r>
        <w:rPr>
          <w:i/>
          <w:color w:val="222222"/>
          <w:highlight w:val="white"/>
        </w:rPr>
        <w:t>Clean air handbook</w:t>
      </w:r>
      <w:r>
        <w:rPr>
          <w:color w:val="222222"/>
          <w:highlight w:val="white"/>
        </w:rPr>
        <w:t>. Rowman &amp; Littlefield.</w:t>
      </w:r>
    </w:p>
    <w:p w14:paraId="00000028" w14:textId="77777777" w:rsidR="006601C9" w:rsidRDefault="00000000">
      <w:pPr>
        <w:rPr>
          <w:color w:val="222222"/>
          <w:highlight w:val="white"/>
        </w:rPr>
      </w:pPr>
      <w:proofErr w:type="spellStart"/>
      <w:r>
        <w:rPr>
          <w:color w:val="222222"/>
          <w:highlight w:val="white"/>
        </w:rPr>
        <w:t>Inkson</w:t>
      </w:r>
      <w:proofErr w:type="spellEnd"/>
      <w:r>
        <w:rPr>
          <w:color w:val="222222"/>
          <w:highlight w:val="white"/>
        </w:rPr>
        <w:t xml:space="preserve">, C. and Minnaert, L. (2022). </w:t>
      </w:r>
      <w:r>
        <w:rPr>
          <w:i/>
          <w:color w:val="222222"/>
          <w:highlight w:val="white"/>
        </w:rPr>
        <w:t>Tourism management: an introduction</w:t>
      </w:r>
      <w:r>
        <w:rPr>
          <w:color w:val="222222"/>
          <w:highlight w:val="white"/>
        </w:rPr>
        <w:t>. Sage.</w:t>
      </w:r>
    </w:p>
    <w:p w14:paraId="00000029" w14:textId="77777777" w:rsidR="006601C9" w:rsidRDefault="00000000">
      <w:pPr>
        <w:rPr>
          <w:color w:val="222222"/>
          <w:highlight w:val="white"/>
        </w:rPr>
      </w:pPr>
      <w:proofErr w:type="spellStart"/>
      <w:r>
        <w:rPr>
          <w:color w:val="222222"/>
          <w:highlight w:val="white"/>
        </w:rPr>
        <w:t>Korstanje</w:t>
      </w:r>
      <w:proofErr w:type="spellEnd"/>
      <w:r>
        <w:rPr>
          <w:color w:val="222222"/>
          <w:highlight w:val="white"/>
        </w:rPr>
        <w:t xml:space="preserve">, M.E., George, B. and Nedelea, A.M. eds., (2020). </w:t>
      </w:r>
      <w:r>
        <w:rPr>
          <w:i/>
          <w:color w:val="222222"/>
          <w:highlight w:val="white"/>
        </w:rPr>
        <w:t>Strategies for promoting sustainable hospitality and tourism services</w:t>
      </w:r>
      <w:r>
        <w:rPr>
          <w:color w:val="222222"/>
          <w:highlight w:val="white"/>
        </w:rPr>
        <w:t>. IGI Global.</w:t>
      </w:r>
    </w:p>
    <w:p w14:paraId="0000002A" w14:textId="77777777" w:rsidR="006601C9" w:rsidRDefault="00000000">
      <w:pPr>
        <w:rPr>
          <w:color w:val="222222"/>
          <w:highlight w:val="white"/>
        </w:rPr>
      </w:pPr>
      <w:r>
        <w:rPr>
          <w:color w:val="222222"/>
          <w:highlight w:val="white"/>
        </w:rPr>
        <w:t>Marin-</w:t>
      </w:r>
      <w:proofErr w:type="spellStart"/>
      <w:r>
        <w:rPr>
          <w:color w:val="222222"/>
          <w:highlight w:val="white"/>
        </w:rPr>
        <w:t>Pantelescu</w:t>
      </w:r>
      <w:proofErr w:type="spellEnd"/>
      <w:r>
        <w:rPr>
          <w:color w:val="222222"/>
          <w:highlight w:val="white"/>
        </w:rPr>
        <w:t xml:space="preserve">, A. (2021). CSR in the Tourism Industry. In </w:t>
      </w:r>
      <w:r>
        <w:rPr>
          <w:i/>
          <w:color w:val="222222"/>
          <w:highlight w:val="white"/>
        </w:rPr>
        <w:t>CSR and Management Accounting Challenges in a Time of Global Crises</w:t>
      </w:r>
      <w:r>
        <w:rPr>
          <w:color w:val="222222"/>
          <w:highlight w:val="white"/>
        </w:rPr>
        <w:t xml:space="preserve"> (pp. 103-127). IGI Global.</w:t>
      </w:r>
    </w:p>
    <w:p w14:paraId="0000002B" w14:textId="77777777" w:rsidR="006601C9" w:rsidRDefault="00000000">
      <w:pPr>
        <w:rPr>
          <w:color w:val="222222"/>
          <w:highlight w:val="white"/>
        </w:rPr>
      </w:pPr>
      <w:r>
        <w:rPr>
          <w:color w:val="222222"/>
          <w:highlight w:val="white"/>
        </w:rPr>
        <w:lastRenderedPageBreak/>
        <w:t xml:space="preserve">Marriott International (2023). </w:t>
      </w:r>
      <w:r>
        <w:rPr>
          <w:i/>
          <w:color w:val="222222"/>
          <w:highlight w:val="white"/>
        </w:rPr>
        <w:t>Environmental, Social, and Governance Progress 2023 SERVE 360 REPORT HIGHLIGHTS 2</w:t>
      </w:r>
      <w:r>
        <w:rPr>
          <w:color w:val="222222"/>
          <w:highlight w:val="white"/>
        </w:rPr>
        <w:t>. [online] Available at: https://serve360.marriott.com/wp-content/uploads/2023/07/Marriott-2023-Serve-360-ESG-Highlights-accessible.pdf.</w:t>
      </w:r>
    </w:p>
    <w:p w14:paraId="0000002C" w14:textId="77777777" w:rsidR="006601C9" w:rsidRDefault="00000000">
      <w:pPr>
        <w:rPr>
          <w:color w:val="222222"/>
          <w:highlight w:val="white"/>
        </w:rPr>
      </w:pPr>
      <w:r>
        <w:rPr>
          <w:color w:val="222222"/>
          <w:highlight w:val="white"/>
        </w:rPr>
        <w:t xml:space="preserve">Marriott International (2023). </w:t>
      </w:r>
      <w:r>
        <w:rPr>
          <w:i/>
          <w:color w:val="222222"/>
          <w:highlight w:val="white"/>
        </w:rPr>
        <w:t>Our Tradition of Integrity Business Conduct Guide</w:t>
      </w:r>
      <w:r>
        <w:rPr>
          <w:color w:val="222222"/>
          <w:highlight w:val="white"/>
        </w:rPr>
        <w:t>. [online] Available at: https://marriott.gcs-web.com/static-files/23f68c46-72f6-4b96-b888-024b162a4423.</w:t>
      </w:r>
    </w:p>
    <w:p w14:paraId="0000002D" w14:textId="77777777" w:rsidR="006601C9" w:rsidRDefault="00000000">
      <w:pPr>
        <w:rPr>
          <w:color w:val="222222"/>
          <w:highlight w:val="white"/>
        </w:rPr>
      </w:pPr>
      <w:r>
        <w:rPr>
          <w:color w:val="222222"/>
          <w:highlight w:val="white"/>
        </w:rPr>
        <w:t xml:space="preserve">Neupane, R. and Khanal, T.R., (2022). Evaluation of The Impacts of Training on Employee Performance in The UK Hotel Industry: An Analysis of Employees’ Perspectives at Marriott International. </w:t>
      </w:r>
      <w:r>
        <w:rPr>
          <w:i/>
          <w:color w:val="222222"/>
          <w:highlight w:val="white"/>
        </w:rPr>
        <w:t>International Journal of Research-GRANTHAALAYAH</w:t>
      </w:r>
      <w:r>
        <w:rPr>
          <w:color w:val="222222"/>
          <w:highlight w:val="white"/>
        </w:rPr>
        <w:t xml:space="preserve">, </w:t>
      </w:r>
      <w:r>
        <w:rPr>
          <w:i/>
          <w:color w:val="222222"/>
          <w:highlight w:val="white"/>
        </w:rPr>
        <w:t>10</w:t>
      </w:r>
      <w:r>
        <w:rPr>
          <w:color w:val="222222"/>
          <w:highlight w:val="white"/>
        </w:rPr>
        <w:t>(3), pp.57-85.</w:t>
      </w:r>
    </w:p>
    <w:p w14:paraId="0000002E" w14:textId="77777777" w:rsidR="006601C9" w:rsidRDefault="00000000">
      <w:pPr>
        <w:rPr>
          <w:color w:val="222222"/>
          <w:highlight w:val="white"/>
        </w:rPr>
      </w:pPr>
      <w:r>
        <w:rPr>
          <w:color w:val="222222"/>
          <w:highlight w:val="white"/>
        </w:rPr>
        <w:t>Qadir, S.A., Al-</w:t>
      </w:r>
      <w:proofErr w:type="spellStart"/>
      <w:r>
        <w:rPr>
          <w:color w:val="222222"/>
          <w:highlight w:val="white"/>
        </w:rPr>
        <w:t>Motairi</w:t>
      </w:r>
      <w:proofErr w:type="spellEnd"/>
      <w:r>
        <w:rPr>
          <w:color w:val="222222"/>
          <w:highlight w:val="white"/>
        </w:rPr>
        <w:t>, H., Tahir, F. and Al-</w:t>
      </w:r>
      <w:proofErr w:type="spellStart"/>
      <w:r>
        <w:rPr>
          <w:color w:val="222222"/>
          <w:highlight w:val="white"/>
        </w:rPr>
        <w:t>Fagih</w:t>
      </w:r>
      <w:proofErr w:type="spellEnd"/>
      <w:r>
        <w:rPr>
          <w:color w:val="222222"/>
          <w:highlight w:val="white"/>
        </w:rPr>
        <w:t xml:space="preserve">, L. (2021). Incentives and strategies for financing the renewable energy transition: A review. </w:t>
      </w:r>
      <w:r>
        <w:rPr>
          <w:i/>
          <w:color w:val="222222"/>
          <w:highlight w:val="white"/>
        </w:rPr>
        <w:t>Energy Reports</w:t>
      </w:r>
      <w:r>
        <w:rPr>
          <w:color w:val="222222"/>
          <w:highlight w:val="white"/>
        </w:rPr>
        <w:t xml:space="preserve">, </w:t>
      </w:r>
      <w:r>
        <w:rPr>
          <w:i/>
          <w:color w:val="222222"/>
          <w:highlight w:val="white"/>
        </w:rPr>
        <w:t>7</w:t>
      </w:r>
      <w:r>
        <w:rPr>
          <w:color w:val="222222"/>
          <w:highlight w:val="white"/>
        </w:rPr>
        <w:t>, pp.3590-3606.</w:t>
      </w:r>
    </w:p>
    <w:p w14:paraId="0000002F" w14:textId="77777777" w:rsidR="006601C9" w:rsidRDefault="00000000">
      <w:pPr>
        <w:rPr>
          <w:color w:val="222222"/>
          <w:highlight w:val="white"/>
        </w:rPr>
      </w:pPr>
      <w:r>
        <w:rPr>
          <w:color w:val="222222"/>
          <w:highlight w:val="white"/>
        </w:rPr>
        <w:t xml:space="preserve">Saad, N.A., </w:t>
      </w:r>
      <w:proofErr w:type="spellStart"/>
      <w:r>
        <w:rPr>
          <w:color w:val="222222"/>
          <w:highlight w:val="white"/>
        </w:rPr>
        <w:t>Elgazzar</w:t>
      </w:r>
      <w:proofErr w:type="spellEnd"/>
      <w:r>
        <w:rPr>
          <w:color w:val="222222"/>
          <w:highlight w:val="white"/>
        </w:rPr>
        <w:t xml:space="preserve">, S. and </w:t>
      </w:r>
      <w:proofErr w:type="spellStart"/>
      <w:r>
        <w:rPr>
          <w:color w:val="222222"/>
          <w:highlight w:val="white"/>
        </w:rPr>
        <w:t>Mlaker</w:t>
      </w:r>
      <w:proofErr w:type="spellEnd"/>
      <w:r>
        <w:rPr>
          <w:color w:val="222222"/>
          <w:highlight w:val="white"/>
        </w:rPr>
        <w:t xml:space="preserve"> Kac, S. (2022). Investigating the Impact of resilience, responsiveness, and quality on customer loyalty of MSMEs: Empirical evidence. </w:t>
      </w:r>
      <w:r>
        <w:rPr>
          <w:i/>
          <w:color w:val="222222"/>
          <w:highlight w:val="white"/>
        </w:rPr>
        <w:t>Sustainability</w:t>
      </w:r>
      <w:r>
        <w:rPr>
          <w:color w:val="222222"/>
          <w:highlight w:val="white"/>
        </w:rPr>
        <w:t xml:space="preserve">, </w:t>
      </w:r>
      <w:r>
        <w:rPr>
          <w:i/>
          <w:color w:val="222222"/>
          <w:highlight w:val="white"/>
        </w:rPr>
        <w:t>14</w:t>
      </w:r>
      <w:r>
        <w:rPr>
          <w:color w:val="222222"/>
          <w:highlight w:val="white"/>
        </w:rPr>
        <w:t>(9), p.5011.</w:t>
      </w:r>
    </w:p>
    <w:p w14:paraId="00000030" w14:textId="77777777" w:rsidR="006601C9" w:rsidRDefault="00000000">
      <w:pPr>
        <w:rPr>
          <w:color w:val="222222"/>
          <w:highlight w:val="white"/>
        </w:rPr>
      </w:pPr>
      <w:proofErr w:type="spellStart"/>
      <w:r>
        <w:rPr>
          <w:color w:val="222222"/>
          <w:highlight w:val="white"/>
        </w:rPr>
        <w:t>Sanvitale</w:t>
      </w:r>
      <w:proofErr w:type="spellEnd"/>
      <w:r>
        <w:rPr>
          <w:color w:val="222222"/>
          <w:highlight w:val="white"/>
        </w:rPr>
        <w:t>, A.L. (2020). Corporate Social Responsibility in the Hotel Industry: A Study of Marriott International and Odyssey Hotel Group.</w:t>
      </w:r>
    </w:p>
    <w:p w14:paraId="00000031" w14:textId="77777777" w:rsidR="006601C9" w:rsidRDefault="00000000">
      <w:pPr>
        <w:rPr>
          <w:color w:val="222222"/>
          <w:highlight w:val="white"/>
        </w:rPr>
      </w:pPr>
      <w:r>
        <w:rPr>
          <w:color w:val="222222"/>
          <w:highlight w:val="white"/>
        </w:rPr>
        <w:t>Selin, J. (2022). More than just a workplace: A case study of diversity, equity, and inclusion in Marriott International Inc. hotels.</w:t>
      </w:r>
    </w:p>
    <w:p w14:paraId="00000032" w14:textId="77777777" w:rsidR="006601C9" w:rsidRDefault="00000000">
      <w:pPr>
        <w:rPr>
          <w:color w:val="222222"/>
          <w:highlight w:val="white"/>
        </w:rPr>
      </w:pPr>
      <w:r>
        <w:rPr>
          <w:color w:val="222222"/>
          <w:highlight w:val="white"/>
        </w:rPr>
        <w:t xml:space="preserve">Sloan, P., Legrand, W. and Chen, J.S. (2017) </w:t>
      </w:r>
      <w:r>
        <w:rPr>
          <w:i/>
          <w:color w:val="222222"/>
          <w:highlight w:val="white"/>
        </w:rPr>
        <w:t xml:space="preserve">Sustainability in the hospitality </w:t>
      </w:r>
      <w:proofErr w:type="gramStart"/>
      <w:r>
        <w:rPr>
          <w:i/>
          <w:color w:val="222222"/>
          <w:highlight w:val="white"/>
        </w:rPr>
        <w:t>industry :</w:t>
      </w:r>
      <w:proofErr w:type="gramEnd"/>
      <w:r>
        <w:rPr>
          <w:i/>
          <w:color w:val="222222"/>
          <w:highlight w:val="white"/>
        </w:rPr>
        <w:t xml:space="preserve"> principles of sustainable operations</w:t>
      </w:r>
      <w:r>
        <w:rPr>
          <w:color w:val="222222"/>
          <w:highlight w:val="white"/>
        </w:rPr>
        <w:t xml:space="preserve">. 3rd </w:t>
      </w:r>
      <w:proofErr w:type="spellStart"/>
      <w:r>
        <w:rPr>
          <w:color w:val="222222"/>
          <w:highlight w:val="white"/>
        </w:rPr>
        <w:t>edn</w:t>
      </w:r>
      <w:proofErr w:type="spellEnd"/>
      <w:r>
        <w:rPr>
          <w:color w:val="222222"/>
          <w:highlight w:val="white"/>
        </w:rPr>
        <w:t xml:space="preserve">. London: Butterworth-Heinemann. </w:t>
      </w:r>
    </w:p>
    <w:p w14:paraId="00000033" w14:textId="77777777" w:rsidR="006601C9" w:rsidRDefault="00000000">
      <w:pPr>
        <w:rPr>
          <w:color w:val="222222"/>
          <w:highlight w:val="white"/>
        </w:rPr>
      </w:pPr>
      <w:r>
        <w:rPr>
          <w:color w:val="222222"/>
          <w:highlight w:val="white"/>
        </w:rPr>
        <w:t xml:space="preserve">Vlasceanu, C., Tenie, I. and </w:t>
      </w:r>
      <w:proofErr w:type="spellStart"/>
      <w:r>
        <w:rPr>
          <w:color w:val="222222"/>
          <w:highlight w:val="white"/>
        </w:rPr>
        <w:t>Crismariu</w:t>
      </w:r>
      <w:proofErr w:type="spellEnd"/>
      <w:r>
        <w:rPr>
          <w:color w:val="222222"/>
          <w:highlight w:val="white"/>
        </w:rPr>
        <w:t xml:space="preserve">, O. (2020). Global sustainability and responsibility in hotels and cruising industry. In </w:t>
      </w:r>
      <w:r>
        <w:rPr>
          <w:i/>
          <w:color w:val="222222"/>
          <w:highlight w:val="white"/>
        </w:rPr>
        <w:t>Proceedings of the International Conference on Business Excellence</w:t>
      </w:r>
      <w:r>
        <w:rPr>
          <w:color w:val="222222"/>
          <w:highlight w:val="white"/>
        </w:rPr>
        <w:t xml:space="preserve"> (Vol. 14, No. 1, pp. 306-315).</w:t>
      </w:r>
    </w:p>
    <w:sectPr w:rsidR="006601C9">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FA3E7A" w14:textId="77777777" w:rsidR="00625B7D" w:rsidRDefault="00625B7D">
      <w:pPr>
        <w:spacing w:after="0" w:line="240" w:lineRule="auto"/>
      </w:pPr>
      <w:r>
        <w:separator/>
      </w:r>
    </w:p>
  </w:endnote>
  <w:endnote w:type="continuationSeparator" w:id="0">
    <w:p w14:paraId="5241EEFD" w14:textId="77777777" w:rsidR="00625B7D" w:rsidRDefault="0062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4" w14:textId="0DE43F2C" w:rsidR="006601C9" w:rsidRDefault="00000000">
    <w:pPr>
      <w:jc w:val="right"/>
    </w:pPr>
    <w:r>
      <w:fldChar w:fldCharType="begin"/>
    </w:r>
    <w:r>
      <w:instrText>PAGE</w:instrText>
    </w:r>
    <w:r>
      <w:fldChar w:fldCharType="separate"/>
    </w:r>
    <w:r w:rsidR="003B1B7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133C4A" w14:textId="77777777" w:rsidR="00625B7D" w:rsidRDefault="00625B7D">
      <w:pPr>
        <w:spacing w:after="0" w:line="240" w:lineRule="auto"/>
      </w:pPr>
      <w:r>
        <w:separator/>
      </w:r>
    </w:p>
  </w:footnote>
  <w:footnote w:type="continuationSeparator" w:id="0">
    <w:p w14:paraId="381262B9" w14:textId="77777777" w:rsidR="00625B7D" w:rsidRDefault="00625B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1C9"/>
    <w:rsid w:val="00157B14"/>
    <w:rsid w:val="00162CC3"/>
    <w:rsid w:val="003B1B7F"/>
    <w:rsid w:val="00625B7D"/>
    <w:rsid w:val="006601C9"/>
    <w:rsid w:val="006E3283"/>
    <w:rsid w:val="00DE78E8"/>
    <w:rsid w:val="00E36C7E"/>
    <w:rsid w:val="00FF5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BACDB"/>
  <w15:docId w15:val="{B2ACED5E-A13A-4109-8089-B7C71AD27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657691">
      <w:bodyDiv w:val="1"/>
      <w:marLeft w:val="0"/>
      <w:marRight w:val="0"/>
      <w:marTop w:val="0"/>
      <w:marBottom w:val="0"/>
      <w:divBdr>
        <w:top w:val="none" w:sz="0" w:space="0" w:color="auto"/>
        <w:left w:val="none" w:sz="0" w:space="0" w:color="auto"/>
        <w:bottom w:val="none" w:sz="0" w:space="0" w:color="auto"/>
        <w:right w:val="none" w:sz="0" w:space="0" w:color="auto"/>
      </w:divBdr>
    </w:div>
    <w:div w:id="677082393">
      <w:bodyDiv w:val="1"/>
      <w:marLeft w:val="0"/>
      <w:marRight w:val="0"/>
      <w:marTop w:val="0"/>
      <w:marBottom w:val="0"/>
      <w:divBdr>
        <w:top w:val="none" w:sz="0" w:space="0" w:color="auto"/>
        <w:left w:val="none" w:sz="0" w:space="0" w:color="auto"/>
        <w:bottom w:val="none" w:sz="0" w:space="0" w:color="auto"/>
        <w:right w:val="none" w:sz="0" w:space="0" w:color="auto"/>
      </w:divBdr>
    </w:div>
    <w:div w:id="878203647">
      <w:bodyDiv w:val="1"/>
      <w:marLeft w:val="0"/>
      <w:marRight w:val="0"/>
      <w:marTop w:val="0"/>
      <w:marBottom w:val="0"/>
      <w:divBdr>
        <w:top w:val="none" w:sz="0" w:space="0" w:color="auto"/>
        <w:left w:val="none" w:sz="0" w:space="0" w:color="auto"/>
        <w:bottom w:val="none" w:sz="0" w:space="0" w:color="auto"/>
        <w:right w:val="none" w:sz="0" w:space="0" w:color="auto"/>
      </w:divBdr>
    </w:div>
    <w:div w:id="1117145486">
      <w:bodyDiv w:val="1"/>
      <w:marLeft w:val="0"/>
      <w:marRight w:val="0"/>
      <w:marTop w:val="0"/>
      <w:marBottom w:val="0"/>
      <w:divBdr>
        <w:top w:val="none" w:sz="0" w:space="0" w:color="auto"/>
        <w:left w:val="none" w:sz="0" w:space="0" w:color="auto"/>
        <w:bottom w:val="none" w:sz="0" w:space="0" w:color="auto"/>
        <w:right w:val="none" w:sz="0" w:space="0" w:color="auto"/>
      </w:divBdr>
    </w:div>
    <w:div w:id="1523124272">
      <w:bodyDiv w:val="1"/>
      <w:marLeft w:val="0"/>
      <w:marRight w:val="0"/>
      <w:marTop w:val="0"/>
      <w:marBottom w:val="0"/>
      <w:divBdr>
        <w:top w:val="none" w:sz="0" w:space="0" w:color="auto"/>
        <w:left w:val="none" w:sz="0" w:space="0" w:color="auto"/>
        <w:bottom w:val="none" w:sz="0" w:space="0" w:color="auto"/>
        <w:right w:val="none" w:sz="0" w:space="0" w:color="auto"/>
      </w:divBdr>
    </w:div>
    <w:div w:id="1714963559">
      <w:bodyDiv w:val="1"/>
      <w:marLeft w:val="0"/>
      <w:marRight w:val="0"/>
      <w:marTop w:val="0"/>
      <w:marBottom w:val="0"/>
      <w:divBdr>
        <w:top w:val="none" w:sz="0" w:space="0" w:color="auto"/>
        <w:left w:val="none" w:sz="0" w:space="0" w:color="auto"/>
        <w:bottom w:val="none" w:sz="0" w:space="0" w:color="auto"/>
        <w:right w:val="none" w:sz="0" w:space="0" w:color="auto"/>
      </w:divBdr>
    </w:div>
    <w:div w:id="17812240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2871</Words>
  <Characters>16368</Characters>
  <Application>Microsoft Office Word</Application>
  <DocSecurity>0</DocSecurity>
  <Lines>136</Lines>
  <Paragraphs>38</Paragraphs>
  <ScaleCrop>false</ScaleCrop>
  <Company/>
  <LinksUpToDate>false</LinksUpToDate>
  <CharactersWithSpaces>19201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 Stefanescu</cp:lastModifiedBy>
  <cp:revision>5</cp:revision>
  <dcterms:created xsi:type="dcterms:W3CDTF">2024-10-21T19:49:00Z</dcterms:created>
  <dcterms:modified xsi:type="dcterms:W3CDTF">2024-10-21T20:03:00Z</dcterms:modified>
</cp:coreProperties>
</file>