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02831" w14:textId="77777777" w:rsidR="002D34A3" w:rsidRPr="00F23650" w:rsidRDefault="002D34A3" w:rsidP="002D34A3">
      <w:pPr>
        <w:spacing w:line="259" w:lineRule="auto"/>
        <w:jc w:val="center"/>
        <w:rPr>
          <w:rFonts w:cs="Arial"/>
          <w:b/>
          <w:bCs/>
        </w:rPr>
      </w:pPr>
    </w:p>
    <w:p w14:paraId="7A22940A" w14:textId="77777777" w:rsidR="002D34A3" w:rsidRPr="00F23650" w:rsidRDefault="002D34A3" w:rsidP="002D34A3">
      <w:pPr>
        <w:spacing w:line="259" w:lineRule="auto"/>
        <w:jc w:val="center"/>
        <w:rPr>
          <w:rFonts w:cs="Arial"/>
          <w:b/>
          <w:bCs/>
        </w:rPr>
      </w:pPr>
    </w:p>
    <w:p w14:paraId="6DC3C55A" w14:textId="77777777" w:rsidR="002D34A3" w:rsidRPr="00F23650" w:rsidRDefault="002D34A3" w:rsidP="002D34A3">
      <w:pPr>
        <w:spacing w:line="259" w:lineRule="auto"/>
        <w:jc w:val="center"/>
        <w:rPr>
          <w:rFonts w:cs="Arial"/>
          <w:b/>
          <w:bCs/>
        </w:rPr>
      </w:pPr>
    </w:p>
    <w:p w14:paraId="0FB9D7CB" w14:textId="77777777" w:rsidR="002D34A3" w:rsidRPr="00F23650" w:rsidRDefault="002D34A3" w:rsidP="002D34A3">
      <w:pPr>
        <w:spacing w:line="259" w:lineRule="auto"/>
        <w:jc w:val="center"/>
        <w:rPr>
          <w:rFonts w:cs="Arial"/>
          <w:b/>
          <w:bCs/>
        </w:rPr>
      </w:pPr>
    </w:p>
    <w:p w14:paraId="545DA121" w14:textId="77777777" w:rsidR="002D34A3" w:rsidRPr="00F23650" w:rsidRDefault="002D34A3" w:rsidP="002D34A3">
      <w:pPr>
        <w:spacing w:line="259" w:lineRule="auto"/>
        <w:jc w:val="center"/>
        <w:rPr>
          <w:rFonts w:cs="Arial"/>
          <w:b/>
          <w:bCs/>
        </w:rPr>
      </w:pPr>
    </w:p>
    <w:p w14:paraId="19DDD258" w14:textId="77777777" w:rsidR="002D34A3" w:rsidRPr="00997080" w:rsidRDefault="002D34A3" w:rsidP="002D34A3">
      <w:pPr>
        <w:spacing w:line="259" w:lineRule="auto"/>
        <w:jc w:val="center"/>
        <w:rPr>
          <w:rFonts w:cs="Arial"/>
          <w:b/>
          <w:bCs/>
        </w:rPr>
      </w:pPr>
    </w:p>
    <w:p w14:paraId="0D06791B" w14:textId="77777777" w:rsidR="002D34A3" w:rsidRPr="00997080" w:rsidRDefault="002D34A3" w:rsidP="002D34A3">
      <w:pPr>
        <w:spacing w:line="259" w:lineRule="auto"/>
        <w:jc w:val="center"/>
        <w:rPr>
          <w:rFonts w:cs="Arial"/>
          <w:b/>
          <w:bCs/>
        </w:rPr>
      </w:pPr>
    </w:p>
    <w:p w14:paraId="439D73C6" w14:textId="77777777" w:rsidR="002D34A3" w:rsidRPr="00997080" w:rsidRDefault="002D34A3" w:rsidP="002D34A3">
      <w:pPr>
        <w:spacing w:line="259" w:lineRule="auto"/>
        <w:jc w:val="center"/>
        <w:rPr>
          <w:rFonts w:cs="Arial"/>
          <w:b/>
          <w:bCs/>
        </w:rPr>
      </w:pPr>
    </w:p>
    <w:p w14:paraId="68DE6A63" w14:textId="77777777" w:rsidR="002D34A3" w:rsidRPr="00997080" w:rsidRDefault="002D34A3" w:rsidP="002D34A3">
      <w:pPr>
        <w:spacing w:line="259" w:lineRule="auto"/>
        <w:jc w:val="center"/>
        <w:rPr>
          <w:rFonts w:cs="Arial"/>
          <w:b/>
          <w:bCs/>
        </w:rPr>
      </w:pPr>
    </w:p>
    <w:p w14:paraId="32568F27" w14:textId="77777777" w:rsidR="002D34A3" w:rsidRPr="00997080" w:rsidRDefault="002D34A3" w:rsidP="002D34A3">
      <w:pPr>
        <w:spacing w:line="259" w:lineRule="auto"/>
        <w:jc w:val="center"/>
        <w:rPr>
          <w:rFonts w:cs="Arial"/>
          <w:b/>
          <w:bCs/>
        </w:rPr>
      </w:pPr>
    </w:p>
    <w:p w14:paraId="38F0367A" w14:textId="77777777" w:rsidR="00EA76BD" w:rsidRPr="001B347E" w:rsidRDefault="00EA76BD" w:rsidP="00EA76BD">
      <w:pPr>
        <w:spacing w:line="259" w:lineRule="auto"/>
        <w:rPr>
          <w:b/>
          <w:bCs/>
        </w:rPr>
      </w:pPr>
    </w:p>
    <w:p w14:paraId="7266BD89" w14:textId="634957FF" w:rsidR="00EA76BD" w:rsidRDefault="00EA76BD" w:rsidP="00EA76BD">
      <w:pPr>
        <w:spacing w:line="259" w:lineRule="auto"/>
        <w:jc w:val="center"/>
        <w:rPr>
          <w:b/>
          <w:bCs/>
        </w:rPr>
      </w:pPr>
      <w:r w:rsidRPr="001D15D0">
        <w:rPr>
          <w:b/>
          <w:bCs/>
        </w:rPr>
        <w:t>Leading and Implementing Change</w:t>
      </w:r>
      <w:r>
        <w:rPr>
          <w:b/>
          <w:bCs/>
        </w:rPr>
        <w:t xml:space="preserve"> </w:t>
      </w:r>
      <w:r w:rsidRPr="00997080">
        <w:rPr>
          <w:rFonts w:cs="Arial"/>
          <w:b/>
          <w:bCs/>
        </w:rPr>
        <w:t>in Ford</w:t>
      </w:r>
      <w:r w:rsidR="00965626">
        <w:rPr>
          <w:rFonts w:cs="Arial"/>
          <w:b/>
          <w:bCs/>
        </w:rPr>
        <w:t xml:space="preserve"> </w:t>
      </w:r>
      <w:r w:rsidR="004A3820">
        <w:rPr>
          <w:rFonts w:cs="Arial"/>
          <w:b/>
          <w:bCs/>
        </w:rPr>
        <w:t>A</w:t>
      </w:r>
      <w:r w:rsidR="00965626">
        <w:rPr>
          <w:rFonts w:cs="Arial"/>
          <w:b/>
          <w:bCs/>
        </w:rPr>
        <w:t>utomobile</w:t>
      </w:r>
      <w:r w:rsidR="004A3820">
        <w:rPr>
          <w:rFonts w:cs="Arial"/>
          <w:b/>
          <w:bCs/>
        </w:rPr>
        <w:t xml:space="preserve"> Company.</w:t>
      </w:r>
    </w:p>
    <w:p w14:paraId="6A821B17" w14:textId="77777777" w:rsidR="00EA76BD" w:rsidRPr="00D51006" w:rsidRDefault="00EA76BD" w:rsidP="00EA76BD">
      <w:pPr>
        <w:spacing w:line="278" w:lineRule="auto"/>
        <w:jc w:val="center"/>
        <w:rPr>
          <w:rFonts w:cs="Arial"/>
          <w:b/>
          <w:bCs/>
          <w:sz w:val="28"/>
          <w:szCs w:val="28"/>
        </w:rPr>
      </w:pPr>
      <w:r w:rsidRPr="00D51006">
        <w:rPr>
          <w:rFonts w:cs="Arial"/>
          <w:b/>
          <w:bCs/>
          <w:sz w:val="28"/>
          <w:szCs w:val="28"/>
        </w:rPr>
        <w:t>MODULE CODE: LCLM</w:t>
      </w:r>
      <w:r>
        <w:rPr>
          <w:rFonts w:cs="Arial"/>
          <w:b/>
          <w:bCs/>
          <w:sz w:val="28"/>
          <w:szCs w:val="28"/>
        </w:rPr>
        <w:t>6003</w:t>
      </w:r>
    </w:p>
    <w:p w14:paraId="1C5637F8" w14:textId="77777777" w:rsidR="00EA76BD" w:rsidRPr="00D51006" w:rsidRDefault="00EA76BD" w:rsidP="00EA76BD">
      <w:pPr>
        <w:spacing w:line="278" w:lineRule="auto"/>
        <w:jc w:val="center"/>
        <w:rPr>
          <w:rFonts w:cs="Arial"/>
          <w:b/>
          <w:bCs/>
          <w:sz w:val="28"/>
          <w:szCs w:val="28"/>
        </w:rPr>
      </w:pPr>
      <w:r w:rsidRPr="00D51006">
        <w:rPr>
          <w:rFonts w:cs="Arial"/>
          <w:b/>
          <w:bCs/>
          <w:sz w:val="28"/>
          <w:szCs w:val="28"/>
        </w:rPr>
        <w:t>STUDENT NAME:</w:t>
      </w:r>
      <w:r>
        <w:rPr>
          <w:rFonts w:cs="Arial"/>
          <w:b/>
          <w:bCs/>
          <w:sz w:val="28"/>
          <w:szCs w:val="28"/>
        </w:rPr>
        <w:t xml:space="preserve"> Eridan Saliasi</w:t>
      </w:r>
    </w:p>
    <w:p w14:paraId="32ADED2D" w14:textId="77777777" w:rsidR="00EA76BD" w:rsidRPr="00FE769D" w:rsidRDefault="00EA76BD" w:rsidP="00EA76BD">
      <w:pPr>
        <w:spacing w:line="278" w:lineRule="auto"/>
        <w:jc w:val="center"/>
        <w:rPr>
          <w:rFonts w:cs="Arial"/>
          <w:b/>
          <w:bCs/>
          <w:sz w:val="28"/>
          <w:szCs w:val="28"/>
        </w:rPr>
      </w:pPr>
      <w:r w:rsidRPr="00D51006">
        <w:rPr>
          <w:rFonts w:cs="Arial"/>
          <w:b/>
          <w:bCs/>
          <w:sz w:val="28"/>
          <w:szCs w:val="28"/>
        </w:rPr>
        <w:t>STUDENT ID:</w:t>
      </w:r>
      <w:r>
        <w:rPr>
          <w:rFonts w:cs="Arial"/>
          <w:b/>
          <w:bCs/>
          <w:sz w:val="28"/>
          <w:szCs w:val="28"/>
        </w:rPr>
        <w:t>2324158</w:t>
      </w:r>
    </w:p>
    <w:p w14:paraId="64F854AF" w14:textId="3A4CB417" w:rsidR="0033131B" w:rsidRPr="00997080" w:rsidRDefault="0033131B" w:rsidP="00D51ADC">
      <w:pPr>
        <w:spacing w:line="259" w:lineRule="auto"/>
        <w:rPr>
          <w:rFonts w:cs="Arial"/>
        </w:rPr>
      </w:pPr>
    </w:p>
    <w:p w14:paraId="0E9469E1" w14:textId="77777777" w:rsidR="0033131B" w:rsidRPr="00997080" w:rsidRDefault="0033131B">
      <w:pPr>
        <w:spacing w:line="259" w:lineRule="auto"/>
        <w:jc w:val="left"/>
        <w:rPr>
          <w:rFonts w:cs="Arial"/>
        </w:rPr>
      </w:pPr>
      <w:r w:rsidRPr="00997080">
        <w:rPr>
          <w:rFonts w:cs="Arial"/>
        </w:rPr>
        <w:br w:type="page"/>
      </w:r>
    </w:p>
    <w:p w14:paraId="6EAEA69D" w14:textId="77777777" w:rsidR="0033131B" w:rsidRPr="00997080" w:rsidRDefault="0033131B" w:rsidP="0033131B">
      <w:pPr>
        <w:pStyle w:val="Heading1"/>
        <w:rPr>
          <w:rFonts w:cs="Arial"/>
          <w:szCs w:val="22"/>
        </w:rPr>
      </w:pPr>
      <w:bookmarkStart w:id="0" w:name="_Toc233667095"/>
      <w:r w:rsidRPr="00997080">
        <w:rPr>
          <w:rFonts w:cs="Arial"/>
          <w:szCs w:val="22"/>
        </w:rPr>
        <w:lastRenderedPageBreak/>
        <w:t>Executive Summary</w:t>
      </w:r>
      <w:bookmarkEnd w:id="0"/>
    </w:p>
    <w:p w14:paraId="3D3AD8FC" w14:textId="0DBD00B0" w:rsidR="0033131B" w:rsidRPr="00997080" w:rsidRDefault="0033131B" w:rsidP="0033131B">
      <w:pPr>
        <w:rPr>
          <w:rFonts w:cs="Arial"/>
        </w:rPr>
      </w:pPr>
      <w:r w:rsidRPr="00997080">
        <w:rPr>
          <w:rFonts w:cs="Arial"/>
        </w:rPr>
        <w:t>Ford Motor Company is currently going through significant concerns because of the advancement of digitalisation, shifting preferences of the customers and higher prevalence of electric vehicles across the automotive industry of the United Kingdom. Though Ford Motor Company is regarded as the second-largest manufacturer in the country with an 8.65% market share, renowned players like BYD and Tesla are escalating competition. It showcases the weakness of the business in transitioning itself towards a sustainable automotive business. The report analyses how political, participative, emergent, and planned approaches to change management must be implemented by companies to ensure organisational change. The report uses VRIO</w:t>
      </w:r>
      <w:r w:rsidR="00D402EE">
        <w:rPr>
          <w:rFonts w:cs="Arial"/>
        </w:rPr>
        <w:t xml:space="preserve"> </w:t>
      </w:r>
      <w:r w:rsidR="00CD4B5E">
        <w:rPr>
          <w:rFonts w:cs="Arial"/>
        </w:rPr>
        <w:t>(</w:t>
      </w:r>
      <w:r w:rsidR="00D37783">
        <w:rPr>
          <w:rFonts w:cs="Arial"/>
        </w:rPr>
        <w:t>Value,</w:t>
      </w:r>
      <w:r w:rsidR="005A7785">
        <w:rPr>
          <w:rFonts w:cs="Arial"/>
        </w:rPr>
        <w:t xml:space="preserve"> </w:t>
      </w:r>
      <w:r w:rsidR="00D37783">
        <w:rPr>
          <w:rFonts w:cs="Arial"/>
        </w:rPr>
        <w:t>Rar</w:t>
      </w:r>
      <w:r w:rsidR="00A636BD">
        <w:rPr>
          <w:rFonts w:cs="Arial"/>
        </w:rPr>
        <w:t>ity,</w:t>
      </w:r>
      <w:r w:rsidR="005A7785">
        <w:rPr>
          <w:rFonts w:cs="Arial"/>
        </w:rPr>
        <w:t xml:space="preserve"> </w:t>
      </w:r>
      <w:r w:rsidR="00A636BD">
        <w:rPr>
          <w:rFonts w:cs="Arial"/>
        </w:rPr>
        <w:t>Imitability,</w:t>
      </w:r>
      <w:r w:rsidR="005A7785">
        <w:rPr>
          <w:rFonts w:cs="Arial"/>
        </w:rPr>
        <w:t xml:space="preserve"> Organization.)</w:t>
      </w:r>
      <w:r w:rsidRPr="00997080">
        <w:rPr>
          <w:rFonts w:cs="Arial"/>
        </w:rPr>
        <w:t xml:space="preserve"> analysis, Porter’s Five Forces and PESTLE to demonstrate how external market conditions compel Ford UK to respond to the technological shift. It also demonstrates the role of organisational culture and transformational leadership while recommending an effective and comprehensive plan of change management for supporting the goal of the business. The report can be effective for Ford Motor Company as it can enable the automotive company to accomplish the target of establishing a portfolio consisting of all-electric passenger vehicles by the end of 2030. </w:t>
      </w:r>
    </w:p>
    <w:p w14:paraId="6109BB52" w14:textId="25D59A7D" w:rsidR="00CC1931" w:rsidRPr="00997080" w:rsidRDefault="00CC1931" w:rsidP="002D34A3">
      <w:pPr>
        <w:spacing w:line="259" w:lineRule="auto"/>
        <w:jc w:val="center"/>
        <w:rPr>
          <w:rFonts w:cs="Arial"/>
          <w:b/>
          <w:bCs/>
        </w:rPr>
      </w:pPr>
      <w:r w:rsidRPr="00997080">
        <w:rPr>
          <w:rFonts w:cs="Arial"/>
        </w:rPr>
        <w:br w:type="page"/>
      </w:r>
    </w:p>
    <w:sdt>
      <w:sdtPr>
        <w:rPr>
          <w:rFonts w:ascii="Arial" w:eastAsiaTheme="minorHAnsi" w:hAnsi="Arial" w:cs="Arial"/>
          <w:b/>
          <w:bCs/>
          <w:color w:val="auto"/>
          <w:kern w:val="2"/>
          <w:sz w:val="22"/>
          <w:szCs w:val="22"/>
          <w:lang w:val="en-GB"/>
          <w14:ligatures w14:val="standardContextual"/>
        </w:rPr>
        <w:id w:val="568383105"/>
        <w:docPartObj>
          <w:docPartGallery w:val="Table of Contents"/>
          <w:docPartUnique/>
        </w:docPartObj>
      </w:sdtPr>
      <w:sdtEndPr>
        <w:rPr>
          <w:noProof/>
        </w:rPr>
      </w:sdtEndPr>
      <w:sdtContent>
        <w:p w14:paraId="3DCA121B" w14:textId="29AA9A5A" w:rsidR="00CC1931" w:rsidRPr="00997080" w:rsidRDefault="00CC1931" w:rsidP="00CC1931">
          <w:pPr>
            <w:pStyle w:val="TOCHeading"/>
            <w:jc w:val="center"/>
            <w:rPr>
              <w:rFonts w:ascii="Arial" w:hAnsi="Arial" w:cs="Arial"/>
              <w:b/>
              <w:bCs/>
              <w:color w:val="auto"/>
              <w:sz w:val="22"/>
              <w:szCs w:val="22"/>
              <w:lang w:val="en-GB"/>
            </w:rPr>
          </w:pPr>
          <w:r w:rsidRPr="00997080">
            <w:rPr>
              <w:rFonts w:ascii="Arial" w:hAnsi="Arial" w:cs="Arial"/>
              <w:b/>
              <w:bCs/>
              <w:color w:val="auto"/>
              <w:sz w:val="22"/>
              <w:szCs w:val="22"/>
              <w:lang w:val="en-GB"/>
            </w:rPr>
            <w:t>Table of Contents</w:t>
          </w:r>
        </w:p>
        <w:p w14:paraId="25C6259E" w14:textId="2C2D6DE0" w:rsidR="000C5667" w:rsidRPr="00997080" w:rsidRDefault="00CC1931">
          <w:pPr>
            <w:pStyle w:val="TOC1"/>
            <w:tabs>
              <w:tab w:val="right" w:leader="dot" w:pos="9016"/>
            </w:tabs>
            <w:rPr>
              <w:rFonts w:asciiTheme="minorHAnsi" w:eastAsiaTheme="minorEastAsia" w:hAnsiTheme="minorHAnsi"/>
              <w:noProof/>
              <w:sz w:val="24"/>
              <w:szCs w:val="24"/>
              <w:lang w:val="en-IN" w:eastAsia="en-IN"/>
            </w:rPr>
          </w:pPr>
          <w:r w:rsidRPr="00997080">
            <w:rPr>
              <w:rFonts w:cs="Arial"/>
            </w:rPr>
            <w:fldChar w:fldCharType="begin"/>
          </w:r>
          <w:r w:rsidRPr="00997080">
            <w:rPr>
              <w:rFonts w:cs="Arial"/>
            </w:rPr>
            <w:instrText xml:space="preserve"> TOC \o "1-3" \h \z \u </w:instrText>
          </w:r>
          <w:r w:rsidRPr="00997080">
            <w:rPr>
              <w:rFonts w:cs="Arial"/>
            </w:rPr>
            <w:fldChar w:fldCharType="separate"/>
          </w:r>
          <w:hyperlink w:anchor="_Toc233667095" w:history="1">
            <w:r w:rsidR="000C5667" w:rsidRPr="00997080">
              <w:rPr>
                <w:rStyle w:val="Hyperlink"/>
                <w:rFonts w:cs="Arial"/>
                <w:noProof/>
              </w:rPr>
              <w:t>Executive Summary</w:t>
            </w:r>
            <w:r w:rsidR="000C5667" w:rsidRPr="00997080">
              <w:rPr>
                <w:noProof/>
                <w:webHidden/>
              </w:rPr>
              <w:tab/>
            </w:r>
            <w:r w:rsidR="000C5667" w:rsidRPr="00997080">
              <w:rPr>
                <w:noProof/>
                <w:webHidden/>
              </w:rPr>
              <w:fldChar w:fldCharType="begin"/>
            </w:r>
            <w:r w:rsidR="000C5667" w:rsidRPr="00997080">
              <w:rPr>
                <w:noProof/>
                <w:webHidden/>
              </w:rPr>
              <w:instrText xml:space="preserve"> PAGEREF _Toc233667095 \h </w:instrText>
            </w:r>
            <w:r w:rsidR="000C5667" w:rsidRPr="00997080">
              <w:rPr>
                <w:noProof/>
                <w:webHidden/>
              </w:rPr>
            </w:r>
            <w:r w:rsidR="000C5667" w:rsidRPr="00997080">
              <w:rPr>
                <w:noProof/>
                <w:webHidden/>
              </w:rPr>
              <w:fldChar w:fldCharType="separate"/>
            </w:r>
            <w:r w:rsidR="000C5667" w:rsidRPr="00997080">
              <w:rPr>
                <w:noProof/>
                <w:webHidden/>
              </w:rPr>
              <w:t>2</w:t>
            </w:r>
            <w:r w:rsidR="000C5667" w:rsidRPr="00997080">
              <w:rPr>
                <w:noProof/>
                <w:webHidden/>
              </w:rPr>
              <w:fldChar w:fldCharType="end"/>
            </w:r>
          </w:hyperlink>
        </w:p>
        <w:p w14:paraId="3D9DE4E8" w14:textId="691A591E" w:rsidR="000C5667" w:rsidRPr="00997080" w:rsidRDefault="000C5667">
          <w:pPr>
            <w:pStyle w:val="TOC1"/>
            <w:tabs>
              <w:tab w:val="right" w:leader="dot" w:pos="9016"/>
            </w:tabs>
            <w:rPr>
              <w:rFonts w:asciiTheme="minorHAnsi" w:eastAsiaTheme="minorEastAsia" w:hAnsiTheme="minorHAnsi"/>
              <w:noProof/>
              <w:sz w:val="24"/>
              <w:szCs w:val="24"/>
              <w:lang w:val="en-IN" w:eastAsia="en-IN"/>
            </w:rPr>
          </w:pPr>
          <w:hyperlink w:anchor="_Toc233667096" w:history="1">
            <w:r w:rsidRPr="00997080">
              <w:rPr>
                <w:rStyle w:val="Hyperlink"/>
                <w:rFonts w:cs="Arial"/>
                <w:noProof/>
              </w:rPr>
              <w:t>1. Introduction to the Organisation</w:t>
            </w:r>
            <w:r w:rsidRPr="00997080">
              <w:rPr>
                <w:noProof/>
                <w:webHidden/>
              </w:rPr>
              <w:tab/>
            </w:r>
            <w:r w:rsidRPr="00997080">
              <w:rPr>
                <w:noProof/>
                <w:webHidden/>
              </w:rPr>
              <w:fldChar w:fldCharType="begin"/>
            </w:r>
            <w:r w:rsidRPr="00997080">
              <w:rPr>
                <w:noProof/>
                <w:webHidden/>
              </w:rPr>
              <w:instrText xml:space="preserve"> PAGEREF _Toc233667096 \h </w:instrText>
            </w:r>
            <w:r w:rsidRPr="00997080">
              <w:rPr>
                <w:noProof/>
                <w:webHidden/>
              </w:rPr>
            </w:r>
            <w:r w:rsidRPr="00997080">
              <w:rPr>
                <w:noProof/>
                <w:webHidden/>
              </w:rPr>
              <w:fldChar w:fldCharType="separate"/>
            </w:r>
            <w:r w:rsidRPr="00997080">
              <w:rPr>
                <w:noProof/>
                <w:webHidden/>
              </w:rPr>
              <w:t>4</w:t>
            </w:r>
            <w:r w:rsidRPr="00997080">
              <w:rPr>
                <w:noProof/>
                <w:webHidden/>
              </w:rPr>
              <w:fldChar w:fldCharType="end"/>
            </w:r>
          </w:hyperlink>
        </w:p>
        <w:p w14:paraId="6D636F32" w14:textId="68A24703" w:rsidR="000C5667" w:rsidRPr="00997080" w:rsidRDefault="000C5667">
          <w:pPr>
            <w:pStyle w:val="TOC1"/>
            <w:tabs>
              <w:tab w:val="right" w:leader="dot" w:pos="9016"/>
            </w:tabs>
            <w:rPr>
              <w:rFonts w:asciiTheme="minorHAnsi" w:eastAsiaTheme="minorEastAsia" w:hAnsiTheme="minorHAnsi"/>
              <w:noProof/>
              <w:sz w:val="24"/>
              <w:szCs w:val="24"/>
              <w:lang w:val="en-IN" w:eastAsia="en-IN"/>
            </w:rPr>
          </w:pPr>
          <w:hyperlink w:anchor="_Toc233667097" w:history="1">
            <w:r w:rsidRPr="00997080">
              <w:rPr>
                <w:rStyle w:val="Hyperlink"/>
                <w:rFonts w:cs="Arial"/>
                <w:noProof/>
              </w:rPr>
              <w:t>2. Situational Analysis of the Organisation</w:t>
            </w:r>
            <w:r w:rsidRPr="00997080">
              <w:rPr>
                <w:noProof/>
                <w:webHidden/>
              </w:rPr>
              <w:tab/>
            </w:r>
            <w:r w:rsidRPr="00997080">
              <w:rPr>
                <w:noProof/>
                <w:webHidden/>
              </w:rPr>
              <w:fldChar w:fldCharType="begin"/>
            </w:r>
            <w:r w:rsidRPr="00997080">
              <w:rPr>
                <w:noProof/>
                <w:webHidden/>
              </w:rPr>
              <w:instrText xml:space="preserve"> PAGEREF _Toc233667097 \h </w:instrText>
            </w:r>
            <w:r w:rsidRPr="00997080">
              <w:rPr>
                <w:noProof/>
                <w:webHidden/>
              </w:rPr>
            </w:r>
            <w:r w:rsidRPr="00997080">
              <w:rPr>
                <w:noProof/>
                <w:webHidden/>
              </w:rPr>
              <w:fldChar w:fldCharType="separate"/>
            </w:r>
            <w:r w:rsidRPr="00997080">
              <w:rPr>
                <w:noProof/>
                <w:webHidden/>
              </w:rPr>
              <w:t>5</w:t>
            </w:r>
            <w:r w:rsidRPr="00997080">
              <w:rPr>
                <w:noProof/>
                <w:webHidden/>
              </w:rPr>
              <w:fldChar w:fldCharType="end"/>
            </w:r>
          </w:hyperlink>
        </w:p>
        <w:p w14:paraId="1AADC5FB" w14:textId="5C23DD74" w:rsidR="000C5667" w:rsidRPr="00997080" w:rsidRDefault="000C5667">
          <w:pPr>
            <w:pStyle w:val="TOC2"/>
            <w:tabs>
              <w:tab w:val="right" w:leader="dot" w:pos="9016"/>
            </w:tabs>
            <w:rPr>
              <w:rFonts w:asciiTheme="minorHAnsi" w:eastAsiaTheme="minorEastAsia" w:hAnsiTheme="minorHAnsi"/>
              <w:noProof/>
              <w:sz w:val="24"/>
              <w:szCs w:val="24"/>
              <w:lang w:val="en-IN" w:eastAsia="en-IN"/>
            </w:rPr>
          </w:pPr>
          <w:hyperlink w:anchor="_Toc233667098" w:history="1">
            <w:r w:rsidRPr="00997080">
              <w:rPr>
                <w:rStyle w:val="Hyperlink"/>
                <w:rFonts w:cs="Arial"/>
                <w:noProof/>
              </w:rPr>
              <w:t>2.1 External Environment Analysis: PESTEL Analysis</w:t>
            </w:r>
            <w:r w:rsidRPr="00997080">
              <w:rPr>
                <w:noProof/>
                <w:webHidden/>
              </w:rPr>
              <w:tab/>
            </w:r>
            <w:r w:rsidRPr="00997080">
              <w:rPr>
                <w:noProof/>
                <w:webHidden/>
              </w:rPr>
              <w:fldChar w:fldCharType="begin"/>
            </w:r>
            <w:r w:rsidRPr="00997080">
              <w:rPr>
                <w:noProof/>
                <w:webHidden/>
              </w:rPr>
              <w:instrText xml:space="preserve"> PAGEREF _Toc233667098 \h </w:instrText>
            </w:r>
            <w:r w:rsidRPr="00997080">
              <w:rPr>
                <w:noProof/>
                <w:webHidden/>
              </w:rPr>
            </w:r>
            <w:r w:rsidRPr="00997080">
              <w:rPr>
                <w:noProof/>
                <w:webHidden/>
              </w:rPr>
              <w:fldChar w:fldCharType="separate"/>
            </w:r>
            <w:r w:rsidRPr="00997080">
              <w:rPr>
                <w:noProof/>
                <w:webHidden/>
              </w:rPr>
              <w:t>5</w:t>
            </w:r>
            <w:r w:rsidRPr="00997080">
              <w:rPr>
                <w:noProof/>
                <w:webHidden/>
              </w:rPr>
              <w:fldChar w:fldCharType="end"/>
            </w:r>
          </w:hyperlink>
        </w:p>
        <w:p w14:paraId="1790E88E" w14:textId="27B45DAF" w:rsidR="000C5667" w:rsidRPr="00997080" w:rsidRDefault="000C5667">
          <w:pPr>
            <w:pStyle w:val="TOC2"/>
            <w:tabs>
              <w:tab w:val="right" w:leader="dot" w:pos="9016"/>
            </w:tabs>
            <w:rPr>
              <w:rFonts w:asciiTheme="minorHAnsi" w:eastAsiaTheme="minorEastAsia" w:hAnsiTheme="minorHAnsi"/>
              <w:noProof/>
              <w:sz w:val="24"/>
              <w:szCs w:val="24"/>
              <w:lang w:val="en-IN" w:eastAsia="en-IN"/>
            </w:rPr>
          </w:pPr>
          <w:hyperlink w:anchor="_Toc233667099" w:history="1">
            <w:r w:rsidRPr="00997080">
              <w:rPr>
                <w:rStyle w:val="Hyperlink"/>
                <w:rFonts w:cs="Arial"/>
                <w:noProof/>
              </w:rPr>
              <w:t>2.2 Industry Competition: Porter’s Five Forces Analysis</w:t>
            </w:r>
            <w:r w:rsidRPr="00997080">
              <w:rPr>
                <w:noProof/>
                <w:webHidden/>
              </w:rPr>
              <w:tab/>
            </w:r>
            <w:r w:rsidRPr="00997080">
              <w:rPr>
                <w:noProof/>
                <w:webHidden/>
              </w:rPr>
              <w:fldChar w:fldCharType="begin"/>
            </w:r>
            <w:r w:rsidRPr="00997080">
              <w:rPr>
                <w:noProof/>
                <w:webHidden/>
              </w:rPr>
              <w:instrText xml:space="preserve"> PAGEREF _Toc233667099 \h </w:instrText>
            </w:r>
            <w:r w:rsidRPr="00997080">
              <w:rPr>
                <w:noProof/>
                <w:webHidden/>
              </w:rPr>
            </w:r>
            <w:r w:rsidRPr="00997080">
              <w:rPr>
                <w:noProof/>
                <w:webHidden/>
              </w:rPr>
              <w:fldChar w:fldCharType="separate"/>
            </w:r>
            <w:r w:rsidRPr="00997080">
              <w:rPr>
                <w:noProof/>
                <w:webHidden/>
              </w:rPr>
              <w:t>6</w:t>
            </w:r>
            <w:r w:rsidRPr="00997080">
              <w:rPr>
                <w:noProof/>
                <w:webHidden/>
              </w:rPr>
              <w:fldChar w:fldCharType="end"/>
            </w:r>
          </w:hyperlink>
        </w:p>
        <w:p w14:paraId="2D36562B" w14:textId="7BA0749C" w:rsidR="000C5667" w:rsidRPr="00997080" w:rsidRDefault="000C5667">
          <w:pPr>
            <w:pStyle w:val="TOC2"/>
            <w:tabs>
              <w:tab w:val="right" w:leader="dot" w:pos="9016"/>
            </w:tabs>
            <w:rPr>
              <w:rFonts w:asciiTheme="minorHAnsi" w:eastAsiaTheme="minorEastAsia" w:hAnsiTheme="minorHAnsi"/>
              <w:noProof/>
              <w:sz w:val="24"/>
              <w:szCs w:val="24"/>
              <w:lang w:val="en-IN" w:eastAsia="en-IN"/>
            </w:rPr>
          </w:pPr>
          <w:hyperlink w:anchor="_Toc233667100" w:history="1">
            <w:r w:rsidRPr="00997080">
              <w:rPr>
                <w:rStyle w:val="Hyperlink"/>
                <w:rFonts w:cs="Arial"/>
                <w:noProof/>
              </w:rPr>
              <w:t>2.3 Internal Capability Evaluation: VRIO Analysis</w:t>
            </w:r>
            <w:r w:rsidRPr="00997080">
              <w:rPr>
                <w:noProof/>
                <w:webHidden/>
              </w:rPr>
              <w:tab/>
            </w:r>
            <w:r w:rsidRPr="00997080">
              <w:rPr>
                <w:noProof/>
                <w:webHidden/>
              </w:rPr>
              <w:fldChar w:fldCharType="begin"/>
            </w:r>
            <w:r w:rsidRPr="00997080">
              <w:rPr>
                <w:noProof/>
                <w:webHidden/>
              </w:rPr>
              <w:instrText xml:space="preserve"> PAGEREF _Toc233667100 \h </w:instrText>
            </w:r>
            <w:r w:rsidRPr="00997080">
              <w:rPr>
                <w:noProof/>
                <w:webHidden/>
              </w:rPr>
            </w:r>
            <w:r w:rsidRPr="00997080">
              <w:rPr>
                <w:noProof/>
                <w:webHidden/>
              </w:rPr>
              <w:fldChar w:fldCharType="separate"/>
            </w:r>
            <w:r w:rsidRPr="00997080">
              <w:rPr>
                <w:noProof/>
                <w:webHidden/>
              </w:rPr>
              <w:t>7</w:t>
            </w:r>
            <w:r w:rsidRPr="00997080">
              <w:rPr>
                <w:noProof/>
                <w:webHidden/>
              </w:rPr>
              <w:fldChar w:fldCharType="end"/>
            </w:r>
          </w:hyperlink>
        </w:p>
        <w:p w14:paraId="18948D82" w14:textId="700AD9B5" w:rsidR="000C5667" w:rsidRPr="00997080" w:rsidRDefault="000C5667">
          <w:pPr>
            <w:pStyle w:val="TOC1"/>
            <w:tabs>
              <w:tab w:val="right" w:leader="dot" w:pos="9016"/>
            </w:tabs>
            <w:rPr>
              <w:rFonts w:asciiTheme="minorHAnsi" w:eastAsiaTheme="minorEastAsia" w:hAnsiTheme="minorHAnsi"/>
              <w:noProof/>
              <w:sz w:val="24"/>
              <w:szCs w:val="24"/>
              <w:lang w:val="en-IN" w:eastAsia="en-IN"/>
            </w:rPr>
          </w:pPr>
          <w:hyperlink w:anchor="_Toc233667101" w:history="1">
            <w:r w:rsidRPr="00997080">
              <w:rPr>
                <w:rStyle w:val="Hyperlink"/>
                <w:rFonts w:cs="Arial"/>
                <w:noProof/>
              </w:rPr>
              <w:t>3. Evaluation of Change Management Models</w:t>
            </w:r>
            <w:r w:rsidRPr="00997080">
              <w:rPr>
                <w:noProof/>
                <w:webHidden/>
              </w:rPr>
              <w:tab/>
            </w:r>
            <w:r w:rsidRPr="00997080">
              <w:rPr>
                <w:noProof/>
                <w:webHidden/>
              </w:rPr>
              <w:fldChar w:fldCharType="begin"/>
            </w:r>
            <w:r w:rsidRPr="00997080">
              <w:rPr>
                <w:noProof/>
                <w:webHidden/>
              </w:rPr>
              <w:instrText xml:space="preserve"> PAGEREF _Toc233667101 \h </w:instrText>
            </w:r>
            <w:r w:rsidRPr="00997080">
              <w:rPr>
                <w:noProof/>
                <w:webHidden/>
              </w:rPr>
            </w:r>
            <w:r w:rsidRPr="00997080">
              <w:rPr>
                <w:noProof/>
                <w:webHidden/>
              </w:rPr>
              <w:fldChar w:fldCharType="separate"/>
            </w:r>
            <w:r w:rsidRPr="00997080">
              <w:rPr>
                <w:noProof/>
                <w:webHidden/>
              </w:rPr>
              <w:t>8</w:t>
            </w:r>
            <w:r w:rsidRPr="00997080">
              <w:rPr>
                <w:noProof/>
                <w:webHidden/>
              </w:rPr>
              <w:fldChar w:fldCharType="end"/>
            </w:r>
          </w:hyperlink>
        </w:p>
        <w:p w14:paraId="16057E8F" w14:textId="4B2CF9F6" w:rsidR="000C5667" w:rsidRPr="00997080" w:rsidRDefault="000C5667">
          <w:pPr>
            <w:pStyle w:val="TOC1"/>
            <w:tabs>
              <w:tab w:val="right" w:leader="dot" w:pos="9016"/>
            </w:tabs>
            <w:rPr>
              <w:rFonts w:asciiTheme="minorHAnsi" w:eastAsiaTheme="minorEastAsia" w:hAnsiTheme="minorHAnsi"/>
              <w:noProof/>
              <w:sz w:val="24"/>
              <w:szCs w:val="24"/>
              <w:lang w:val="en-IN" w:eastAsia="en-IN"/>
            </w:rPr>
          </w:pPr>
          <w:hyperlink w:anchor="_Toc233667102" w:history="1">
            <w:r w:rsidRPr="00997080">
              <w:rPr>
                <w:rStyle w:val="Hyperlink"/>
                <w:rFonts w:cs="Arial"/>
                <w:noProof/>
              </w:rPr>
              <w:t>4. Management of Change within the Organisation</w:t>
            </w:r>
            <w:r w:rsidRPr="00997080">
              <w:rPr>
                <w:noProof/>
                <w:webHidden/>
              </w:rPr>
              <w:tab/>
            </w:r>
            <w:r w:rsidRPr="00997080">
              <w:rPr>
                <w:noProof/>
                <w:webHidden/>
              </w:rPr>
              <w:fldChar w:fldCharType="begin"/>
            </w:r>
            <w:r w:rsidRPr="00997080">
              <w:rPr>
                <w:noProof/>
                <w:webHidden/>
              </w:rPr>
              <w:instrText xml:space="preserve"> PAGEREF _Toc233667102 \h </w:instrText>
            </w:r>
            <w:r w:rsidRPr="00997080">
              <w:rPr>
                <w:noProof/>
                <w:webHidden/>
              </w:rPr>
            </w:r>
            <w:r w:rsidRPr="00997080">
              <w:rPr>
                <w:noProof/>
                <w:webHidden/>
              </w:rPr>
              <w:fldChar w:fldCharType="separate"/>
            </w:r>
            <w:r w:rsidRPr="00997080">
              <w:rPr>
                <w:noProof/>
                <w:webHidden/>
              </w:rPr>
              <w:t>10</w:t>
            </w:r>
            <w:r w:rsidRPr="00997080">
              <w:rPr>
                <w:noProof/>
                <w:webHidden/>
              </w:rPr>
              <w:fldChar w:fldCharType="end"/>
            </w:r>
          </w:hyperlink>
        </w:p>
        <w:p w14:paraId="6BD4EE9E" w14:textId="5D8CC945" w:rsidR="000C5667" w:rsidRPr="00997080" w:rsidRDefault="000C5667">
          <w:pPr>
            <w:pStyle w:val="TOC2"/>
            <w:tabs>
              <w:tab w:val="right" w:leader="dot" w:pos="9016"/>
            </w:tabs>
            <w:rPr>
              <w:rFonts w:asciiTheme="minorHAnsi" w:eastAsiaTheme="minorEastAsia" w:hAnsiTheme="minorHAnsi"/>
              <w:noProof/>
              <w:sz w:val="24"/>
              <w:szCs w:val="24"/>
              <w:lang w:val="en-IN" w:eastAsia="en-IN"/>
            </w:rPr>
          </w:pPr>
          <w:hyperlink w:anchor="_Toc233667103" w:history="1">
            <w:r w:rsidRPr="00997080">
              <w:rPr>
                <w:rStyle w:val="Hyperlink"/>
                <w:rFonts w:cs="Arial"/>
                <w:noProof/>
              </w:rPr>
              <w:t>4.1 Approaches to change management</w:t>
            </w:r>
            <w:r w:rsidRPr="00997080">
              <w:rPr>
                <w:noProof/>
                <w:webHidden/>
              </w:rPr>
              <w:tab/>
            </w:r>
            <w:r w:rsidRPr="00997080">
              <w:rPr>
                <w:noProof/>
                <w:webHidden/>
              </w:rPr>
              <w:fldChar w:fldCharType="begin"/>
            </w:r>
            <w:r w:rsidRPr="00997080">
              <w:rPr>
                <w:noProof/>
                <w:webHidden/>
              </w:rPr>
              <w:instrText xml:space="preserve"> PAGEREF _Toc233667103 \h </w:instrText>
            </w:r>
            <w:r w:rsidRPr="00997080">
              <w:rPr>
                <w:noProof/>
                <w:webHidden/>
              </w:rPr>
            </w:r>
            <w:r w:rsidRPr="00997080">
              <w:rPr>
                <w:noProof/>
                <w:webHidden/>
              </w:rPr>
              <w:fldChar w:fldCharType="separate"/>
            </w:r>
            <w:r w:rsidRPr="00997080">
              <w:rPr>
                <w:noProof/>
                <w:webHidden/>
              </w:rPr>
              <w:t>10</w:t>
            </w:r>
            <w:r w:rsidRPr="00997080">
              <w:rPr>
                <w:noProof/>
                <w:webHidden/>
              </w:rPr>
              <w:fldChar w:fldCharType="end"/>
            </w:r>
          </w:hyperlink>
        </w:p>
        <w:p w14:paraId="62D305DA" w14:textId="4203706A" w:rsidR="000C5667" w:rsidRPr="00997080" w:rsidRDefault="000C5667">
          <w:pPr>
            <w:pStyle w:val="TOC2"/>
            <w:tabs>
              <w:tab w:val="right" w:leader="dot" w:pos="9016"/>
            </w:tabs>
            <w:rPr>
              <w:rFonts w:asciiTheme="minorHAnsi" w:eastAsiaTheme="minorEastAsia" w:hAnsiTheme="minorHAnsi"/>
              <w:noProof/>
              <w:sz w:val="24"/>
              <w:szCs w:val="24"/>
              <w:lang w:val="en-IN" w:eastAsia="en-IN"/>
            </w:rPr>
          </w:pPr>
          <w:hyperlink w:anchor="_Toc233667104" w:history="1">
            <w:r w:rsidRPr="00997080">
              <w:rPr>
                <w:rStyle w:val="Hyperlink"/>
                <w:rFonts w:cs="Arial"/>
                <w:noProof/>
              </w:rPr>
              <w:t>4.2 Integration of change management models</w:t>
            </w:r>
            <w:r w:rsidRPr="00997080">
              <w:rPr>
                <w:noProof/>
                <w:webHidden/>
              </w:rPr>
              <w:tab/>
            </w:r>
            <w:r w:rsidRPr="00997080">
              <w:rPr>
                <w:noProof/>
                <w:webHidden/>
              </w:rPr>
              <w:fldChar w:fldCharType="begin"/>
            </w:r>
            <w:r w:rsidRPr="00997080">
              <w:rPr>
                <w:noProof/>
                <w:webHidden/>
              </w:rPr>
              <w:instrText xml:space="preserve"> PAGEREF _Toc233667104 \h </w:instrText>
            </w:r>
            <w:r w:rsidRPr="00997080">
              <w:rPr>
                <w:noProof/>
                <w:webHidden/>
              </w:rPr>
            </w:r>
            <w:r w:rsidRPr="00997080">
              <w:rPr>
                <w:noProof/>
                <w:webHidden/>
              </w:rPr>
              <w:fldChar w:fldCharType="separate"/>
            </w:r>
            <w:r w:rsidRPr="00997080">
              <w:rPr>
                <w:noProof/>
                <w:webHidden/>
              </w:rPr>
              <w:t>10</w:t>
            </w:r>
            <w:r w:rsidRPr="00997080">
              <w:rPr>
                <w:noProof/>
                <w:webHidden/>
              </w:rPr>
              <w:fldChar w:fldCharType="end"/>
            </w:r>
          </w:hyperlink>
        </w:p>
        <w:p w14:paraId="5494701C" w14:textId="26B2E58F" w:rsidR="000C5667" w:rsidRPr="00997080" w:rsidRDefault="000C5667">
          <w:pPr>
            <w:pStyle w:val="TOC2"/>
            <w:tabs>
              <w:tab w:val="right" w:leader="dot" w:pos="9016"/>
            </w:tabs>
            <w:rPr>
              <w:rFonts w:asciiTheme="minorHAnsi" w:eastAsiaTheme="minorEastAsia" w:hAnsiTheme="minorHAnsi"/>
              <w:noProof/>
              <w:sz w:val="24"/>
              <w:szCs w:val="24"/>
              <w:lang w:val="en-IN" w:eastAsia="en-IN"/>
            </w:rPr>
          </w:pPr>
          <w:hyperlink w:anchor="_Toc233667105" w:history="1">
            <w:r w:rsidRPr="00997080">
              <w:rPr>
                <w:rStyle w:val="Hyperlink"/>
                <w:rFonts w:cs="Arial"/>
                <w:noProof/>
              </w:rPr>
              <w:t>4.3 Organisational culture and leadership practices</w:t>
            </w:r>
            <w:r w:rsidRPr="00997080">
              <w:rPr>
                <w:noProof/>
                <w:webHidden/>
              </w:rPr>
              <w:tab/>
            </w:r>
            <w:r w:rsidRPr="00997080">
              <w:rPr>
                <w:noProof/>
                <w:webHidden/>
              </w:rPr>
              <w:fldChar w:fldCharType="begin"/>
            </w:r>
            <w:r w:rsidRPr="00997080">
              <w:rPr>
                <w:noProof/>
                <w:webHidden/>
              </w:rPr>
              <w:instrText xml:space="preserve"> PAGEREF _Toc233667105 \h </w:instrText>
            </w:r>
            <w:r w:rsidRPr="00997080">
              <w:rPr>
                <w:noProof/>
                <w:webHidden/>
              </w:rPr>
            </w:r>
            <w:r w:rsidRPr="00997080">
              <w:rPr>
                <w:noProof/>
                <w:webHidden/>
              </w:rPr>
              <w:fldChar w:fldCharType="separate"/>
            </w:r>
            <w:r w:rsidRPr="00997080">
              <w:rPr>
                <w:noProof/>
                <w:webHidden/>
              </w:rPr>
              <w:t>10</w:t>
            </w:r>
            <w:r w:rsidRPr="00997080">
              <w:rPr>
                <w:noProof/>
                <w:webHidden/>
              </w:rPr>
              <w:fldChar w:fldCharType="end"/>
            </w:r>
          </w:hyperlink>
        </w:p>
        <w:p w14:paraId="5D9DBBEF" w14:textId="59881EE7" w:rsidR="000C5667" w:rsidRPr="00997080" w:rsidRDefault="000C5667">
          <w:pPr>
            <w:pStyle w:val="TOC1"/>
            <w:tabs>
              <w:tab w:val="right" w:leader="dot" w:pos="9016"/>
            </w:tabs>
            <w:rPr>
              <w:rFonts w:asciiTheme="minorHAnsi" w:eastAsiaTheme="minorEastAsia" w:hAnsiTheme="minorHAnsi"/>
              <w:noProof/>
              <w:sz w:val="24"/>
              <w:szCs w:val="24"/>
              <w:lang w:val="en-IN" w:eastAsia="en-IN"/>
            </w:rPr>
          </w:pPr>
          <w:hyperlink w:anchor="_Toc233667106" w:history="1">
            <w:r w:rsidRPr="00997080">
              <w:rPr>
                <w:rStyle w:val="Hyperlink"/>
                <w:rFonts w:cs="Arial"/>
                <w:noProof/>
              </w:rPr>
              <w:t>5. Change Management Plan of Ford</w:t>
            </w:r>
            <w:r w:rsidRPr="00997080">
              <w:rPr>
                <w:noProof/>
                <w:webHidden/>
              </w:rPr>
              <w:tab/>
            </w:r>
            <w:r w:rsidRPr="00997080">
              <w:rPr>
                <w:noProof/>
                <w:webHidden/>
              </w:rPr>
              <w:fldChar w:fldCharType="begin"/>
            </w:r>
            <w:r w:rsidRPr="00997080">
              <w:rPr>
                <w:noProof/>
                <w:webHidden/>
              </w:rPr>
              <w:instrText xml:space="preserve"> PAGEREF _Toc233667106 \h </w:instrText>
            </w:r>
            <w:r w:rsidRPr="00997080">
              <w:rPr>
                <w:noProof/>
                <w:webHidden/>
              </w:rPr>
            </w:r>
            <w:r w:rsidRPr="00997080">
              <w:rPr>
                <w:noProof/>
                <w:webHidden/>
              </w:rPr>
              <w:fldChar w:fldCharType="separate"/>
            </w:r>
            <w:r w:rsidRPr="00997080">
              <w:rPr>
                <w:noProof/>
                <w:webHidden/>
              </w:rPr>
              <w:t>10</w:t>
            </w:r>
            <w:r w:rsidRPr="00997080">
              <w:rPr>
                <w:noProof/>
                <w:webHidden/>
              </w:rPr>
              <w:fldChar w:fldCharType="end"/>
            </w:r>
          </w:hyperlink>
        </w:p>
        <w:p w14:paraId="073FB0E5" w14:textId="37507C86" w:rsidR="000C5667" w:rsidRPr="00997080" w:rsidRDefault="000C5667">
          <w:pPr>
            <w:pStyle w:val="TOC2"/>
            <w:tabs>
              <w:tab w:val="right" w:leader="dot" w:pos="9016"/>
            </w:tabs>
            <w:rPr>
              <w:rFonts w:asciiTheme="minorHAnsi" w:eastAsiaTheme="minorEastAsia" w:hAnsiTheme="minorHAnsi"/>
              <w:noProof/>
              <w:sz w:val="24"/>
              <w:szCs w:val="24"/>
              <w:lang w:val="en-IN" w:eastAsia="en-IN"/>
            </w:rPr>
          </w:pPr>
          <w:hyperlink w:anchor="_Toc233667107" w:history="1">
            <w:r w:rsidRPr="00997080">
              <w:rPr>
                <w:rStyle w:val="Hyperlink"/>
                <w:rFonts w:cs="Arial"/>
                <w:noProof/>
              </w:rPr>
              <w:t>5.1 Objectives</w:t>
            </w:r>
            <w:r w:rsidRPr="00997080">
              <w:rPr>
                <w:noProof/>
                <w:webHidden/>
              </w:rPr>
              <w:tab/>
            </w:r>
            <w:r w:rsidRPr="00997080">
              <w:rPr>
                <w:noProof/>
                <w:webHidden/>
              </w:rPr>
              <w:fldChar w:fldCharType="begin"/>
            </w:r>
            <w:r w:rsidRPr="00997080">
              <w:rPr>
                <w:noProof/>
                <w:webHidden/>
              </w:rPr>
              <w:instrText xml:space="preserve"> PAGEREF _Toc233667107 \h </w:instrText>
            </w:r>
            <w:r w:rsidRPr="00997080">
              <w:rPr>
                <w:noProof/>
                <w:webHidden/>
              </w:rPr>
            </w:r>
            <w:r w:rsidRPr="00997080">
              <w:rPr>
                <w:noProof/>
                <w:webHidden/>
              </w:rPr>
              <w:fldChar w:fldCharType="separate"/>
            </w:r>
            <w:r w:rsidRPr="00997080">
              <w:rPr>
                <w:noProof/>
                <w:webHidden/>
              </w:rPr>
              <w:t>10</w:t>
            </w:r>
            <w:r w:rsidRPr="00997080">
              <w:rPr>
                <w:noProof/>
                <w:webHidden/>
              </w:rPr>
              <w:fldChar w:fldCharType="end"/>
            </w:r>
          </w:hyperlink>
        </w:p>
        <w:p w14:paraId="3171F857" w14:textId="34D86CA1" w:rsidR="000C5667" w:rsidRPr="00997080" w:rsidRDefault="000C5667">
          <w:pPr>
            <w:pStyle w:val="TOC2"/>
            <w:tabs>
              <w:tab w:val="right" w:leader="dot" w:pos="9016"/>
            </w:tabs>
            <w:rPr>
              <w:rFonts w:asciiTheme="minorHAnsi" w:eastAsiaTheme="minorEastAsia" w:hAnsiTheme="minorHAnsi"/>
              <w:noProof/>
              <w:sz w:val="24"/>
              <w:szCs w:val="24"/>
              <w:lang w:val="en-IN" w:eastAsia="en-IN"/>
            </w:rPr>
          </w:pPr>
          <w:hyperlink w:anchor="_Toc233667108" w:history="1">
            <w:r w:rsidRPr="00997080">
              <w:rPr>
                <w:rStyle w:val="Hyperlink"/>
                <w:rFonts w:cs="Arial"/>
                <w:noProof/>
              </w:rPr>
              <w:t>5.2 Financial plan</w:t>
            </w:r>
            <w:r w:rsidRPr="00997080">
              <w:rPr>
                <w:noProof/>
                <w:webHidden/>
              </w:rPr>
              <w:tab/>
            </w:r>
            <w:r w:rsidRPr="00997080">
              <w:rPr>
                <w:noProof/>
                <w:webHidden/>
              </w:rPr>
              <w:fldChar w:fldCharType="begin"/>
            </w:r>
            <w:r w:rsidRPr="00997080">
              <w:rPr>
                <w:noProof/>
                <w:webHidden/>
              </w:rPr>
              <w:instrText xml:space="preserve"> PAGEREF _Toc233667108 \h </w:instrText>
            </w:r>
            <w:r w:rsidRPr="00997080">
              <w:rPr>
                <w:noProof/>
                <w:webHidden/>
              </w:rPr>
            </w:r>
            <w:r w:rsidRPr="00997080">
              <w:rPr>
                <w:noProof/>
                <w:webHidden/>
              </w:rPr>
              <w:fldChar w:fldCharType="separate"/>
            </w:r>
            <w:r w:rsidRPr="00997080">
              <w:rPr>
                <w:noProof/>
                <w:webHidden/>
              </w:rPr>
              <w:t>12</w:t>
            </w:r>
            <w:r w:rsidRPr="00997080">
              <w:rPr>
                <w:noProof/>
                <w:webHidden/>
              </w:rPr>
              <w:fldChar w:fldCharType="end"/>
            </w:r>
          </w:hyperlink>
        </w:p>
        <w:p w14:paraId="7C50EF74" w14:textId="4EF97E6D" w:rsidR="000C5667" w:rsidRPr="00997080" w:rsidRDefault="000C5667">
          <w:pPr>
            <w:pStyle w:val="TOC2"/>
            <w:tabs>
              <w:tab w:val="right" w:leader="dot" w:pos="9016"/>
            </w:tabs>
            <w:rPr>
              <w:rFonts w:asciiTheme="minorHAnsi" w:eastAsiaTheme="minorEastAsia" w:hAnsiTheme="minorHAnsi"/>
              <w:noProof/>
              <w:sz w:val="24"/>
              <w:szCs w:val="24"/>
              <w:lang w:val="en-IN" w:eastAsia="en-IN"/>
            </w:rPr>
          </w:pPr>
          <w:hyperlink w:anchor="_Toc233667109" w:history="1">
            <w:r w:rsidRPr="00997080">
              <w:rPr>
                <w:rStyle w:val="Hyperlink"/>
                <w:rFonts w:cs="Arial"/>
                <w:noProof/>
              </w:rPr>
              <w:t>5.3 Communication plan</w:t>
            </w:r>
            <w:r w:rsidRPr="00997080">
              <w:rPr>
                <w:noProof/>
                <w:webHidden/>
              </w:rPr>
              <w:tab/>
            </w:r>
            <w:r w:rsidRPr="00997080">
              <w:rPr>
                <w:noProof/>
                <w:webHidden/>
              </w:rPr>
              <w:fldChar w:fldCharType="begin"/>
            </w:r>
            <w:r w:rsidRPr="00997080">
              <w:rPr>
                <w:noProof/>
                <w:webHidden/>
              </w:rPr>
              <w:instrText xml:space="preserve"> PAGEREF _Toc233667109 \h </w:instrText>
            </w:r>
            <w:r w:rsidRPr="00997080">
              <w:rPr>
                <w:noProof/>
                <w:webHidden/>
              </w:rPr>
            </w:r>
            <w:r w:rsidRPr="00997080">
              <w:rPr>
                <w:noProof/>
                <w:webHidden/>
              </w:rPr>
              <w:fldChar w:fldCharType="separate"/>
            </w:r>
            <w:r w:rsidRPr="00997080">
              <w:rPr>
                <w:noProof/>
                <w:webHidden/>
              </w:rPr>
              <w:t>13</w:t>
            </w:r>
            <w:r w:rsidRPr="00997080">
              <w:rPr>
                <w:noProof/>
                <w:webHidden/>
              </w:rPr>
              <w:fldChar w:fldCharType="end"/>
            </w:r>
          </w:hyperlink>
        </w:p>
        <w:p w14:paraId="47FF2AC7" w14:textId="02C07727" w:rsidR="000C5667" w:rsidRPr="00997080" w:rsidRDefault="000C5667">
          <w:pPr>
            <w:pStyle w:val="TOC2"/>
            <w:tabs>
              <w:tab w:val="right" w:leader="dot" w:pos="9016"/>
            </w:tabs>
            <w:rPr>
              <w:rFonts w:asciiTheme="minorHAnsi" w:eastAsiaTheme="minorEastAsia" w:hAnsiTheme="minorHAnsi"/>
              <w:noProof/>
              <w:sz w:val="24"/>
              <w:szCs w:val="24"/>
              <w:lang w:val="en-IN" w:eastAsia="en-IN"/>
            </w:rPr>
          </w:pPr>
          <w:hyperlink w:anchor="_Toc233667110" w:history="1">
            <w:r w:rsidRPr="00997080">
              <w:rPr>
                <w:rStyle w:val="Hyperlink"/>
                <w:rFonts w:cs="Arial"/>
                <w:noProof/>
              </w:rPr>
              <w:t>5.4 Implementation plan</w:t>
            </w:r>
            <w:r w:rsidRPr="00997080">
              <w:rPr>
                <w:noProof/>
                <w:webHidden/>
              </w:rPr>
              <w:tab/>
            </w:r>
            <w:r w:rsidRPr="00997080">
              <w:rPr>
                <w:noProof/>
                <w:webHidden/>
              </w:rPr>
              <w:fldChar w:fldCharType="begin"/>
            </w:r>
            <w:r w:rsidRPr="00997080">
              <w:rPr>
                <w:noProof/>
                <w:webHidden/>
              </w:rPr>
              <w:instrText xml:space="preserve"> PAGEREF _Toc233667110 \h </w:instrText>
            </w:r>
            <w:r w:rsidRPr="00997080">
              <w:rPr>
                <w:noProof/>
                <w:webHidden/>
              </w:rPr>
            </w:r>
            <w:r w:rsidRPr="00997080">
              <w:rPr>
                <w:noProof/>
                <w:webHidden/>
              </w:rPr>
              <w:fldChar w:fldCharType="separate"/>
            </w:r>
            <w:r w:rsidRPr="00997080">
              <w:rPr>
                <w:noProof/>
                <w:webHidden/>
              </w:rPr>
              <w:t>14</w:t>
            </w:r>
            <w:r w:rsidRPr="00997080">
              <w:rPr>
                <w:noProof/>
                <w:webHidden/>
              </w:rPr>
              <w:fldChar w:fldCharType="end"/>
            </w:r>
          </w:hyperlink>
        </w:p>
        <w:p w14:paraId="2318F507" w14:textId="3AF83F91" w:rsidR="000C5667" w:rsidRPr="00997080" w:rsidRDefault="000C5667">
          <w:pPr>
            <w:pStyle w:val="TOC2"/>
            <w:tabs>
              <w:tab w:val="right" w:leader="dot" w:pos="9016"/>
            </w:tabs>
            <w:rPr>
              <w:rFonts w:asciiTheme="minorHAnsi" w:eastAsiaTheme="minorEastAsia" w:hAnsiTheme="minorHAnsi"/>
              <w:noProof/>
              <w:sz w:val="24"/>
              <w:szCs w:val="24"/>
              <w:lang w:val="en-IN" w:eastAsia="en-IN"/>
            </w:rPr>
          </w:pPr>
          <w:hyperlink w:anchor="_Toc233667111" w:history="1">
            <w:r w:rsidRPr="00997080">
              <w:rPr>
                <w:rStyle w:val="Hyperlink"/>
                <w:rFonts w:cs="Arial"/>
                <w:noProof/>
              </w:rPr>
              <w:t>5.5 Evaluation plan</w:t>
            </w:r>
            <w:r w:rsidRPr="00997080">
              <w:rPr>
                <w:noProof/>
                <w:webHidden/>
              </w:rPr>
              <w:tab/>
            </w:r>
            <w:r w:rsidRPr="00997080">
              <w:rPr>
                <w:noProof/>
                <w:webHidden/>
              </w:rPr>
              <w:fldChar w:fldCharType="begin"/>
            </w:r>
            <w:r w:rsidRPr="00997080">
              <w:rPr>
                <w:noProof/>
                <w:webHidden/>
              </w:rPr>
              <w:instrText xml:space="preserve"> PAGEREF _Toc233667111 \h </w:instrText>
            </w:r>
            <w:r w:rsidRPr="00997080">
              <w:rPr>
                <w:noProof/>
                <w:webHidden/>
              </w:rPr>
            </w:r>
            <w:r w:rsidRPr="00997080">
              <w:rPr>
                <w:noProof/>
                <w:webHidden/>
              </w:rPr>
              <w:fldChar w:fldCharType="separate"/>
            </w:r>
            <w:r w:rsidRPr="00997080">
              <w:rPr>
                <w:noProof/>
                <w:webHidden/>
              </w:rPr>
              <w:t>15</w:t>
            </w:r>
            <w:r w:rsidRPr="00997080">
              <w:rPr>
                <w:noProof/>
                <w:webHidden/>
              </w:rPr>
              <w:fldChar w:fldCharType="end"/>
            </w:r>
          </w:hyperlink>
        </w:p>
        <w:p w14:paraId="0F7CD421" w14:textId="2A6013CB" w:rsidR="000C5667" w:rsidRPr="00997080" w:rsidRDefault="000C5667">
          <w:pPr>
            <w:pStyle w:val="TOC1"/>
            <w:tabs>
              <w:tab w:val="right" w:leader="dot" w:pos="9016"/>
            </w:tabs>
            <w:rPr>
              <w:rFonts w:asciiTheme="minorHAnsi" w:eastAsiaTheme="minorEastAsia" w:hAnsiTheme="minorHAnsi"/>
              <w:noProof/>
              <w:sz w:val="24"/>
              <w:szCs w:val="24"/>
              <w:lang w:val="en-IN" w:eastAsia="en-IN"/>
            </w:rPr>
          </w:pPr>
          <w:hyperlink w:anchor="_Toc233667112" w:history="1">
            <w:r w:rsidRPr="00997080">
              <w:rPr>
                <w:rStyle w:val="Hyperlink"/>
                <w:rFonts w:cs="Arial"/>
                <w:noProof/>
              </w:rPr>
              <w:t>6. Conclusion</w:t>
            </w:r>
            <w:r w:rsidRPr="00997080">
              <w:rPr>
                <w:noProof/>
                <w:webHidden/>
              </w:rPr>
              <w:tab/>
            </w:r>
            <w:r w:rsidRPr="00997080">
              <w:rPr>
                <w:noProof/>
                <w:webHidden/>
              </w:rPr>
              <w:fldChar w:fldCharType="begin"/>
            </w:r>
            <w:r w:rsidRPr="00997080">
              <w:rPr>
                <w:noProof/>
                <w:webHidden/>
              </w:rPr>
              <w:instrText xml:space="preserve"> PAGEREF _Toc233667112 \h </w:instrText>
            </w:r>
            <w:r w:rsidRPr="00997080">
              <w:rPr>
                <w:noProof/>
                <w:webHidden/>
              </w:rPr>
            </w:r>
            <w:r w:rsidRPr="00997080">
              <w:rPr>
                <w:noProof/>
                <w:webHidden/>
              </w:rPr>
              <w:fldChar w:fldCharType="separate"/>
            </w:r>
            <w:r w:rsidRPr="00997080">
              <w:rPr>
                <w:noProof/>
                <w:webHidden/>
              </w:rPr>
              <w:t>16</w:t>
            </w:r>
            <w:r w:rsidRPr="00997080">
              <w:rPr>
                <w:noProof/>
                <w:webHidden/>
              </w:rPr>
              <w:fldChar w:fldCharType="end"/>
            </w:r>
          </w:hyperlink>
        </w:p>
        <w:p w14:paraId="42E2AD83" w14:textId="45DA3050" w:rsidR="000C5667" w:rsidRPr="00997080" w:rsidRDefault="000C5667">
          <w:pPr>
            <w:pStyle w:val="TOC1"/>
            <w:tabs>
              <w:tab w:val="right" w:leader="dot" w:pos="9016"/>
            </w:tabs>
            <w:rPr>
              <w:rFonts w:asciiTheme="minorHAnsi" w:eastAsiaTheme="minorEastAsia" w:hAnsiTheme="minorHAnsi"/>
              <w:noProof/>
              <w:sz w:val="24"/>
              <w:szCs w:val="24"/>
              <w:lang w:val="en-IN" w:eastAsia="en-IN"/>
            </w:rPr>
          </w:pPr>
          <w:hyperlink w:anchor="_Toc233667113" w:history="1">
            <w:r w:rsidRPr="00997080">
              <w:rPr>
                <w:rStyle w:val="Hyperlink"/>
                <w:rFonts w:cs="Arial"/>
                <w:noProof/>
              </w:rPr>
              <w:t>Reference List</w:t>
            </w:r>
            <w:r w:rsidRPr="00997080">
              <w:rPr>
                <w:noProof/>
                <w:webHidden/>
              </w:rPr>
              <w:tab/>
            </w:r>
            <w:r w:rsidRPr="00997080">
              <w:rPr>
                <w:noProof/>
                <w:webHidden/>
              </w:rPr>
              <w:fldChar w:fldCharType="begin"/>
            </w:r>
            <w:r w:rsidRPr="00997080">
              <w:rPr>
                <w:noProof/>
                <w:webHidden/>
              </w:rPr>
              <w:instrText xml:space="preserve"> PAGEREF _Toc233667113 \h </w:instrText>
            </w:r>
            <w:r w:rsidRPr="00997080">
              <w:rPr>
                <w:noProof/>
                <w:webHidden/>
              </w:rPr>
            </w:r>
            <w:r w:rsidRPr="00997080">
              <w:rPr>
                <w:noProof/>
                <w:webHidden/>
              </w:rPr>
              <w:fldChar w:fldCharType="separate"/>
            </w:r>
            <w:r w:rsidRPr="00997080">
              <w:rPr>
                <w:noProof/>
                <w:webHidden/>
              </w:rPr>
              <w:t>17</w:t>
            </w:r>
            <w:r w:rsidRPr="00997080">
              <w:rPr>
                <w:noProof/>
                <w:webHidden/>
              </w:rPr>
              <w:fldChar w:fldCharType="end"/>
            </w:r>
          </w:hyperlink>
        </w:p>
        <w:p w14:paraId="0C257DE3" w14:textId="0D2744EC" w:rsidR="00CC1931" w:rsidRPr="00997080" w:rsidRDefault="00CC1931">
          <w:pPr>
            <w:rPr>
              <w:rFonts w:cs="Arial"/>
            </w:rPr>
          </w:pPr>
          <w:r w:rsidRPr="00997080">
            <w:rPr>
              <w:rFonts w:cs="Arial"/>
              <w:b/>
              <w:bCs/>
              <w:noProof/>
            </w:rPr>
            <w:fldChar w:fldCharType="end"/>
          </w:r>
        </w:p>
      </w:sdtContent>
    </w:sdt>
    <w:p w14:paraId="2F6C9B5C" w14:textId="7490F45B" w:rsidR="00CC1931" w:rsidRPr="00997080" w:rsidRDefault="00CC1931" w:rsidP="00CC1931">
      <w:pPr>
        <w:spacing w:line="259" w:lineRule="auto"/>
        <w:jc w:val="left"/>
        <w:rPr>
          <w:rFonts w:cs="Arial"/>
        </w:rPr>
      </w:pPr>
      <w:r w:rsidRPr="00997080">
        <w:rPr>
          <w:rFonts w:cs="Arial"/>
        </w:rPr>
        <w:br w:type="page"/>
      </w:r>
    </w:p>
    <w:p w14:paraId="7CFD663C" w14:textId="6EF1BE2D" w:rsidR="00A627D0" w:rsidRPr="00997080" w:rsidRDefault="0033131B" w:rsidP="005B170B">
      <w:pPr>
        <w:pStyle w:val="Heading1"/>
        <w:rPr>
          <w:rFonts w:cs="Arial"/>
          <w:szCs w:val="22"/>
        </w:rPr>
      </w:pPr>
      <w:bookmarkStart w:id="1" w:name="_Toc233667096"/>
      <w:r w:rsidRPr="00997080">
        <w:rPr>
          <w:rFonts w:cs="Arial"/>
          <w:szCs w:val="22"/>
        </w:rPr>
        <w:lastRenderedPageBreak/>
        <w:t xml:space="preserve">1. </w:t>
      </w:r>
      <w:r w:rsidR="00A627D0" w:rsidRPr="00997080">
        <w:rPr>
          <w:rFonts w:cs="Arial"/>
          <w:szCs w:val="22"/>
        </w:rPr>
        <w:t>Introduction to the Organisation</w:t>
      </w:r>
      <w:bookmarkEnd w:id="1"/>
    </w:p>
    <w:p w14:paraId="050AE6A6" w14:textId="4E239D09" w:rsidR="007565F1" w:rsidRPr="00997080" w:rsidRDefault="00E440E7" w:rsidP="007565F1">
      <w:pPr>
        <w:rPr>
          <w:rFonts w:cs="Arial"/>
        </w:rPr>
      </w:pPr>
      <w:r w:rsidRPr="00997080">
        <w:rPr>
          <w:rFonts w:cs="Arial"/>
        </w:rPr>
        <w:t>The automobile sector has undergone rapid changes in the recent past due to the advancement of automation, AI (artificial intelligence), and the transition towards using e-vehicles</w:t>
      </w:r>
      <w:r w:rsidR="00C33B58" w:rsidRPr="00997080">
        <w:rPr>
          <w:rFonts w:cs="Arial"/>
        </w:rPr>
        <w:t xml:space="preserve"> (Bathla et al., 2022)</w:t>
      </w:r>
      <w:r w:rsidRPr="00997080">
        <w:rPr>
          <w:rFonts w:cs="Arial"/>
        </w:rPr>
        <w:t xml:space="preserve">. However, changing regulations, geopolitical issues, and rising competition from technology-based firms have created market competition. Therefore, rather than relying on reputation and manufacturing ability, automobile firms try to focus on innovation </w:t>
      </w:r>
      <w:r w:rsidR="00300889" w:rsidRPr="00997080">
        <w:rPr>
          <w:rFonts w:cs="Arial"/>
        </w:rPr>
        <w:t>in</w:t>
      </w:r>
      <w:r w:rsidRPr="00997080">
        <w:rPr>
          <w:rFonts w:cs="Arial"/>
        </w:rPr>
        <w:t xml:space="preserve"> digital technologies and respond to market changes.</w:t>
      </w:r>
    </w:p>
    <w:p w14:paraId="3C3D36AB" w14:textId="4086A09D" w:rsidR="00E440E7" w:rsidRPr="00997080" w:rsidRDefault="00300889" w:rsidP="007565F1">
      <w:pPr>
        <w:rPr>
          <w:rFonts w:cs="Arial"/>
        </w:rPr>
      </w:pPr>
      <w:r w:rsidRPr="00997080">
        <w:rPr>
          <w:rFonts w:cs="Arial"/>
        </w:rPr>
        <w:t xml:space="preserve">The UK has witnessed a significant shift in the production and sale of e-vehicles in the last decade. Figure 1 shows that the number of e-vehicle registrations in the region has risen from 27,000 in 2015 to 1.47 million as of 2023. Ford is one of the recognised automobile firms in the UK, with a market share of around 8.65%, making the company the second-largest automobile firm in the region (Yoo, 2026). The company is recognised for its extensive manufacturing, innovative engineering, and strong global presence. </w:t>
      </w:r>
      <w:r w:rsidR="00597582" w:rsidRPr="00997080">
        <w:rPr>
          <w:rFonts w:cs="Arial"/>
        </w:rPr>
        <w:t>However, increased emphasis on AI-based vehicles, software integration and sustainability has created competition for the firm in the market. Although the company has invested in digital and sustainable technologies and aimed to establish an all-electric vehicle portfolio by 2030, the progress has been slower when compared with rival firms such as BMW and BYD. This report analyses the strategic changes of Ford in the UK to improve its competitive position.</w:t>
      </w:r>
      <w:r w:rsidR="00C33B58" w:rsidRPr="00997080">
        <w:rPr>
          <w:rFonts w:cs="Arial"/>
        </w:rPr>
        <w:t xml:space="preserve"> The study evaluates the internal and external market factors leading to organisational change and identifies how digital disruption shaped the strategic priorities of the company. From the analysis, the study analyses effective change management strategies, organisational culture, and leadership measures that can be used to implement a suitable sustainable business model for the company in the UK in future.</w:t>
      </w:r>
      <w:r w:rsidR="00597582" w:rsidRPr="00997080">
        <w:rPr>
          <w:rFonts w:cs="Arial"/>
        </w:rPr>
        <w:t xml:space="preserve"> </w:t>
      </w:r>
    </w:p>
    <w:p w14:paraId="016E2CE3" w14:textId="59C44768" w:rsidR="00300889" w:rsidRPr="00997080" w:rsidRDefault="00300889" w:rsidP="00300889">
      <w:pPr>
        <w:jc w:val="center"/>
        <w:rPr>
          <w:rFonts w:cs="Arial"/>
          <w:b/>
          <w:bCs/>
        </w:rPr>
      </w:pPr>
      <w:r w:rsidRPr="00997080">
        <w:rPr>
          <w:rFonts w:cs="Arial"/>
          <w:b/>
          <w:bCs/>
        </w:rPr>
        <w:t>Figure 1: Sales and Registration of e-vehicles in the UK between 2015-2023</w:t>
      </w:r>
    </w:p>
    <w:p w14:paraId="77641BF0" w14:textId="5690B7B4" w:rsidR="00300889" w:rsidRPr="00997080" w:rsidRDefault="00300889" w:rsidP="00300889">
      <w:pPr>
        <w:jc w:val="center"/>
        <w:rPr>
          <w:rFonts w:cs="Arial"/>
        </w:rPr>
      </w:pPr>
      <w:r w:rsidRPr="00997080">
        <w:rPr>
          <w:rFonts w:cs="Arial"/>
          <w:noProof/>
        </w:rPr>
        <w:lastRenderedPageBreak/>
        <w:drawing>
          <wp:inline distT="0" distB="0" distL="0" distR="0" wp14:anchorId="08E4556D" wp14:editId="3AADF2B1">
            <wp:extent cx="4507471" cy="3208020"/>
            <wp:effectExtent l="0" t="0" r="7620" b="0"/>
            <wp:docPr id="1478074956" name="Picture 1" descr="UK: yearly electric vehicle sales|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yearly electric vehicle sales| Statist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0648" cy="3210281"/>
                    </a:xfrm>
                    <a:prstGeom prst="rect">
                      <a:avLst/>
                    </a:prstGeom>
                    <a:noFill/>
                    <a:ln>
                      <a:noFill/>
                    </a:ln>
                  </pic:spPr>
                </pic:pic>
              </a:graphicData>
            </a:graphic>
          </wp:inline>
        </w:drawing>
      </w:r>
    </w:p>
    <w:p w14:paraId="79B9111C" w14:textId="21B81BB9" w:rsidR="00300889" w:rsidRPr="00997080" w:rsidRDefault="00300889" w:rsidP="00575582">
      <w:pPr>
        <w:jc w:val="center"/>
        <w:rPr>
          <w:rFonts w:cs="Arial"/>
        </w:rPr>
      </w:pPr>
      <w:r w:rsidRPr="00997080">
        <w:rPr>
          <w:rFonts w:cs="Arial"/>
        </w:rPr>
        <w:t>(Statista Research Department, 2025)</w:t>
      </w:r>
    </w:p>
    <w:p w14:paraId="62687688" w14:textId="7EDDC140" w:rsidR="005B170B" w:rsidRPr="00997080" w:rsidRDefault="0033131B" w:rsidP="005B170B">
      <w:pPr>
        <w:pStyle w:val="Heading1"/>
        <w:rPr>
          <w:rFonts w:cs="Arial"/>
          <w:szCs w:val="22"/>
        </w:rPr>
      </w:pPr>
      <w:bookmarkStart w:id="2" w:name="_Toc233667097"/>
      <w:r w:rsidRPr="00997080">
        <w:rPr>
          <w:rFonts w:cs="Arial"/>
          <w:szCs w:val="22"/>
        </w:rPr>
        <w:t xml:space="preserve">2. </w:t>
      </w:r>
      <w:r w:rsidR="005B170B" w:rsidRPr="00997080">
        <w:rPr>
          <w:rFonts w:cs="Arial"/>
          <w:szCs w:val="22"/>
        </w:rPr>
        <w:t>Situational Analysis of the Organisation</w:t>
      </w:r>
      <w:bookmarkEnd w:id="2"/>
    </w:p>
    <w:p w14:paraId="5BB56187" w14:textId="70780254" w:rsidR="00E2715E" w:rsidRPr="00997080" w:rsidRDefault="00E2715E" w:rsidP="00575582">
      <w:pPr>
        <w:rPr>
          <w:rFonts w:cs="Arial"/>
        </w:rPr>
      </w:pPr>
      <w:r w:rsidRPr="00997080">
        <w:rPr>
          <w:rFonts w:cs="Arial"/>
        </w:rPr>
        <w:t>To develop a suitable change management model for Ford, it is critical to understand its external and internal environment. A PESTEL analysis is used to evaluate the macro-environmental forces affecting Ford in the UK. The model recognises several external factors, such as political, social, environmental, legal, economic, and technological aspects affecting the entity</w:t>
      </w:r>
      <w:r w:rsidR="00213B5D" w:rsidRPr="00997080">
        <w:rPr>
          <w:rFonts w:cs="Arial"/>
        </w:rPr>
        <w:t xml:space="preserve"> (Christodoulou &amp; Cullinane, 2019)</w:t>
      </w:r>
      <w:r w:rsidRPr="00997080">
        <w:rPr>
          <w:rFonts w:cs="Arial"/>
        </w:rPr>
        <w:t>.</w:t>
      </w:r>
    </w:p>
    <w:p w14:paraId="62942454" w14:textId="64A64879" w:rsidR="00E2715E" w:rsidRPr="00997080" w:rsidRDefault="0033131B" w:rsidP="00213B5D">
      <w:pPr>
        <w:pStyle w:val="Heading2"/>
        <w:rPr>
          <w:rFonts w:cs="Arial"/>
          <w:szCs w:val="22"/>
        </w:rPr>
      </w:pPr>
      <w:bookmarkStart w:id="3" w:name="_Toc233667098"/>
      <w:r w:rsidRPr="00997080">
        <w:rPr>
          <w:rFonts w:cs="Arial"/>
          <w:szCs w:val="22"/>
        </w:rPr>
        <w:t xml:space="preserve">2.1 </w:t>
      </w:r>
      <w:r w:rsidR="00652A3C" w:rsidRPr="00997080">
        <w:rPr>
          <w:rFonts w:cs="Arial"/>
          <w:szCs w:val="22"/>
        </w:rPr>
        <w:t xml:space="preserve">External Environment Analysis: </w:t>
      </w:r>
      <w:r w:rsidR="00E2715E" w:rsidRPr="00997080">
        <w:rPr>
          <w:rFonts w:cs="Arial"/>
          <w:szCs w:val="22"/>
        </w:rPr>
        <w:t>PESTEL Analysis</w:t>
      </w:r>
      <w:bookmarkEnd w:id="3"/>
    </w:p>
    <w:p w14:paraId="098A8257" w14:textId="71422988" w:rsidR="00E2715E" w:rsidRPr="00997080" w:rsidRDefault="00764ACC" w:rsidP="00575582">
      <w:pPr>
        <w:rPr>
          <w:rFonts w:cs="Arial"/>
        </w:rPr>
      </w:pPr>
      <w:r w:rsidRPr="00997080">
        <w:rPr>
          <w:rFonts w:cs="Arial"/>
        </w:rPr>
        <w:t xml:space="preserve">Political Factors: </w:t>
      </w:r>
      <w:r w:rsidR="00DA5A5F" w:rsidRPr="00997080">
        <w:rPr>
          <w:rFonts w:cs="Arial"/>
        </w:rPr>
        <w:t>The commitment of the UK government to achieve zero emissions indicates support for e-mobility in the region</w:t>
      </w:r>
      <w:r w:rsidR="00FF1CEB" w:rsidRPr="00997080">
        <w:rPr>
          <w:rFonts w:cs="Arial"/>
        </w:rPr>
        <w:t xml:space="preserve"> (Ruggieri et al., 2021)</w:t>
      </w:r>
      <w:r w:rsidR="00DA5A5F" w:rsidRPr="00997080">
        <w:rPr>
          <w:rFonts w:cs="Arial"/>
        </w:rPr>
        <w:t xml:space="preserve">. Increasing environmental regulations have also forced the regulators to become </w:t>
      </w:r>
      <w:r w:rsidR="007E7446" w:rsidRPr="00997080">
        <w:rPr>
          <w:rFonts w:cs="Arial"/>
        </w:rPr>
        <w:t>stricter</w:t>
      </w:r>
      <w:r w:rsidR="00DA5A5F" w:rsidRPr="00997080">
        <w:rPr>
          <w:rFonts w:cs="Arial"/>
        </w:rPr>
        <w:t xml:space="preserve"> and force design changes in the present portfolio of the company. These strategic choices are shaping the changes leading to Ford transitioning to e-vehicles. For example, the company aims to develop an electric portfolio in the UK and Europe by 2030 (BBC, 2021). However, changing </w:t>
      </w:r>
      <w:r w:rsidR="00FF1CEB" w:rsidRPr="00997080">
        <w:rPr>
          <w:rFonts w:cs="Arial"/>
        </w:rPr>
        <w:t>regulations and consumer needs also create strategic challenges for an entity. For example, a rise in e-vehicle subsidy, trade agreements in the post-Brexit phase, and operational issues within Ford have created complexity for the organisation.</w:t>
      </w:r>
    </w:p>
    <w:p w14:paraId="3A5078E8" w14:textId="58583E5A" w:rsidR="00FF1CEB" w:rsidRPr="00997080" w:rsidRDefault="00FF1CEB" w:rsidP="00575582">
      <w:pPr>
        <w:rPr>
          <w:rFonts w:cs="Arial"/>
        </w:rPr>
      </w:pPr>
      <w:r w:rsidRPr="00997080">
        <w:rPr>
          <w:rFonts w:cs="Arial"/>
        </w:rPr>
        <w:t>Economic Factors: Economic factors influence both customers' purchasing behaviour and the production costs of an entity. In the UK, the inflation rate is at 2.8%, and the figures had risen to 11.1% in 2022 along with high interest rates</w:t>
      </w:r>
      <w:r w:rsidR="006D0330" w:rsidRPr="00997080">
        <w:rPr>
          <w:rFonts w:cs="Arial"/>
        </w:rPr>
        <w:t xml:space="preserve"> (Clark, 2026)</w:t>
      </w:r>
      <w:r w:rsidRPr="00997080">
        <w:rPr>
          <w:rFonts w:cs="Arial"/>
        </w:rPr>
        <w:t xml:space="preserve">. Also, supply chain disruptions </w:t>
      </w:r>
      <w:r w:rsidRPr="00997080">
        <w:rPr>
          <w:rFonts w:cs="Arial"/>
        </w:rPr>
        <w:lastRenderedPageBreak/>
        <w:t xml:space="preserve">are common for automobile companies. Hence, investing in e-vehicles, batteries, and semiconductors is a challenge for Ford. Also, high prices due to inflation can discourage customers from attaining e-vehicles despite rising environmental awareness. The conditions show that Ford cannot </w:t>
      </w:r>
      <w:r w:rsidR="007E7446" w:rsidRPr="00997080">
        <w:rPr>
          <w:rFonts w:cs="Arial"/>
        </w:rPr>
        <w:t>depend only</w:t>
      </w:r>
      <w:r w:rsidRPr="00997080">
        <w:rPr>
          <w:rFonts w:cs="Arial"/>
        </w:rPr>
        <w:t xml:space="preserve"> on e-vehicle production but should also ensure operational efficiency through digital and AI-based manufacturing techniques.</w:t>
      </w:r>
    </w:p>
    <w:p w14:paraId="1A9B043C" w14:textId="61A62BD3" w:rsidR="00FF1CEB" w:rsidRPr="00997080" w:rsidRDefault="00375D67" w:rsidP="00575582">
      <w:pPr>
        <w:rPr>
          <w:rFonts w:cs="Arial"/>
        </w:rPr>
      </w:pPr>
      <w:r w:rsidRPr="00997080">
        <w:rPr>
          <w:rFonts w:cs="Arial"/>
        </w:rPr>
        <w:t xml:space="preserve">Social Factors: </w:t>
      </w:r>
      <w:r w:rsidR="00C40BA7" w:rsidRPr="00997080">
        <w:rPr>
          <w:rFonts w:cs="Arial"/>
        </w:rPr>
        <w:t xml:space="preserve">Over the past decade, consumers have adhered to the sustainability norms, leading to </w:t>
      </w:r>
      <w:r w:rsidR="007E7446" w:rsidRPr="00997080">
        <w:rPr>
          <w:rFonts w:cs="Arial"/>
        </w:rPr>
        <w:t xml:space="preserve">a </w:t>
      </w:r>
      <w:r w:rsidR="00C40BA7" w:rsidRPr="00997080">
        <w:rPr>
          <w:rFonts w:cs="Arial"/>
        </w:rPr>
        <w:t>rising emphasis on e-vehicles in the UK</w:t>
      </w:r>
      <w:r w:rsidR="001D4B9B" w:rsidRPr="00997080">
        <w:rPr>
          <w:rFonts w:cs="Arial"/>
        </w:rPr>
        <w:t xml:space="preserve"> (Awwad, Shekhar &amp; Iyer, 2018)</w:t>
      </w:r>
      <w:r w:rsidR="00C40BA7" w:rsidRPr="00997080">
        <w:rPr>
          <w:rFonts w:cs="Arial"/>
        </w:rPr>
        <w:t>. Moreover, consumers are concerned about the connectivity, software functions, and driving features of a car rather than relying only on engine performance. This shift has minimised the competitive aspect of Ford. Also, young customers in the UK prefer personalised and digital driving experiences, indicating the need for Ford to expand its automobile manufacturing strategies.</w:t>
      </w:r>
    </w:p>
    <w:p w14:paraId="550F2138" w14:textId="420A6FCA" w:rsidR="00C40BA7" w:rsidRPr="00997080" w:rsidRDefault="00C40BA7" w:rsidP="00575582">
      <w:pPr>
        <w:rPr>
          <w:rFonts w:cs="Arial"/>
        </w:rPr>
      </w:pPr>
      <w:r w:rsidRPr="00997080">
        <w:rPr>
          <w:rFonts w:cs="Arial"/>
        </w:rPr>
        <w:t xml:space="preserve">Technological Factors: </w:t>
      </w:r>
      <w:r w:rsidR="00BE5A02" w:rsidRPr="00997080">
        <w:rPr>
          <w:rFonts w:cs="Arial"/>
        </w:rPr>
        <w:t>The introduction of autonomous driving, AI, and advanced battery systems has changed how vehicles are designed and maintained at present</w:t>
      </w:r>
      <w:r w:rsidR="00885529" w:rsidRPr="00997080">
        <w:rPr>
          <w:rFonts w:cs="Arial"/>
        </w:rPr>
        <w:t xml:space="preserve"> (Rana &amp; Khatri, 2024)</w:t>
      </w:r>
      <w:r w:rsidR="00BE5A02" w:rsidRPr="00997080">
        <w:rPr>
          <w:rFonts w:cs="Arial"/>
        </w:rPr>
        <w:t xml:space="preserve">. Unlike previous developments in </w:t>
      </w:r>
      <w:r w:rsidR="007E7446" w:rsidRPr="00997080">
        <w:rPr>
          <w:rFonts w:cs="Arial"/>
        </w:rPr>
        <w:t xml:space="preserve">the </w:t>
      </w:r>
      <w:r w:rsidR="00BE5A02" w:rsidRPr="00997080">
        <w:rPr>
          <w:rFonts w:cs="Arial"/>
        </w:rPr>
        <w:t>efficiency of manufacturing, present innovation insists on transforming the overall business model of the firm. This creates a challenge for Ford as firms like BYD and BMW have integrated digital technologies as supporting tools within the firm. On the contrary, Ford loses market share if digital transformation measures are slow.</w:t>
      </w:r>
    </w:p>
    <w:p w14:paraId="3DBE38D3" w14:textId="2C98622D" w:rsidR="00BE5A02" w:rsidRPr="00997080" w:rsidRDefault="00BE5A02" w:rsidP="00575582">
      <w:pPr>
        <w:rPr>
          <w:rFonts w:cs="Arial"/>
        </w:rPr>
      </w:pPr>
      <w:r w:rsidRPr="00997080">
        <w:rPr>
          <w:rFonts w:cs="Arial"/>
        </w:rPr>
        <w:t xml:space="preserve">Environmental Factors: </w:t>
      </w:r>
      <w:r w:rsidR="00A04B8E" w:rsidRPr="00997080">
        <w:rPr>
          <w:rFonts w:cs="Arial"/>
        </w:rPr>
        <w:t>Consumers, governments, and investors expect the manufacturers to minimise carbon emissions. The automotive 2050 strategy in the UK aims to focus largely on e-vehicle emissions and ban internal combustion engines</w:t>
      </w:r>
      <w:r w:rsidR="00157E79" w:rsidRPr="00997080">
        <w:rPr>
          <w:rFonts w:cs="Arial"/>
        </w:rPr>
        <w:t xml:space="preserve"> (Hutton et al., 2025)</w:t>
      </w:r>
      <w:r w:rsidR="00A04B8E" w:rsidRPr="00997080">
        <w:rPr>
          <w:rFonts w:cs="Arial"/>
        </w:rPr>
        <w:t>. Ford tries to maintain compliance with the policies by investing in e-vehicles, digital technologies, and adhering to permitted emission levels. However, the environmental initiatives of the company need to be integrated with digital innovation to ensure success.</w:t>
      </w:r>
    </w:p>
    <w:p w14:paraId="17DBF1A4" w14:textId="55C83C7E" w:rsidR="00A04B8E" w:rsidRPr="00997080" w:rsidRDefault="00A04B8E" w:rsidP="00575582">
      <w:pPr>
        <w:rPr>
          <w:rFonts w:cs="Arial"/>
        </w:rPr>
      </w:pPr>
      <w:r w:rsidRPr="00997080">
        <w:rPr>
          <w:rFonts w:cs="Arial"/>
        </w:rPr>
        <w:t xml:space="preserve">Legal Factors: </w:t>
      </w:r>
      <w:r w:rsidR="00157E79" w:rsidRPr="00997080">
        <w:rPr>
          <w:rFonts w:cs="Arial"/>
        </w:rPr>
        <w:t xml:space="preserve">The automobile firms in the UK need to maintain compliance with intellectual property, infrastructure policies, and environmental policies. Ford adheres to the legal </w:t>
      </w:r>
      <w:r w:rsidR="00652A3C" w:rsidRPr="00997080">
        <w:rPr>
          <w:rFonts w:cs="Arial"/>
        </w:rPr>
        <w:t>requirements</w:t>
      </w:r>
      <w:r w:rsidR="00157E79" w:rsidRPr="00997080">
        <w:rPr>
          <w:rFonts w:cs="Arial"/>
        </w:rPr>
        <w:t xml:space="preserve"> to prevent any instance of operational complexity.</w:t>
      </w:r>
    </w:p>
    <w:p w14:paraId="0609007C" w14:textId="4D42FE75" w:rsidR="00157E79" w:rsidRPr="00997080" w:rsidRDefault="0033131B" w:rsidP="00652A3C">
      <w:pPr>
        <w:pStyle w:val="Heading2"/>
        <w:rPr>
          <w:rFonts w:cs="Arial"/>
          <w:szCs w:val="22"/>
        </w:rPr>
      </w:pPr>
      <w:bookmarkStart w:id="4" w:name="_Toc233667099"/>
      <w:r w:rsidRPr="00997080">
        <w:rPr>
          <w:rFonts w:cs="Arial"/>
          <w:szCs w:val="22"/>
        </w:rPr>
        <w:t xml:space="preserve">2.2 </w:t>
      </w:r>
      <w:r w:rsidR="00652A3C" w:rsidRPr="00997080">
        <w:rPr>
          <w:rFonts w:cs="Arial"/>
          <w:szCs w:val="22"/>
        </w:rPr>
        <w:t>Industry Competition: Porter’s Five Forces Analysis</w:t>
      </w:r>
      <w:bookmarkEnd w:id="4"/>
    </w:p>
    <w:p w14:paraId="44FE1293" w14:textId="6B446C2C" w:rsidR="00652A3C" w:rsidRPr="00997080" w:rsidRDefault="00E26F7B" w:rsidP="00652A3C">
      <w:pPr>
        <w:rPr>
          <w:rFonts w:cs="Arial"/>
        </w:rPr>
      </w:pPr>
      <w:r w:rsidRPr="00997080">
        <w:rPr>
          <w:rFonts w:cs="Arial"/>
        </w:rPr>
        <w:t xml:space="preserve">Despite several improvements in digital transformation, the competitive position of Ford is affected due to </w:t>
      </w:r>
      <w:r w:rsidR="00384756" w:rsidRPr="00997080">
        <w:rPr>
          <w:rFonts w:cs="Arial"/>
        </w:rPr>
        <w:t xml:space="preserve">competitive forces in the market. </w:t>
      </w:r>
      <w:r w:rsidR="007C04F1" w:rsidRPr="00997080">
        <w:rPr>
          <w:rFonts w:cs="Arial"/>
        </w:rPr>
        <w:t>Porter’s five forces analysis is used to analyse the diverse forces and determine the position of Ford in the UK automobile market</w:t>
      </w:r>
      <w:r w:rsidR="00466048" w:rsidRPr="00997080">
        <w:rPr>
          <w:rFonts w:cs="Arial"/>
        </w:rPr>
        <w:t xml:space="preserve"> (Pangarkar &amp; Prabhudesai, 2024)</w:t>
      </w:r>
      <w:r w:rsidR="007C04F1" w:rsidRPr="00997080">
        <w:rPr>
          <w:rFonts w:cs="Arial"/>
        </w:rPr>
        <w:t>.</w:t>
      </w:r>
    </w:p>
    <w:p w14:paraId="2670806D" w14:textId="2DF2C687" w:rsidR="007C04F1" w:rsidRPr="00997080" w:rsidRDefault="007C04F1" w:rsidP="007C04F1">
      <w:pPr>
        <w:jc w:val="center"/>
        <w:rPr>
          <w:rFonts w:cs="Arial"/>
          <w:b/>
          <w:bCs/>
        </w:rPr>
      </w:pPr>
      <w:r w:rsidRPr="00997080">
        <w:rPr>
          <w:rFonts w:cs="Arial"/>
          <w:b/>
          <w:bCs/>
        </w:rPr>
        <w:t>Table 1: Porter’s Five Forces Analysis</w:t>
      </w:r>
    </w:p>
    <w:tbl>
      <w:tblPr>
        <w:tblStyle w:val="TableGrid"/>
        <w:tblW w:w="0" w:type="auto"/>
        <w:tblLook w:val="04A0" w:firstRow="1" w:lastRow="0" w:firstColumn="1" w:lastColumn="0" w:noHBand="0" w:noVBand="1"/>
      </w:tblPr>
      <w:tblGrid>
        <w:gridCol w:w="3114"/>
        <w:gridCol w:w="5902"/>
      </w:tblGrid>
      <w:tr w:rsidR="007C04F1" w:rsidRPr="00997080" w14:paraId="0B9B77DE" w14:textId="77777777" w:rsidTr="00E97E0F">
        <w:tc>
          <w:tcPr>
            <w:tcW w:w="3114" w:type="dxa"/>
          </w:tcPr>
          <w:p w14:paraId="3D9ECB1C" w14:textId="6620D931" w:rsidR="007C04F1" w:rsidRPr="00997080" w:rsidRDefault="007C1C45" w:rsidP="00652A3C">
            <w:pPr>
              <w:rPr>
                <w:rFonts w:cs="Arial"/>
              </w:rPr>
            </w:pPr>
            <w:r w:rsidRPr="00997080">
              <w:rPr>
                <w:rFonts w:cs="Arial"/>
              </w:rPr>
              <w:lastRenderedPageBreak/>
              <w:t xml:space="preserve">Threat of New Entrants </w:t>
            </w:r>
            <w:r w:rsidR="00E97E0F" w:rsidRPr="00997080">
              <w:rPr>
                <w:rFonts w:cs="Arial"/>
              </w:rPr>
              <w:t>(Low</w:t>
            </w:r>
            <w:r w:rsidRPr="00997080">
              <w:rPr>
                <w:rFonts w:cs="Arial"/>
              </w:rPr>
              <w:t>)</w:t>
            </w:r>
          </w:p>
        </w:tc>
        <w:tc>
          <w:tcPr>
            <w:tcW w:w="5902" w:type="dxa"/>
          </w:tcPr>
          <w:p w14:paraId="0FE2D1E8" w14:textId="0A1784F8" w:rsidR="007C04F1" w:rsidRPr="00997080" w:rsidRDefault="00E97E0F" w:rsidP="00652A3C">
            <w:pPr>
              <w:rPr>
                <w:rFonts w:cs="Arial"/>
              </w:rPr>
            </w:pPr>
            <w:r w:rsidRPr="00997080">
              <w:rPr>
                <w:rFonts w:cs="Arial"/>
              </w:rPr>
              <w:t>The low entry barriers make it easy for new entrants to invest in the UK automobile sector in e-vehicle technology. However, it is difficult for new firms to achieve the strong reputation and brand equity of Ford within a short time.</w:t>
            </w:r>
          </w:p>
        </w:tc>
      </w:tr>
      <w:tr w:rsidR="007C04F1" w:rsidRPr="00997080" w14:paraId="63D7A718" w14:textId="77777777" w:rsidTr="00E97E0F">
        <w:tc>
          <w:tcPr>
            <w:tcW w:w="3114" w:type="dxa"/>
          </w:tcPr>
          <w:p w14:paraId="6652372B" w14:textId="7B098ADC" w:rsidR="007C04F1" w:rsidRPr="00997080" w:rsidRDefault="007C1C45" w:rsidP="00652A3C">
            <w:pPr>
              <w:rPr>
                <w:rFonts w:cs="Arial"/>
              </w:rPr>
            </w:pPr>
            <w:r w:rsidRPr="00997080">
              <w:rPr>
                <w:rFonts w:cs="Arial"/>
              </w:rPr>
              <w:t>Buyer Power (High)</w:t>
            </w:r>
          </w:p>
        </w:tc>
        <w:tc>
          <w:tcPr>
            <w:tcW w:w="5902" w:type="dxa"/>
          </w:tcPr>
          <w:p w14:paraId="7B1B5D4F" w14:textId="0B35CB8B" w:rsidR="007C04F1" w:rsidRPr="00997080" w:rsidRDefault="00870A80" w:rsidP="00652A3C">
            <w:pPr>
              <w:rPr>
                <w:rFonts w:cs="Arial"/>
              </w:rPr>
            </w:pPr>
            <w:r w:rsidRPr="00997080">
              <w:rPr>
                <w:rFonts w:cs="Arial"/>
              </w:rPr>
              <w:t xml:space="preserve">Consumers have access to </w:t>
            </w:r>
            <w:r w:rsidR="007E7446" w:rsidRPr="00997080">
              <w:rPr>
                <w:rFonts w:cs="Arial"/>
              </w:rPr>
              <w:t xml:space="preserve">a </w:t>
            </w:r>
            <w:r w:rsidRPr="00997080">
              <w:rPr>
                <w:rFonts w:cs="Arial"/>
              </w:rPr>
              <w:t>wide options with digital platforms allowing them to compare vehicle performance, prices, and software features</w:t>
            </w:r>
            <w:r w:rsidR="008548C2" w:rsidRPr="00997080">
              <w:rPr>
                <w:rFonts w:cs="Arial"/>
              </w:rPr>
              <w:t xml:space="preserve"> (Forsythe et al., 2023)</w:t>
            </w:r>
            <w:r w:rsidRPr="00997080">
              <w:rPr>
                <w:rFonts w:cs="Arial"/>
              </w:rPr>
              <w:t>. Low switching costs between firms motivate consumers to upgrade their experiences or choose firms offering low-cost products. Hence, Ford needs to create more value rather than only focusing on brand equity.</w:t>
            </w:r>
          </w:p>
        </w:tc>
      </w:tr>
      <w:tr w:rsidR="007C04F1" w:rsidRPr="00997080" w14:paraId="08995079" w14:textId="77777777" w:rsidTr="00E97E0F">
        <w:tc>
          <w:tcPr>
            <w:tcW w:w="3114" w:type="dxa"/>
          </w:tcPr>
          <w:p w14:paraId="6332263F" w14:textId="68D4317C" w:rsidR="007C04F1" w:rsidRPr="00997080" w:rsidRDefault="007C1C45" w:rsidP="00652A3C">
            <w:pPr>
              <w:rPr>
                <w:rFonts w:cs="Arial"/>
              </w:rPr>
            </w:pPr>
            <w:r w:rsidRPr="00997080">
              <w:rPr>
                <w:rFonts w:cs="Arial"/>
              </w:rPr>
              <w:t>Supplier Power (High)</w:t>
            </w:r>
          </w:p>
        </w:tc>
        <w:tc>
          <w:tcPr>
            <w:tcW w:w="5902" w:type="dxa"/>
          </w:tcPr>
          <w:p w14:paraId="15F2399F" w14:textId="4DDA8BF2" w:rsidR="007C04F1" w:rsidRPr="00997080" w:rsidRDefault="008548C2" w:rsidP="00652A3C">
            <w:pPr>
              <w:rPr>
                <w:rFonts w:cs="Arial"/>
              </w:rPr>
            </w:pPr>
            <w:r w:rsidRPr="00997080">
              <w:rPr>
                <w:rFonts w:cs="Arial"/>
              </w:rPr>
              <w:t>The shortage of semiconductor chips globally showed how reliant the automobile manufacturers are on suppliers (Xiong &amp; Yeung, 2025). Ford tries to ensure competitive pricing, and hence, supply chain resilience can create operational complexities for the entity.</w:t>
            </w:r>
          </w:p>
        </w:tc>
      </w:tr>
      <w:tr w:rsidR="007C04F1" w:rsidRPr="00997080" w14:paraId="34FEA79D" w14:textId="77777777" w:rsidTr="00E97E0F">
        <w:tc>
          <w:tcPr>
            <w:tcW w:w="3114" w:type="dxa"/>
          </w:tcPr>
          <w:p w14:paraId="7CB0DEE9" w14:textId="62E9B4DE" w:rsidR="007C04F1" w:rsidRPr="00997080" w:rsidRDefault="007C1C45" w:rsidP="00652A3C">
            <w:pPr>
              <w:rPr>
                <w:rFonts w:cs="Arial"/>
              </w:rPr>
            </w:pPr>
            <w:r w:rsidRPr="00997080">
              <w:rPr>
                <w:rFonts w:cs="Arial"/>
              </w:rPr>
              <w:t>Threat of Substitutes (High)</w:t>
            </w:r>
          </w:p>
        </w:tc>
        <w:tc>
          <w:tcPr>
            <w:tcW w:w="5902" w:type="dxa"/>
          </w:tcPr>
          <w:p w14:paraId="28649040" w14:textId="78FE3E87" w:rsidR="007C04F1" w:rsidRPr="00997080" w:rsidRDefault="008548C2" w:rsidP="00652A3C">
            <w:pPr>
              <w:rPr>
                <w:rFonts w:cs="Arial"/>
              </w:rPr>
            </w:pPr>
            <w:r w:rsidRPr="00997080">
              <w:rPr>
                <w:rFonts w:cs="Arial"/>
              </w:rPr>
              <w:t>The availability of ride-sharing services and extensive public transport options across the UK creates substitute pressure for Ford, thereby reducing demand for private vehicles</w:t>
            </w:r>
            <w:r w:rsidR="0089706A" w:rsidRPr="00997080">
              <w:rPr>
                <w:rFonts w:cs="Arial"/>
              </w:rPr>
              <w:t xml:space="preserve"> (Bilgin et al., 2023)</w:t>
            </w:r>
            <w:r w:rsidRPr="00997080">
              <w:rPr>
                <w:rFonts w:cs="Arial"/>
              </w:rPr>
              <w:t xml:space="preserve">. Hence, value offerings at competitive prices are critical for the company. </w:t>
            </w:r>
          </w:p>
        </w:tc>
      </w:tr>
      <w:tr w:rsidR="007C04F1" w:rsidRPr="00997080" w14:paraId="3E9B741C" w14:textId="77777777" w:rsidTr="00E97E0F">
        <w:tc>
          <w:tcPr>
            <w:tcW w:w="3114" w:type="dxa"/>
          </w:tcPr>
          <w:p w14:paraId="28710D00" w14:textId="3B072BF5" w:rsidR="007C04F1" w:rsidRPr="00997080" w:rsidRDefault="007C1C45" w:rsidP="00652A3C">
            <w:pPr>
              <w:rPr>
                <w:rFonts w:cs="Arial"/>
              </w:rPr>
            </w:pPr>
            <w:r w:rsidRPr="00997080">
              <w:rPr>
                <w:rFonts w:cs="Arial"/>
              </w:rPr>
              <w:t>Intra-firm Rivalry (High)</w:t>
            </w:r>
          </w:p>
        </w:tc>
        <w:tc>
          <w:tcPr>
            <w:tcW w:w="5902" w:type="dxa"/>
          </w:tcPr>
          <w:p w14:paraId="140C801C" w14:textId="6CAC0AE4" w:rsidR="007C04F1" w:rsidRPr="00997080" w:rsidRDefault="00E92C04" w:rsidP="00652A3C">
            <w:pPr>
              <w:rPr>
                <w:rFonts w:cs="Arial"/>
              </w:rPr>
            </w:pPr>
            <w:r w:rsidRPr="00997080">
              <w:rPr>
                <w:rFonts w:cs="Arial"/>
              </w:rPr>
              <w:t>The e-vehicle market position of Ford was weakened with BYD and BMW overtaking global sales in 2024. Also, the European e-vehicle rollout of the company was affected due to poor software integration and supply chain issues.</w:t>
            </w:r>
          </w:p>
        </w:tc>
      </w:tr>
    </w:tbl>
    <w:p w14:paraId="66F9A0A9" w14:textId="77777777" w:rsidR="007C04F1" w:rsidRPr="00997080" w:rsidRDefault="007C04F1" w:rsidP="00652A3C">
      <w:pPr>
        <w:rPr>
          <w:rFonts w:cs="Arial"/>
        </w:rPr>
      </w:pPr>
    </w:p>
    <w:p w14:paraId="40F35FDA" w14:textId="32CBD7EB" w:rsidR="00652A3C" w:rsidRPr="00997080" w:rsidRDefault="0033131B" w:rsidP="00652A3C">
      <w:pPr>
        <w:pStyle w:val="Heading2"/>
        <w:rPr>
          <w:rFonts w:cs="Arial"/>
          <w:szCs w:val="22"/>
        </w:rPr>
      </w:pPr>
      <w:bookmarkStart w:id="5" w:name="_Toc233667100"/>
      <w:r w:rsidRPr="00997080">
        <w:rPr>
          <w:rFonts w:cs="Arial"/>
          <w:szCs w:val="22"/>
        </w:rPr>
        <w:t xml:space="preserve">2.3 </w:t>
      </w:r>
      <w:r w:rsidR="00652A3C" w:rsidRPr="00997080">
        <w:rPr>
          <w:rFonts w:cs="Arial"/>
          <w:szCs w:val="22"/>
        </w:rPr>
        <w:t>Internal Capability Evaluation: VRIO Analysis</w:t>
      </w:r>
      <w:bookmarkEnd w:id="5"/>
    </w:p>
    <w:p w14:paraId="1F698D42" w14:textId="08B3B4A5" w:rsidR="00652A3C" w:rsidRPr="00997080" w:rsidRDefault="009A7C83" w:rsidP="00575582">
      <w:pPr>
        <w:rPr>
          <w:rFonts w:cs="Arial"/>
        </w:rPr>
      </w:pPr>
      <w:r w:rsidRPr="00997080">
        <w:rPr>
          <w:rFonts w:cs="Arial"/>
        </w:rPr>
        <w:t>The VRIO analysis determines whether the internal resources of a company are valuable, rare, organised, and inimitable</w:t>
      </w:r>
      <w:r w:rsidR="003B3746" w:rsidRPr="00997080">
        <w:rPr>
          <w:rFonts w:cs="Arial"/>
        </w:rPr>
        <w:t xml:space="preserve"> (Larbi, Asare-Danquah &amp; Ackah, 2024)</w:t>
      </w:r>
      <w:r w:rsidRPr="00997080">
        <w:rPr>
          <w:rFonts w:cs="Arial"/>
        </w:rPr>
        <w:t xml:space="preserve">. The operational efficiency, global presence, and sustained competitive advantage are the most valuable resources of Ford. The digital capabilities of the company are weaker when compared to BYD or BMW, but organised. The creative ability of the workforce of Ford is a rare capability and allows the company to attract customer loyalty. Overall, the competitive challenge for Ford is not based on its resource capabilities, but </w:t>
      </w:r>
      <w:r w:rsidR="0066709F" w:rsidRPr="00997080">
        <w:rPr>
          <w:rFonts w:cs="Arial"/>
        </w:rPr>
        <w:t xml:space="preserve">on </w:t>
      </w:r>
      <w:r w:rsidRPr="00997080">
        <w:rPr>
          <w:rFonts w:cs="Arial"/>
        </w:rPr>
        <w:t>transforming the digital integration and AI capabilities into value offerings for the consumers.</w:t>
      </w:r>
    </w:p>
    <w:p w14:paraId="471AD9AB" w14:textId="5C6D90E9" w:rsidR="009A7C83" w:rsidRPr="00997080" w:rsidRDefault="009A7C83" w:rsidP="00575582">
      <w:pPr>
        <w:rPr>
          <w:rFonts w:cs="Arial"/>
        </w:rPr>
      </w:pPr>
      <w:r w:rsidRPr="00997080">
        <w:rPr>
          <w:rFonts w:cs="Arial"/>
        </w:rPr>
        <w:lastRenderedPageBreak/>
        <w:t xml:space="preserve">The external and internal analysis of Ford shows </w:t>
      </w:r>
      <w:r w:rsidR="00E427A2" w:rsidRPr="00997080">
        <w:rPr>
          <w:rFonts w:cs="Arial"/>
        </w:rPr>
        <w:t xml:space="preserve">a gap between present capabilities and future needs of the firm. While the PESTEL Analysis shows strict regulations, technological disruption, and change in customer behaviour as main issues, </w:t>
      </w:r>
      <w:r w:rsidR="007E7446" w:rsidRPr="00997080">
        <w:rPr>
          <w:rFonts w:cs="Arial"/>
        </w:rPr>
        <w:t xml:space="preserve">the </w:t>
      </w:r>
      <w:r w:rsidR="00E427A2" w:rsidRPr="00997080">
        <w:rPr>
          <w:rFonts w:cs="Arial"/>
        </w:rPr>
        <w:t>VRIO analysis highlights manufacturing expertise, resource capability, and manufacturing experience of the firm. However, consistent dependence on historical brand equity and failure to focus on e-mobility can result in decreasing market share of the firm. Additionally, only investing in e-vehicles is not sufficient to close the gap, as it requires a change in culture, leadership, and management practices. These issues form the basis for adopting a change management approach for Ford.</w:t>
      </w:r>
    </w:p>
    <w:p w14:paraId="5209E36B" w14:textId="058A2272" w:rsidR="005B170B" w:rsidRPr="00997080" w:rsidRDefault="0033131B" w:rsidP="005B170B">
      <w:pPr>
        <w:pStyle w:val="Heading1"/>
        <w:rPr>
          <w:rFonts w:cs="Arial"/>
          <w:szCs w:val="22"/>
        </w:rPr>
      </w:pPr>
      <w:bookmarkStart w:id="6" w:name="_Toc233667101"/>
      <w:r w:rsidRPr="00997080">
        <w:rPr>
          <w:rFonts w:cs="Arial"/>
          <w:szCs w:val="22"/>
        </w:rPr>
        <w:t xml:space="preserve">3. </w:t>
      </w:r>
      <w:r w:rsidR="005B170B" w:rsidRPr="00997080">
        <w:rPr>
          <w:rFonts w:cs="Arial"/>
          <w:szCs w:val="22"/>
        </w:rPr>
        <w:t>Evaluation of Change Management Models</w:t>
      </w:r>
      <w:bookmarkEnd w:id="6"/>
    </w:p>
    <w:p w14:paraId="653A8F67" w14:textId="11460AE3" w:rsidR="00F64987" w:rsidRPr="00997080" w:rsidRDefault="00A5608F" w:rsidP="00F64987">
      <w:pPr>
        <w:rPr>
          <w:rFonts w:cs="Arial"/>
        </w:rPr>
      </w:pPr>
      <w:r w:rsidRPr="00997080">
        <w:rPr>
          <w:rFonts w:cs="Arial"/>
        </w:rPr>
        <w:t>The challenge for Ford is to extend beyond being creative or introducing new technologies. The change management approach of Ford allows strategic transformation while minimising resistance, ensuring operational stability and responding to technological issues. Based on the market needs, certain change management approaches can be adopted by Ford.</w:t>
      </w:r>
    </w:p>
    <w:p w14:paraId="37998E62" w14:textId="77777777" w:rsidR="00E944BE" w:rsidRDefault="00A5608F" w:rsidP="00F64987">
      <w:pPr>
        <w:rPr>
          <w:rFonts w:cs="Arial"/>
        </w:rPr>
      </w:pPr>
      <w:r w:rsidRPr="00E944BE">
        <w:rPr>
          <w:rFonts w:cs="Arial"/>
          <w:b/>
          <w:bCs/>
        </w:rPr>
        <w:t>Nature of the Change:</w:t>
      </w:r>
    </w:p>
    <w:p w14:paraId="27096056" w14:textId="1924E608" w:rsidR="00A5608F" w:rsidRPr="00997080" w:rsidRDefault="00A5608F" w:rsidP="00F64987">
      <w:pPr>
        <w:rPr>
          <w:rFonts w:cs="Arial"/>
        </w:rPr>
      </w:pPr>
      <w:r w:rsidRPr="00997080">
        <w:rPr>
          <w:rFonts w:cs="Arial"/>
        </w:rPr>
        <w:t xml:space="preserve"> </w:t>
      </w:r>
      <w:r w:rsidR="006544F9" w:rsidRPr="00997080">
        <w:rPr>
          <w:rFonts w:cs="Arial"/>
        </w:rPr>
        <w:t xml:space="preserve">The transition of Ford to e-mobility and AI-based vehicles reflects incremental change as it requires changing the culture, strategy, and capability of the employees. </w:t>
      </w:r>
      <w:r w:rsidR="00842388" w:rsidRPr="00997080">
        <w:rPr>
          <w:rFonts w:cs="Arial"/>
        </w:rPr>
        <w:t xml:space="preserve">This change develops </w:t>
      </w:r>
      <w:r w:rsidR="007F1479" w:rsidRPr="00997080">
        <w:rPr>
          <w:rFonts w:cs="Arial"/>
        </w:rPr>
        <w:t xml:space="preserve">the </w:t>
      </w:r>
      <w:r w:rsidR="00842388" w:rsidRPr="00997080">
        <w:rPr>
          <w:rFonts w:cs="Arial"/>
        </w:rPr>
        <w:t xml:space="preserve">restructuring strategy of Ford, which </w:t>
      </w:r>
      <w:r w:rsidR="007F1479" w:rsidRPr="00997080">
        <w:rPr>
          <w:rFonts w:cs="Arial"/>
        </w:rPr>
        <w:t>created models like Ford Pro, Blue, and Model E</w:t>
      </w:r>
      <w:r w:rsidR="006544F9" w:rsidRPr="00997080">
        <w:rPr>
          <w:rFonts w:cs="Arial"/>
        </w:rPr>
        <w:t>.</w:t>
      </w:r>
      <w:r w:rsidR="007F1479" w:rsidRPr="00997080">
        <w:rPr>
          <w:rFonts w:cs="Arial"/>
        </w:rPr>
        <w:t xml:space="preserve"> Although the restructuring process led to uncertainty, it also enhanced focus on digital creativity.</w:t>
      </w:r>
      <w:r w:rsidR="006544F9" w:rsidRPr="00997080">
        <w:rPr>
          <w:rFonts w:cs="Arial"/>
        </w:rPr>
        <w:t xml:space="preserve"> Hence, Ford needs to identify whether an emergent or planned approach is suitable for the company, as it offers clear goals, financial budgets, and milestones for the company to achieve. However, rapid change in the e-vehicle sector minimises the suitability of rigid planning. Considering both factors, excessive flexibility can create uncertainty and reduce strategic control</w:t>
      </w:r>
      <w:r w:rsidR="00680CE8" w:rsidRPr="00997080">
        <w:rPr>
          <w:rFonts w:cs="Arial"/>
        </w:rPr>
        <w:t>,</w:t>
      </w:r>
      <w:r w:rsidR="006544F9" w:rsidRPr="00997080">
        <w:rPr>
          <w:rFonts w:cs="Arial"/>
        </w:rPr>
        <w:t xml:space="preserve"> and so, no approach can be adopted independently. Rather, Ford needs to adopt a planned strategic direction through an emergent </w:t>
      </w:r>
      <w:r w:rsidR="00680CE8" w:rsidRPr="00997080">
        <w:rPr>
          <w:rFonts w:cs="Arial"/>
        </w:rPr>
        <w:t>implementation</w:t>
      </w:r>
      <w:r w:rsidR="006544F9" w:rsidRPr="00997080">
        <w:rPr>
          <w:rFonts w:cs="Arial"/>
        </w:rPr>
        <w:t xml:space="preserve"> process to achieve its long-term objectives.</w:t>
      </w:r>
    </w:p>
    <w:p w14:paraId="7AFEDC5E" w14:textId="77777777" w:rsidR="00544434" w:rsidRDefault="006544F9" w:rsidP="00F64987">
      <w:pPr>
        <w:rPr>
          <w:rFonts w:cs="Arial"/>
        </w:rPr>
      </w:pPr>
      <w:r w:rsidRPr="00544434">
        <w:rPr>
          <w:rFonts w:cs="Arial"/>
          <w:b/>
          <w:bCs/>
        </w:rPr>
        <w:t>Lewin’s Three-step Model:</w:t>
      </w:r>
      <w:r w:rsidRPr="00997080">
        <w:rPr>
          <w:rFonts w:cs="Arial"/>
        </w:rPr>
        <w:t xml:space="preserve"> </w:t>
      </w:r>
    </w:p>
    <w:p w14:paraId="52978F69" w14:textId="29D211BA" w:rsidR="006544F9" w:rsidRPr="00997080" w:rsidRDefault="00AD6F22" w:rsidP="00F64987">
      <w:pPr>
        <w:rPr>
          <w:rFonts w:cs="Arial"/>
        </w:rPr>
      </w:pPr>
      <w:r w:rsidRPr="00997080">
        <w:rPr>
          <w:rFonts w:cs="Arial"/>
        </w:rPr>
        <w:t>This model allows organisations to adopt change through three stages, which are unfreeze, change, and refreeze</w:t>
      </w:r>
      <w:r w:rsidR="00A22C15" w:rsidRPr="00997080">
        <w:rPr>
          <w:rFonts w:cs="Arial"/>
        </w:rPr>
        <w:t xml:space="preserve"> (Burnes, 2020)</w:t>
      </w:r>
      <w:r w:rsidRPr="00997080">
        <w:rPr>
          <w:rFonts w:cs="Arial"/>
        </w:rPr>
        <w:t xml:space="preserve">. In the case of Ford in </w:t>
      </w:r>
      <w:r w:rsidR="005373C5" w:rsidRPr="00997080">
        <w:rPr>
          <w:rFonts w:cs="Arial"/>
        </w:rPr>
        <w:t xml:space="preserve">the UK, the unfreeze change would involve communicating the decreased market share, rising demand for e-vehicles, and strict regulations, which can reduce change resistance and motivate the employees to work with automation and digital technologies. </w:t>
      </w:r>
      <w:r w:rsidR="00A168E8" w:rsidRPr="00997080">
        <w:rPr>
          <w:rFonts w:cs="Arial"/>
        </w:rPr>
        <w:t xml:space="preserve">The change stage would utilise the financial resources of Ford to drive digital capabilities, employee training, and the utilisation of advanced manufacturing practices. Ford might encounter issues in the refreezing stage as modern automobile firms focus on technological evolution, making it difficult to achieve </w:t>
      </w:r>
      <w:r w:rsidR="00A168E8" w:rsidRPr="00997080">
        <w:rPr>
          <w:rFonts w:cs="Arial"/>
        </w:rPr>
        <w:lastRenderedPageBreak/>
        <w:t xml:space="preserve">organisational stability. In case the company tries to institutionalise any single practice, it creates risks and affects future innovation. </w:t>
      </w:r>
      <w:r w:rsidR="00B13B42" w:rsidRPr="00997080">
        <w:rPr>
          <w:rFonts w:cs="Arial"/>
        </w:rPr>
        <w:t xml:space="preserve">Additionally, Lewin’s theory uses a linear process while </w:t>
      </w:r>
      <w:r w:rsidR="00990D2B" w:rsidRPr="00997080">
        <w:rPr>
          <w:rFonts w:cs="Arial"/>
        </w:rPr>
        <w:t xml:space="preserve">the </w:t>
      </w:r>
      <w:r w:rsidR="00B13B42" w:rsidRPr="00997080">
        <w:rPr>
          <w:rFonts w:cs="Arial"/>
        </w:rPr>
        <w:t>digital transformation of Ford focuses on overlapping strategies and consistent innovation. Therefore, although the theory is a suitable foundation for minimising change resistance of the employees, it is static to allow diversification of the business in the long-run.</w:t>
      </w:r>
    </w:p>
    <w:p w14:paraId="2C67EBE9" w14:textId="77777777" w:rsidR="00544434" w:rsidRPr="00544434" w:rsidRDefault="00990D2B" w:rsidP="00F64987">
      <w:pPr>
        <w:rPr>
          <w:rFonts w:cs="Arial"/>
          <w:b/>
          <w:bCs/>
        </w:rPr>
      </w:pPr>
      <w:r w:rsidRPr="00544434">
        <w:rPr>
          <w:rFonts w:cs="Arial"/>
          <w:b/>
          <w:bCs/>
        </w:rPr>
        <w:t>Kotter’s 8-Step Model:</w:t>
      </w:r>
    </w:p>
    <w:p w14:paraId="428A2679" w14:textId="5D9B5DBC" w:rsidR="00B13B42" w:rsidRPr="00997080" w:rsidRDefault="00990D2B" w:rsidP="00F64987">
      <w:pPr>
        <w:rPr>
          <w:rFonts w:cs="Arial"/>
        </w:rPr>
      </w:pPr>
      <w:r w:rsidRPr="00997080">
        <w:rPr>
          <w:rFonts w:cs="Arial"/>
        </w:rPr>
        <w:t xml:space="preserve"> </w:t>
      </w:r>
      <w:r w:rsidR="00A31424" w:rsidRPr="00997080">
        <w:rPr>
          <w:rFonts w:cs="Arial"/>
        </w:rPr>
        <w:t>This model extends Lewin’s theory by emphasising leadership, commitment, and organisational communication</w:t>
      </w:r>
      <w:r w:rsidR="002C5E57" w:rsidRPr="00997080">
        <w:rPr>
          <w:rFonts w:cs="Arial"/>
        </w:rPr>
        <w:t xml:space="preserve"> (Majka, 2024)</w:t>
      </w:r>
      <w:r w:rsidR="00A31424" w:rsidRPr="00997080">
        <w:rPr>
          <w:rFonts w:cs="Arial"/>
        </w:rPr>
        <w:t>. Aligning the model, the employees and managers of Ford need to understand that traditional manufacturing measures can minimise competitiveness. Therefore, a guiding coalition can be created to enhance coordination across diverse stages of the firm. Initial success</w:t>
      </w:r>
      <w:r w:rsidR="007E7446" w:rsidRPr="00997080">
        <w:rPr>
          <w:rFonts w:cs="Arial"/>
        </w:rPr>
        <w:t>,</w:t>
      </w:r>
      <w:r w:rsidR="00A31424" w:rsidRPr="00997080">
        <w:rPr>
          <w:rFonts w:cs="Arial"/>
        </w:rPr>
        <w:t xml:space="preserve"> such as AI-based production efficiency or an increase in e-vehicle sales</w:t>
      </w:r>
      <w:r w:rsidR="007E7446" w:rsidRPr="00997080">
        <w:rPr>
          <w:rFonts w:cs="Arial"/>
        </w:rPr>
        <w:t>,</w:t>
      </w:r>
      <w:r w:rsidR="00A31424" w:rsidRPr="00997080">
        <w:rPr>
          <w:rFonts w:cs="Arial"/>
        </w:rPr>
        <w:t xml:space="preserve"> can enhance employee motivation and confidence, but following the model in a volatile automobile sector of the UK can affect organisational agility. Compared to Lewin’s model, the 8-step model analyses diverse aspects of stakeholders involved in a change. However, focusing heavily on leadership functions while neglecting employee capabilities can affect the change implementation process. Hence, although the theory provides strategic guidance, it should </w:t>
      </w:r>
      <w:r w:rsidR="007E7446" w:rsidRPr="00997080">
        <w:rPr>
          <w:rFonts w:cs="Arial"/>
        </w:rPr>
        <w:t xml:space="preserve">not </w:t>
      </w:r>
      <w:r w:rsidR="00A31424" w:rsidRPr="00997080">
        <w:rPr>
          <w:rFonts w:cs="Arial"/>
        </w:rPr>
        <w:t>be adopted as a rigid framework for Ford.</w:t>
      </w:r>
    </w:p>
    <w:p w14:paraId="4FC8B2FA" w14:textId="77777777" w:rsidR="00F35FA8" w:rsidRPr="00544434" w:rsidRDefault="00A31424" w:rsidP="00F64987">
      <w:pPr>
        <w:rPr>
          <w:rFonts w:cs="Arial"/>
          <w:b/>
          <w:bCs/>
        </w:rPr>
      </w:pPr>
      <w:r w:rsidRPr="00544434">
        <w:rPr>
          <w:rFonts w:cs="Arial"/>
          <w:b/>
          <w:bCs/>
        </w:rPr>
        <w:t xml:space="preserve">ADKAR Model: </w:t>
      </w:r>
    </w:p>
    <w:p w14:paraId="6B9F3C8D" w14:textId="0584B963" w:rsidR="00A31424" w:rsidRPr="00997080" w:rsidRDefault="00891FE9" w:rsidP="00F64987">
      <w:pPr>
        <w:rPr>
          <w:rFonts w:cs="Arial"/>
        </w:rPr>
      </w:pPr>
      <w:r w:rsidRPr="00997080">
        <w:rPr>
          <w:rFonts w:cs="Arial"/>
        </w:rPr>
        <w:t>This model allows organisations to ensure behavioural change of stakeholders</w:t>
      </w:r>
      <w:r w:rsidR="00853354" w:rsidRPr="00997080">
        <w:rPr>
          <w:rFonts w:cs="Arial"/>
        </w:rPr>
        <w:t xml:space="preserve"> (Anusi &amp; Mutambara, 2022)</w:t>
      </w:r>
      <w:r w:rsidRPr="00997080">
        <w:rPr>
          <w:rFonts w:cs="Arial"/>
        </w:rPr>
        <w:t>. The model is suitable for Ford as the managers need to encourage the employees to learn new skills, adopt AI capabilities, and adapt to changing needs. However, the model focuses on the readiness of individuals rather than concentrating on broader issues such as competitive position, organisational structure, and external market factors affecting the firm. Also, the model assumes that only a behaviour change can ensure success for a firm, while overlooking strategic resources and financial capabilities. Therefore, unlike Lewin and Kotter’s model, the ADKAR model is effective for driving employee motivation but not sufficient to allow Ford to achieve its strategic direction.</w:t>
      </w:r>
    </w:p>
    <w:p w14:paraId="7AF34299" w14:textId="1CF728B4" w:rsidR="006C2F19" w:rsidRPr="00997080" w:rsidRDefault="006C2F19" w:rsidP="00F64987">
      <w:pPr>
        <w:rPr>
          <w:rFonts w:cs="Arial"/>
        </w:rPr>
      </w:pPr>
      <w:r w:rsidRPr="00997080">
        <w:rPr>
          <w:rFonts w:cs="Arial"/>
        </w:rPr>
        <w:t>Pettigrew’s P</w:t>
      </w:r>
      <w:r w:rsidR="002A0471" w:rsidRPr="00997080">
        <w:rPr>
          <w:rFonts w:cs="Arial"/>
        </w:rPr>
        <w:t>olitical Perspective: This theory suggests that change is influenced through interests, power, and stakeholder relations. The perspective is relevant for Foord as digital transformation affects stakeholders differently. For example, automation can lead to job insecurity, while extensive investment in e-vehicles can create resistance from stakeholders who concentrate on short-term financial gains. However, the model fails to guide managers on how to resolve political and change resistance issues in case they occur. Overall, Pettigrew’s perspective along with Lewin’s model can be effective for Ford to implement change within the firm, while ADKAR and Kotter’s model can work as supporting perspectives.</w:t>
      </w:r>
    </w:p>
    <w:p w14:paraId="43D6B8F8" w14:textId="77777777" w:rsidR="00DC7F9C" w:rsidRPr="00997080" w:rsidRDefault="00DC7F9C" w:rsidP="00DC7F9C">
      <w:pPr>
        <w:pStyle w:val="Heading1"/>
        <w:rPr>
          <w:rFonts w:cs="Arial"/>
          <w:szCs w:val="22"/>
        </w:rPr>
      </w:pPr>
      <w:bookmarkStart w:id="7" w:name="_Toc233667102"/>
      <w:r w:rsidRPr="00997080">
        <w:rPr>
          <w:rFonts w:cs="Arial"/>
          <w:szCs w:val="22"/>
        </w:rPr>
        <w:lastRenderedPageBreak/>
        <w:t>4. Management of Change within the Organisation</w:t>
      </w:r>
      <w:bookmarkEnd w:id="7"/>
    </w:p>
    <w:p w14:paraId="1F82D232" w14:textId="77777777" w:rsidR="00DC7F9C" w:rsidRPr="00997080" w:rsidRDefault="00DC7F9C" w:rsidP="00DC7F9C">
      <w:pPr>
        <w:pStyle w:val="Heading2"/>
        <w:rPr>
          <w:rFonts w:cs="Arial"/>
          <w:szCs w:val="22"/>
        </w:rPr>
      </w:pPr>
      <w:bookmarkStart w:id="8" w:name="_Toc233667103"/>
      <w:r w:rsidRPr="00997080">
        <w:rPr>
          <w:rFonts w:cs="Arial"/>
          <w:szCs w:val="22"/>
        </w:rPr>
        <w:t>4.1 Approaches to change management</w:t>
      </w:r>
      <w:bookmarkEnd w:id="8"/>
    </w:p>
    <w:p w14:paraId="78C6824E" w14:textId="77777777" w:rsidR="00DC7F9C" w:rsidRPr="00997080" w:rsidRDefault="00DC7F9C" w:rsidP="00DC7F9C">
      <w:pPr>
        <w:rPr>
          <w:rFonts w:cs="Arial"/>
        </w:rPr>
      </w:pPr>
      <w:r w:rsidRPr="00997080">
        <w:rPr>
          <w:rFonts w:cs="Arial"/>
        </w:rPr>
        <w:t>Ford's transformation requires a hybrid change management approach rather than relying on a single method. Life Cycle approach supports structured planning for EV production, automation and AI investments through clear project controls, but lacks flexibility in rapidly changing markets (Piila et al., 2022). Mintzberg's emergent approach promotes continuous learning and adaptation, although excessive flexibility may reduce coordination (Foss, McCaffrey, and Dorobat, 2022). Pettigrew's political approach highlights the importance of managing stakeholder interests and organisational power (Alsharari and Daniels, 2024). Integrating these approaches enables Ford to balance strategic control, employee engagement and organisational adaptability.</w:t>
      </w:r>
    </w:p>
    <w:p w14:paraId="7281E8BD" w14:textId="77777777" w:rsidR="00DC7F9C" w:rsidRPr="00997080" w:rsidRDefault="00DC7F9C" w:rsidP="00DC7F9C">
      <w:pPr>
        <w:pStyle w:val="Heading2"/>
        <w:rPr>
          <w:rFonts w:cs="Arial"/>
          <w:szCs w:val="22"/>
        </w:rPr>
      </w:pPr>
      <w:bookmarkStart w:id="9" w:name="_Toc233667104"/>
      <w:r w:rsidRPr="00997080">
        <w:rPr>
          <w:rFonts w:cs="Arial"/>
          <w:szCs w:val="22"/>
        </w:rPr>
        <w:t>4.2 Integration of change management models</w:t>
      </w:r>
      <w:bookmarkEnd w:id="9"/>
    </w:p>
    <w:p w14:paraId="7CCA84FB" w14:textId="77777777" w:rsidR="00DC7F9C" w:rsidRPr="00997080" w:rsidRDefault="00DC7F9C" w:rsidP="00DC7F9C">
      <w:pPr>
        <w:rPr>
          <w:rFonts w:cs="Arial"/>
        </w:rPr>
      </w:pPr>
      <w:r w:rsidRPr="00997080">
        <w:rPr>
          <w:rFonts w:cs="Arial"/>
        </w:rPr>
        <w:t>Lewin's Three-Step Model (Anjum et al., 2024) helps Ford prepare employees by creating urgency, implementing digital transformation through training and communication, and reinforcing new behaviours. However, its assumption of organisational stability limits its suitability in the continuously evolving automotive industry. Kotter's Eight-Step Model provides a more comprehensive framework by combining leadership, communication, employee empowerment and cultural change throughout implementation (Engmann, Eluerkeh and Ngwakwe, 2024). Compared with Lewin's model, Kotter's framework better supports Ford's long-term digital transformation and continuous organisational change.</w:t>
      </w:r>
    </w:p>
    <w:p w14:paraId="005C87CD" w14:textId="77777777" w:rsidR="00DC7F9C" w:rsidRPr="00997080" w:rsidRDefault="00DC7F9C" w:rsidP="00DC7F9C">
      <w:pPr>
        <w:pStyle w:val="Heading2"/>
        <w:rPr>
          <w:rFonts w:cs="Arial"/>
          <w:szCs w:val="22"/>
        </w:rPr>
      </w:pPr>
      <w:bookmarkStart w:id="10" w:name="_Toc233667105"/>
      <w:r w:rsidRPr="00997080">
        <w:rPr>
          <w:rFonts w:cs="Arial"/>
          <w:szCs w:val="22"/>
        </w:rPr>
        <w:t>4.3 Organisational culture and leadership practices</w:t>
      </w:r>
      <w:bookmarkEnd w:id="10"/>
    </w:p>
    <w:p w14:paraId="0D27549F" w14:textId="2CCF9342" w:rsidR="000E172E" w:rsidRPr="00997080" w:rsidRDefault="000E172E" w:rsidP="000E172E">
      <w:pPr>
        <w:rPr>
          <w:rFonts w:cs="Arial"/>
        </w:rPr>
      </w:pPr>
      <w:r w:rsidRPr="00997080">
        <w:rPr>
          <w:rFonts w:cs="Arial"/>
        </w:rPr>
        <w:t>Transformational leadership is appropriate as innovation and cultural reinvention are essential for Ford. On the contrary, situational leadership can be equally effective throughout the technical implementation, where the software, production and engineering teams need different levels of autonomy and direction. The leadership of Jim Farley focuses extensively on strategic restructuring, acceleration of EVs and urgency (Belrzaeg, 2025), reflecting different transformational characteristics like innovation-advocacy and vision-setting. </w:t>
      </w:r>
    </w:p>
    <w:p w14:paraId="3A83B879" w14:textId="77777777" w:rsidR="00DC7F9C" w:rsidRPr="00997080" w:rsidRDefault="00DC7F9C" w:rsidP="00DC7F9C">
      <w:pPr>
        <w:pStyle w:val="Heading1"/>
        <w:rPr>
          <w:rFonts w:cs="Arial"/>
          <w:szCs w:val="22"/>
        </w:rPr>
      </w:pPr>
      <w:bookmarkStart w:id="11" w:name="_Toc233667106"/>
      <w:r w:rsidRPr="00997080">
        <w:rPr>
          <w:rFonts w:cs="Arial"/>
          <w:szCs w:val="22"/>
        </w:rPr>
        <w:t>5. Change Management Plan of Ford</w:t>
      </w:r>
      <w:bookmarkEnd w:id="11"/>
    </w:p>
    <w:p w14:paraId="6A48C8DB" w14:textId="77777777" w:rsidR="00DC7F9C" w:rsidRPr="00997080" w:rsidRDefault="00DC7F9C" w:rsidP="00DC7F9C">
      <w:pPr>
        <w:pStyle w:val="Heading2"/>
        <w:rPr>
          <w:rFonts w:cs="Arial"/>
          <w:szCs w:val="22"/>
        </w:rPr>
      </w:pPr>
      <w:bookmarkStart w:id="12" w:name="_Toc233667107"/>
      <w:r w:rsidRPr="00997080">
        <w:rPr>
          <w:rFonts w:cs="Arial"/>
          <w:szCs w:val="22"/>
        </w:rPr>
        <w:t>5.1 Objectives</w:t>
      </w:r>
      <w:bookmarkEnd w:id="12"/>
    </w:p>
    <w:p w14:paraId="054E5DAB" w14:textId="77777777" w:rsidR="00DC7F9C" w:rsidRPr="00997080" w:rsidRDefault="00DC7F9C" w:rsidP="00DC7F9C">
      <w:pPr>
        <w:rPr>
          <w:rFonts w:cs="Arial"/>
        </w:rPr>
      </w:pPr>
      <w:r w:rsidRPr="00997080">
        <w:rPr>
          <w:rFonts w:cs="Arial"/>
        </w:rPr>
        <w:t xml:space="preserve">The recommended change at Ford Motor Company intends to accelerate the transition of the company toward an effective, digitally-driven electric automotive company. The enhancement of the capability of the workforce, connected vehicle tools, AI-driven manufacturing and expanded production of electric vehicles contribute to such transformation (Pandey, 2024). </w:t>
      </w:r>
    </w:p>
    <w:p w14:paraId="36107DC5" w14:textId="623CC871" w:rsidR="00DC7F9C" w:rsidRDefault="00DC7F9C" w:rsidP="00DC7F9C">
      <w:pPr>
        <w:jc w:val="center"/>
        <w:rPr>
          <w:rFonts w:cs="Arial"/>
          <w:b/>
          <w:bCs/>
        </w:rPr>
      </w:pPr>
      <w:r w:rsidRPr="00997080">
        <w:rPr>
          <w:rFonts w:cs="Arial"/>
          <w:b/>
          <w:bCs/>
        </w:rPr>
        <w:lastRenderedPageBreak/>
        <w:t>SMART Objectives</w:t>
      </w:r>
    </w:p>
    <w:p w14:paraId="6D45A30C" w14:textId="3509F3D6" w:rsidR="00977E7B" w:rsidRPr="00977E7B" w:rsidRDefault="00977E7B" w:rsidP="009F40E4">
      <w:pPr>
        <w:pStyle w:val="ListParagraph"/>
        <w:numPr>
          <w:ilvl w:val="0"/>
          <w:numId w:val="3"/>
        </w:numPr>
        <w:jc w:val="center"/>
        <w:rPr>
          <w:rFonts w:cs="Arial"/>
          <w:b/>
          <w:bCs/>
        </w:rPr>
      </w:pPr>
      <w:r w:rsidRPr="00977E7B">
        <w:rPr>
          <w:rFonts w:eastAsia="Times New Roman" w:cs="Arial"/>
          <w:b/>
        </w:rPr>
        <w:t>S (Specific)</w:t>
      </w:r>
      <w:r w:rsidRPr="00977E7B">
        <w:rPr>
          <w:rFonts w:eastAsia="Times New Roman" w:cs="Arial"/>
          <w:b/>
        </w:rPr>
        <w:t xml:space="preserve"> </w:t>
      </w:r>
      <w:r w:rsidRPr="00977E7B">
        <w:rPr>
          <w:rFonts w:eastAsia="Times New Roman" w:cs="Arial"/>
        </w:rPr>
        <w:t>Increase the production capacity by 40% through advanced production tools and expanded manufacturing facilities</w:t>
      </w:r>
    </w:p>
    <w:p w14:paraId="1281B04A" w14:textId="05343B1D" w:rsidR="00977E7B" w:rsidRPr="00977E7B" w:rsidRDefault="00977E7B" w:rsidP="009F40E4">
      <w:pPr>
        <w:pStyle w:val="ListParagraph"/>
        <w:numPr>
          <w:ilvl w:val="0"/>
          <w:numId w:val="3"/>
        </w:numPr>
        <w:jc w:val="center"/>
        <w:rPr>
          <w:rFonts w:cs="Arial"/>
          <w:b/>
          <w:bCs/>
        </w:rPr>
      </w:pPr>
      <w:r w:rsidRPr="00997080">
        <w:rPr>
          <w:rFonts w:eastAsia="Times New Roman" w:cs="Arial"/>
          <w:b/>
        </w:rPr>
        <w:t>M (Measurable)</w:t>
      </w:r>
      <w:r>
        <w:rPr>
          <w:rFonts w:eastAsia="Times New Roman" w:cs="Arial"/>
          <w:b/>
        </w:rPr>
        <w:t xml:space="preserve"> </w:t>
      </w:r>
      <w:r w:rsidRPr="00997080">
        <w:rPr>
          <w:rFonts w:eastAsia="Times New Roman" w:cs="Arial"/>
        </w:rPr>
        <w:t>Minimise the cost of manufacturing by 15% through factory</w:t>
      </w:r>
      <w:r w:rsidR="009A1D6D">
        <w:rPr>
          <w:rFonts w:eastAsia="Times New Roman" w:cs="Arial"/>
        </w:rPr>
        <w:t xml:space="preserve"> </w:t>
      </w:r>
      <w:r w:rsidRPr="00997080">
        <w:rPr>
          <w:rFonts w:eastAsia="Times New Roman" w:cs="Arial"/>
        </w:rPr>
        <w:t>automation and the integration of AI</w:t>
      </w:r>
    </w:p>
    <w:p w14:paraId="4038BA78" w14:textId="2D2BB06A" w:rsidR="00977E7B" w:rsidRPr="00977E7B" w:rsidRDefault="00977E7B" w:rsidP="009F40E4">
      <w:pPr>
        <w:pStyle w:val="ListParagraph"/>
        <w:numPr>
          <w:ilvl w:val="0"/>
          <w:numId w:val="3"/>
        </w:numPr>
        <w:jc w:val="center"/>
        <w:rPr>
          <w:rFonts w:cs="Arial"/>
          <w:b/>
          <w:bCs/>
        </w:rPr>
      </w:pPr>
      <w:r w:rsidRPr="00997080">
        <w:rPr>
          <w:rFonts w:eastAsia="Times New Roman" w:cs="Arial"/>
          <w:b/>
        </w:rPr>
        <w:t>A (Achievable)</w:t>
      </w:r>
      <w:r>
        <w:rPr>
          <w:rFonts w:eastAsia="Times New Roman" w:cs="Arial"/>
          <w:b/>
        </w:rPr>
        <w:t xml:space="preserve"> </w:t>
      </w:r>
      <w:r w:rsidRPr="00997080">
        <w:rPr>
          <w:rFonts w:eastAsia="Times New Roman" w:cs="Arial"/>
        </w:rPr>
        <w:t xml:space="preserve">Offer training to 90% of the workers on digital skills  </w:t>
      </w:r>
    </w:p>
    <w:p w14:paraId="3CE9CF75" w14:textId="5D92D25D" w:rsidR="00977E7B" w:rsidRPr="00977E7B" w:rsidRDefault="00977E7B" w:rsidP="009F40E4">
      <w:pPr>
        <w:pStyle w:val="ListParagraph"/>
        <w:numPr>
          <w:ilvl w:val="0"/>
          <w:numId w:val="3"/>
        </w:numPr>
        <w:jc w:val="center"/>
        <w:rPr>
          <w:rFonts w:cs="Arial"/>
          <w:b/>
          <w:bCs/>
        </w:rPr>
      </w:pPr>
      <w:r w:rsidRPr="00997080">
        <w:rPr>
          <w:rFonts w:eastAsia="Times New Roman" w:cs="Arial"/>
          <w:b/>
        </w:rPr>
        <w:t>R (Relevant)</w:t>
      </w:r>
      <w:r>
        <w:rPr>
          <w:rFonts w:eastAsia="Times New Roman" w:cs="Arial"/>
          <w:b/>
        </w:rPr>
        <w:t xml:space="preserve"> </w:t>
      </w:r>
      <w:r w:rsidRPr="00997080">
        <w:rPr>
          <w:rFonts w:eastAsia="Times New Roman" w:cs="Arial"/>
        </w:rPr>
        <w:t>Enhance the rate of customer satisfaction by 20% and reduce carbon emissions by 30%</w:t>
      </w:r>
    </w:p>
    <w:p w14:paraId="78CA5582" w14:textId="5B4C06A9" w:rsidR="00977E7B" w:rsidRPr="00977E7B" w:rsidRDefault="00977E7B" w:rsidP="009F40E4">
      <w:pPr>
        <w:pStyle w:val="ListParagraph"/>
        <w:numPr>
          <w:ilvl w:val="0"/>
          <w:numId w:val="3"/>
        </w:numPr>
        <w:jc w:val="center"/>
        <w:rPr>
          <w:rFonts w:cs="Arial"/>
          <w:b/>
          <w:bCs/>
        </w:rPr>
      </w:pPr>
      <w:r w:rsidRPr="00997080">
        <w:rPr>
          <w:rFonts w:eastAsia="Times New Roman" w:cs="Arial"/>
          <w:b/>
        </w:rPr>
        <w:t>T (Time-bound)</w:t>
      </w:r>
      <w:r w:rsidR="00544434" w:rsidRPr="00544434">
        <w:rPr>
          <w:rFonts w:eastAsia="Times New Roman" w:cs="Arial"/>
        </w:rPr>
        <w:t xml:space="preserve"> </w:t>
      </w:r>
      <w:r w:rsidR="00544434" w:rsidRPr="00997080">
        <w:rPr>
          <w:rFonts w:eastAsia="Times New Roman" w:cs="Arial"/>
        </w:rPr>
        <w:t>36 months</w:t>
      </w:r>
      <w:r>
        <w:rPr>
          <w:rFonts w:eastAsia="Times New Roman" w:cs="Arial"/>
          <w:b/>
        </w:rPr>
        <w:t xml:space="preserve"> </w:t>
      </w:r>
    </w:p>
    <w:p w14:paraId="4EC81069" w14:textId="77777777" w:rsidR="00DC7F9C" w:rsidRPr="00997080" w:rsidRDefault="00DC7F9C" w:rsidP="00DC7F9C">
      <w:pPr>
        <w:rPr>
          <w:rFonts w:cs="Arial"/>
        </w:rPr>
      </w:pPr>
    </w:p>
    <w:p w14:paraId="6C2A67EE" w14:textId="77777777" w:rsidR="00DC7F9C" w:rsidRPr="00997080" w:rsidRDefault="00DC7F9C" w:rsidP="00DC7F9C">
      <w:pPr>
        <w:rPr>
          <w:rFonts w:cs="Arial"/>
        </w:rPr>
      </w:pPr>
      <w:r w:rsidRPr="00997080">
        <w:rPr>
          <w:rFonts w:cs="Arial"/>
        </w:rPr>
        <w:t>The presentation of SMART objectives indicates a comprehensive mechanism that helps in translating the strategic vision of Ford Motor Company into quantifiable outcomes for the business. Each of the objectives is defined efficiently, and the expected timeline for accomplishment of the goals is 36 months or three financial years. The establishment of the objectives indicates different performances of the business over time. The goal of enhancing the production capacity of electric vehicles is expected to be indicated by the report of the business on production outputs (Nanjundaswamy et al., 2023). In addition, the cost per produced vehicle can indicate a reduction in the cost of manufacturing. Improvement in the digital skills of the employees can be measured through the records of training completion, and the rate of customer satisfaction might indicate the improved potential of Ford Motor Company in satisfying its consumers. In addition, the reports of carbon emissions can indicate a significant reduction in operational carbon emissions (Hailemariam and Erdiaw</w:t>
      </w:r>
      <w:r w:rsidRPr="00997080">
        <w:rPr>
          <w:rFonts w:ascii="Cambria Math" w:hAnsi="Cambria Math" w:cs="Cambria Math"/>
        </w:rPr>
        <w:t>‐</w:t>
      </w:r>
      <w:r w:rsidRPr="00997080">
        <w:rPr>
          <w:rFonts w:cs="Arial"/>
        </w:rPr>
        <w:t xml:space="preserve">Kwasie, 2023). Clarity in defining the objectives and their connection with organisational priorities minimises ambiguity in the implementation process. The cost and production objectives directly assist the competitiveness of Ford Motor Company in the expanding market of electric vehicles when training for the workers successfully addresses the employee capability-related barrier in the digital transformation process. </w:t>
      </w:r>
    </w:p>
    <w:p w14:paraId="31E202DC" w14:textId="77777777" w:rsidR="00DC7F9C" w:rsidRPr="00997080" w:rsidRDefault="00DC7F9C" w:rsidP="00DC7F9C">
      <w:pPr>
        <w:rPr>
          <w:rFonts w:cs="Arial"/>
        </w:rPr>
      </w:pPr>
      <w:r w:rsidRPr="00997080">
        <w:rPr>
          <w:rFonts w:cs="Arial"/>
        </w:rPr>
        <w:t xml:space="preserve">The objectives of carbon reduction and customer satisfaction similarly reinforce legislative compliance and market differentiation. Though the SMART goals improve accountability (Müller-Eie and Kosmidis, 2023), the target might oversimplify the complicated process of change in the organisation by extensively focusing on quantifiable results rather than the cultural and behavioural transformation in the organisation. Evolving demand of the customers, changes in government policies, shortage of semiconductors, and disruption in the supply chain operations might influence the accomplishment despite their efficient implementation (Xiong, Wu and Yeung, 2025). Hence, the target should be reviewed </w:t>
      </w:r>
      <w:r w:rsidRPr="00997080">
        <w:rPr>
          <w:rFonts w:cs="Arial"/>
        </w:rPr>
        <w:lastRenderedPageBreak/>
        <w:t xml:space="preserve">periodically, considering rapid monitoring of performance. The adaptive analysis ensures that strategic execution is accompanied by organisational learning, which enhances the opportunity to obtain sustainable comparative advantage throughout the process of transformation. </w:t>
      </w:r>
    </w:p>
    <w:p w14:paraId="46946CE4" w14:textId="77777777" w:rsidR="00DC7F9C" w:rsidRPr="00997080" w:rsidRDefault="00DC7F9C" w:rsidP="00DC7F9C">
      <w:pPr>
        <w:pStyle w:val="Heading2"/>
        <w:rPr>
          <w:rFonts w:cs="Arial"/>
          <w:szCs w:val="22"/>
        </w:rPr>
      </w:pPr>
      <w:bookmarkStart w:id="13" w:name="_Toc233667108"/>
      <w:r w:rsidRPr="00997080">
        <w:rPr>
          <w:rFonts w:cs="Arial"/>
          <w:szCs w:val="22"/>
        </w:rPr>
        <w:t>5.2 Financial plan</w:t>
      </w:r>
      <w:bookmarkEnd w:id="13"/>
    </w:p>
    <w:p w14:paraId="26CAD5EF" w14:textId="448577C0" w:rsidR="00DD424E" w:rsidRPr="00997080" w:rsidRDefault="00DD424E" w:rsidP="00DD424E">
      <w:pPr>
        <w:rPr>
          <w:rFonts w:cs="Arial"/>
        </w:rPr>
      </w:pPr>
      <w:r w:rsidRPr="00997080">
        <w:rPr>
          <w:rFonts w:cs="Arial"/>
        </w:rPr>
        <w:t>The recommended allocation of the financial resources indicates a balanced investment approach</w:t>
      </w:r>
      <w:r w:rsidR="000E172E" w:rsidRPr="00997080">
        <w:rPr>
          <w:rFonts w:cs="Arial"/>
        </w:rPr>
        <w:t xml:space="preserve"> of approximately £1 billion by Ford</w:t>
      </w:r>
      <w:r w:rsidRPr="00997080">
        <w:rPr>
          <w:rFonts w:cs="Arial"/>
        </w:rPr>
        <w:t xml:space="preserve">, which simultaneously prioritises the development of organisational potential and digital advancement. According to the financial plan, 45% of the total budgeted amount is allocated for AI and automation, which indicates the company's commitment to enhancing the long-term cost competitiveness and operational efficiency of the business. Significant investment in developing the electric vehicle infrastructure shows alignment with the evolving environmental legislation and anticipated growth in the market (Shamsuddoha and Nasir, 2025). It can promote the competitiveness of the company by positioning the business efficiently so that it can satisfy future demand successfully. 15% of the total resources of the business are allocated for developing the workforce, which indicates that investment in digital tools is inadequate for ensuring the completion of the transformation process. The integration of skilled workers </w:t>
      </w:r>
      <w:r w:rsidR="00531179" w:rsidRPr="00997080">
        <w:rPr>
          <w:rFonts w:cs="Arial"/>
        </w:rPr>
        <w:t>boosts</w:t>
      </w:r>
      <w:r w:rsidRPr="00997080">
        <w:rPr>
          <w:rFonts w:cs="Arial"/>
        </w:rPr>
        <w:t xml:space="preserve"> the potential of the business to operate emerging systems. On the contrary, the cost of implementation can exceed the initial estimation because of volatility in the supply chain operations, digital obsolescence, and inflation (Hasan, 2025). The factors can collectively affect the return on investment of the business. In addition, the allocation of 10% for the contingency fund can be inadequate if an implementation delay or a cybersecurity threat takes place. </w:t>
      </w:r>
    </w:p>
    <w:p w14:paraId="7ADE5225" w14:textId="2BFF143A" w:rsidR="00DC7F9C" w:rsidRPr="00997080" w:rsidRDefault="00DC7F9C" w:rsidP="00DC7F9C">
      <w:pPr>
        <w:jc w:val="center"/>
        <w:rPr>
          <w:rFonts w:cs="Arial"/>
          <w:b/>
          <w:bCs/>
        </w:rPr>
      </w:pPr>
      <w:r w:rsidRPr="00997080">
        <w:rPr>
          <w:rFonts w:cs="Arial"/>
          <w:b/>
          <w:bCs/>
        </w:rPr>
        <w:t>Table 3: Financial plan</w:t>
      </w:r>
    </w:p>
    <w:tbl>
      <w:tblPr>
        <w:tblStyle w:val="TableGrid"/>
        <w:tblW w:w="0" w:type="auto"/>
        <w:tblLook w:val="04A0" w:firstRow="1" w:lastRow="0" w:firstColumn="1" w:lastColumn="0" w:noHBand="0" w:noVBand="1"/>
      </w:tblPr>
      <w:tblGrid>
        <w:gridCol w:w="2173"/>
        <w:gridCol w:w="1332"/>
        <w:gridCol w:w="3311"/>
        <w:gridCol w:w="2200"/>
      </w:tblGrid>
      <w:tr w:rsidR="00DC7F9C" w:rsidRPr="00997080" w14:paraId="487ADF14" w14:textId="77777777" w:rsidTr="005B5606">
        <w:tc>
          <w:tcPr>
            <w:tcW w:w="2173" w:type="dxa"/>
          </w:tcPr>
          <w:p w14:paraId="47223ECB" w14:textId="77777777" w:rsidR="00DC7F9C" w:rsidRPr="00997080" w:rsidRDefault="00DC7F9C" w:rsidP="005B5606">
            <w:pPr>
              <w:jc w:val="center"/>
              <w:rPr>
                <w:rFonts w:cs="Arial"/>
                <w:b/>
                <w:bCs/>
              </w:rPr>
            </w:pPr>
            <w:r w:rsidRPr="00997080">
              <w:rPr>
                <w:rFonts w:cs="Arial"/>
                <w:b/>
                <w:bCs/>
              </w:rPr>
              <w:t>Area of investment</w:t>
            </w:r>
          </w:p>
        </w:tc>
        <w:tc>
          <w:tcPr>
            <w:tcW w:w="1332" w:type="dxa"/>
          </w:tcPr>
          <w:p w14:paraId="07CFD508" w14:textId="702DCC4D" w:rsidR="00DC7F9C" w:rsidRPr="00997080" w:rsidRDefault="00DC7F9C" w:rsidP="005B5606">
            <w:pPr>
              <w:jc w:val="center"/>
              <w:rPr>
                <w:rFonts w:cs="Arial"/>
                <w:b/>
                <w:bCs/>
              </w:rPr>
            </w:pPr>
            <w:r w:rsidRPr="00997080">
              <w:rPr>
                <w:rFonts w:cs="Arial"/>
                <w:b/>
                <w:bCs/>
              </w:rPr>
              <w:t xml:space="preserve">Allocation of </w:t>
            </w:r>
            <w:r w:rsidR="000E172E" w:rsidRPr="00997080">
              <w:rPr>
                <w:rFonts w:cs="Arial"/>
                <w:b/>
                <w:bCs/>
              </w:rPr>
              <w:t>budget</w:t>
            </w:r>
          </w:p>
        </w:tc>
        <w:tc>
          <w:tcPr>
            <w:tcW w:w="3311" w:type="dxa"/>
          </w:tcPr>
          <w:p w14:paraId="4B2C3ADE" w14:textId="77777777" w:rsidR="00DC7F9C" w:rsidRPr="00997080" w:rsidRDefault="00DC7F9C" w:rsidP="005B5606">
            <w:pPr>
              <w:jc w:val="center"/>
              <w:rPr>
                <w:rFonts w:cs="Arial"/>
                <w:b/>
                <w:bCs/>
              </w:rPr>
            </w:pPr>
            <w:r w:rsidRPr="00997080">
              <w:rPr>
                <w:rFonts w:cs="Arial"/>
                <w:b/>
                <w:bCs/>
              </w:rPr>
              <w:t>Target</w:t>
            </w:r>
          </w:p>
        </w:tc>
        <w:tc>
          <w:tcPr>
            <w:tcW w:w="2200" w:type="dxa"/>
          </w:tcPr>
          <w:p w14:paraId="7ADB41DE" w14:textId="77777777" w:rsidR="00DC7F9C" w:rsidRPr="00997080" w:rsidRDefault="00DC7F9C" w:rsidP="005B5606">
            <w:pPr>
              <w:jc w:val="center"/>
              <w:rPr>
                <w:rFonts w:cs="Arial"/>
                <w:b/>
                <w:bCs/>
              </w:rPr>
            </w:pPr>
            <w:r w:rsidRPr="00997080">
              <w:rPr>
                <w:rFonts w:cs="Arial"/>
                <w:b/>
                <w:bCs/>
              </w:rPr>
              <w:t>Anticipated advantages</w:t>
            </w:r>
          </w:p>
        </w:tc>
      </w:tr>
      <w:tr w:rsidR="00DC7F9C" w:rsidRPr="00997080" w14:paraId="2F0EF4BE" w14:textId="77777777" w:rsidTr="005B5606">
        <w:tc>
          <w:tcPr>
            <w:tcW w:w="2173" w:type="dxa"/>
          </w:tcPr>
          <w:p w14:paraId="2CCCDECE" w14:textId="77777777" w:rsidR="00DC7F9C" w:rsidRPr="00997080" w:rsidRDefault="00DC7F9C" w:rsidP="005B5606">
            <w:pPr>
              <w:rPr>
                <w:rFonts w:cs="Arial"/>
              </w:rPr>
            </w:pPr>
            <w:r w:rsidRPr="00997080">
              <w:rPr>
                <w:rFonts w:cs="Arial"/>
              </w:rPr>
              <w:t>Leadership development and employee training</w:t>
            </w:r>
          </w:p>
        </w:tc>
        <w:tc>
          <w:tcPr>
            <w:tcW w:w="1332" w:type="dxa"/>
          </w:tcPr>
          <w:p w14:paraId="4A8C44D3" w14:textId="4ABCD2F7" w:rsidR="00DC7F9C" w:rsidRPr="00997080" w:rsidRDefault="000E172E" w:rsidP="005B5606">
            <w:pPr>
              <w:rPr>
                <w:rFonts w:cs="Arial"/>
              </w:rPr>
            </w:pPr>
            <w:r w:rsidRPr="00997080">
              <w:rPr>
                <w:rFonts w:cs="Arial"/>
              </w:rPr>
              <w:t>£</w:t>
            </w:r>
            <w:r w:rsidR="00DC7F9C" w:rsidRPr="00997080">
              <w:rPr>
                <w:rFonts w:cs="Arial"/>
              </w:rPr>
              <w:t>15</w:t>
            </w:r>
            <w:r w:rsidRPr="00997080">
              <w:rPr>
                <w:rFonts w:cs="Arial"/>
              </w:rPr>
              <w:t xml:space="preserve">0 million </w:t>
            </w:r>
          </w:p>
        </w:tc>
        <w:tc>
          <w:tcPr>
            <w:tcW w:w="3311" w:type="dxa"/>
          </w:tcPr>
          <w:p w14:paraId="02393124" w14:textId="77777777" w:rsidR="00DC7F9C" w:rsidRPr="00997080" w:rsidRDefault="00DC7F9C" w:rsidP="005B5606">
            <w:pPr>
              <w:rPr>
                <w:rFonts w:cs="Arial"/>
              </w:rPr>
            </w:pPr>
            <w:r w:rsidRPr="00997080">
              <w:rPr>
                <w:rFonts w:cs="Arial"/>
              </w:rPr>
              <w:t>Readiness for change</w:t>
            </w:r>
          </w:p>
          <w:p w14:paraId="671EE76D" w14:textId="77777777" w:rsidR="00DC7F9C" w:rsidRPr="00997080" w:rsidRDefault="00DC7F9C" w:rsidP="005B5606">
            <w:pPr>
              <w:rPr>
                <w:rFonts w:cs="Arial"/>
              </w:rPr>
            </w:pPr>
            <w:r w:rsidRPr="00997080">
              <w:rPr>
                <w:rFonts w:cs="Arial"/>
              </w:rPr>
              <w:t>Improving leadership potential</w:t>
            </w:r>
          </w:p>
          <w:p w14:paraId="27A12707" w14:textId="77777777" w:rsidR="00DC7F9C" w:rsidRPr="00997080" w:rsidRDefault="00DC7F9C" w:rsidP="005B5606">
            <w:pPr>
              <w:rPr>
                <w:rFonts w:cs="Arial"/>
              </w:rPr>
            </w:pPr>
            <w:r w:rsidRPr="00997080">
              <w:rPr>
                <w:rFonts w:cs="Arial"/>
              </w:rPr>
              <w:t>Enhancement of digital skills</w:t>
            </w:r>
          </w:p>
        </w:tc>
        <w:tc>
          <w:tcPr>
            <w:tcW w:w="2200" w:type="dxa"/>
          </w:tcPr>
          <w:p w14:paraId="6C630DA2" w14:textId="77777777" w:rsidR="00DC7F9C" w:rsidRPr="00997080" w:rsidRDefault="00DC7F9C" w:rsidP="005B5606">
            <w:pPr>
              <w:rPr>
                <w:rFonts w:cs="Arial"/>
              </w:rPr>
            </w:pPr>
            <w:r w:rsidRPr="00997080">
              <w:rPr>
                <w:rFonts w:cs="Arial"/>
              </w:rPr>
              <w:t>Elevate the engagement and competence of workers</w:t>
            </w:r>
          </w:p>
        </w:tc>
      </w:tr>
      <w:tr w:rsidR="00DC7F9C" w:rsidRPr="00997080" w14:paraId="63322FE7" w14:textId="77777777" w:rsidTr="005B5606">
        <w:tc>
          <w:tcPr>
            <w:tcW w:w="2173" w:type="dxa"/>
          </w:tcPr>
          <w:p w14:paraId="6BCFDE49" w14:textId="77777777" w:rsidR="00DC7F9C" w:rsidRPr="00997080" w:rsidRDefault="00DC7F9C" w:rsidP="005B5606">
            <w:pPr>
              <w:rPr>
                <w:rFonts w:cs="Arial"/>
              </w:rPr>
            </w:pPr>
            <w:r w:rsidRPr="00997080">
              <w:rPr>
                <w:rFonts w:cs="Arial"/>
              </w:rPr>
              <w:t>Digital infrastructure</w:t>
            </w:r>
          </w:p>
        </w:tc>
        <w:tc>
          <w:tcPr>
            <w:tcW w:w="1332" w:type="dxa"/>
          </w:tcPr>
          <w:p w14:paraId="208F7861" w14:textId="4AB0BCC4" w:rsidR="00DC7F9C" w:rsidRPr="00997080" w:rsidRDefault="000E172E" w:rsidP="005B5606">
            <w:pPr>
              <w:rPr>
                <w:rFonts w:cs="Arial"/>
              </w:rPr>
            </w:pPr>
            <w:r w:rsidRPr="00997080">
              <w:rPr>
                <w:rFonts w:cs="Arial"/>
              </w:rPr>
              <w:t xml:space="preserve">£450 million </w:t>
            </w:r>
          </w:p>
        </w:tc>
        <w:tc>
          <w:tcPr>
            <w:tcW w:w="3311" w:type="dxa"/>
          </w:tcPr>
          <w:p w14:paraId="3B09DD68" w14:textId="77777777" w:rsidR="00DC7F9C" w:rsidRPr="00997080" w:rsidRDefault="00DC7F9C" w:rsidP="005B5606">
            <w:pPr>
              <w:rPr>
                <w:rFonts w:cs="Arial"/>
              </w:rPr>
            </w:pPr>
            <w:r w:rsidRPr="00997080">
              <w:rPr>
                <w:rFonts w:cs="Arial"/>
              </w:rPr>
              <w:t>AI integration</w:t>
            </w:r>
          </w:p>
          <w:p w14:paraId="047FB328" w14:textId="77777777" w:rsidR="00DC7F9C" w:rsidRPr="00997080" w:rsidRDefault="00DC7F9C" w:rsidP="005B5606">
            <w:pPr>
              <w:rPr>
                <w:rFonts w:cs="Arial"/>
              </w:rPr>
            </w:pPr>
            <w:r w:rsidRPr="00997080">
              <w:rPr>
                <w:rFonts w:cs="Arial"/>
              </w:rPr>
              <w:t>Use of predictive analytics</w:t>
            </w:r>
          </w:p>
          <w:p w14:paraId="3208A6E0" w14:textId="77777777" w:rsidR="00DC7F9C" w:rsidRPr="00997080" w:rsidRDefault="00DC7F9C" w:rsidP="005B5606">
            <w:pPr>
              <w:rPr>
                <w:rFonts w:cs="Arial"/>
              </w:rPr>
            </w:pPr>
            <w:r w:rsidRPr="00997080">
              <w:rPr>
                <w:rFonts w:cs="Arial"/>
              </w:rPr>
              <w:t>Factory automation</w:t>
            </w:r>
          </w:p>
        </w:tc>
        <w:tc>
          <w:tcPr>
            <w:tcW w:w="2200" w:type="dxa"/>
          </w:tcPr>
          <w:p w14:paraId="10F6B2B3" w14:textId="77777777" w:rsidR="00DC7F9C" w:rsidRPr="00997080" w:rsidRDefault="00DC7F9C" w:rsidP="005B5606">
            <w:pPr>
              <w:rPr>
                <w:rFonts w:cs="Arial"/>
              </w:rPr>
            </w:pPr>
            <w:r w:rsidRPr="00997080">
              <w:rPr>
                <w:rFonts w:cs="Arial"/>
              </w:rPr>
              <w:t>Lower cost of operations and higher productivity</w:t>
            </w:r>
          </w:p>
        </w:tc>
      </w:tr>
      <w:tr w:rsidR="00DC7F9C" w:rsidRPr="00997080" w14:paraId="0B089B1A" w14:textId="77777777" w:rsidTr="005B5606">
        <w:tc>
          <w:tcPr>
            <w:tcW w:w="2173" w:type="dxa"/>
          </w:tcPr>
          <w:p w14:paraId="17649793" w14:textId="77777777" w:rsidR="00DC7F9C" w:rsidRPr="00997080" w:rsidRDefault="00DC7F9C" w:rsidP="005B5606">
            <w:pPr>
              <w:rPr>
                <w:rFonts w:cs="Arial"/>
              </w:rPr>
            </w:pPr>
            <w:r w:rsidRPr="00997080">
              <w:rPr>
                <w:rFonts w:cs="Arial"/>
              </w:rPr>
              <w:t>Contingency fund</w:t>
            </w:r>
          </w:p>
        </w:tc>
        <w:tc>
          <w:tcPr>
            <w:tcW w:w="1332" w:type="dxa"/>
          </w:tcPr>
          <w:p w14:paraId="0917900A" w14:textId="35A01F13" w:rsidR="00DC7F9C" w:rsidRPr="00997080" w:rsidRDefault="000E172E" w:rsidP="005B5606">
            <w:pPr>
              <w:rPr>
                <w:rFonts w:cs="Arial"/>
              </w:rPr>
            </w:pPr>
            <w:r w:rsidRPr="00997080">
              <w:rPr>
                <w:rFonts w:cs="Arial"/>
              </w:rPr>
              <w:t xml:space="preserve">£100 million </w:t>
            </w:r>
          </w:p>
        </w:tc>
        <w:tc>
          <w:tcPr>
            <w:tcW w:w="3311" w:type="dxa"/>
          </w:tcPr>
          <w:p w14:paraId="67FD747F" w14:textId="77777777" w:rsidR="00DC7F9C" w:rsidRPr="00997080" w:rsidRDefault="00DC7F9C" w:rsidP="005B5606">
            <w:pPr>
              <w:rPr>
                <w:rFonts w:cs="Arial"/>
              </w:rPr>
            </w:pPr>
            <w:r w:rsidRPr="00997080">
              <w:rPr>
                <w:rFonts w:cs="Arial"/>
              </w:rPr>
              <w:t>Risk of implementation</w:t>
            </w:r>
          </w:p>
          <w:p w14:paraId="016B1411" w14:textId="77777777" w:rsidR="00DC7F9C" w:rsidRPr="00997080" w:rsidRDefault="00DC7F9C" w:rsidP="005B5606">
            <w:pPr>
              <w:rPr>
                <w:rFonts w:cs="Arial"/>
              </w:rPr>
            </w:pPr>
            <w:r w:rsidRPr="00997080">
              <w:rPr>
                <w:rFonts w:cs="Arial"/>
              </w:rPr>
              <w:t>Digital upgrade</w:t>
            </w:r>
          </w:p>
          <w:p w14:paraId="03ED812F" w14:textId="77777777" w:rsidR="00DC7F9C" w:rsidRPr="00997080" w:rsidRDefault="00DC7F9C" w:rsidP="005B5606">
            <w:pPr>
              <w:rPr>
                <w:rFonts w:cs="Arial"/>
              </w:rPr>
            </w:pPr>
            <w:r w:rsidRPr="00997080">
              <w:rPr>
                <w:rFonts w:cs="Arial"/>
              </w:rPr>
              <w:lastRenderedPageBreak/>
              <w:t>Cybersecurity</w:t>
            </w:r>
          </w:p>
        </w:tc>
        <w:tc>
          <w:tcPr>
            <w:tcW w:w="2200" w:type="dxa"/>
          </w:tcPr>
          <w:p w14:paraId="4981939C" w14:textId="77777777" w:rsidR="00DC7F9C" w:rsidRPr="00997080" w:rsidRDefault="00DC7F9C" w:rsidP="005B5606">
            <w:pPr>
              <w:rPr>
                <w:rFonts w:cs="Arial"/>
              </w:rPr>
            </w:pPr>
            <w:r w:rsidRPr="00997080">
              <w:rPr>
                <w:rFonts w:cs="Arial"/>
              </w:rPr>
              <w:lastRenderedPageBreak/>
              <w:t xml:space="preserve">Continuity of operations and </w:t>
            </w:r>
            <w:r w:rsidRPr="00997080">
              <w:rPr>
                <w:rFonts w:cs="Arial"/>
              </w:rPr>
              <w:lastRenderedPageBreak/>
              <w:t>mitigation of risk factors</w:t>
            </w:r>
          </w:p>
        </w:tc>
      </w:tr>
      <w:tr w:rsidR="00DC7F9C" w:rsidRPr="00997080" w14:paraId="6464360D" w14:textId="77777777" w:rsidTr="005B5606">
        <w:tc>
          <w:tcPr>
            <w:tcW w:w="2173" w:type="dxa"/>
          </w:tcPr>
          <w:p w14:paraId="6432FD59" w14:textId="77777777" w:rsidR="00DC7F9C" w:rsidRPr="00997080" w:rsidRDefault="00DC7F9C" w:rsidP="005B5606">
            <w:pPr>
              <w:rPr>
                <w:rFonts w:cs="Arial"/>
              </w:rPr>
            </w:pPr>
            <w:r w:rsidRPr="00997080">
              <w:rPr>
                <w:rFonts w:cs="Arial"/>
              </w:rPr>
              <w:lastRenderedPageBreak/>
              <w:t>Facilities for EV production</w:t>
            </w:r>
          </w:p>
        </w:tc>
        <w:tc>
          <w:tcPr>
            <w:tcW w:w="1332" w:type="dxa"/>
          </w:tcPr>
          <w:p w14:paraId="132E356C" w14:textId="5798F8E9" w:rsidR="00DC7F9C" w:rsidRPr="00997080" w:rsidRDefault="000E172E" w:rsidP="005B5606">
            <w:pPr>
              <w:rPr>
                <w:rFonts w:cs="Arial"/>
              </w:rPr>
            </w:pPr>
            <w:r w:rsidRPr="00997080">
              <w:rPr>
                <w:rFonts w:cs="Arial"/>
              </w:rPr>
              <w:t xml:space="preserve">£300 million </w:t>
            </w:r>
          </w:p>
        </w:tc>
        <w:tc>
          <w:tcPr>
            <w:tcW w:w="3311" w:type="dxa"/>
          </w:tcPr>
          <w:p w14:paraId="6EC42DE6" w14:textId="77777777" w:rsidR="00DC7F9C" w:rsidRPr="00997080" w:rsidRDefault="00DC7F9C" w:rsidP="005B5606">
            <w:pPr>
              <w:rPr>
                <w:rFonts w:cs="Arial"/>
              </w:rPr>
            </w:pPr>
            <w:r w:rsidRPr="00997080">
              <w:rPr>
                <w:rFonts w:cs="Arial"/>
              </w:rPr>
              <w:t>Broadening the manufacturing potential</w:t>
            </w:r>
          </w:p>
        </w:tc>
        <w:tc>
          <w:tcPr>
            <w:tcW w:w="2200" w:type="dxa"/>
          </w:tcPr>
          <w:p w14:paraId="7721BD33" w14:textId="77777777" w:rsidR="00DC7F9C" w:rsidRPr="00997080" w:rsidRDefault="00DC7F9C" w:rsidP="005B5606">
            <w:pPr>
              <w:rPr>
                <w:rFonts w:cs="Arial"/>
              </w:rPr>
            </w:pPr>
            <w:r w:rsidRPr="00997080">
              <w:rPr>
                <w:rFonts w:cs="Arial"/>
              </w:rPr>
              <w:t>Improved market competitiveness and production capability</w:t>
            </w:r>
          </w:p>
        </w:tc>
      </w:tr>
    </w:tbl>
    <w:p w14:paraId="737A798B" w14:textId="77777777" w:rsidR="00DC7F9C" w:rsidRPr="00997080" w:rsidRDefault="00DC7F9C" w:rsidP="00DC7F9C">
      <w:pPr>
        <w:rPr>
          <w:rFonts w:cs="Arial"/>
        </w:rPr>
      </w:pPr>
    </w:p>
    <w:p w14:paraId="5A114238" w14:textId="77777777" w:rsidR="00DC7F9C" w:rsidRPr="00997080" w:rsidRDefault="00DC7F9C" w:rsidP="00DC7F9C">
      <w:pPr>
        <w:pStyle w:val="Heading2"/>
        <w:rPr>
          <w:rFonts w:cs="Arial"/>
          <w:szCs w:val="22"/>
        </w:rPr>
      </w:pPr>
      <w:bookmarkStart w:id="14" w:name="_Toc233667109"/>
      <w:r w:rsidRPr="00997080">
        <w:rPr>
          <w:rFonts w:cs="Arial"/>
          <w:szCs w:val="22"/>
        </w:rPr>
        <w:t>5.3 Communication plan</w:t>
      </w:r>
      <w:bookmarkEnd w:id="14"/>
    </w:p>
    <w:p w14:paraId="43112F0E" w14:textId="11E8F932" w:rsidR="00DD424E" w:rsidRPr="00997080" w:rsidRDefault="00DD424E" w:rsidP="00DD424E">
      <w:pPr>
        <w:rPr>
          <w:rFonts w:cs="Arial"/>
        </w:rPr>
      </w:pPr>
      <w:r w:rsidRPr="00997080">
        <w:rPr>
          <w:rFonts w:cs="Arial"/>
        </w:rPr>
        <w:t xml:space="preserve">Appropriate communication is fundamental to ensure effective change in the organisations as it encourages employee involvement and builds trust throughout the process of implementation while reducing uncertainty. The recommended strategy of communication considers a multidirectional method by ensuring a balanced combination of bottom-up and top-down approaches. The top-down approach is followed for maintaining communication with the senior executives when a feedback mechanism is executed by considering the bottom-up approach (Gotsch et al., 2023), which shows an alignment with the Mumford model of participative change. Departmental briefing and town hall meetings at regular intervals can reflect strategic alignment when employee suggestions and survey platforms encourage ownership and engagement of the workers in the change process. </w:t>
      </w:r>
    </w:p>
    <w:p w14:paraId="689E8AF5" w14:textId="2276DB1E" w:rsidR="00DC7F9C" w:rsidRPr="00997080" w:rsidRDefault="00DC7F9C" w:rsidP="00DC7F9C">
      <w:pPr>
        <w:jc w:val="center"/>
        <w:rPr>
          <w:rFonts w:cs="Arial"/>
          <w:b/>
          <w:bCs/>
        </w:rPr>
      </w:pPr>
      <w:r w:rsidRPr="00997080">
        <w:rPr>
          <w:rFonts w:cs="Arial"/>
          <w:b/>
          <w:bCs/>
        </w:rPr>
        <w:t>Table 4: Communication plan</w:t>
      </w:r>
    </w:p>
    <w:tbl>
      <w:tblPr>
        <w:tblStyle w:val="TableGrid"/>
        <w:tblW w:w="0" w:type="auto"/>
        <w:tblLook w:val="04A0" w:firstRow="1" w:lastRow="0" w:firstColumn="1" w:lastColumn="0" w:noHBand="0" w:noVBand="1"/>
      </w:tblPr>
      <w:tblGrid>
        <w:gridCol w:w="2254"/>
        <w:gridCol w:w="2254"/>
        <w:gridCol w:w="2254"/>
        <w:gridCol w:w="2254"/>
      </w:tblGrid>
      <w:tr w:rsidR="00DC7F9C" w:rsidRPr="00997080" w14:paraId="26E8F9A7" w14:textId="77777777" w:rsidTr="005B5606">
        <w:tc>
          <w:tcPr>
            <w:tcW w:w="2254" w:type="dxa"/>
          </w:tcPr>
          <w:p w14:paraId="632638B5" w14:textId="77777777" w:rsidR="00DC7F9C" w:rsidRPr="00997080" w:rsidRDefault="00DC7F9C" w:rsidP="005B5606">
            <w:pPr>
              <w:jc w:val="center"/>
              <w:rPr>
                <w:rFonts w:cs="Arial"/>
                <w:b/>
                <w:bCs/>
              </w:rPr>
            </w:pPr>
            <w:r w:rsidRPr="00997080">
              <w:rPr>
                <w:rFonts w:cs="Arial"/>
                <w:b/>
                <w:bCs/>
              </w:rPr>
              <w:t>Stakeholder groups</w:t>
            </w:r>
          </w:p>
        </w:tc>
        <w:tc>
          <w:tcPr>
            <w:tcW w:w="2254" w:type="dxa"/>
          </w:tcPr>
          <w:p w14:paraId="4C5A53D7" w14:textId="77777777" w:rsidR="00DC7F9C" w:rsidRPr="00997080" w:rsidRDefault="00DC7F9C" w:rsidP="005B5606">
            <w:pPr>
              <w:jc w:val="center"/>
              <w:rPr>
                <w:rFonts w:cs="Arial"/>
                <w:b/>
                <w:bCs/>
              </w:rPr>
            </w:pPr>
            <w:r w:rsidRPr="00997080">
              <w:rPr>
                <w:rFonts w:cs="Arial"/>
                <w:b/>
                <w:bCs/>
              </w:rPr>
              <w:t>Mode of communication</w:t>
            </w:r>
          </w:p>
        </w:tc>
        <w:tc>
          <w:tcPr>
            <w:tcW w:w="2254" w:type="dxa"/>
          </w:tcPr>
          <w:p w14:paraId="404F4203" w14:textId="77777777" w:rsidR="00DC7F9C" w:rsidRPr="00997080" w:rsidRDefault="00DC7F9C" w:rsidP="005B5606">
            <w:pPr>
              <w:jc w:val="center"/>
              <w:rPr>
                <w:rFonts w:cs="Arial"/>
                <w:b/>
                <w:bCs/>
              </w:rPr>
            </w:pPr>
            <w:r w:rsidRPr="00997080">
              <w:rPr>
                <w:rFonts w:cs="Arial"/>
                <w:b/>
                <w:bCs/>
              </w:rPr>
              <w:t>Frequency</w:t>
            </w:r>
          </w:p>
        </w:tc>
        <w:tc>
          <w:tcPr>
            <w:tcW w:w="2254" w:type="dxa"/>
          </w:tcPr>
          <w:p w14:paraId="3BA43DF0" w14:textId="77777777" w:rsidR="00DC7F9C" w:rsidRPr="00997080" w:rsidRDefault="00DC7F9C" w:rsidP="005B5606">
            <w:pPr>
              <w:jc w:val="center"/>
              <w:rPr>
                <w:rFonts w:cs="Arial"/>
                <w:b/>
                <w:bCs/>
              </w:rPr>
            </w:pPr>
            <w:r w:rsidRPr="00997080">
              <w:rPr>
                <w:rFonts w:cs="Arial"/>
                <w:b/>
                <w:bCs/>
              </w:rPr>
              <w:t>Objective</w:t>
            </w:r>
          </w:p>
        </w:tc>
      </w:tr>
      <w:tr w:rsidR="00DC7F9C" w:rsidRPr="00997080" w14:paraId="322492BC" w14:textId="77777777" w:rsidTr="005B5606">
        <w:tc>
          <w:tcPr>
            <w:tcW w:w="2254" w:type="dxa"/>
          </w:tcPr>
          <w:p w14:paraId="52BE50DC" w14:textId="77777777" w:rsidR="00DC7F9C" w:rsidRPr="00997080" w:rsidRDefault="00DC7F9C" w:rsidP="005B5606">
            <w:pPr>
              <w:rPr>
                <w:rFonts w:cs="Arial"/>
              </w:rPr>
            </w:pPr>
            <w:r w:rsidRPr="00997080">
              <w:rPr>
                <w:rFonts w:cs="Arial"/>
              </w:rPr>
              <w:t>Employees</w:t>
            </w:r>
          </w:p>
        </w:tc>
        <w:tc>
          <w:tcPr>
            <w:tcW w:w="2254" w:type="dxa"/>
          </w:tcPr>
          <w:p w14:paraId="6A30F5EA" w14:textId="77777777" w:rsidR="00DC7F9C" w:rsidRPr="00997080" w:rsidRDefault="00DC7F9C" w:rsidP="005B5606">
            <w:pPr>
              <w:rPr>
                <w:rFonts w:cs="Arial"/>
              </w:rPr>
            </w:pPr>
            <w:r w:rsidRPr="00997080">
              <w:rPr>
                <w:rFonts w:cs="Arial"/>
              </w:rPr>
              <w:t>Surveys</w:t>
            </w:r>
          </w:p>
          <w:p w14:paraId="735704B8" w14:textId="77777777" w:rsidR="00DC7F9C" w:rsidRPr="00997080" w:rsidRDefault="00DC7F9C" w:rsidP="005B5606">
            <w:pPr>
              <w:rPr>
                <w:rFonts w:cs="Arial"/>
              </w:rPr>
            </w:pPr>
            <w:r w:rsidRPr="00997080">
              <w:rPr>
                <w:rFonts w:cs="Arial"/>
              </w:rPr>
              <w:t>Forums</w:t>
            </w:r>
          </w:p>
          <w:p w14:paraId="6C5D0A91" w14:textId="77777777" w:rsidR="00DC7F9C" w:rsidRPr="00997080" w:rsidRDefault="00DC7F9C" w:rsidP="005B5606">
            <w:pPr>
              <w:rPr>
                <w:rFonts w:cs="Arial"/>
              </w:rPr>
            </w:pPr>
            <w:r w:rsidRPr="00997080">
              <w:rPr>
                <w:rFonts w:cs="Arial"/>
              </w:rPr>
              <w:t>Newsletters</w:t>
            </w:r>
          </w:p>
        </w:tc>
        <w:tc>
          <w:tcPr>
            <w:tcW w:w="2254" w:type="dxa"/>
          </w:tcPr>
          <w:p w14:paraId="486B431A" w14:textId="77777777" w:rsidR="00DC7F9C" w:rsidRPr="00997080" w:rsidRDefault="00DC7F9C" w:rsidP="005B5606">
            <w:pPr>
              <w:rPr>
                <w:rFonts w:cs="Arial"/>
              </w:rPr>
            </w:pPr>
            <w:r w:rsidRPr="00997080">
              <w:rPr>
                <w:rFonts w:cs="Arial"/>
              </w:rPr>
              <w:t>Once a week</w:t>
            </w:r>
          </w:p>
        </w:tc>
        <w:tc>
          <w:tcPr>
            <w:tcW w:w="2254" w:type="dxa"/>
          </w:tcPr>
          <w:p w14:paraId="55FA21F9" w14:textId="77777777" w:rsidR="00DC7F9C" w:rsidRPr="00997080" w:rsidRDefault="00DC7F9C" w:rsidP="005B5606">
            <w:pPr>
              <w:rPr>
                <w:rFonts w:cs="Arial"/>
              </w:rPr>
            </w:pPr>
            <w:r w:rsidRPr="00997080">
              <w:rPr>
                <w:rFonts w:cs="Arial"/>
              </w:rPr>
              <w:t>Training opportunities</w:t>
            </w:r>
          </w:p>
          <w:p w14:paraId="77F62C03" w14:textId="77777777" w:rsidR="00DC7F9C" w:rsidRPr="00997080" w:rsidRDefault="00DC7F9C" w:rsidP="005B5606">
            <w:pPr>
              <w:rPr>
                <w:rFonts w:cs="Arial"/>
              </w:rPr>
            </w:pPr>
            <w:r w:rsidRPr="00997080">
              <w:rPr>
                <w:rFonts w:cs="Arial"/>
              </w:rPr>
              <w:t>Share milestone</w:t>
            </w:r>
          </w:p>
          <w:p w14:paraId="3A037822" w14:textId="77777777" w:rsidR="00DC7F9C" w:rsidRPr="00997080" w:rsidRDefault="00DC7F9C" w:rsidP="005B5606">
            <w:pPr>
              <w:rPr>
                <w:rFonts w:cs="Arial"/>
              </w:rPr>
            </w:pPr>
            <w:r w:rsidRPr="00997080">
              <w:rPr>
                <w:rFonts w:cs="Arial"/>
              </w:rPr>
              <w:t>Collect feedback</w:t>
            </w:r>
          </w:p>
        </w:tc>
      </w:tr>
      <w:tr w:rsidR="00DC7F9C" w:rsidRPr="00997080" w14:paraId="685EE8A3" w14:textId="77777777" w:rsidTr="005B5606">
        <w:tc>
          <w:tcPr>
            <w:tcW w:w="2254" w:type="dxa"/>
          </w:tcPr>
          <w:p w14:paraId="401DFCBB" w14:textId="77777777" w:rsidR="00DC7F9C" w:rsidRPr="00997080" w:rsidRDefault="00DC7F9C" w:rsidP="005B5606">
            <w:pPr>
              <w:rPr>
                <w:rFonts w:cs="Arial"/>
              </w:rPr>
            </w:pPr>
            <w:r w:rsidRPr="00997080">
              <w:rPr>
                <w:rFonts w:cs="Arial"/>
              </w:rPr>
              <w:t>Senior executives</w:t>
            </w:r>
          </w:p>
        </w:tc>
        <w:tc>
          <w:tcPr>
            <w:tcW w:w="2254" w:type="dxa"/>
          </w:tcPr>
          <w:p w14:paraId="597561E1" w14:textId="77777777" w:rsidR="00DC7F9C" w:rsidRPr="00997080" w:rsidRDefault="00DC7F9C" w:rsidP="005B5606">
            <w:pPr>
              <w:rPr>
                <w:rFonts w:cs="Arial"/>
              </w:rPr>
            </w:pPr>
            <w:r w:rsidRPr="00997080">
              <w:rPr>
                <w:rFonts w:cs="Arial"/>
              </w:rPr>
              <w:t xml:space="preserve">Town hall meetings </w:t>
            </w:r>
          </w:p>
        </w:tc>
        <w:tc>
          <w:tcPr>
            <w:tcW w:w="2254" w:type="dxa"/>
          </w:tcPr>
          <w:p w14:paraId="0738EDAD" w14:textId="77777777" w:rsidR="00DC7F9C" w:rsidRPr="00997080" w:rsidRDefault="00DC7F9C" w:rsidP="005B5606">
            <w:pPr>
              <w:rPr>
                <w:rFonts w:cs="Arial"/>
              </w:rPr>
            </w:pPr>
            <w:r w:rsidRPr="00997080">
              <w:rPr>
                <w:rFonts w:cs="Arial"/>
              </w:rPr>
              <w:t>Once in every quarter</w:t>
            </w:r>
          </w:p>
        </w:tc>
        <w:tc>
          <w:tcPr>
            <w:tcW w:w="2254" w:type="dxa"/>
          </w:tcPr>
          <w:p w14:paraId="2E02BFC5" w14:textId="77777777" w:rsidR="00DC7F9C" w:rsidRPr="00997080" w:rsidRDefault="00DC7F9C" w:rsidP="005B5606">
            <w:pPr>
              <w:rPr>
                <w:rFonts w:cs="Arial"/>
              </w:rPr>
            </w:pPr>
            <w:r w:rsidRPr="00997080">
              <w:rPr>
                <w:rFonts w:cs="Arial"/>
              </w:rPr>
              <w:t>Strategic process</w:t>
            </w:r>
          </w:p>
          <w:p w14:paraId="3A83ABB4" w14:textId="77777777" w:rsidR="00DC7F9C" w:rsidRPr="00997080" w:rsidRDefault="00DC7F9C" w:rsidP="005B5606">
            <w:pPr>
              <w:rPr>
                <w:rFonts w:cs="Arial"/>
              </w:rPr>
            </w:pPr>
            <w:r w:rsidRPr="00997080">
              <w:rPr>
                <w:rFonts w:cs="Arial"/>
              </w:rPr>
              <w:t>Communicate vision</w:t>
            </w:r>
          </w:p>
        </w:tc>
      </w:tr>
      <w:tr w:rsidR="00DC7F9C" w:rsidRPr="00997080" w14:paraId="3F23CB17" w14:textId="77777777" w:rsidTr="005B5606">
        <w:tc>
          <w:tcPr>
            <w:tcW w:w="2254" w:type="dxa"/>
          </w:tcPr>
          <w:p w14:paraId="1C0FA3A9" w14:textId="77777777" w:rsidR="00DC7F9C" w:rsidRPr="00997080" w:rsidRDefault="00DC7F9C" w:rsidP="005B5606">
            <w:pPr>
              <w:rPr>
                <w:rFonts w:cs="Arial"/>
              </w:rPr>
            </w:pPr>
            <w:r w:rsidRPr="00997080">
              <w:rPr>
                <w:rFonts w:cs="Arial"/>
              </w:rPr>
              <w:t>Shareholders and suppliers</w:t>
            </w:r>
          </w:p>
        </w:tc>
        <w:tc>
          <w:tcPr>
            <w:tcW w:w="2254" w:type="dxa"/>
          </w:tcPr>
          <w:p w14:paraId="1F065A32" w14:textId="77777777" w:rsidR="00DC7F9C" w:rsidRPr="00997080" w:rsidRDefault="00DC7F9C" w:rsidP="005B5606">
            <w:pPr>
              <w:rPr>
                <w:rFonts w:cs="Arial"/>
              </w:rPr>
            </w:pPr>
            <w:r w:rsidRPr="00997080">
              <w:rPr>
                <w:rFonts w:cs="Arial"/>
              </w:rPr>
              <w:t>Stakeholder meetings</w:t>
            </w:r>
          </w:p>
          <w:p w14:paraId="51BEF4CC" w14:textId="77777777" w:rsidR="00DC7F9C" w:rsidRPr="00997080" w:rsidRDefault="00DC7F9C" w:rsidP="005B5606">
            <w:pPr>
              <w:rPr>
                <w:rFonts w:cs="Arial"/>
              </w:rPr>
            </w:pPr>
            <w:r w:rsidRPr="00997080">
              <w:rPr>
                <w:rFonts w:cs="Arial"/>
              </w:rPr>
              <w:t>Progress reports</w:t>
            </w:r>
          </w:p>
        </w:tc>
        <w:tc>
          <w:tcPr>
            <w:tcW w:w="2254" w:type="dxa"/>
          </w:tcPr>
          <w:p w14:paraId="25C21EA3" w14:textId="77777777" w:rsidR="00DC7F9C" w:rsidRPr="00997080" w:rsidRDefault="00DC7F9C" w:rsidP="005B5606">
            <w:pPr>
              <w:rPr>
                <w:rFonts w:cs="Arial"/>
              </w:rPr>
            </w:pPr>
            <w:r w:rsidRPr="00997080">
              <w:rPr>
                <w:rFonts w:cs="Arial"/>
              </w:rPr>
              <w:t>Once in every quarter</w:t>
            </w:r>
          </w:p>
        </w:tc>
        <w:tc>
          <w:tcPr>
            <w:tcW w:w="2254" w:type="dxa"/>
          </w:tcPr>
          <w:p w14:paraId="231E159A" w14:textId="77777777" w:rsidR="00DC7F9C" w:rsidRPr="00997080" w:rsidRDefault="00DC7F9C" w:rsidP="005B5606">
            <w:pPr>
              <w:rPr>
                <w:rFonts w:cs="Arial"/>
              </w:rPr>
            </w:pPr>
            <w:r w:rsidRPr="00997080">
              <w:rPr>
                <w:rFonts w:cs="Arial"/>
              </w:rPr>
              <w:t>Maintain transparency</w:t>
            </w:r>
          </w:p>
          <w:p w14:paraId="542F8C3C" w14:textId="77777777" w:rsidR="00DC7F9C" w:rsidRPr="00997080" w:rsidRDefault="00DC7F9C" w:rsidP="005B5606">
            <w:pPr>
              <w:rPr>
                <w:rFonts w:cs="Arial"/>
              </w:rPr>
            </w:pPr>
            <w:r w:rsidRPr="00997080">
              <w:rPr>
                <w:rFonts w:cs="Arial"/>
              </w:rPr>
              <w:t>Improve confidence</w:t>
            </w:r>
          </w:p>
        </w:tc>
      </w:tr>
      <w:tr w:rsidR="00DC7F9C" w:rsidRPr="00997080" w14:paraId="0C51F383" w14:textId="77777777" w:rsidTr="005B5606">
        <w:tc>
          <w:tcPr>
            <w:tcW w:w="2254" w:type="dxa"/>
          </w:tcPr>
          <w:p w14:paraId="5B32FD68" w14:textId="77777777" w:rsidR="00DC7F9C" w:rsidRPr="00997080" w:rsidRDefault="00DC7F9C" w:rsidP="005B5606">
            <w:pPr>
              <w:rPr>
                <w:rFonts w:cs="Arial"/>
              </w:rPr>
            </w:pPr>
            <w:r w:rsidRPr="00997080">
              <w:rPr>
                <w:rFonts w:cs="Arial"/>
              </w:rPr>
              <w:t>Department managers</w:t>
            </w:r>
          </w:p>
        </w:tc>
        <w:tc>
          <w:tcPr>
            <w:tcW w:w="2254" w:type="dxa"/>
          </w:tcPr>
          <w:p w14:paraId="4E3066A2" w14:textId="77777777" w:rsidR="00DC7F9C" w:rsidRPr="00997080" w:rsidRDefault="00DC7F9C" w:rsidP="005B5606">
            <w:pPr>
              <w:rPr>
                <w:rFonts w:cs="Arial"/>
              </w:rPr>
            </w:pPr>
            <w:r w:rsidRPr="00997080">
              <w:rPr>
                <w:rFonts w:cs="Arial"/>
              </w:rPr>
              <w:t>Team briefings</w:t>
            </w:r>
          </w:p>
        </w:tc>
        <w:tc>
          <w:tcPr>
            <w:tcW w:w="2254" w:type="dxa"/>
          </w:tcPr>
          <w:p w14:paraId="31DE2540" w14:textId="77777777" w:rsidR="00DC7F9C" w:rsidRPr="00997080" w:rsidRDefault="00DC7F9C" w:rsidP="005B5606">
            <w:pPr>
              <w:rPr>
                <w:rFonts w:cs="Arial"/>
              </w:rPr>
            </w:pPr>
            <w:r w:rsidRPr="00997080">
              <w:rPr>
                <w:rFonts w:cs="Arial"/>
              </w:rPr>
              <w:t>Once a month</w:t>
            </w:r>
          </w:p>
        </w:tc>
        <w:tc>
          <w:tcPr>
            <w:tcW w:w="2254" w:type="dxa"/>
          </w:tcPr>
          <w:p w14:paraId="3247DE45" w14:textId="77777777" w:rsidR="00DC7F9C" w:rsidRPr="00997080" w:rsidRDefault="00DC7F9C" w:rsidP="005B5606">
            <w:pPr>
              <w:rPr>
                <w:rFonts w:cs="Arial"/>
              </w:rPr>
            </w:pPr>
            <w:r w:rsidRPr="00997080">
              <w:rPr>
                <w:rFonts w:cs="Arial"/>
              </w:rPr>
              <w:t>Performance review</w:t>
            </w:r>
          </w:p>
          <w:p w14:paraId="0A26C4A0" w14:textId="77777777" w:rsidR="00DC7F9C" w:rsidRPr="00997080" w:rsidRDefault="00DC7F9C" w:rsidP="005B5606">
            <w:pPr>
              <w:rPr>
                <w:rFonts w:cs="Arial"/>
              </w:rPr>
            </w:pPr>
            <w:r w:rsidRPr="00997080">
              <w:rPr>
                <w:rFonts w:cs="Arial"/>
              </w:rPr>
              <w:t>Update on operational progress</w:t>
            </w:r>
          </w:p>
        </w:tc>
      </w:tr>
      <w:tr w:rsidR="00DC7F9C" w:rsidRPr="00997080" w14:paraId="17281FF6" w14:textId="77777777" w:rsidTr="005B5606">
        <w:tc>
          <w:tcPr>
            <w:tcW w:w="2254" w:type="dxa"/>
          </w:tcPr>
          <w:p w14:paraId="3EF7A3B5" w14:textId="77777777" w:rsidR="00DC7F9C" w:rsidRPr="00997080" w:rsidRDefault="00DC7F9C" w:rsidP="005B5606">
            <w:pPr>
              <w:rPr>
                <w:rFonts w:cs="Arial"/>
              </w:rPr>
            </w:pPr>
            <w:r w:rsidRPr="00997080">
              <w:rPr>
                <w:rFonts w:cs="Arial"/>
              </w:rPr>
              <w:t>Regulators and consumers</w:t>
            </w:r>
          </w:p>
        </w:tc>
        <w:tc>
          <w:tcPr>
            <w:tcW w:w="2254" w:type="dxa"/>
          </w:tcPr>
          <w:p w14:paraId="3D503CA8" w14:textId="77777777" w:rsidR="00DC7F9C" w:rsidRPr="00997080" w:rsidRDefault="00DC7F9C" w:rsidP="005B5606">
            <w:pPr>
              <w:rPr>
                <w:rFonts w:cs="Arial"/>
              </w:rPr>
            </w:pPr>
            <w:r w:rsidRPr="00997080">
              <w:rPr>
                <w:rFonts w:cs="Arial"/>
              </w:rPr>
              <w:t>Public announcements</w:t>
            </w:r>
          </w:p>
          <w:p w14:paraId="4A33D412" w14:textId="77777777" w:rsidR="00DC7F9C" w:rsidRPr="00997080" w:rsidRDefault="00DC7F9C" w:rsidP="005B5606">
            <w:pPr>
              <w:rPr>
                <w:rFonts w:cs="Arial"/>
              </w:rPr>
            </w:pPr>
            <w:r w:rsidRPr="00997080">
              <w:rPr>
                <w:rFonts w:cs="Arial"/>
              </w:rPr>
              <w:lastRenderedPageBreak/>
              <w:t>Digital updates</w:t>
            </w:r>
          </w:p>
          <w:p w14:paraId="415B849D" w14:textId="77777777" w:rsidR="00DC7F9C" w:rsidRPr="00997080" w:rsidRDefault="00DC7F9C" w:rsidP="005B5606">
            <w:pPr>
              <w:rPr>
                <w:rFonts w:cs="Arial"/>
              </w:rPr>
            </w:pPr>
            <w:r w:rsidRPr="00997080">
              <w:rPr>
                <w:rFonts w:cs="Arial"/>
              </w:rPr>
              <w:t>Sustainability reports</w:t>
            </w:r>
          </w:p>
        </w:tc>
        <w:tc>
          <w:tcPr>
            <w:tcW w:w="2254" w:type="dxa"/>
          </w:tcPr>
          <w:p w14:paraId="6EFB5F36" w14:textId="77777777" w:rsidR="00DC7F9C" w:rsidRPr="00997080" w:rsidRDefault="00DC7F9C" w:rsidP="005B5606">
            <w:pPr>
              <w:rPr>
                <w:rFonts w:cs="Arial"/>
              </w:rPr>
            </w:pPr>
            <w:r w:rsidRPr="00997080">
              <w:rPr>
                <w:rFonts w:cs="Arial"/>
              </w:rPr>
              <w:lastRenderedPageBreak/>
              <w:t>Twice in a year</w:t>
            </w:r>
          </w:p>
        </w:tc>
        <w:tc>
          <w:tcPr>
            <w:tcW w:w="2254" w:type="dxa"/>
          </w:tcPr>
          <w:p w14:paraId="3C809533" w14:textId="77777777" w:rsidR="00DC7F9C" w:rsidRPr="00997080" w:rsidRDefault="00DC7F9C" w:rsidP="005B5606">
            <w:pPr>
              <w:rPr>
                <w:rFonts w:cs="Arial"/>
              </w:rPr>
            </w:pPr>
            <w:r w:rsidRPr="00997080">
              <w:rPr>
                <w:rFonts w:cs="Arial"/>
              </w:rPr>
              <w:t>Showcase compliance</w:t>
            </w:r>
          </w:p>
          <w:p w14:paraId="2BE8A5A9" w14:textId="77777777" w:rsidR="00DC7F9C" w:rsidRPr="00997080" w:rsidRDefault="00DC7F9C" w:rsidP="005B5606">
            <w:pPr>
              <w:rPr>
                <w:rFonts w:cs="Arial"/>
              </w:rPr>
            </w:pPr>
            <w:r w:rsidRPr="00997080">
              <w:rPr>
                <w:rFonts w:cs="Arial"/>
              </w:rPr>
              <w:lastRenderedPageBreak/>
              <w:t>Outline the progress of the organisation</w:t>
            </w:r>
          </w:p>
        </w:tc>
      </w:tr>
    </w:tbl>
    <w:p w14:paraId="28E3E770" w14:textId="77777777" w:rsidR="00DC7F9C" w:rsidRPr="00997080" w:rsidRDefault="00DC7F9C" w:rsidP="00DC7F9C">
      <w:pPr>
        <w:rPr>
          <w:rFonts w:cs="Arial"/>
        </w:rPr>
      </w:pPr>
      <w:r w:rsidRPr="00997080">
        <w:rPr>
          <w:rFonts w:cs="Arial"/>
        </w:rPr>
        <w:lastRenderedPageBreak/>
        <w:t>Widening the communication is essential beyond the stakeholders in the internal environment of the company, which strengthens the relationship of the business with the legislative bodies, investors and suppliers. In this way, communication enhances the confidence of these stakeholders while boosting the legitimacy of the organisational operations. However, the frequency of communication is inadequate to guarantee the efficiency of the business operations (Agyeiwaa and Arboh, 2022). Inadequate communication skills of the managers, inconsistent flow of information across different departments and data overload might increase resistance among the employees while reducing their engagement. Hence, Ford Motor Company must analyse the practice through the rate of stakeholder satisfaction and participation. Collecting feedback from the employees can also be beneficial in this context for outlining the efficiency of communication practices. The adaptive strategies of communication improve the commitment of the businesses, along with facilitating the seamless implementation of the digital transformation process by addressing the concerns of the stakeholders. </w:t>
      </w:r>
    </w:p>
    <w:p w14:paraId="4A327B2B" w14:textId="77777777" w:rsidR="00DC7F9C" w:rsidRPr="00997080" w:rsidRDefault="00DC7F9C" w:rsidP="00DC7F9C">
      <w:pPr>
        <w:pStyle w:val="Heading2"/>
        <w:rPr>
          <w:rFonts w:cs="Arial"/>
          <w:szCs w:val="22"/>
        </w:rPr>
      </w:pPr>
      <w:bookmarkStart w:id="15" w:name="_Toc233667110"/>
      <w:r w:rsidRPr="00997080">
        <w:rPr>
          <w:rFonts w:cs="Arial"/>
          <w:szCs w:val="22"/>
        </w:rPr>
        <w:t>5.4 Implementation plan</w:t>
      </w:r>
      <w:bookmarkEnd w:id="15"/>
    </w:p>
    <w:p w14:paraId="535DC125" w14:textId="3B4EB894" w:rsidR="00DD424E" w:rsidRPr="00997080" w:rsidRDefault="00DD424E" w:rsidP="00DD424E">
      <w:pPr>
        <w:rPr>
          <w:rFonts w:cs="Arial"/>
        </w:rPr>
      </w:pPr>
      <w:r w:rsidRPr="00997080">
        <w:rPr>
          <w:rFonts w:cs="Arial"/>
        </w:rPr>
        <w:t xml:space="preserve">The timeline for phased implementation offers a systematic and logical approach for managing the complicated process of transformation by enabling incremental learning and reducing the risk of implementation. Early emphasis on strategic planning and stakeholder involvement ensures the readiness of the business before making the investment decisions regarding digital integration (Akula et al., 2025). The focus on developing the capability of the employees is evident in the second phase, which integrates AI and recognises the significance of human resources and digital tools for successful transformation. Execution of a pilot project during the phase of expansion minimises risk while enabling rapid refinement before deployment of the tools in organisations. The final phase fosters organisational learning by embedding rapid enhancement in the corporate culture. In contrast, the sequential timeline of the implementation process might reduce flexibility if market or digital disruption takes place during implementation (Khuntia et al., 2024). Cascading impact might emerge from this timeline as a delay in a significant phase can eventually influence the subsequent activities. Therefore, risk evaluation and milestone review must be executed on a regular basis for recognising emerging challenges and facilitating corrective measures immediately. </w:t>
      </w:r>
      <w:r w:rsidR="00F26608" w:rsidRPr="00997080">
        <w:rPr>
          <w:rFonts w:cs="Arial"/>
        </w:rPr>
        <w:t xml:space="preserve">Establishment of change champions in all departments can enable Ford to offer peer support and minimizing resistance. </w:t>
      </w:r>
    </w:p>
    <w:p w14:paraId="3425D643" w14:textId="5C666BFB" w:rsidR="00DC7F9C" w:rsidRPr="00997080" w:rsidRDefault="00DC7F9C" w:rsidP="00DC7F9C">
      <w:pPr>
        <w:jc w:val="center"/>
        <w:rPr>
          <w:rFonts w:cs="Arial"/>
          <w:b/>
          <w:bCs/>
        </w:rPr>
      </w:pPr>
      <w:r w:rsidRPr="00997080">
        <w:rPr>
          <w:rFonts w:cs="Arial"/>
          <w:b/>
          <w:bCs/>
        </w:rPr>
        <w:t>Table 5: Implementation plan</w:t>
      </w:r>
    </w:p>
    <w:tbl>
      <w:tblPr>
        <w:tblStyle w:val="TableGrid"/>
        <w:tblW w:w="0" w:type="auto"/>
        <w:tblLook w:val="04A0" w:firstRow="1" w:lastRow="0" w:firstColumn="1" w:lastColumn="0" w:noHBand="0" w:noVBand="1"/>
      </w:tblPr>
      <w:tblGrid>
        <w:gridCol w:w="2254"/>
        <w:gridCol w:w="2254"/>
        <w:gridCol w:w="2254"/>
        <w:gridCol w:w="2254"/>
      </w:tblGrid>
      <w:tr w:rsidR="00DC7F9C" w:rsidRPr="00997080" w14:paraId="5CFC16E8" w14:textId="77777777" w:rsidTr="005B5606">
        <w:tc>
          <w:tcPr>
            <w:tcW w:w="2254" w:type="dxa"/>
          </w:tcPr>
          <w:p w14:paraId="0DAC0567" w14:textId="77777777" w:rsidR="00DC7F9C" w:rsidRPr="00997080" w:rsidRDefault="00DC7F9C" w:rsidP="005B5606">
            <w:pPr>
              <w:jc w:val="center"/>
              <w:rPr>
                <w:rFonts w:cs="Arial"/>
                <w:b/>
                <w:bCs/>
              </w:rPr>
            </w:pPr>
            <w:r w:rsidRPr="00997080">
              <w:rPr>
                <w:rFonts w:cs="Arial"/>
                <w:b/>
                <w:bCs/>
              </w:rPr>
              <w:lastRenderedPageBreak/>
              <w:t>Phase</w:t>
            </w:r>
          </w:p>
        </w:tc>
        <w:tc>
          <w:tcPr>
            <w:tcW w:w="2254" w:type="dxa"/>
          </w:tcPr>
          <w:p w14:paraId="1B57FFA9" w14:textId="77777777" w:rsidR="00DC7F9C" w:rsidRPr="00997080" w:rsidRDefault="00DC7F9C" w:rsidP="005B5606">
            <w:pPr>
              <w:jc w:val="center"/>
              <w:rPr>
                <w:rFonts w:cs="Arial"/>
                <w:b/>
                <w:bCs/>
              </w:rPr>
            </w:pPr>
            <w:r w:rsidRPr="00997080">
              <w:rPr>
                <w:rFonts w:cs="Arial"/>
                <w:b/>
                <w:bCs/>
              </w:rPr>
              <w:t>Key activities</w:t>
            </w:r>
          </w:p>
        </w:tc>
        <w:tc>
          <w:tcPr>
            <w:tcW w:w="2254" w:type="dxa"/>
          </w:tcPr>
          <w:p w14:paraId="19F7B590" w14:textId="77777777" w:rsidR="00DC7F9C" w:rsidRPr="00997080" w:rsidRDefault="00DC7F9C" w:rsidP="005B5606">
            <w:pPr>
              <w:jc w:val="center"/>
              <w:rPr>
                <w:rFonts w:cs="Arial"/>
                <w:b/>
                <w:bCs/>
              </w:rPr>
            </w:pPr>
            <w:r w:rsidRPr="00997080">
              <w:rPr>
                <w:rFonts w:cs="Arial"/>
                <w:b/>
                <w:bCs/>
              </w:rPr>
              <w:t>Timeline</w:t>
            </w:r>
          </w:p>
        </w:tc>
        <w:tc>
          <w:tcPr>
            <w:tcW w:w="2254" w:type="dxa"/>
          </w:tcPr>
          <w:p w14:paraId="4EFD0D82" w14:textId="77777777" w:rsidR="00DC7F9C" w:rsidRPr="00997080" w:rsidRDefault="00DC7F9C" w:rsidP="005B5606">
            <w:pPr>
              <w:jc w:val="center"/>
              <w:rPr>
                <w:rFonts w:cs="Arial"/>
                <w:b/>
                <w:bCs/>
              </w:rPr>
            </w:pPr>
            <w:r w:rsidRPr="00997080">
              <w:rPr>
                <w:rFonts w:cs="Arial"/>
                <w:b/>
                <w:bCs/>
              </w:rPr>
              <w:t>Anticipated outcomes</w:t>
            </w:r>
          </w:p>
        </w:tc>
      </w:tr>
      <w:tr w:rsidR="00DC7F9C" w:rsidRPr="00997080" w14:paraId="0BF4B29F" w14:textId="77777777" w:rsidTr="005B5606">
        <w:tc>
          <w:tcPr>
            <w:tcW w:w="2254" w:type="dxa"/>
          </w:tcPr>
          <w:p w14:paraId="4E07A496" w14:textId="77777777" w:rsidR="00DC7F9C" w:rsidRPr="00997080" w:rsidRDefault="00DC7F9C" w:rsidP="005B5606">
            <w:pPr>
              <w:rPr>
                <w:rFonts w:cs="Arial"/>
              </w:rPr>
            </w:pPr>
            <w:r w:rsidRPr="00997080">
              <w:rPr>
                <w:rFonts w:cs="Arial"/>
              </w:rPr>
              <w:t>1</w:t>
            </w:r>
            <w:r w:rsidRPr="00997080">
              <w:rPr>
                <w:rFonts w:cs="Arial"/>
                <w:vertAlign w:val="superscript"/>
              </w:rPr>
              <w:t>st</w:t>
            </w:r>
            <w:r w:rsidRPr="00997080">
              <w:rPr>
                <w:rFonts w:cs="Arial"/>
              </w:rPr>
              <w:t xml:space="preserve"> phase: Planning</w:t>
            </w:r>
          </w:p>
        </w:tc>
        <w:tc>
          <w:tcPr>
            <w:tcW w:w="2254" w:type="dxa"/>
          </w:tcPr>
          <w:p w14:paraId="1641F453" w14:textId="77777777" w:rsidR="00DC7F9C" w:rsidRPr="00997080" w:rsidRDefault="00DC7F9C" w:rsidP="005B5606">
            <w:pPr>
              <w:rPr>
                <w:rFonts w:cs="Arial"/>
              </w:rPr>
            </w:pPr>
            <w:r w:rsidRPr="00997080">
              <w:rPr>
                <w:rFonts w:cs="Arial"/>
              </w:rPr>
              <w:t xml:space="preserve">Leadership alignment </w:t>
            </w:r>
          </w:p>
          <w:p w14:paraId="7B46C1DB" w14:textId="77777777" w:rsidR="00DC7F9C" w:rsidRPr="00997080" w:rsidRDefault="00DC7F9C" w:rsidP="005B5606">
            <w:pPr>
              <w:rPr>
                <w:rFonts w:cs="Arial"/>
              </w:rPr>
            </w:pPr>
            <w:r w:rsidRPr="00997080">
              <w:rPr>
                <w:rFonts w:cs="Arial"/>
              </w:rPr>
              <w:t>Stakeholder involvement</w:t>
            </w:r>
          </w:p>
          <w:p w14:paraId="6487E71E" w14:textId="77777777" w:rsidR="00DC7F9C" w:rsidRPr="00997080" w:rsidRDefault="00DC7F9C" w:rsidP="005B5606">
            <w:pPr>
              <w:rPr>
                <w:rFonts w:cs="Arial"/>
              </w:rPr>
            </w:pPr>
            <w:r w:rsidRPr="00997080">
              <w:rPr>
                <w:rFonts w:cs="Arial"/>
              </w:rPr>
              <w:t>Strategic planning</w:t>
            </w:r>
          </w:p>
        </w:tc>
        <w:tc>
          <w:tcPr>
            <w:tcW w:w="2254" w:type="dxa"/>
          </w:tcPr>
          <w:p w14:paraId="4CBA4DC7" w14:textId="77777777" w:rsidR="00DC7F9C" w:rsidRPr="00997080" w:rsidRDefault="00DC7F9C" w:rsidP="005B5606">
            <w:pPr>
              <w:rPr>
                <w:rFonts w:cs="Arial"/>
              </w:rPr>
            </w:pPr>
            <w:r w:rsidRPr="00997080">
              <w:rPr>
                <w:rFonts w:cs="Arial"/>
              </w:rPr>
              <w:t>Months 1 to 6</w:t>
            </w:r>
          </w:p>
        </w:tc>
        <w:tc>
          <w:tcPr>
            <w:tcW w:w="2254" w:type="dxa"/>
          </w:tcPr>
          <w:p w14:paraId="2246AA01" w14:textId="77777777" w:rsidR="00DC7F9C" w:rsidRPr="00997080" w:rsidRDefault="00DC7F9C" w:rsidP="005B5606">
            <w:pPr>
              <w:rPr>
                <w:rFonts w:cs="Arial"/>
              </w:rPr>
            </w:pPr>
            <w:r w:rsidRPr="00997080">
              <w:rPr>
                <w:rFonts w:cs="Arial"/>
              </w:rPr>
              <w:t>Readiness of the organisation</w:t>
            </w:r>
          </w:p>
        </w:tc>
      </w:tr>
      <w:tr w:rsidR="00DC7F9C" w:rsidRPr="00997080" w14:paraId="7B6E112D" w14:textId="77777777" w:rsidTr="005B5606">
        <w:tc>
          <w:tcPr>
            <w:tcW w:w="2254" w:type="dxa"/>
          </w:tcPr>
          <w:p w14:paraId="45753176" w14:textId="77777777" w:rsidR="00DC7F9C" w:rsidRPr="00997080" w:rsidRDefault="00DC7F9C" w:rsidP="005B5606">
            <w:pPr>
              <w:rPr>
                <w:rFonts w:cs="Arial"/>
              </w:rPr>
            </w:pPr>
            <w:r w:rsidRPr="00997080">
              <w:rPr>
                <w:rFonts w:cs="Arial"/>
              </w:rPr>
              <w:t>2</w:t>
            </w:r>
            <w:r w:rsidRPr="00997080">
              <w:rPr>
                <w:rFonts w:cs="Arial"/>
                <w:vertAlign w:val="superscript"/>
              </w:rPr>
              <w:t>nd</w:t>
            </w:r>
            <w:r w:rsidRPr="00997080">
              <w:rPr>
                <w:rFonts w:cs="Arial"/>
              </w:rPr>
              <w:t xml:space="preserve"> phase: Development</w:t>
            </w:r>
          </w:p>
        </w:tc>
        <w:tc>
          <w:tcPr>
            <w:tcW w:w="2254" w:type="dxa"/>
          </w:tcPr>
          <w:p w14:paraId="3BF76272" w14:textId="77777777" w:rsidR="00DC7F9C" w:rsidRPr="00997080" w:rsidRDefault="00DC7F9C" w:rsidP="005B5606">
            <w:pPr>
              <w:rPr>
                <w:rFonts w:cs="Arial"/>
              </w:rPr>
            </w:pPr>
            <w:r w:rsidRPr="00997080">
              <w:rPr>
                <w:rFonts w:cs="Arial"/>
              </w:rPr>
              <w:t>Pilot project</w:t>
            </w:r>
          </w:p>
          <w:p w14:paraId="1C887C71" w14:textId="77777777" w:rsidR="00DC7F9C" w:rsidRPr="00997080" w:rsidRDefault="00DC7F9C" w:rsidP="005B5606">
            <w:pPr>
              <w:rPr>
                <w:rFonts w:cs="Arial"/>
              </w:rPr>
            </w:pPr>
            <w:r w:rsidRPr="00997080">
              <w:rPr>
                <w:rFonts w:cs="Arial"/>
              </w:rPr>
              <w:t>Employee training</w:t>
            </w:r>
          </w:p>
          <w:p w14:paraId="3B1ACA67" w14:textId="77777777" w:rsidR="00DC7F9C" w:rsidRPr="00997080" w:rsidRDefault="00DC7F9C" w:rsidP="005B5606">
            <w:pPr>
              <w:rPr>
                <w:rFonts w:cs="Arial"/>
              </w:rPr>
            </w:pPr>
            <w:r w:rsidRPr="00997080">
              <w:rPr>
                <w:rFonts w:cs="Arial"/>
              </w:rPr>
              <w:t>Digital acquisition</w:t>
            </w:r>
          </w:p>
          <w:p w14:paraId="0DD3929C" w14:textId="77777777" w:rsidR="00DC7F9C" w:rsidRPr="00997080" w:rsidRDefault="00DC7F9C" w:rsidP="005B5606">
            <w:pPr>
              <w:rPr>
                <w:rFonts w:cs="Arial"/>
              </w:rPr>
            </w:pPr>
            <w:r w:rsidRPr="00997080">
              <w:rPr>
                <w:rFonts w:cs="Arial"/>
              </w:rPr>
              <w:t>AI integration</w:t>
            </w:r>
          </w:p>
        </w:tc>
        <w:tc>
          <w:tcPr>
            <w:tcW w:w="2254" w:type="dxa"/>
          </w:tcPr>
          <w:p w14:paraId="08AC1F33" w14:textId="77777777" w:rsidR="00DC7F9C" w:rsidRPr="00997080" w:rsidRDefault="00DC7F9C" w:rsidP="005B5606">
            <w:pPr>
              <w:rPr>
                <w:rFonts w:cs="Arial"/>
              </w:rPr>
            </w:pPr>
            <w:r w:rsidRPr="00997080">
              <w:rPr>
                <w:rFonts w:cs="Arial"/>
              </w:rPr>
              <w:t>Months 7 to 18</w:t>
            </w:r>
          </w:p>
        </w:tc>
        <w:tc>
          <w:tcPr>
            <w:tcW w:w="2254" w:type="dxa"/>
          </w:tcPr>
          <w:p w14:paraId="4E35A7AA" w14:textId="77777777" w:rsidR="00DC7F9C" w:rsidRPr="00997080" w:rsidRDefault="00DC7F9C" w:rsidP="005B5606">
            <w:pPr>
              <w:rPr>
                <w:rFonts w:cs="Arial"/>
              </w:rPr>
            </w:pPr>
            <w:r w:rsidRPr="00997080">
              <w:rPr>
                <w:rFonts w:cs="Arial"/>
              </w:rPr>
              <w:t>Workforce potential and digital integration</w:t>
            </w:r>
          </w:p>
        </w:tc>
      </w:tr>
      <w:tr w:rsidR="00DC7F9C" w:rsidRPr="00997080" w14:paraId="7764F8AF" w14:textId="77777777" w:rsidTr="005B5606">
        <w:tc>
          <w:tcPr>
            <w:tcW w:w="2254" w:type="dxa"/>
          </w:tcPr>
          <w:p w14:paraId="4895E52E" w14:textId="77777777" w:rsidR="00DC7F9C" w:rsidRPr="00997080" w:rsidRDefault="00DC7F9C" w:rsidP="005B5606">
            <w:pPr>
              <w:rPr>
                <w:rFonts w:cs="Arial"/>
              </w:rPr>
            </w:pPr>
            <w:r w:rsidRPr="00997080">
              <w:rPr>
                <w:rFonts w:cs="Arial"/>
              </w:rPr>
              <w:t>3</w:t>
            </w:r>
            <w:r w:rsidRPr="00997080">
              <w:rPr>
                <w:rFonts w:cs="Arial"/>
                <w:vertAlign w:val="superscript"/>
              </w:rPr>
              <w:t>rd</w:t>
            </w:r>
            <w:r w:rsidRPr="00997080">
              <w:rPr>
                <w:rFonts w:cs="Arial"/>
              </w:rPr>
              <w:t xml:space="preserve"> phase: Expansion</w:t>
            </w:r>
          </w:p>
        </w:tc>
        <w:tc>
          <w:tcPr>
            <w:tcW w:w="2254" w:type="dxa"/>
          </w:tcPr>
          <w:p w14:paraId="3985FD0A" w14:textId="77777777" w:rsidR="00DC7F9C" w:rsidRPr="00997080" w:rsidRDefault="00DC7F9C" w:rsidP="005B5606">
            <w:pPr>
              <w:rPr>
                <w:rFonts w:cs="Arial"/>
              </w:rPr>
            </w:pPr>
            <w:r w:rsidRPr="00997080">
              <w:rPr>
                <w:rFonts w:cs="Arial"/>
              </w:rPr>
              <w:t>Monitor performance</w:t>
            </w:r>
          </w:p>
          <w:p w14:paraId="64492E9D" w14:textId="77777777" w:rsidR="00DC7F9C" w:rsidRPr="00997080" w:rsidRDefault="00DC7F9C" w:rsidP="005B5606">
            <w:pPr>
              <w:rPr>
                <w:rFonts w:cs="Arial"/>
              </w:rPr>
            </w:pPr>
            <w:r w:rsidRPr="00997080">
              <w:rPr>
                <w:rFonts w:cs="Arial"/>
              </w:rPr>
              <w:t>Production of electric vehicles</w:t>
            </w:r>
          </w:p>
          <w:p w14:paraId="668E2FE6" w14:textId="77777777" w:rsidR="00DC7F9C" w:rsidRPr="00997080" w:rsidRDefault="00DC7F9C" w:rsidP="005B5606">
            <w:pPr>
              <w:rPr>
                <w:rFonts w:cs="Arial"/>
              </w:rPr>
            </w:pPr>
            <w:r w:rsidRPr="00997080">
              <w:rPr>
                <w:rFonts w:cs="Arial"/>
              </w:rPr>
              <w:t>Scaling of digital systems</w:t>
            </w:r>
          </w:p>
        </w:tc>
        <w:tc>
          <w:tcPr>
            <w:tcW w:w="2254" w:type="dxa"/>
          </w:tcPr>
          <w:p w14:paraId="77D075D9" w14:textId="77777777" w:rsidR="00DC7F9C" w:rsidRPr="00997080" w:rsidRDefault="00DC7F9C" w:rsidP="005B5606">
            <w:pPr>
              <w:rPr>
                <w:rFonts w:cs="Arial"/>
              </w:rPr>
            </w:pPr>
            <w:r w:rsidRPr="00997080">
              <w:rPr>
                <w:rFonts w:cs="Arial"/>
              </w:rPr>
              <w:t>Months 19 to 30</w:t>
            </w:r>
          </w:p>
        </w:tc>
        <w:tc>
          <w:tcPr>
            <w:tcW w:w="2254" w:type="dxa"/>
          </w:tcPr>
          <w:p w14:paraId="13460A3C" w14:textId="77777777" w:rsidR="00DC7F9C" w:rsidRPr="00997080" w:rsidRDefault="00DC7F9C" w:rsidP="005B5606">
            <w:pPr>
              <w:rPr>
                <w:rFonts w:cs="Arial"/>
              </w:rPr>
            </w:pPr>
            <w:r w:rsidRPr="00997080">
              <w:rPr>
                <w:rFonts w:cs="Arial"/>
              </w:rPr>
              <w:t>Enhanced operational efficiency</w:t>
            </w:r>
          </w:p>
          <w:p w14:paraId="010351C7" w14:textId="77777777" w:rsidR="00DC7F9C" w:rsidRPr="00997080" w:rsidRDefault="00DC7F9C" w:rsidP="005B5606">
            <w:pPr>
              <w:rPr>
                <w:rFonts w:cs="Arial"/>
              </w:rPr>
            </w:pPr>
          </w:p>
        </w:tc>
      </w:tr>
      <w:tr w:rsidR="00DC7F9C" w:rsidRPr="00997080" w14:paraId="4204995C" w14:textId="77777777" w:rsidTr="005B5606">
        <w:tc>
          <w:tcPr>
            <w:tcW w:w="2254" w:type="dxa"/>
          </w:tcPr>
          <w:p w14:paraId="77A55705" w14:textId="77777777" w:rsidR="00DC7F9C" w:rsidRPr="00997080" w:rsidRDefault="00DC7F9C" w:rsidP="005B5606">
            <w:pPr>
              <w:rPr>
                <w:rFonts w:cs="Arial"/>
              </w:rPr>
            </w:pPr>
            <w:r w:rsidRPr="00997080">
              <w:rPr>
                <w:rFonts w:cs="Arial"/>
              </w:rPr>
              <w:t>4</w:t>
            </w:r>
            <w:r w:rsidRPr="00997080">
              <w:rPr>
                <w:rFonts w:cs="Arial"/>
                <w:vertAlign w:val="superscript"/>
              </w:rPr>
              <w:t>th</w:t>
            </w:r>
            <w:r w:rsidRPr="00997080">
              <w:rPr>
                <w:rFonts w:cs="Arial"/>
              </w:rPr>
              <w:t xml:space="preserve"> phase: Evaluation</w:t>
            </w:r>
          </w:p>
        </w:tc>
        <w:tc>
          <w:tcPr>
            <w:tcW w:w="2254" w:type="dxa"/>
          </w:tcPr>
          <w:p w14:paraId="1D085387" w14:textId="77777777" w:rsidR="00DC7F9C" w:rsidRPr="00997080" w:rsidRDefault="00DC7F9C" w:rsidP="005B5606">
            <w:pPr>
              <w:rPr>
                <w:rFonts w:cs="Arial"/>
              </w:rPr>
            </w:pPr>
            <w:r w:rsidRPr="00997080">
              <w:rPr>
                <w:rFonts w:cs="Arial"/>
              </w:rPr>
              <w:t>Continuous improvement</w:t>
            </w:r>
          </w:p>
          <w:p w14:paraId="63792D7E" w14:textId="77777777" w:rsidR="00DC7F9C" w:rsidRPr="00997080" w:rsidRDefault="00DC7F9C" w:rsidP="005B5606">
            <w:pPr>
              <w:rPr>
                <w:rFonts w:cs="Arial"/>
              </w:rPr>
            </w:pPr>
            <w:r w:rsidRPr="00997080">
              <w:rPr>
                <w:rFonts w:cs="Arial"/>
              </w:rPr>
              <w:t>Institutionalisation</w:t>
            </w:r>
          </w:p>
          <w:p w14:paraId="3AD3379B" w14:textId="77777777" w:rsidR="00DC7F9C" w:rsidRPr="00997080" w:rsidRDefault="00DC7F9C" w:rsidP="005B5606">
            <w:pPr>
              <w:rPr>
                <w:rFonts w:cs="Arial"/>
              </w:rPr>
            </w:pPr>
            <w:r w:rsidRPr="00997080">
              <w:rPr>
                <w:rFonts w:cs="Arial"/>
              </w:rPr>
              <w:t>Performance assessment</w:t>
            </w:r>
          </w:p>
        </w:tc>
        <w:tc>
          <w:tcPr>
            <w:tcW w:w="2254" w:type="dxa"/>
          </w:tcPr>
          <w:p w14:paraId="54090050" w14:textId="77777777" w:rsidR="00DC7F9C" w:rsidRPr="00997080" w:rsidRDefault="00DC7F9C" w:rsidP="005B5606">
            <w:pPr>
              <w:rPr>
                <w:rFonts w:cs="Arial"/>
              </w:rPr>
            </w:pPr>
            <w:r w:rsidRPr="00997080">
              <w:rPr>
                <w:rFonts w:cs="Arial"/>
              </w:rPr>
              <w:t>Months 31 to 36</w:t>
            </w:r>
          </w:p>
        </w:tc>
        <w:tc>
          <w:tcPr>
            <w:tcW w:w="2254" w:type="dxa"/>
          </w:tcPr>
          <w:p w14:paraId="785DD014" w14:textId="77777777" w:rsidR="00DC7F9C" w:rsidRPr="00997080" w:rsidRDefault="00DC7F9C" w:rsidP="005B5606">
            <w:pPr>
              <w:rPr>
                <w:rFonts w:cs="Arial"/>
              </w:rPr>
            </w:pPr>
            <w:r w:rsidRPr="00997080">
              <w:rPr>
                <w:rFonts w:cs="Arial"/>
              </w:rPr>
              <w:t>Sustainable transformation</w:t>
            </w:r>
          </w:p>
        </w:tc>
      </w:tr>
    </w:tbl>
    <w:p w14:paraId="31E18D9A" w14:textId="77777777" w:rsidR="00DC7F9C" w:rsidRPr="00997080" w:rsidRDefault="00DC7F9C" w:rsidP="00DC7F9C">
      <w:pPr>
        <w:pStyle w:val="Heading2"/>
        <w:rPr>
          <w:rFonts w:cs="Arial"/>
          <w:szCs w:val="22"/>
        </w:rPr>
      </w:pPr>
      <w:bookmarkStart w:id="16" w:name="_Toc233667111"/>
      <w:r w:rsidRPr="00997080">
        <w:rPr>
          <w:rFonts w:cs="Arial"/>
          <w:szCs w:val="22"/>
        </w:rPr>
        <w:t>5.5 Evaluation plan</w:t>
      </w:r>
      <w:bookmarkEnd w:id="16"/>
    </w:p>
    <w:p w14:paraId="58341AAB" w14:textId="07A89561" w:rsidR="00DD424E" w:rsidRPr="00997080" w:rsidRDefault="00DD424E" w:rsidP="00DD424E">
      <w:r w:rsidRPr="00997080">
        <w:rPr>
          <w:rFonts w:cs="Arial"/>
        </w:rPr>
        <w:t xml:space="preserve">The evaluation framework uses financial, operational, employee, customer and sustainability KPIs to measure transformation success. Regular reviews enable timely corrective actions, while employee and stakeholder feedback captures qualitative insights. </w:t>
      </w:r>
      <w:r w:rsidR="00042848" w:rsidRPr="00997080">
        <w:rPr>
          <w:rFonts w:cs="Arial"/>
        </w:rPr>
        <w:t xml:space="preserve">The success of the </w:t>
      </w:r>
      <w:r w:rsidR="00F26608" w:rsidRPr="00997080">
        <w:rPr>
          <w:rFonts w:cs="Arial"/>
        </w:rPr>
        <w:t>overall implementation</w:t>
      </w:r>
      <w:r w:rsidR="00042848" w:rsidRPr="00997080">
        <w:rPr>
          <w:rFonts w:cs="Arial"/>
        </w:rPr>
        <w:t xml:space="preserve"> process </w:t>
      </w:r>
      <w:r w:rsidR="00F26608" w:rsidRPr="00997080">
        <w:rPr>
          <w:rFonts w:cs="Arial"/>
        </w:rPr>
        <w:t>should</w:t>
      </w:r>
      <w:r w:rsidR="00042848" w:rsidRPr="00997080">
        <w:rPr>
          <w:rFonts w:cs="Arial"/>
        </w:rPr>
        <w:t xml:space="preserve"> be measured through the </w:t>
      </w:r>
      <w:r w:rsidR="00F26608" w:rsidRPr="00997080">
        <w:rPr>
          <w:rFonts w:cs="Arial"/>
        </w:rPr>
        <w:t>manufacturing</w:t>
      </w:r>
      <w:r w:rsidR="00042848" w:rsidRPr="00997080">
        <w:rPr>
          <w:rFonts w:cs="Arial"/>
        </w:rPr>
        <w:t xml:space="preserve"> downtime reduction </w:t>
      </w:r>
      <w:r w:rsidR="00F26608" w:rsidRPr="00997080">
        <w:rPr>
          <w:rFonts w:cs="Arial"/>
        </w:rPr>
        <w:t xml:space="preserve">to 5% from 12%. </w:t>
      </w:r>
    </w:p>
    <w:p w14:paraId="792DED92" w14:textId="55892763" w:rsidR="00DC7F9C" w:rsidRPr="00997080" w:rsidRDefault="00DC7F9C" w:rsidP="00DC7F9C">
      <w:pPr>
        <w:jc w:val="center"/>
        <w:rPr>
          <w:rFonts w:cs="Arial"/>
          <w:b/>
          <w:bCs/>
        </w:rPr>
      </w:pPr>
      <w:r w:rsidRPr="00997080">
        <w:rPr>
          <w:rFonts w:cs="Arial"/>
          <w:b/>
          <w:bCs/>
        </w:rPr>
        <w:t>Table 6: Evaluation plan</w:t>
      </w:r>
    </w:p>
    <w:tbl>
      <w:tblPr>
        <w:tblStyle w:val="TableGrid"/>
        <w:tblW w:w="0" w:type="auto"/>
        <w:tblLook w:val="04A0" w:firstRow="1" w:lastRow="0" w:firstColumn="1" w:lastColumn="0" w:noHBand="0" w:noVBand="1"/>
      </w:tblPr>
      <w:tblGrid>
        <w:gridCol w:w="2254"/>
        <w:gridCol w:w="2254"/>
        <w:gridCol w:w="2254"/>
        <w:gridCol w:w="2254"/>
      </w:tblGrid>
      <w:tr w:rsidR="00DC7F9C" w:rsidRPr="00997080" w14:paraId="0FA46922" w14:textId="77777777" w:rsidTr="005B5606">
        <w:tc>
          <w:tcPr>
            <w:tcW w:w="2254" w:type="dxa"/>
          </w:tcPr>
          <w:p w14:paraId="35021494" w14:textId="77777777" w:rsidR="00DC7F9C" w:rsidRPr="00997080" w:rsidRDefault="00DC7F9C" w:rsidP="005B5606">
            <w:pPr>
              <w:jc w:val="center"/>
              <w:rPr>
                <w:rFonts w:cs="Arial"/>
                <w:b/>
                <w:bCs/>
              </w:rPr>
            </w:pPr>
            <w:r w:rsidRPr="00997080">
              <w:rPr>
                <w:rFonts w:cs="Arial"/>
                <w:b/>
                <w:bCs/>
              </w:rPr>
              <w:t>Area of evaluation</w:t>
            </w:r>
          </w:p>
        </w:tc>
        <w:tc>
          <w:tcPr>
            <w:tcW w:w="2254" w:type="dxa"/>
          </w:tcPr>
          <w:p w14:paraId="2BDC3E1E" w14:textId="77777777" w:rsidR="00DC7F9C" w:rsidRPr="00997080" w:rsidRDefault="00DC7F9C" w:rsidP="005B5606">
            <w:pPr>
              <w:jc w:val="center"/>
              <w:rPr>
                <w:rFonts w:cs="Arial"/>
                <w:b/>
                <w:bCs/>
              </w:rPr>
            </w:pPr>
            <w:r w:rsidRPr="00997080">
              <w:rPr>
                <w:rFonts w:cs="Arial"/>
                <w:b/>
                <w:bCs/>
              </w:rPr>
              <w:t>Key performance indicators (KPIs)</w:t>
            </w:r>
          </w:p>
        </w:tc>
        <w:tc>
          <w:tcPr>
            <w:tcW w:w="2254" w:type="dxa"/>
          </w:tcPr>
          <w:p w14:paraId="3B47E242" w14:textId="77777777" w:rsidR="00DC7F9C" w:rsidRPr="00997080" w:rsidRDefault="00DC7F9C" w:rsidP="005B5606">
            <w:pPr>
              <w:jc w:val="center"/>
              <w:rPr>
                <w:rFonts w:cs="Arial"/>
                <w:b/>
                <w:bCs/>
              </w:rPr>
            </w:pPr>
            <w:r w:rsidRPr="00997080">
              <w:rPr>
                <w:rFonts w:cs="Arial"/>
                <w:b/>
                <w:bCs/>
              </w:rPr>
              <w:t>Method of measurement</w:t>
            </w:r>
          </w:p>
        </w:tc>
        <w:tc>
          <w:tcPr>
            <w:tcW w:w="2254" w:type="dxa"/>
          </w:tcPr>
          <w:p w14:paraId="4FBFE441" w14:textId="77777777" w:rsidR="00DC7F9C" w:rsidRPr="00997080" w:rsidRDefault="00DC7F9C" w:rsidP="005B5606">
            <w:pPr>
              <w:jc w:val="center"/>
              <w:rPr>
                <w:rFonts w:cs="Arial"/>
                <w:b/>
                <w:bCs/>
              </w:rPr>
            </w:pPr>
            <w:r w:rsidRPr="00997080">
              <w:rPr>
                <w:rFonts w:cs="Arial"/>
                <w:b/>
                <w:bCs/>
              </w:rPr>
              <w:t>Frequency of review</w:t>
            </w:r>
          </w:p>
        </w:tc>
      </w:tr>
      <w:tr w:rsidR="00DC7F9C" w:rsidRPr="00997080" w14:paraId="4FF2854C" w14:textId="77777777" w:rsidTr="005B5606">
        <w:tc>
          <w:tcPr>
            <w:tcW w:w="2254" w:type="dxa"/>
          </w:tcPr>
          <w:p w14:paraId="3161F6D3" w14:textId="77777777" w:rsidR="00DC7F9C" w:rsidRPr="00997080" w:rsidRDefault="00DC7F9C" w:rsidP="005B5606">
            <w:pPr>
              <w:rPr>
                <w:rFonts w:cs="Arial"/>
              </w:rPr>
            </w:pPr>
            <w:r w:rsidRPr="00997080">
              <w:rPr>
                <w:rFonts w:cs="Arial"/>
              </w:rPr>
              <w:t>Customer performance</w:t>
            </w:r>
          </w:p>
        </w:tc>
        <w:tc>
          <w:tcPr>
            <w:tcW w:w="2254" w:type="dxa"/>
          </w:tcPr>
          <w:p w14:paraId="1646BC58" w14:textId="77777777" w:rsidR="00DC7F9C" w:rsidRPr="00997080" w:rsidRDefault="00DC7F9C" w:rsidP="005B5606">
            <w:pPr>
              <w:rPr>
                <w:rFonts w:cs="Arial"/>
              </w:rPr>
            </w:pPr>
            <w:r w:rsidRPr="00997080">
              <w:rPr>
                <w:rFonts w:cs="Arial"/>
              </w:rPr>
              <w:t>Rate of customer satisfaction</w:t>
            </w:r>
          </w:p>
        </w:tc>
        <w:tc>
          <w:tcPr>
            <w:tcW w:w="2254" w:type="dxa"/>
          </w:tcPr>
          <w:p w14:paraId="32B43E95" w14:textId="77777777" w:rsidR="00DC7F9C" w:rsidRPr="00997080" w:rsidRDefault="00DC7F9C" w:rsidP="005B5606">
            <w:pPr>
              <w:rPr>
                <w:rFonts w:cs="Arial"/>
              </w:rPr>
            </w:pPr>
            <w:r w:rsidRPr="00997080">
              <w:rPr>
                <w:rFonts w:cs="Arial"/>
              </w:rPr>
              <w:t>Survey on consumers</w:t>
            </w:r>
          </w:p>
        </w:tc>
        <w:tc>
          <w:tcPr>
            <w:tcW w:w="2254" w:type="dxa"/>
          </w:tcPr>
          <w:p w14:paraId="47D19FF6" w14:textId="77777777" w:rsidR="00DC7F9C" w:rsidRPr="00997080" w:rsidRDefault="00DC7F9C" w:rsidP="005B5606">
            <w:pPr>
              <w:rPr>
                <w:rFonts w:cs="Arial"/>
              </w:rPr>
            </w:pPr>
            <w:r w:rsidRPr="00997080">
              <w:rPr>
                <w:rFonts w:cs="Arial"/>
              </w:rPr>
              <w:t>Once in every quarter</w:t>
            </w:r>
          </w:p>
        </w:tc>
      </w:tr>
      <w:tr w:rsidR="00DC7F9C" w:rsidRPr="00997080" w14:paraId="52BAB24C" w14:textId="77777777" w:rsidTr="005B5606">
        <w:tc>
          <w:tcPr>
            <w:tcW w:w="2254" w:type="dxa"/>
          </w:tcPr>
          <w:p w14:paraId="25F081CA" w14:textId="77777777" w:rsidR="00DC7F9C" w:rsidRPr="00997080" w:rsidRDefault="00DC7F9C" w:rsidP="005B5606">
            <w:pPr>
              <w:rPr>
                <w:rFonts w:cs="Arial"/>
              </w:rPr>
            </w:pPr>
            <w:r w:rsidRPr="00997080">
              <w:rPr>
                <w:rFonts w:cs="Arial"/>
              </w:rPr>
              <w:t>Financial performance</w:t>
            </w:r>
          </w:p>
        </w:tc>
        <w:tc>
          <w:tcPr>
            <w:tcW w:w="2254" w:type="dxa"/>
          </w:tcPr>
          <w:p w14:paraId="16AFD94F" w14:textId="77777777" w:rsidR="00DC7F9C" w:rsidRPr="00997080" w:rsidRDefault="00DC7F9C" w:rsidP="005B5606">
            <w:pPr>
              <w:rPr>
                <w:rFonts w:cs="Arial"/>
              </w:rPr>
            </w:pPr>
            <w:r w:rsidRPr="00997080">
              <w:rPr>
                <w:rFonts w:cs="Arial"/>
              </w:rPr>
              <w:t>Return on investment</w:t>
            </w:r>
          </w:p>
        </w:tc>
        <w:tc>
          <w:tcPr>
            <w:tcW w:w="2254" w:type="dxa"/>
          </w:tcPr>
          <w:p w14:paraId="733064A4" w14:textId="77777777" w:rsidR="00DC7F9C" w:rsidRPr="00997080" w:rsidRDefault="00DC7F9C" w:rsidP="005B5606">
            <w:pPr>
              <w:rPr>
                <w:rFonts w:cs="Arial"/>
              </w:rPr>
            </w:pPr>
            <w:r w:rsidRPr="00997080">
              <w:rPr>
                <w:rFonts w:cs="Arial"/>
              </w:rPr>
              <w:t>Assessment of the financial reports</w:t>
            </w:r>
          </w:p>
        </w:tc>
        <w:tc>
          <w:tcPr>
            <w:tcW w:w="2254" w:type="dxa"/>
          </w:tcPr>
          <w:p w14:paraId="2291E995" w14:textId="77777777" w:rsidR="00DC7F9C" w:rsidRPr="00997080" w:rsidRDefault="00DC7F9C" w:rsidP="005B5606">
            <w:pPr>
              <w:rPr>
                <w:rFonts w:cs="Arial"/>
              </w:rPr>
            </w:pPr>
            <w:r w:rsidRPr="00997080">
              <w:rPr>
                <w:rFonts w:cs="Arial"/>
              </w:rPr>
              <w:t>Once in every quarter</w:t>
            </w:r>
          </w:p>
        </w:tc>
      </w:tr>
      <w:tr w:rsidR="00DC7F9C" w:rsidRPr="00997080" w14:paraId="26FBDF1F" w14:textId="77777777" w:rsidTr="005B5606">
        <w:tc>
          <w:tcPr>
            <w:tcW w:w="2254" w:type="dxa"/>
          </w:tcPr>
          <w:p w14:paraId="5F56FE26" w14:textId="77777777" w:rsidR="00DC7F9C" w:rsidRPr="00997080" w:rsidRDefault="00DC7F9C" w:rsidP="005B5606">
            <w:pPr>
              <w:rPr>
                <w:rFonts w:cs="Arial"/>
              </w:rPr>
            </w:pPr>
            <w:r w:rsidRPr="00997080">
              <w:rPr>
                <w:rFonts w:cs="Arial"/>
              </w:rPr>
              <w:lastRenderedPageBreak/>
              <w:t>Performance of workers</w:t>
            </w:r>
          </w:p>
        </w:tc>
        <w:tc>
          <w:tcPr>
            <w:tcW w:w="2254" w:type="dxa"/>
          </w:tcPr>
          <w:p w14:paraId="2760F144" w14:textId="77777777" w:rsidR="00DC7F9C" w:rsidRPr="00997080" w:rsidRDefault="00DC7F9C" w:rsidP="005B5606">
            <w:pPr>
              <w:rPr>
                <w:rFonts w:cs="Arial"/>
              </w:rPr>
            </w:pPr>
            <w:r w:rsidRPr="00997080">
              <w:rPr>
                <w:rFonts w:cs="Arial"/>
              </w:rPr>
              <w:t>Rate of employee engagement</w:t>
            </w:r>
          </w:p>
          <w:p w14:paraId="4D14820A" w14:textId="77777777" w:rsidR="00DC7F9C" w:rsidRPr="00997080" w:rsidRDefault="00DC7F9C" w:rsidP="005B5606">
            <w:pPr>
              <w:rPr>
                <w:rFonts w:cs="Arial"/>
              </w:rPr>
            </w:pPr>
            <w:r w:rsidRPr="00997080">
              <w:rPr>
                <w:rFonts w:cs="Arial"/>
              </w:rPr>
              <w:t>Rate of completion of digital skills</w:t>
            </w:r>
          </w:p>
        </w:tc>
        <w:tc>
          <w:tcPr>
            <w:tcW w:w="2254" w:type="dxa"/>
          </w:tcPr>
          <w:p w14:paraId="26CD8649" w14:textId="77777777" w:rsidR="00DC7F9C" w:rsidRPr="00997080" w:rsidRDefault="00DC7F9C" w:rsidP="005B5606">
            <w:pPr>
              <w:rPr>
                <w:rFonts w:cs="Arial"/>
              </w:rPr>
            </w:pPr>
            <w:r w:rsidRPr="00997080">
              <w:rPr>
                <w:rFonts w:cs="Arial"/>
              </w:rPr>
              <w:t>Survey on the employees</w:t>
            </w:r>
          </w:p>
        </w:tc>
        <w:tc>
          <w:tcPr>
            <w:tcW w:w="2254" w:type="dxa"/>
          </w:tcPr>
          <w:p w14:paraId="35A57164" w14:textId="77777777" w:rsidR="00DC7F9C" w:rsidRPr="00997080" w:rsidRDefault="00DC7F9C" w:rsidP="005B5606">
            <w:pPr>
              <w:rPr>
                <w:rFonts w:cs="Arial"/>
              </w:rPr>
            </w:pPr>
            <w:r w:rsidRPr="00997080">
              <w:rPr>
                <w:rFonts w:cs="Arial"/>
              </w:rPr>
              <w:t>Once in every quarter</w:t>
            </w:r>
          </w:p>
        </w:tc>
      </w:tr>
      <w:tr w:rsidR="00DC7F9C" w:rsidRPr="00997080" w14:paraId="528552C1" w14:textId="77777777" w:rsidTr="005B5606">
        <w:tc>
          <w:tcPr>
            <w:tcW w:w="2254" w:type="dxa"/>
          </w:tcPr>
          <w:p w14:paraId="27AB8147" w14:textId="77777777" w:rsidR="00DC7F9C" w:rsidRPr="00997080" w:rsidRDefault="00DC7F9C" w:rsidP="005B5606">
            <w:pPr>
              <w:rPr>
                <w:rFonts w:cs="Arial"/>
              </w:rPr>
            </w:pPr>
            <w:r w:rsidRPr="00997080">
              <w:rPr>
                <w:rFonts w:cs="Arial"/>
              </w:rPr>
              <w:t>Operational performance</w:t>
            </w:r>
          </w:p>
        </w:tc>
        <w:tc>
          <w:tcPr>
            <w:tcW w:w="2254" w:type="dxa"/>
          </w:tcPr>
          <w:p w14:paraId="798B5289" w14:textId="77777777" w:rsidR="00DC7F9C" w:rsidRPr="00997080" w:rsidRDefault="00DC7F9C" w:rsidP="005B5606">
            <w:pPr>
              <w:rPr>
                <w:rFonts w:cs="Arial"/>
              </w:rPr>
            </w:pPr>
            <w:r w:rsidRPr="00997080">
              <w:rPr>
                <w:rFonts w:cs="Arial"/>
              </w:rPr>
              <w:t>Rate of AI adoption</w:t>
            </w:r>
          </w:p>
          <w:p w14:paraId="70EA587D" w14:textId="77777777" w:rsidR="00DC7F9C" w:rsidRPr="00997080" w:rsidRDefault="00DC7F9C" w:rsidP="005B5606">
            <w:pPr>
              <w:rPr>
                <w:rFonts w:cs="Arial"/>
              </w:rPr>
            </w:pPr>
            <w:r w:rsidRPr="00997080">
              <w:rPr>
                <w:rFonts w:cs="Arial"/>
              </w:rPr>
              <w:t>Rate of EV production</w:t>
            </w:r>
          </w:p>
        </w:tc>
        <w:tc>
          <w:tcPr>
            <w:tcW w:w="2254" w:type="dxa"/>
          </w:tcPr>
          <w:p w14:paraId="6951A406" w14:textId="77777777" w:rsidR="00DC7F9C" w:rsidRPr="00997080" w:rsidRDefault="00DC7F9C" w:rsidP="005B5606">
            <w:pPr>
              <w:rPr>
                <w:rFonts w:cs="Arial"/>
              </w:rPr>
            </w:pPr>
            <w:r w:rsidRPr="00997080">
              <w:rPr>
                <w:rFonts w:cs="Arial"/>
              </w:rPr>
              <w:t>Dashboard of organisational operations</w:t>
            </w:r>
          </w:p>
        </w:tc>
        <w:tc>
          <w:tcPr>
            <w:tcW w:w="2254" w:type="dxa"/>
          </w:tcPr>
          <w:p w14:paraId="7C0E7AAE" w14:textId="77777777" w:rsidR="00DC7F9C" w:rsidRPr="00997080" w:rsidRDefault="00DC7F9C" w:rsidP="005B5606">
            <w:pPr>
              <w:rPr>
                <w:rFonts w:cs="Arial"/>
              </w:rPr>
            </w:pPr>
            <w:r w:rsidRPr="00997080">
              <w:rPr>
                <w:rFonts w:cs="Arial"/>
              </w:rPr>
              <w:t>Once a month</w:t>
            </w:r>
          </w:p>
        </w:tc>
      </w:tr>
      <w:tr w:rsidR="00DC7F9C" w:rsidRPr="00997080" w14:paraId="332B4B2C" w14:textId="77777777" w:rsidTr="005B5606">
        <w:tc>
          <w:tcPr>
            <w:tcW w:w="2254" w:type="dxa"/>
          </w:tcPr>
          <w:p w14:paraId="5FC4A588" w14:textId="77777777" w:rsidR="00DC7F9C" w:rsidRPr="00997080" w:rsidRDefault="00DC7F9C" w:rsidP="005B5606">
            <w:pPr>
              <w:rPr>
                <w:rFonts w:cs="Arial"/>
              </w:rPr>
            </w:pPr>
            <w:r w:rsidRPr="00997080">
              <w:rPr>
                <w:rFonts w:cs="Arial"/>
              </w:rPr>
              <w:t>Sustainability performance</w:t>
            </w:r>
          </w:p>
        </w:tc>
        <w:tc>
          <w:tcPr>
            <w:tcW w:w="2254" w:type="dxa"/>
          </w:tcPr>
          <w:p w14:paraId="160F3012" w14:textId="77777777" w:rsidR="00DC7F9C" w:rsidRPr="00997080" w:rsidRDefault="00DC7F9C" w:rsidP="005B5606">
            <w:pPr>
              <w:rPr>
                <w:rFonts w:cs="Arial"/>
              </w:rPr>
            </w:pPr>
            <w:r w:rsidRPr="00997080">
              <w:rPr>
                <w:rFonts w:cs="Arial"/>
              </w:rPr>
              <w:t>Reduction of carbon emissions</w:t>
            </w:r>
          </w:p>
        </w:tc>
        <w:tc>
          <w:tcPr>
            <w:tcW w:w="2254" w:type="dxa"/>
          </w:tcPr>
          <w:p w14:paraId="5FB3D7F6" w14:textId="77777777" w:rsidR="00DC7F9C" w:rsidRPr="00997080" w:rsidRDefault="00DC7F9C" w:rsidP="005B5606">
            <w:pPr>
              <w:rPr>
                <w:rFonts w:cs="Arial"/>
              </w:rPr>
            </w:pPr>
            <w:r w:rsidRPr="00997080">
              <w:rPr>
                <w:rFonts w:cs="Arial"/>
              </w:rPr>
              <w:t>Report of environmental performance</w:t>
            </w:r>
          </w:p>
        </w:tc>
        <w:tc>
          <w:tcPr>
            <w:tcW w:w="2254" w:type="dxa"/>
          </w:tcPr>
          <w:p w14:paraId="1170E5C4" w14:textId="77777777" w:rsidR="00DC7F9C" w:rsidRPr="00997080" w:rsidRDefault="00DC7F9C" w:rsidP="005B5606">
            <w:pPr>
              <w:rPr>
                <w:rFonts w:cs="Arial"/>
              </w:rPr>
            </w:pPr>
            <w:r w:rsidRPr="00997080">
              <w:rPr>
                <w:rFonts w:cs="Arial"/>
              </w:rPr>
              <w:t>Once in every quarter</w:t>
            </w:r>
          </w:p>
        </w:tc>
      </w:tr>
    </w:tbl>
    <w:p w14:paraId="5D1ED246" w14:textId="77777777" w:rsidR="00DC7F9C" w:rsidRPr="00997080" w:rsidRDefault="00DC7F9C" w:rsidP="00DC7F9C">
      <w:pPr>
        <w:pStyle w:val="Heading1"/>
        <w:rPr>
          <w:rFonts w:cs="Arial"/>
          <w:szCs w:val="22"/>
        </w:rPr>
      </w:pPr>
      <w:bookmarkStart w:id="17" w:name="_Toc233667112"/>
      <w:r w:rsidRPr="00997080">
        <w:rPr>
          <w:rFonts w:cs="Arial"/>
          <w:szCs w:val="22"/>
        </w:rPr>
        <w:t>6. Conclusion</w:t>
      </w:r>
      <w:bookmarkEnd w:id="17"/>
      <w:r w:rsidRPr="00997080">
        <w:rPr>
          <w:rFonts w:cs="Arial"/>
          <w:szCs w:val="22"/>
        </w:rPr>
        <w:t xml:space="preserve"> </w:t>
      </w:r>
    </w:p>
    <w:p w14:paraId="4314C076" w14:textId="77777777" w:rsidR="00531179" w:rsidRPr="00997080" w:rsidRDefault="00DC7F9C" w:rsidP="00DC7F9C">
      <w:pPr>
        <w:rPr>
          <w:rFonts w:cs="Arial"/>
        </w:rPr>
      </w:pPr>
      <w:r w:rsidRPr="00997080">
        <w:rPr>
          <w:rFonts w:cs="Arial"/>
        </w:rPr>
        <w:t>The strategic transformation of Ford Motor Company indicates the need for proactively responding to evolving expectations of the consumers, rising competition in the market of electric vehicles and digital disruption. The situational assessment recognised both internal gaps and external pressure, demonstrating the significance of strengthening digital tool integration along with manufacturing expertise. Critical assessment of different change management measures outlines that a hybrid strategy consisting of political, participative, emergent, and planned perspectives offers the most appropriate framework for ensuring sustainable transformation. The business can efficiently accelerate digital transformation through the integration of a structured plan of implementation, an innovation-based culture at the workplace and transformational leadership practices. It can improve customer value while promoting Ford Motor’s operational excellence and ensuring the potential of the business to accomplish long-term competitive advantages across the automotive industry of the UK.</w:t>
      </w:r>
    </w:p>
    <w:p w14:paraId="0275B2A8" w14:textId="3D2AA1DE" w:rsidR="00DC7F9C" w:rsidRPr="00997080" w:rsidRDefault="00531179" w:rsidP="00DC7F9C">
      <w:pPr>
        <w:rPr>
          <w:rFonts w:cs="Arial"/>
        </w:rPr>
      </w:pPr>
      <w:r w:rsidRPr="00997080">
        <w:rPr>
          <w:rFonts w:cs="Arial"/>
        </w:rPr>
        <w:t>This module strengthened my understanding that successful strategic change extends beyond structural redesign to include effective leadership, clear communication and active stakeholder engagement. It enhanced my ability to evaluate change management frameworks critically, and I will apply models such as Kotter and ADKAR in my professional practice to minimise resistance and support successful organisational change implementation.</w:t>
      </w:r>
      <w:r w:rsidR="00DC7F9C" w:rsidRPr="00997080">
        <w:rPr>
          <w:rFonts w:cs="Arial"/>
        </w:rPr>
        <w:t> </w:t>
      </w:r>
    </w:p>
    <w:p w14:paraId="22EDCB6B" w14:textId="77777777" w:rsidR="005B170B" w:rsidRPr="00997080" w:rsidRDefault="005B170B" w:rsidP="005B170B">
      <w:pPr>
        <w:rPr>
          <w:rFonts w:cs="Arial"/>
        </w:rPr>
      </w:pPr>
    </w:p>
    <w:p w14:paraId="2BDA366A" w14:textId="28C8D2C4" w:rsidR="007565F1" w:rsidRPr="00997080" w:rsidRDefault="007565F1">
      <w:pPr>
        <w:spacing w:line="259" w:lineRule="auto"/>
        <w:jc w:val="left"/>
        <w:rPr>
          <w:rFonts w:cs="Arial"/>
        </w:rPr>
      </w:pPr>
      <w:r w:rsidRPr="00997080">
        <w:rPr>
          <w:rFonts w:cs="Arial"/>
        </w:rPr>
        <w:br w:type="page"/>
      </w:r>
    </w:p>
    <w:p w14:paraId="3B4A7F85" w14:textId="42291A41" w:rsidR="005B170B" w:rsidRPr="00997080" w:rsidRDefault="007565F1" w:rsidP="007565F1">
      <w:pPr>
        <w:pStyle w:val="Heading1"/>
        <w:rPr>
          <w:rFonts w:cs="Arial"/>
          <w:szCs w:val="22"/>
        </w:rPr>
      </w:pPr>
      <w:bookmarkStart w:id="18" w:name="_Toc233667113"/>
      <w:r w:rsidRPr="00997080">
        <w:rPr>
          <w:rFonts w:cs="Arial"/>
          <w:szCs w:val="22"/>
        </w:rPr>
        <w:lastRenderedPageBreak/>
        <w:t>Reference List</w:t>
      </w:r>
      <w:bookmarkEnd w:id="18"/>
    </w:p>
    <w:p w14:paraId="5AF403FE" w14:textId="212FEEC5" w:rsidR="00DC7F9C" w:rsidRPr="00997080" w:rsidRDefault="00DC7F9C" w:rsidP="00DC7F9C">
      <w:pPr>
        <w:rPr>
          <w:rFonts w:cs="Arial"/>
        </w:rPr>
      </w:pPr>
      <w:r w:rsidRPr="00997080">
        <w:rPr>
          <w:rFonts w:cs="Arial"/>
        </w:rPr>
        <w:t>Agyeiwaa, O.E. and Arboh, F. (2022) The role of effective communication on organization performance: a case study of Ghana’s national health insurance scheme, </w:t>
      </w:r>
      <w:r w:rsidRPr="00997080">
        <w:rPr>
          <w:rFonts w:cs="Arial"/>
          <w:i/>
          <w:iCs/>
        </w:rPr>
        <w:t>International Journal of Health Sciences</w:t>
      </w:r>
      <w:r w:rsidRPr="00997080">
        <w:rPr>
          <w:rFonts w:cs="Arial"/>
        </w:rPr>
        <w:t>, </w:t>
      </w:r>
      <w:r w:rsidRPr="00997080">
        <w:rPr>
          <w:rFonts w:cs="Arial"/>
          <w:i/>
          <w:iCs/>
        </w:rPr>
        <w:t>10</w:t>
      </w:r>
      <w:r w:rsidRPr="00997080">
        <w:rPr>
          <w:rFonts w:cs="Arial"/>
        </w:rPr>
        <w:t xml:space="preserve">(1), pp.366-376. </w:t>
      </w:r>
      <w:hyperlink r:id="rId9" w:history="1">
        <w:r w:rsidRPr="00997080">
          <w:rPr>
            <w:rStyle w:val="Hyperlink"/>
            <w:rFonts w:cs="Arial"/>
          </w:rPr>
          <w:t>https://doi.org/10.5281/zenodo.7118461</w:t>
        </w:r>
      </w:hyperlink>
      <w:r w:rsidRPr="00997080">
        <w:rPr>
          <w:rFonts w:cs="Arial"/>
        </w:rPr>
        <w:t xml:space="preserve"> </w:t>
      </w:r>
    </w:p>
    <w:p w14:paraId="5E4A19B0" w14:textId="1F2658ED" w:rsidR="00DC7F9C" w:rsidRPr="00997080" w:rsidRDefault="00DC7F9C" w:rsidP="00DC7F9C">
      <w:pPr>
        <w:rPr>
          <w:rFonts w:cs="Arial"/>
        </w:rPr>
      </w:pPr>
      <w:r w:rsidRPr="00997080">
        <w:rPr>
          <w:rFonts w:cs="Arial"/>
        </w:rPr>
        <w:t>Akula, D.K., Mohammed, Y.S., Syed, A., Haque, G.M.M. and Arafat, Y. (2025) The role of information systems in enhancing strategic decision making: A review and future directions, </w:t>
      </w:r>
      <w:r w:rsidRPr="00997080">
        <w:rPr>
          <w:rFonts w:cs="Arial"/>
          <w:i/>
          <w:iCs/>
        </w:rPr>
        <w:t>The American Journal of MEI</w:t>
      </w:r>
      <w:r w:rsidRPr="00997080">
        <w:rPr>
          <w:rFonts w:cs="Arial"/>
        </w:rPr>
        <w:t>, </w:t>
      </w:r>
      <w:r w:rsidRPr="00997080">
        <w:rPr>
          <w:rFonts w:cs="Arial"/>
          <w:i/>
          <w:iCs/>
        </w:rPr>
        <w:t>7</w:t>
      </w:r>
      <w:r w:rsidRPr="00997080">
        <w:rPr>
          <w:rFonts w:cs="Arial"/>
        </w:rPr>
        <w:t xml:space="preserve">(8), pp.80-105. </w:t>
      </w:r>
      <w:hyperlink r:id="rId10" w:history="1">
        <w:r w:rsidRPr="00997080">
          <w:rPr>
            <w:rStyle w:val="Hyperlink"/>
            <w:rFonts w:cs="Arial"/>
          </w:rPr>
          <w:t>https://doi.org/10.37547/tajmei/Volume07Issue08-07</w:t>
        </w:r>
      </w:hyperlink>
      <w:r w:rsidRPr="00997080">
        <w:rPr>
          <w:rFonts w:cs="Arial"/>
        </w:rPr>
        <w:t xml:space="preserve"> </w:t>
      </w:r>
    </w:p>
    <w:p w14:paraId="5BC85CC9" w14:textId="0FF24B6E" w:rsidR="00DC7F9C" w:rsidRPr="00997080" w:rsidRDefault="00DC7F9C" w:rsidP="00DC7F9C">
      <w:pPr>
        <w:rPr>
          <w:rFonts w:cs="Arial"/>
        </w:rPr>
      </w:pPr>
      <w:r w:rsidRPr="00997080">
        <w:rPr>
          <w:rFonts w:cs="Arial"/>
        </w:rPr>
        <w:t>Alsharari, N.M. and Daniels, B. (2024) Management accounting practices and organizational change aspects in the public sector: contextual/processual approach, </w:t>
      </w:r>
      <w:r w:rsidRPr="00997080">
        <w:rPr>
          <w:rFonts w:cs="Arial"/>
          <w:i/>
          <w:iCs/>
        </w:rPr>
        <w:t>Journal of Accounting &amp; Organizational Change</w:t>
      </w:r>
      <w:r w:rsidRPr="00997080">
        <w:rPr>
          <w:rFonts w:cs="Arial"/>
        </w:rPr>
        <w:t>, </w:t>
      </w:r>
      <w:r w:rsidRPr="00997080">
        <w:rPr>
          <w:rFonts w:cs="Arial"/>
          <w:i/>
          <w:iCs/>
        </w:rPr>
        <w:t>20</w:t>
      </w:r>
      <w:r w:rsidRPr="00997080">
        <w:rPr>
          <w:rFonts w:cs="Arial"/>
        </w:rPr>
        <w:t xml:space="preserve">(1), pp.177-204. Available at: </w:t>
      </w:r>
      <w:hyperlink r:id="rId11" w:history="1">
        <w:r w:rsidRPr="00997080">
          <w:rPr>
            <w:rStyle w:val="Hyperlink"/>
            <w:rFonts w:cs="Arial"/>
          </w:rPr>
          <w:t>http://dx.doi.org/10.1108/JAOC-10-2021-0143</w:t>
        </w:r>
      </w:hyperlink>
      <w:r w:rsidRPr="00997080">
        <w:rPr>
          <w:rFonts w:cs="Arial"/>
        </w:rPr>
        <w:t xml:space="preserve"> </w:t>
      </w:r>
    </w:p>
    <w:p w14:paraId="309C81C8" w14:textId="27E5927D" w:rsidR="00DC7F9C" w:rsidRPr="00997080" w:rsidRDefault="00DC7F9C" w:rsidP="00DC7F9C">
      <w:pPr>
        <w:rPr>
          <w:rFonts w:cs="Arial"/>
        </w:rPr>
      </w:pPr>
      <w:r w:rsidRPr="00997080">
        <w:rPr>
          <w:rFonts w:cs="Arial"/>
        </w:rPr>
        <w:t>Anjum, N., Rahaman, M.S., Salemzadeh, A., Rahman, M.M. and DANA, L.P. (2024) Adapting &amp; mitigating employee resistance to change: contrasting Adkar and Kurt Lewin’s three steps change model, </w:t>
      </w:r>
      <w:r w:rsidRPr="00997080">
        <w:rPr>
          <w:rFonts w:cs="Arial"/>
          <w:i/>
          <w:iCs/>
        </w:rPr>
        <w:t>Journal of Entrepreneurship and Business Resilience</w:t>
      </w:r>
      <w:r w:rsidRPr="00997080">
        <w:rPr>
          <w:rFonts w:cs="Arial"/>
        </w:rPr>
        <w:t>, </w:t>
      </w:r>
      <w:r w:rsidRPr="00997080">
        <w:rPr>
          <w:rFonts w:cs="Arial"/>
          <w:i/>
          <w:iCs/>
        </w:rPr>
        <w:t>7</w:t>
      </w:r>
      <w:r w:rsidRPr="00997080">
        <w:rPr>
          <w:rFonts w:cs="Arial"/>
        </w:rPr>
        <w:t xml:space="preserve">(1), pp.63-91. Available at: </w:t>
      </w:r>
      <w:hyperlink r:id="rId12" w:history="1">
        <w:r w:rsidRPr="00997080">
          <w:rPr>
            <w:rStyle w:val="Hyperlink"/>
            <w:rFonts w:cs="Arial"/>
          </w:rPr>
          <w:t>https://jebr.fimek.edu.rs/index.php/jebr/article/download/118/101</w:t>
        </w:r>
      </w:hyperlink>
      <w:r w:rsidRPr="00997080">
        <w:rPr>
          <w:rFonts w:cs="Arial"/>
        </w:rPr>
        <w:t xml:space="preserve"> (Accessed: 29 June 2026). </w:t>
      </w:r>
    </w:p>
    <w:p w14:paraId="7F2BABAC" w14:textId="29564590" w:rsidR="00DC7F9C" w:rsidRPr="00997080" w:rsidRDefault="00DC7F9C" w:rsidP="005B170B">
      <w:pPr>
        <w:rPr>
          <w:rFonts w:cs="Arial"/>
        </w:rPr>
      </w:pPr>
      <w:r w:rsidRPr="00997080">
        <w:rPr>
          <w:rFonts w:cs="Arial"/>
        </w:rPr>
        <w:t>Anusi, H.I. and Mutambara, E. (2022) A Conceptual Framework of Organisational Change Process in Hospitals, </w:t>
      </w:r>
      <w:r w:rsidRPr="00997080">
        <w:rPr>
          <w:rFonts w:cs="Arial"/>
          <w:i/>
          <w:iCs/>
        </w:rPr>
        <w:t>Academy of Entrepreneurship Journal</w:t>
      </w:r>
      <w:r w:rsidRPr="00997080">
        <w:rPr>
          <w:rFonts w:cs="Arial"/>
        </w:rPr>
        <w:t xml:space="preserve">, 28(4), pp.1-11. Available at: </w:t>
      </w:r>
      <w:hyperlink r:id="rId13" w:history="1">
        <w:r w:rsidRPr="00997080">
          <w:rPr>
            <w:rStyle w:val="Hyperlink"/>
            <w:rFonts w:cs="Arial"/>
          </w:rPr>
          <w:t>https://www.researchgate.net/profile/Happiness-Anusi-2/publication/365199614_A_conceptual_framework_of_organisational_change_process_in_hospitals/links/636a50db431b1f53007dedd1/A-conceptual-framework-of-organisational-change-process-in-hospitals.pdf</w:t>
        </w:r>
      </w:hyperlink>
      <w:r w:rsidRPr="00997080">
        <w:rPr>
          <w:rFonts w:cs="Arial"/>
        </w:rPr>
        <w:t xml:space="preserve"> (Accessed: 29 June 2026).</w:t>
      </w:r>
    </w:p>
    <w:p w14:paraId="4965D367" w14:textId="24B66B32" w:rsidR="00DC7F9C" w:rsidRPr="00997080" w:rsidRDefault="00DC7F9C" w:rsidP="005B170B">
      <w:pPr>
        <w:rPr>
          <w:rFonts w:cs="Arial"/>
        </w:rPr>
      </w:pPr>
      <w:r w:rsidRPr="00997080">
        <w:rPr>
          <w:rFonts w:cs="Arial"/>
        </w:rPr>
        <w:t>Awwad, M., Shekhar, A. and Iyer, A. (2018) Sustainable Last-Mile logistics operation in the Era of E-commerce, In </w:t>
      </w:r>
      <w:r w:rsidRPr="00997080">
        <w:rPr>
          <w:rFonts w:cs="Arial"/>
          <w:i/>
          <w:iCs/>
        </w:rPr>
        <w:t>Proceedings of the international conference on industrial engineering and operations management</w:t>
      </w:r>
      <w:r w:rsidRPr="00997080">
        <w:rPr>
          <w:rFonts w:cs="Arial"/>
        </w:rPr>
        <w:t xml:space="preserve"> (pp. 584-591). Available at: </w:t>
      </w:r>
      <w:hyperlink r:id="rId14" w:history="1">
        <w:r w:rsidRPr="00997080">
          <w:rPr>
            <w:rStyle w:val="Hyperlink"/>
            <w:rFonts w:cs="Arial"/>
          </w:rPr>
          <w:t>https://ieomsociety.org/dc2018/papers/179.pdf</w:t>
        </w:r>
      </w:hyperlink>
      <w:r w:rsidRPr="00997080">
        <w:rPr>
          <w:rFonts w:cs="Arial"/>
        </w:rPr>
        <w:t xml:space="preserve"> </w:t>
      </w:r>
    </w:p>
    <w:p w14:paraId="626C023D" w14:textId="497DECC5" w:rsidR="00DC7F9C" w:rsidRPr="00997080" w:rsidRDefault="00DC7F9C" w:rsidP="005B170B">
      <w:pPr>
        <w:rPr>
          <w:rFonts w:cs="Arial"/>
        </w:rPr>
      </w:pPr>
      <w:r w:rsidRPr="00997080">
        <w:rPr>
          <w:rFonts w:cs="Arial"/>
        </w:rPr>
        <w:t>Bathla, G., Bhadane, K., Singh, R.K., Kumar, R., Aluvalu, R., Krishnamurthi, R., Kumar, A., Thakur, R.N. and Basheer, S. (2022) Autonomous vehicles and intelligent automation: Applications, challenges, and opportunities, </w:t>
      </w:r>
      <w:r w:rsidRPr="00997080">
        <w:rPr>
          <w:rFonts w:cs="Arial"/>
          <w:i/>
          <w:iCs/>
        </w:rPr>
        <w:t>Mobile information systems</w:t>
      </w:r>
      <w:r w:rsidRPr="00997080">
        <w:rPr>
          <w:rFonts w:cs="Arial"/>
        </w:rPr>
        <w:t xml:space="preserve">, 2022(1). Available at: </w:t>
      </w:r>
      <w:hyperlink r:id="rId15" w:history="1">
        <w:r w:rsidRPr="00997080">
          <w:rPr>
            <w:rStyle w:val="Hyperlink"/>
            <w:rFonts w:cs="Arial"/>
          </w:rPr>
          <w:t>https://onlinelibrary.wiley.com/doi/pdf/10.1155/2022/7632892</w:t>
        </w:r>
      </w:hyperlink>
    </w:p>
    <w:p w14:paraId="649EC69C" w14:textId="77777777" w:rsidR="00DC7F9C" w:rsidRPr="00997080" w:rsidRDefault="00DC7F9C" w:rsidP="005B170B">
      <w:pPr>
        <w:rPr>
          <w:rFonts w:cs="Arial"/>
        </w:rPr>
      </w:pPr>
      <w:r w:rsidRPr="00997080">
        <w:rPr>
          <w:rFonts w:cs="Arial"/>
        </w:rPr>
        <w:t xml:space="preserve">BBC. (2021) </w:t>
      </w:r>
      <w:r w:rsidRPr="00997080">
        <w:rPr>
          <w:rFonts w:cs="Arial"/>
          <w:i/>
          <w:iCs/>
        </w:rPr>
        <w:t>Ford to go all-electric in Europe by 2030</w:t>
      </w:r>
      <w:r w:rsidRPr="00997080">
        <w:rPr>
          <w:rFonts w:cs="Arial"/>
        </w:rPr>
        <w:t xml:space="preserve">. Available at: </w:t>
      </w:r>
      <w:hyperlink r:id="rId16" w:history="1">
        <w:r w:rsidRPr="00997080">
          <w:rPr>
            <w:rStyle w:val="Hyperlink"/>
            <w:rFonts w:cs="Arial"/>
          </w:rPr>
          <w:t>https://www.bbc.com/news/business-56084500</w:t>
        </w:r>
      </w:hyperlink>
      <w:r w:rsidRPr="00997080">
        <w:rPr>
          <w:rFonts w:cs="Arial"/>
        </w:rPr>
        <w:t xml:space="preserve"> (Accessed: 29 June 2026).</w:t>
      </w:r>
    </w:p>
    <w:p w14:paraId="3A363074" w14:textId="04CEBE46" w:rsidR="00DC7F9C" w:rsidRPr="00997080" w:rsidRDefault="00DC7F9C" w:rsidP="00DC7F9C">
      <w:pPr>
        <w:rPr>
          <w:rFonts w:cs="Arial"/>
        </w:rPr>
      </w:pPr>
      <w:r w:rsidRPr="00997080">
        <w:rPr>
          <w:rFonts w:cs="Arial"/>
        </w:rPr>
        <w:lastRenderedPageBreak/>
        <w:t>Belrzaeg, M. (2025) The Evolution of Total Quality Management: From Manufacturing to Knowledge-Based Industries, </w:t>
      </w:r>
      <w:r w:rsidRPr="00997080">
        <w:rPr>
          <w:rFonts w:cs="Arial"/>
          <w:i/>
          <w:iCs/>
        </w:rPr>
        <w:t>Eurasian Journal of Humanities and Education Research (EJHER)</w:t>
      </w:r>
      <w:r w:rsidRPr="00997080">
        <w:rPr>
          <w:rFonts w:cs="Arial"/>
        </w:rPr>
        <w:t xml:space="preserve">, pp.32-49. Available at: </w:t>
      </w:r>
      <w:hyperlink r:id="rId17" w:history="1">
        <w:r w:rsidRPr="00997080">
          <w:rPr>
            <w:rStyle w:val="Hyperlink"/>
            <w:rFonts w:cs="Arial"/>
          </w:rPr>
          <w:t>https://eurasian-journals.com/index.php/ejher/article/download/5/5</w:t>
        </w:r>
      </w:hyperlink>
      <w:r w:rsidRPr="00997080">
        <w:rPr>
          <w:rFonts w:cs="Arial"/>
        </w:rPr>
        <w:t xml:space="preserve"> (Accessed: 29 June 2026). </w:t>
      </w:r>
    </w:p>
    <w:p w14:paraId="4BEDAD8E" w14:textId="0DC57A6C" w:rsidR="00DC7F9C" w:rsidRPr="00997080" w:rsidRDefault="00DC7F9C" w:rsidP="005B170B">
      <w:pPr>
        <w:rPr>
          <w:rFonts w:cs="Arial"/>
        </w:rPr>
      </w:pPr>
      <w:r w:rsidRPr="00997080">
        <w:rPr>
          <w:rFonts w:cs="Arial"/>
        </w:rPr>
        <w:t>Bilgin, P., Mattioli, G., Morgan, M. and Wadud, Z. (2023) The effects of ridesourcing services on vehicle ownership: the case of Great Britain, </w:t>
      </w:r>
      <w:r w:rsidRPr="00997080">
        <w:rPr>
          <w:rFonts w:cs="Arial"/>
          <w:i/>
          <w:iCs/>
        </w:rPr>
        <w:t>Transportation research part D: transport and environment</w:t>
      </w:r>
      <w:r w:rsidRPr="00997080">
        <w:rPr>
          <w:rFonts w:cs="Arial"/>
        </w:rPr>
        <w:t xml:space="preserve">, 117. Available at: </w:t>
      </w:r>
      <w:hyperlink r:id="rId18" w:history="1">
        <w:r w:rsidRPr="00997080">
          <w:rPr>
            <w:rStyle w:val="Hyperlink"/>
            <w:rFonts w:cs="Arial"/>
          </w:rPr>
          <w:t>https://www.sciencedirect.com/science/article/pii/S1361920923000718</w:t>
        </w:r>
      </w:hyperlink>
    </w:p>
    <w:p w14:paraId="7827EB23" w14:textId="6161E3FE" w:rsidR="00DC7F9C" w:rsidRPr="00997080" w:rsidRDefault="00DC7F9C" w:rsidP="005B170B">
      <w:pPr>
        <w:rPr>
          <w:rFonts w:cs="Arial"/>
        </w:rPr>
      </w:pPr>
      <w:r w:rsidRPr="00997080">
        <w:rPr>
          <w:rFonts w:cs="Arial"/>
        </w:rPr>
        <w:t>Burnes, B. (2020) The origins of Lewin’s three-step model of change, </w:t>
      </w:r>
      <w:r w:rsidRPr="00997080">
        <w:rPr>
          <w:rFonts w:cs="Arial"/>
          <w:i/>
          <w:iCs/>
        </w:rPr>
        <w:t>The Journal of Applied Behavioral Science</w:t>
      </w:r>
      <w:r w:rsidRPr="00997080">
        <w:rPr>
          <w:rFonts w:cs="Arial"/>
        </w:rPr>
        <w:t xml:space="preserve">, 56(1), pp.32-59. Available at: </w:t>
      </w:r>
      <w:hyperlink r:id="rId19" w:history="1">
        <w:r w:rsidRPr="00997080">
          <w:rPr>
            <w:rStyle w:val="Hyperlink"/>
            <w:rFonts w:cs="Arial"/>
          </w:rPr>
          <w:t>https://www.storre.stir.ac.uk/bitstream/1893/30461/1/A-Lewin%203-Step%20ModelV1%20Accepted%20Version.pdf</w:t>
        </w:r>
      </w:hyperlink>
    </w:p>
    <w:p w14:paraId="2E7493A7" w14:textId="30D58C87" w:rsidR="00DC7F9C" w:rsidRPr="00997080" w:rsidRDefault="00DC7F9C" w:rsidP="005B170B">
      <w:pPr>
        <w:rPr>
          <w:rFonts w:cs="Arial"/>
        </w:rPr>
      </w:pPr>
      <w:r w:rsidRPr="00997080">
        <w:rPr>
          <w:rFonts w:cs="Arial"/>
        </w:rPr>
        <w:t>Christodoulou, A. and Cullinane, K. (2019) Identifying the main opportunities and challenges from the implementation of a port energy management system: A SWOT/PESTLE analysis, </w:t>
      </w:r>
      <w:r w:rsidRPr="00997080">
        <w:rPr>
          <w:rFonts w:cs="Arial"/>
          <w:i/>
          <w:iCs/>
        </w:rPr>
        <w:t>Sustainability</w:t>
      </w:r>
      <w:r w:rsidRPr="00997080">
        <w:rPr>
          <w:rFonts w:cs="Arial"/>
        </w:rPr>
        <w:t xml:space="preserve">, 11(21). Available at: </w:t>
      </w:r>
      <w:hyperlink r:id="rId20" w:history="1">
        <w:r w:rsidRPr="00997080">
          <w:rPr>
            <w:rStyle w:val="Hyperlink"/>
            <w:rFonts w:cs="Arial"/>
          </w:rPr>
          <w:t>https://www.mdpi.com/2071-1050/11/21/6046</w:t>
        </w:r>
      </w:hyperlink>
    </w:p>
    <w:p w14:paraId="495143E9" w14:textId="77777777" w:rsidR="00DC7F9C" w:rsidRPr="00997080" w:rsidRDefault="00DC7F9C" w:rsidP="005B170B">
      <w:pPr>
        <w:rPr>
          <w:rFonts w:cs="Arial"/>
        </w:rPr>
      </w:pPr>
      <w:r w:rsidRPr="00997080">
        <w:rPr>
          <w:rFonts w:cs="Arial"/>
        </w:rPr>
        <w:t xml:space="preserve">Clark, D. (2026) </w:t>
      </w:r>
      <w:r w:rsidRPr="00997080">
        <w:rPr>
          <w:rFonts w:cs="Arial"/>
          <w:i/>
          <w:iCs/>
        </w:rPr>
        <w:t>Inflation rate for the Consumer Price Index (CPI) in the United Kingdom from January 2015 to May 2026</w:t>
      </w:r>
      <w:r w:rsidRPr="00997080">
        <w:rPr>
          <w:rFonts w:cs="Arial"/>
        </w:rPr>
        <w:t xml:space="preserve">. Available at: </w:t>
      </w:r>
      <w:hyperlink r:id="rId21" w:history="1">
        <w:r w:rsidRPr="00997080">
          <w:rPr>
            <w:rStyle w:val="Hyperlink"/>
            <w:rFonts w:cs="Arial"/>
          </w:rPr>
          <w:t>https://www.statista.com/statistics/306648/inflation-rate-consumer-price-index-cpi-united-kingdom-uk/?srsltid=AfmBOooFBp5Ws1C2z8M6ibHg3rhtmL5FjunzpNI5BYjsv0s4CtQn3WXn</w:t>
        </w:r>
      </w:hyperlink>
      <w:r w:rsidRPr="00997080">
        <w:rPr>
          <w:rFonts w:cs="Arial"/>
        </w:rPr>
        <w:t xml:space="preserve"> (Accessed: 29 June 2026).</w:t>
      </w:r>
    </w:p>
    <w:p w14:paraId="4DA71E1B" w14:textId="4FD8FA81" w:rsidR="00DC7F9C" w:rsidRPr="00997080" w:rsidRDefault="00DC7F9C" w:rsidP="00DC7F9C">
      <w:pPr>
        <w:rPr>
          <w:rFonts w:cs="Arial"/>
        </w:rPr>
      </w:pPr>
      <w:r w:rsidRPr="00997080">
        <w:rPr>
          <w:rFonts w:cs="Arial"/>
        </w:rPr>
        <w:t>Engmann, A., Eluerkeh, E. and Ngwakwe, C. (2024) Leading Change by Design-Integrating Design thinking with Kotter’s 8 Step Process, </w:t>
      </w:r>
      <w:r w:rsidRPr="00997080">
        <w:rPr>
          <w:rFonts w:cs="Arial"/>
          <w:i/>
          <w:iCs/>
        </w:rPr>
        <w:t>HOLISTICA Journal of Business and Public Administration</w:t>
      </w:r>
      <w:r w:rsidRPr="00997080">
        <w:rPr>
          <w:rFonts w:cs="Arial"/>
        </w:rPr>
        <w:t>, </w:t>
      </w:r>
      <w:r w:rsidRPr="00997080">
        <w:rPr>
          <w:rFonts w:cs="Arial"/>
          <w:i/>
          <w:iCs/>
        </w:rPr>
        <w:t>15</w:t>
      </w:r>
      <w:r w:rsidRPr="00997080">
        <w:rPr>
          <w:rFonts w:cs="Arial"/>
        </w:rPr>
        <w:t xml:space="preserve">(2), pp.127-141. Available at: </w:t>
      </w:r>
      <w:hyperlink r:id="rId22" w:history="1">
        <w:r w:rsidRPr="00997080">
          <w:rPr>
            <w:rStyle w:val="Hyperlink"/>
            <w:rFonts w:cs="Arial"/>
          </w:rPr>
          <w:t>https://sciendo.com/2/v2/download/article/10.2478/hjbpa-2024-0018.pdf</w:t>
        </w:r>
      </w:hyperlink>
      <w:r w:rsidRPr="00997080">
        <w:rPr>
          <w:rFonts w:cs="Arial"/>
        </w:rPr>
        <w:t xml:space="preserve"> (Accessed: 29 June 2026). </w:t>
      </w:r>
    </w:p>
    <w:p w14:paraId="1F3AD132" w14:textId="24FF668A" w:rsidR="00DC7F9C" w:rsidRPr="00997080" w:rsidRDefault="00DC7F9C" w:rsidP="005B170B">
      <w:pPr>
        <w:rPr>
          <w:rFonts w:cs="Arial"/>
        </w:rPr>
      </w:pPr>
      <w:r w:rsidRPr="00997080">
        <w:rPr>
          <w:rFonts w:cs="Arial"/>
        </w:rPr>
        <w:t>Forsythe, C.R., Gillingham, K.T., Michalek, J.J. and Whitefoot, K.S. (2023) Technology advancement is driving electric vehicle adoption, </w:t>
      </w:r>
      <w:r w:rsidRPr="00997080">
        <w:rPr>
          <w:rFonts w:cs="Arial"/>
          <w:i/>
          <w:iCs/>
        </w:rPr>
        <w:t>Proceedings of the National Academy of Sciences</w:t>
      </w:r>
      <w:r w:rsidRPr="00997080">
        <w:rPr>
          <w:rFonts w:cs="Arial"/>
        </w:rPr>
        <w:t xml:space="preserve">, 120(23). Available at: </w:t>
      </w:r>
      <w:hyperlink r:id="rId23" w:history="1">
        <w:r w:rsidRPr="00997080">
          <w:rPr>
            <w:rStyle w:val="Hyperlink"/>
            <w:rFonts w:cs="Arial"/>
          </w:rPr>
          <w:t>https://www.pnas.org/doi/pdf/10.1073/pnas.2219396120</w:t>
        </w:r>
      </w:hyperlink>
    </w:p>
    <w:p w14:paraId="2E782768" w14:textId="17FD37DE" w:rsidR="00DC7F9C" w:rsidRPr="00997080" w:rsidRDefault="00DC7F9C" w:rsidP="00DC7F9C">
      <w:pPr>
        <w:rPr>
          <w:rFonts w:cs="Arial"/>
        </w:rPr>
      </w:pPr>
      <w:r w:rsidRPr="00997080">
        <w:rPr>
          <w:rFonts w:cs="Arial"/>
        </w:rPr>
        <w:t>Foss, N.J., McCaffrey, M.C. and Dorobat, C.E. (2022)</w:t>
      </w:r>
      <w:r w:rsidR="00645A8E">
        <w:rPr>
          <w:rFonts w:cs="Arial"/>
        </w:rPr>
        <w:t xml:space="preserve"> </w:t>
      </w:r>
      <w:r w:rsidRPr="00997080">
        <w:rPr>
          <w:rFonts w:cs="Arial"/>
        </w:rPr>
        <w:t>When Henry Met Frit: Rules As Organizational Frameworks For Emergent Strategy Process, </w:t>
      </w:r>
      <w:r w:rsidRPr="00997080">
        <w:rPr>
          <w:rFonts w:cs="Arial"/>
          <w:i/>
          <w:iCs/>
        </w:rPr>
        <w:t>Journal of Management Inquiry</w:t>
      </w:r>
      <w:r w:rsidRPr="00997080">
        <w:rPr>
          <w:rFonts w:cs="Arial"/>
        </w:rPr>
        <w:t>, </w:t>
      </w:r>
      <w:r w:rsidRPr="00997080">
        <w:rPr>
          <w:rFonts w:cs="Arial"/>
          <w:i/>
          <w:iCs/>
        </w:rPr>
        <w:t>31</w:t>
      </w:r>
      <w:r w:rsidRPr="00997080">
        <w:rPr>
          <w:rFonts w:cs="Arial"/>
        </w:rPr>
        <w:t xml:space="preserve">(2), pp.135-149. Available at: </w:t>
      </w:r>
      <w:hyperlink r:id="rId24" w:history="1">
        <w:r w:rsidRPr="00997080">
          <w:rPr>
            <w:rStyle w:val="Hyperlink"/>
            <w:rFonts w:cs="Arial"/>
          </w:rPr>
          <w:t>https://doi.org/10.1177/10564926211031290</w:t>
        </w:r>
      </w:hyperlink>
      <w:r w:rsidRPr="00997080">
        <w:rPr>
          <w:rFonts w:cs="Arial"/>
        </w:rPr>
        <w:t xml:space="preserve"> </w:t>
      </w:r>
    </w:p>
    <w:p w14:paraId="528C9C1E" w14:textId="1A4937BC" w:rsidR="00DC7F9C" w:rsidRPr="00997080" w:rsidRDefault="00DC7F9C" w:rsidP="00DC7F9C">
      <w:pPr>
        <w:rPr>
          <w:rFonts w:cs="Arial"/>
        </w:rPr>
      </w:pPr>
      <w:r w:rsidRPr="00997080">
        <w:rPr>
          <w:rFonts w:cs="Arial"/>
        </w:rPr>
        <w:t>Gotsch, M., Gandenberger, C., Serafimov, L. and Miemiec, M. (2023) Top</w:t>
      </w:r>
      <w:r w:rsidRPr="00997080">
        <w:rPr>
          <w:rFonts w:ascii="Cambria Math" w:hAnsi="Cambria Math" w:cs="Cambria Math"/>
        </w:rPr>
        <w:t>‐</w:t>
      </w:r>
      <w:r w:rsidRPr="00997080">
        <w:rPr>
          <w:rFonts w:cs="Arial"/>
        </w:rPr>
        <w:t>down and bottom</w:t>
      </w:r>
      <w:r w:rsidRPr="00997080">
        <w:rPr>
          <w:rFonts w:ascii="Cambria Math" w:hAnsi="Cambria Math" w:cs="Cambria Math"/>
        </w:rPr>
        <w:t>‐</w:t>
      </w:r>
      <w:r w:rsidRPr="00997080">
        <w:rPr>
          <w:rFonts w:cs="Arial"/>
        </w:rPr>
        <w:t xml:space="preserve">up strategies for the implementation of corporate social responsibility: A qualitative survey of </w:t>
      </w:r>
      <w:r w:rsidRPr="00997080">
        <w:rPr>
          <w:rFonts w:cs="Arial"/>
        </w:rPr>
        <w:lastRenderedPageBreak/>
        <w:t>an international IT services company, </w:t>
      </w:r>
      <w:r w:rsidRPr="00997080">
        <w:rPr>
          <w:rFonts w:cs="Arial"/>
          <w:i/>
          <w:iCs/>
        </w:rPr>
        <w:t>Corporate Social Responsibility and Environmental Management</w:t>
      </w:r>
      <w:r w:rsidRPr="00997080">
        <w:rPr>
          <w:rFonts w:cs="Arial"/>
        </w:rPr>
        <w:t>, </w:t>
      </w:r>
      <w:r w:rsidRPr="00997080">
        <w:rPr>
          <w:rFonts w:cs="Arial"/>
          <w:i/>
          <w:iCs/>
        </w:rPr>
        <w:t>30</w:t>
      </w:r>
      <w:r w:rsidRPr="00997080">
        <w:rPr>
          <w:rFonts w:cs="Arial"/>
        </w:rPr>
        <w:t xml:space="preserve">(4), pp.1645-1663. </w:t>
      </w:r>
      <w:hyperlink r:id="rId25" w:history="1">
        <w:r w:rsidRPr="00997080">
          <w:rPr>
            <w:rStyle w:val="Hyperlink"/>
            <w:rFonts w:cs="Arial"/>
          </w:rPr>
          <w:t>https://onlinelibrary.wiley.com/doi/pdfdirect/10.1002/csr.2441?download=true</w:t>
        </w:r>
      </w:hyperlink>
      <w:r w:rsidRPr="00997080">
        <w:rPr>
          <w:rFonts w:cs="Arial"/>
        </w:rPr>
        <w:t xml:space="preserve"> (Accessed: 29 June 2026). </w:t>
      </w:r>
    </w:p>
    <w:p w14:paraId="774E14D8" w14:textId="47FA8426" w:rsidR="00DC7F9C" w:rsidRPr="00997080" w:rsidRDefault="00DC7F9C" w:rsidP="00DC7F9C">
      <w:pPr>
        <w:rPr>
          <w:rFonts w:cs="Arial"/>
        </w:rPr>
      </w:pPr>
      <w:r w:rsidRPr="00997080">
        <w:rPr>
          <w:rFonts w:cs="Arial"/>
        </w:rPr>
        <w:t>Hailemariam, A. and Erdiaw</w:t>
      </w:r>
      <w:r w:rsidRPr="00997080">
        <w:rPr>
          <w:rFonts w:ascii="Cambria Math" w:hAnsi="Cambria Math" w:cs="Cambria Math"/>
        </w:rPr>
        <w:t>‐</w:t>
      </w:r>
      <w:r w:rsidRPr="00997080">
        <w:rPr>
          <w:rFonts w:cs="Arial"/>
        </w:rPr>
        <w:t>Kwasie, M.O. (2023) Towards a circular economy: Implications for emission reduction and environmental sustainability, </w:t>
      </w:r>
      <w:r w:rsidRPr="00997080">
        <w:rPr>
          <w:rFonts w:cs="Arial"/>
          <w:i/>
          <w:iCs/>
        </w:rPr>
        <w:t>Business Strategy and the Environment</w:t>
      </w:r>
      <w:r w:rsidRPr="00997080">
        <w:rPr>
          <w:rFonts w:cs="Arial"/>
        </w:rPr>
        <w:t>, </w:t>
      </w:r>
      <w:r w:rsidRPr="00997080">
        <w:rPr>
          <w:rFonts w:cs="Arial"/>
          <w:i/>
          <w:iCs/>
        </w:rPr>
        <w:t>32</w:t>
      </w:r>
      <w:r w:rsidRPr="00997080">
        <w:rPr>
          <w:rFonts w:cs="Arial"/>
        </w:rPr>
        <w:t xml:space="preserve">(4), pp.1951-1965. Available at: </w:t>
      </w:r>
      <w:hyperlink r:id="rId26" w:history="1">
        <w:r w:rsidRPr="00997080">
          <w:rPr>
            <w:rStyle w:val="Hyperlink"/>
            <w:rFonts w:cs="Arial"/>
          </w:rPr>
          <w:t>https://doi.org/10.1002/bse.3229</w:t>
        </w:r>
      </w:hyperlink>
      <w:r w:rsidRPr="00997080">
        <w:rPr>
          <w:rFonts w:cs="Arial"/>
        </w:rPr>
        <w:t xml:space="preserve"> </w:t>
      </w:r>
    </w:p>
    <w:p w14:paraId="09829C88" w14:textId="240E7599" w:rsidR="00DC7F9C" w:rsidRPr="00997080" w:rsidRDefault="00DC7F9C" w:rsidP="00DC7F9C">
      <w:pPr>
        <w:rPr>
          <w:rFonts w:cs="Arial"/>
        </w:rPr>
      </w:pPr>
      <w:r w:rsidRPr="00997080">
        <w:rPr>
          <w:rFonts w:cs="Arial"/>
        </w:rPr>
        <w:t>Hasan, M.M. (2025) Information System-Based Predictive Analytics to Reduce Supply Chain Disruptions and Inflation in the United States, </w:t>
      </w:r>
      <w:r w:rsidRPr="00997080">
        <w:rPr>
          <w:rFonts w:cs="Arial"/>
          <w:i/>
          <w:iCs/>
        </w:rPr>
        <w:t>Pacific Journal of Advanced Engineering Innovations</w:t>
      </w:r>
      <w:r w:rsidRPr="00997080">
        <w:rPr>
          <w:rFonts w:cs="Arial"/>
        </w:rPr>
        <w:t>, </w:t>
      </w:r>
      <w:r w:rsidRPr="00997080">
        <w:rPr>
          <w:rFonts w:cs="Arial"/>
          <w:i/>
          <w:iCs/>
        </w:rPr>
        <w:t>2</w:t>
      </w:r>
      <w:r w:rsidRPr="00997080">
        <w:rPr>
          <w:rFonts w:cs="Arial"/>
        </w:rPr>
        <w:t xml:space="preserve">(2), pp.96-105. Available at: </w:t>
      </w:r>
      <w:hyperlink r:id="rId27" w:history="1">
        <w:r w:rsidRPr="00997080">
          <w:rPr>
            <w:rStyle w:val="Hyperlink"/>
            <w:rFonts w:cs="Arial"/>
          </w:rPr>
          <w:t>https://doi.org/10.70818/pjaei.2025.v02i02.143</w:t>
        </w:r>
      </w:hyperlink>
      <w:r w:rsidRPr="00997080">
        <w:rPr>
          <w:rFonts w:cs="Arial"/>
        </w:rPr>
        <w:t xml:space="preserve"> </w:t>
      </w:r>
    </w:p>
    <w:p w14:paraId="72BBBCD5" w14:textId="77777777" w:rsidR="00DC7F9C" w:rsidRPr="00997080" w:rsidRDefault="00DC7F9C" w:rsidP="005B170B">
      <w:pPr>
        <w:rPr>
          <w:rFonts w:cs="Arial"/>
        </w:rPr>
      </w:pPr>
      <w:r w:rsidRPr="00997080">
        <w:rPr>
          <w:rFonts w:cs="Arial"/>
        </w:rPr>
        <w:t xml:space="preserve">Hutton, G., Stewart, I., Benson, M., Webb, D. and Jozepa, I. (2025) </w:t>
      </w:r>
      <w:r w:rsidRPr="00997080">
        <w:rPr>
          <w:rFonts w:cs="Arial"/>
          <w:i/>
          <w:iCs/>
        </w:rPr>
        <w:t>Electric vehicles and infrastructure.</w:t>
      </w:r>
      <w:r w:rsidRPr="00997080">
        <w:rPr>
          <w:rFonts w:cs="Arial"/>
        </w:rPr>
        <w:t xml:space="preserve"> Available at: </w:t>
      </w:r>
      <w:hyperlink r:id="rId28" w:history="1">
        <w:r w:rsidRPr="00997080">
          <w:rPr>
            <w:rStyle w:val="Hyperlink"/>
            <w:rFonts w:cs="Arial"/>
          </w:rPr>
          <w:t>https://commonslibrary.parliament.uk/research-briefings/cbp-7480/</w:t>
        </w:r>
      </w:hyperlink>
      <w:r w:rsidRPr="00997080">
        <w:rPr>
          <w:rFonts w:cs="Arial"/>
        </w:rPr>
        <w:t xml:space="preserve"> (Accessed: 29 June 2026).</w:t>
      </w:r>
    </w:p>
    <w:p w14:paraId="274836C2" w14:textId="0C2AB6E0" w:rsidR="00DC7F9C" w:rsidRPr="00997080" w:rsidRDefault="00DC7F9C" w:rsidP="00DC7F9C">
      <w:pPr>
        <w:rPr>
          <w:rFonts w:cs="Arial"/>
        </w:rPr>
      </w:pPr>
      <w:r w:rsidRPr="00997080">
        <w:rPr>
          <w:rFonts w:cs="Arial"/>
        </w:rPr>
        <w:t>Khuntia, J., Saldanha, T., Kathuria, A. and Tanniru, M.R. (2024) Digital service flexibility: a conceptual framework and roadmap for digital business transformation, </w:t>
      </w:r>
      <w:r w:rsidRPr="00997080">
        <w:rPr>
          <w:rFonts w:cs="Arial"/>
          <w:i/>
          <w:iCs/>
        </w:rPr>
        <w:t>European Journal of Information Systems</w:t>
      </w:r>
      <w:r w:rsidRPr="00997080">
        <w:rPr>
          <w:rFonts w:cs="Arial"/>
        </w:rPr>
        <w:t>, </w:t>
      </w:r>
      <w:r w:rsidRPr="00997080">
        <w:rPr>
          <w:rFonts w:cs="Arial"/>
          <w:i/>
          <w:iCs/>
        </w:rPr>
        <w:t>33</w:t>
      </w:r>
      <w:r w:rsidRPr="00997080">
        <w:rPr>
          <w:rFonts w:cs="Arial"/>
        </w:rPr>
        <w:t xml:space="preserve">(1), pp.61-79. </w:t>
      </w:r>
      <w:hyperlink r:id="rId29" w:history="1">
        <w:r w:rsidRPr="00997080">
          <w:rPr>
            <w:rStyle w:val="Hyperlink"/>
            <w:rFonts w:cs="Arial"/>
          </w:rPr>
          <w:t>http://dx.doi.org/10.1080/0960085x.2022.2115410</w:t>
        </w:r>
      </w:hyperlink>
      <w:r w:rsidRPr="00997080">
        <w:rPr>
          <w:rFonts w:cs="Arial"/>
        </w:rPr>
        <w:t xml:space="preserve"> </w:t>
      </w:r>
    </w:p>
    <w:p w14:paraId="1869823A" w14:textId="3C5F2FD0" w:rsidR="00DC7F9C" w:rsidRPr="00997080" w:rsidRDefault="00DC7F9C" w:rsidP="005B170B">
      <w:pPr>
        <w:rPr>
          <w:rFonts w:cs="Arial"/>
        </w:rPr>
      </w:pPr>
      <w:r w:rsidRPr="00997080">
        <w:rPr>
          <w:rFonts w:cs="Arial"/>
        </w:rPr>
        <w:t>Larbi, A.O., Asare-Danquah, G.A. and Ackah, A.A.F. (2024) Utilization of internal analysis with the VRIO framework and development of scale for resource and capabilities of fashion and design organization, </w:t>
      </w:r>
      <w:r w:rsidRPr="00997080">
        <w:rPr>
          <w:rFonts w:cs="Arial"/>
          <w:i/>
          <w:iCs/>
        </w:rPr>
        <w:t>International Journal of Research and Scientific Innovation</w:t>
      </w:r>
      <w:r w:rsidRPr="00997080">
        <w:rPr>
          <w:rFonts w:cs="Arial"/>
        </w:rPr>
        <w:t xml:space="preserve">, 11(6), pp.63-70. Available at: </w:t>
      </w:r>
      <w:hyperlink r:id="rId30" w:history="1">
        <w:r w:rsidRPr="00997080">
          <w:rPr>
            <w:rStyle w:val="Hyperlink"/>
            <w:rFonts w:cs="Arial"/>
          </w:rPr>
          <w:t>https://www.researchgate.net/profile/Angela-Ackah-2/publication/381812546_Utilization_of_Internal_Analysis_with_the_VRIO_Framework_and_Development_of_Scale_for_Resource_and_Capabilities_of_Fashion_and_Design_Organization/links/687d59a5ba8eac4f1727c17f/Utilization-of-Internal-Analysis-with-the-VRIO-Framework-and-Development-of-Scale-for-Resource-and-Capabilities-of-Fashion-and-Design-Organization.pdf</w:t>
        </w:r>
      </w:hyperlink>
    </w:p>
    <w:p w14:paraId="22B5A511" w14:textId="77777777" w:rsidR="00DC7F9C" w:rsidRPr="00997080" w:rsidRDefault="00DC7F9C" w:rsidP="005B170B">
      <w:pPr>
        <w:rPr>
          <w:rFonts w:cs="Arial"/>
        </w:rPr>
      </w:pPr>
      <w:r w:rsidRPr="00997080">
        <w:rPr>
          <w:rFonts w:cs="Arial"/>
        </w:rPr>
        <w:t xml:space="preserve">Majka, M. (2024) </w:t>
      </w:r>
      <w:r w:rsidRPr="00997080">
        <w:rPr>
          <w:rFonts w:cs="Arial"/>
          <w:i/>
          <w:iCs/>
        </w:rPr>
        <w:t>Leading change successfully: A guide to Kotter’s 8-step process</w:t>
      </w:r>
      <w:r w:rsidRPr="00997080">
        <w:rPr>
          <w:rFonts w:cs="Arial"/>
        </w:rPr>
        <w:t xml:space="preserve">. Available at: </w:t>
      </w:r>
      <w:hyperlink r:id="rId31" w:history="1">
        <w:r w:rsidRPr="00997080">
          <w:rPr>
            <w:rStyle w:val="Hyperlink"/>
            <w:rFonts w:cs="Arial"/>
          </w:rPr>
          <w:t>https://www.researchgate.net/profile/Marcin-Majka-2/publication/381280928_Leading_Change_Successfully_A_Guide_to_Kotter's_8-Step_Process/links/6664d9cfa54c5f0b94581393/Leading-Change-Successfully-A-Guide-to-Kotters-8-Step-Process.pdf</w:t>
        </w:r>
      </w:hyperlink>
      <w:r w:rsidRPr="00997080">
        <w:rPr>
          <w:rFonts w:cs="Arial"/>
        </w:rPr>
        <w:t xml:space="preserve"> (Accessed: 29 June 2026).</w:t>
      </w:r>
    </w:p>
    <w:p w14:paraId="2D8A4748" w14:textId="469F6D53" w:rsidR="00DC7F9C" w:rsidRPr="00997080" w:rsidRDefault="00DC7F9C" w:rsidP="00DC7F9C">
      <w:pPr>
        <w:rPr>
          <w:rFonts w:cs="Arial"/>
        </w:rPr>
      </w:pPr>
      <w:r w:rsidRPr="00997080">
        <w:rPr>
          <w:rFonts w:cs="Arial"/>
        </w:rPr>
        <w:t>Müller-Eie, D. and Kosmidis, I. (2023) Sustainable mobility in smart cities: a document study of mobility initiatives of mid-sized Nordic smart cities, </w:t>
      </w:r>
      <w:r w:rsidRPr="00997080">
        <w:rPr>
          <w:rFonts w:cs="Arial"/>
          <w:i/>
          <w:iCs/>
        </w:rPr>
        <w:t>European Transport Research Review</w:t>
      </w:r>
      <w:r w:rsidRPr="00997080">
        <w:rPr>
          <w:rFonts w:cs="Arial"/>
        </w:rPr>
        <w:t>, </w:t>
      </w:r>
      <w:r w:rsidRPr="00997080">
        <w:rPr>
          <w:rFonts w:cs="Arial"/>
          <w:i/>
          <w:iCs/>
        </w:rPr>
        <w:t>15</w:t>
      </w:r>
      <w:r w:rsidRPr="00997080">
        <w:rPr>
          <w:rFonts w:cs="Arial"/>
        </w:rPr>
        <w:t xml:space="preserve">(1), p.1-12. Available at: </w:t>
      </w:r>
      <w:hyperlink r:id="rId32" w:history="1">
        <w:r w:rsidRPr="00997080">
          <w:rPr>
            <w:rStyle w:val="Hyperlink"/>
            <w:rFonts w:cs="Arial"/>
          </w:rPr>
          <w:t>https://doi.org/10.1186/s12544</w:t>
        </w:r>
      </w:hyperlink>
      <w:r w:rsidRPr="00997080">
        <w:rPr>
          <w:rFonts w:cs="Arial"/>
        </w:rPr>
        <w:t xml:space="preserve"> </w:t>
      </w:r>
    </w:p>
    <w:p w14:paraId="2CDD6149" w14:textId="2EF1EF88" w:rsidR="00DC7F9C" w:rsidRPr="00997080" w:rsidRDefault="00DC7F9C" w:rsidP="00DC7F9C">
      <w:pPr>
        <w:rPr>
          <w:rFonts w:cs="Arial"/>
        </w:rPr>
      </w:pPr>
      <w:r w:rsidRPr="00997080">
        <w:rPr>
          <w:rFonts w:cs="Arial"/>
        </w:rPr>
        <w:lastRenderedPageBreak/>
        <w:t>Nanjundaswamy, A., Kulal, A., Dinesh, S. and Divyashree, M.S. (2023) Electric vehicles in the business processes and sustainable development, </w:t>
      </w:r>
      <w:r w:rsidRPr="00997080">
        <w:rPr>
          <w:rFonts w:cs="Arial"/>
          <w:i/>
          <w:iCs/>
        </w:rPr>
        <w:t>Management Matters</w:t>
      </w:r>
      <w:r w:rsidRPr="00997080">
        <w:rPr>
          <w:rFonts w:cs="Arial"/>
        </w:rPr>
        <w:t>, </w:t>
      </w:r>
      <w:r w:rsidRPr="00997080">
        <w:rPr>
          <w:rFonts w:cs="Arial"/>
          <w:i/>
          <w:iCs/>
        </w:rPr>
        <w:t>20</w:t>
      </w:r>
      <w:r w:rsidRPr="00997080">
        <w:rPr>
          <w:rFonts w:cs="Arial"/>
        </w:rPr>
        <w:t xml:space="preserve">(1), pp.95-113. Available at: </w:t>
      </w:r>
      <w:hyperlink r:id="rId33" w:history="1">
        <w:r w:rsidRPr="00997080">
          <w:rPr>
            <w:rStyle w:val="Hyperlink"/>
            <w:rFonts w:cs="Arial"/>
          </w:rPr>
          <w:t>https://doi.org/10.1108/MANM-11-2022-0111</w:t>
        </w:r>
      </w:hyperlink>
      <w:r w:rsidRPr="00997080">
        <w:rPr>
          <w:rFonts w:cs="Arial"/>
        </w:rPr>
        <w:t xml:space="preserve"> </w:t>
      </w:r>
    </w:p>
    <w:p w14:paraId="43E9F5FA" w14:textId="2D7AEDC5" w:rsidR="00DC7F9C" w:rsidRPr="00997080" w:rsidRDefault="00DC7F9C" w:rsidP="00DC7F9C">
      <w:pPr>
        <w:rPr>
          <w:rFonts w:cs="Arial"/>
        </w:rPr>
      </w:pPr>
      <w:r w:rsidRPr="00997080">
        <w:rPr>
          <w:rFonts w:cs="Arial"/>
        </w:rPr>
        <w:t>Pandey, K. (2024) Artificial Intelligence (AI) in Electric Vehicle Ecosystems: Challenges, Opportunities, and Models for Accelerated Adoption, </w:t>
      </w:r>
      <w:r w:rsidRPr="00997080">
        <w:rPr>
          <w:rFonts w:cs="Arial"/>
          <w:i/>
          <w:iCs/>
        </w:rPr>
        <w:t>International Journal of Applied Science and Engineering Review</w:t>
      </w:r>
      <w:r w:rsidRPr="00997080">
        <w:rPr>
          <w:rFonts w:cs="Arial"/>
        </w:rPr>
        <w:t>, </w:t>
      </w:r>
      <w:r w:rsidRPr="00997080">
        <w:rPr>
          <w:rFonts w:cs="Arial"/>
          <w:i/>
          <w:iCs/>
        </w:rPr>
        <w:t>5</w:t>
      </w:r>
      <w:r w:rsidRPr="00997080">
        <w:rPr>
          <w:rFonts w:cs="Arial"/>
        </w:rPr>
        <w:t xml:space="preserve">, pp.1-19. Available at: </w:t>
      </w:r>
      <w:hyperlink r:id="rId34" w:history="1">
        <w:r w:rsidRPr="00997080">
          <w:rPr>
            <w:rStyle w:val="Hyperlink"/>
            <w:rFonts w:cs="Arial"/>
          </w:rPr>
          <w:t>https://ijeasm.com/PublishedPaper/5Vol/Issue12/2024IJEASM520243659-ec9380bf-727b-44b1-b267-9a083bceba8957899.pdf</w:t>
        </w:r>
      </w:hyperlink>
      <w:r w:rsidRPr="00997080">
        <w:rPr>
          <w:rFonts w:cs="Arial"/>
        </w:rPr>
        <w:t xml:space="preserve"> (Accessed: 29 June 2026). </w:t>
      </w:r>
    </w:p>
    <w:p w14:paraId="018E441A" w14:textId="1ADD85CB" w:rsidR="00DC7F9C" w:rsidRPr="00997080" w:rsidRDefault="00DC7F9C" w:rsidP="005B170B">
      <w:pPr>
        <w:rPr>
          <w:rFonts w:cs="Arial"/>
        </w:rPr>
      </w:pPr>
      <w:r w:rsidRPr="00997080">
        <w:rPr>
          <w:rFonts w:cs="Arial"/>
        </w:rPr>
        <w:t>Pangarkar, N. and Prabhudesai, R. (2024) Using Porter's Five Forces analysis to drive strategy, </w:t>
      </w:r>
      <w:r w:rsidRPr="00997080">
        <w:rPr>
          <w:rFonts w:cs="Arial"/>
          <w:i/>
          <w:iCs/>
        </w:rPr>
        <w:t>Global Business and Organizational Excellence</w:t>
      </w:r>
      <w:r w:rsidRPr="00997080">
        <w:rPr>
          <w:rFonts w:cs="Arial"/>
        </w:rPr>
        <w:t xml:space="preserve">, 43(5), pp.24-34. Available at: </w:t>
      </w:r>
      <w:hyperlink r:id="rId35" w:history="1">
        <w:r w:rsidRPr="00997080">
          <w:rPr>
            <w:rStyle w:val="Hyperlink"/>
            <w:rFonts w:cs="Arial"/>
          </w:rPr>
          <w:t>https://onlinelibrary.wiley.com/doi/pdf/10.1002/joe.22250</w:t>
        </w:r>
      </w:hyperlink>
    </w:p>
    <w:p w14:paraId="49D74979" w14:textId="3E05118D" w:rsidR="00DC7F9C" w:rsidRPr="00997080" w:rsidRDefault="00DC7F9C" w:rsidP="00DC7F9C">
      <w:pPr>
        <w:rPr>
          <w:rFonts w:cs="Arial"/>
        </w:rPr>
      </w:pPr>
      <w:r w:rsidRPr="00997080">
        <w:rPr>
          <w:rFonts w:cs="Arial"/>
        </w:rPr>
        <w:t>Piila, N., Sarja, M., Onkila, T. and Mäkelä, M. (2022) Organisational drivers and challenges in circular economy implementation: An issue life cycle approach, </w:t>
      </w:r>
      <w:r w:rsidRPr="00997080">
        <w:rPr>
          <w:rFonts w:cs="Arial"/>
          <w:i/>
          <w:iCs/>
        </w:rPr>
        <w:t>Organization &amp; Environment</w:t>
      </w:r>
      <w:r w:rsidRPr="00997080">
        <w:rPr>
          <w:rFonts w:cs="Arial"/>
        </w:rPr>
        <w:t>, </w:t>
      </w:r>
      <w:r w:rsidRPr="00997080">
        <w:rPr>
          <w:rFonts w:cs="Arial"/>
          <w:i/>
          <w:iCs/>
        </w:rPr>
        <w:t>35</w:t>
      </w:r>
      <w:r w:rsidRPr="00997080">
        <w:rPr>
          <w:rFonts w:cs="Arial"/>
        </w:rPr>
        <w:t xml:space="preserve">(4), pp.523-550. Available at: </w:t>
      </w:r>
      <w:hyperlink r:id="rId36" w:history="1">
        <w:r w:rsidRPr="00997080">
          <w:rPr>
            <w:rStyle w:val="Hyperlink"/>
            <w:rFonts w:cs="Arial"/>
          </w:rPr>
          <w:t>https://doi.org/10.1177/10860266221099658</w:t>
        </w:r>
      </w:hyperlink>
      <w:r w:rsidRPr="00997080">
        <w:rPr>
          <w:rFonts w:cs="Arial"/>
        </w:rPr>
        <w:t xml:space="preserve"> </w:t>
      </w:r>
    </w:p>
    <w:p w14:paraId="632A915B" w14:textId="21D46C9B" w:rsidR="00DC7F9C" w:rsidRPr="00997080" w:rsidRDefault="00DC7F9C" w:rsidP="005B170B">
      <w:pPr>
        <w:rPr>
          <w:rFonts w:cs="Arial"/>
        </w:rPr>
      </w:pPr>
      <w:r w:rsidRPr="00997080">
        <w:rPr>
          <w:rFonts w:cs="Arial"/>
        </w:rPr>
        <w:t>Rana, K. and Khatri, N. (2024) Automotive intelligence: Unleashing the potential of AI beyond advance driver assisting system, a comprehensive review, </w:t>
      </w:r>
      <w:r w:rsidRPr="00997080">
        <w:rPr>
          <w:rFonts w:cs="Arial"/>
          <w:i/>
          <w:iCs/>
        </w:rPr>
        <w:t>Computers and Electrical Engineering</w:t>
      </w:r>
      <w:r w:rsidRPr="00997080">
        <w:rPr>
          <w:rFonts w:cs="Arial"/>
        </w:rPr>
        <w:t xml:space="preserve">, 117. Available at: </w:t>
      </w:r>
      <w:hyperlink r:id="rId37" w:history="1">
        <w:r w:rsidRPr="00997080">
          <w:rPr>
            <w:rStyle w:val="Hyperlink"/>
            <w:rFonts w:cs="Arial"/>
          </w:rPr>
          <w:t>https://www.sciencedirect.com/science/article/pii/S0045790624001654</w:t>
        </w:r>
      </w:hyperlink>
    </w:p>
    <w:p w14:paraId="731732A9" w14:textId="45AB4184" w:rsidR="00DC7F9C" w:rsidRPr="00997080" w:rsidRDefault="00DC7F9C" w:rsidP="005B170B">
      <w:pPr>
        <w:rPr>
          <w:rFonts w:cs="Arial"/>
        </w:rPr>
      </w:pPr>
      <w:r w:rsidRPr="00997080">
        <w:rPr>
          <w:rFonts w:cs="Arial"/>
        </w:rPr>
        <w:t>Ruggieri, R., Ruggeri, M., Vinci, G. and Poponi, S. (2021) Electric mobility in a smart city: European overview, </w:t>
      </w:r>
      <w:r w:rsidRPr="00997080">
        <w:rPr>
          <w:rFonts w:cs="Arial"/>
          <w:i/>
          <w:iCs/>
        </w:rPr>
        <w:t>Energies</w:t>
      </w:r>
      <w:r w:rsidRPr="00997080">
        <w:rPr>
          <w:rFonts w:cs="Arial"/>
        </w:rPr>
        <w:t xml:space="preserve">, 14(2), p.315. </w:t>
      </w:r>
      <w:hyperlink r:id="rId38" w:history="1">
        <w:r w:rsidRPr="00997080">
          <w:rPr>
            <w:rStyle w:val="Hyperlink"/>
            <w:rFonts w:cs="Arial"/>
          </w:rPr>
          <w:t>https://www.mdpi.com/1996-1073/14/2/315</w:t>
        </w:r>
      </w:hyperlink>
    </w:p>
    <w:p w14:paraId="5BFF7F18" w14:textId="70B7B3E5" w:rsidR="00DC7F9C" w:rsidRPr="00997080" w:rsidRDefault="00DC7F9C" w:rsidP="00DC7F9C">
      <w:pPr>
        <w:rPr>
          <w:rFonts w:cs="Arial"/>
        </w:rPr>
      </w:pPr>
      <w:r w:rsidRPr="00997080">
        <w:rPr>
          <w:rFonts w:cs="Arial"/>
        </w:rPr>
        <w:t>Shamsuddoha, M. and Nasir, T. (2025) The road ahead for hybrid or electric vehicles in developing countries: market growth, infrastructure, and policy needs, </w:t>
      </w:r>
      <w:r w:rsidRPr="00997080">
        <w:rPr>
          <w:rFonts w:cs="Arial"/>
          <w:i/>
          <w:iCs/>
        </w:rPr>
        <w:t>World Electric Vehicle Journal</w:t>
      </w:r>
      <w:r w:rsidRPr="00997080">
        <w:rPr>
          <w:rFonts w:cs="Arial"/>
        </w:rPr>
        <w:t>, </w:t>
      </w:r>
      <w:r w:rsidRPr="00997080">
        <w:rPr>
          <w:rFonts w:cs="Arial"/>
          <w:i/>
          <w:iCs/>
        </w:rPr>
        <w:t>16</w:t>
      </w:r>
      <w:r w:rsidRPr="00997080">
        <w:rPr>
          <w:rFonts w:cs="Arial"/>
        </w:rPr>
        <w:t xml:space="preserve">(3), p.180. Available at: </w:t>
      </w:r>
      <w:hyperlink r:id="rId39" w:history="1">
        <w:r w:rsidRPr="00997080">
          <w:rPr>
            <w:rStyle w:val="Hyperlink"/>
            <w:rFonts w:cs="Arial"/>
          </w:rPr>
          <w:t>https://doi.org/10.3390/wevj16030180</w:t>
        </w:r>
      </w:hyperlink>
      <w:r w:rsidRPr="00997080">
        <w:rPr>
          <w:rFonts w:cs="Arial"/>
        </w:rPr>
        <w:t xml:space="preserve"> </w:t>
      </w:r>
    </w:p>
    <w:p w14:paraId="73BBA5BD" w14:textId="77777777" w:rsidR="00DC7F9C" w:rsidRPr="00997080" w:rsidRDefault="00DC7F9C" w:rsidP="005B170B">
      <w:pPr>
        <w:rPr>
          <w:rFonts w:cs="Arial"/>
        </w:rPr>
      </w:pPr>
      <w:r w:rsidRPr="00997080">
        <w:rPr>
          <w:rFonts w:cs="Arial"/>
        </w:rPr>
        <w:t xml:space="preserve">Statista Research Department. (2025) </w:t>
      </w:r>
      <w:r w:rsidRPr="00997080">
        <w:rPr>
          <w:rFonts w:cs="Arial"/>
          <w:i/>
          <w:iCs/>
        </w:rPr>
        <w:t>Annual new electric car registrations in the United Kingdom between 2015 and 2023</w:t>
      </w:r>
      <w:r w:rsidRPr="00997080">
        <w:rPr>
          <w:rFonts w:cs="Arial"/>
        </w:rPr>
        <w:t xml:space="preserve">. Available at: </w:t>
      </w:r>
      <w:hyperlink r:id="rId40" w:history="1">
        <w:r w:rsidRPr="00997080">
          <w:rPr>
            <w:rStyle w:val="Hyperlink"/>
            <w:rFonts w:cs="Arial"/>
          </w:rPr>
          <w:t>https://www.statista.com/statistics/1411261/uk-annual-electric-vehicle-sales/?srsltid=AfmBOooejF7i-4FcHWMXbCPTUMSB6LtfSZU2NlOsLfYKKYmDBm3eDBO4</w:t>
        </w:r>
      </w:hyperlink>
      <w:r w:rsidRPr="00997080">
        <w:rPr>
          <w:rFonts w:cs="Arial"/>
        </w:rPr>
        <w:t xml:space="preserve"> (Accessed: 29 June 2026).</w:t>
      </w:r>
    </w:p>
    <w:p w14:paraId="00D244B1" w14:textId="2E44A5F9" w:rsidR="00DC7F9C" w:rsidRPr="00997080" w:rsidRDefault="00DC7F9C" w:rsidP="00DC7F9C">
      <w:pPr>
        <w:rPr>
          <w:rFonts w:cs="Arial"/>
        </w:rPr>
      </w:pPr>
      <w:r w:rsidRPr="00997080">
        <w:rPr>
          <w:rFonts w:cs="Arial"/>
        </w:rPr>
        <w:t>Xiong, W., Wu, D.D. and Yeung, J.H. (2025) Semiconductor supply chain resilience and disruption: insights, mitigation, and future directions, </w:t>
      </w:r>
      <w:r w:rsidRPr="00997080">
        <w:rPr>
          <w:rFonts w:cs="Arial"/>
          <w:i/>
          <w:iCs/>
        </w:rPr>
        <w:t>International Journal of Production Research</w:t>
      </w:r>
      <w:r w:rsidRPr="00997080">
        <w:rPr>
          <w:rFonts w:cs="Arial"/>
        </w:rPr>
        <w:t>, </w:t>
      </w:r>
      <w:r w:rsidRPr="00997080">
        <w:rPr>
          <w:rFonts w:cs="Arial"/>
          <w:i/>
          <w:iCs/>
        </w:rPr>
        <w:t>63</w:t>
      </w:r>
      <w:r w:rsidRPr="00997080">
        <w:rPr>
          <w:rFonts w:cs="Arial"/>
        </w:rPr>
        <w:t xml:space="preserve">(9), pp.3442-3465. Available at: </w:t>
      </w:r>
      <w:hyperlink r:id="rId41" w:history="1">
        <w:r w:rsidRPr="00997080">
          <w:rPr>
            <w:rStyle w:val="Hyperlink"/>
            <w:rFonts w:cs="Arial"/>
          </w:rPr>
          <w:t>https://doi.org/10.1080/00207543.2024.2387074</w:t>
        </w:r>
      </w:hyperlink>
      <w:r w:rsidRPr="00997080">
        <w:rPr>
          <w:rFonts w:cs="Arial"/>
        </w:rPr>
        <w:t xml:space="preserve"> </w:t>
      </w:r>
    </w:p>
    <w:p w14:paraId="66F54AEE" w14:textId="77777777" w:rsidR="00DC7F9C" w:rsidRPr="00F23650" w:rsidRDefault="00DC7F9C" w:rsidP="005B170B">
      <w:pPr>
        <w:rPr>
          <w:rFonts w:cs="Arial"/>
        </w:rPr>
      </w:pPr>
      <w:r w:rsidRPr="00997080">
        <w:rPr>
          <w:rFonts w:cs="Arial"/>
        </w:rPr>
        <w:lastRenderedPageBreak/>
        <w:t xml:space="preserve">Yoo, H. (2026) </w:t>
      </w:r>
      <w:r w:rsidRPr="00997080">
        <w:rPr>
          <w:rFonts w:cs="Arial"/>
          <w:i/>
          <w:iCs/>
        </w:rPr>
        <w:t>Ford in the UK - Statistics &amp; Facts</w:t>
      </w:r>
      <w:r w:rsidRPr="00997080">
        <w:rPr>
          <w:rFonts w:cs="Arial"/>
        </w:rPr>
        <w:t xml:space="preserve">. Available at: </w:t>
      </w:r>
      <w:hyperlink r:id="rId42" w:anchor="topicOverview" w:history="1">
        <w:r w:rsidRPr="00997080">
          <w:rPr>
            <w:rStyle w:val="Hyperlink"/>
            <w:rFonts w:cs="Arial"/>
          </w:rPr>
          <w:t>https://www.statista.com/topics/5521/ford-in-the-uk/?srsltid=AfmBOorjRsGSfTJb84O1kAyUzUqAH8azKWLEpaAEQqm8PO0t6yqJV2Y5#topicOverview</w:t>
        </w:r>
      </w:hyperlink>
      <w:r w:rsidRPr="00997080">
        <w:rPr>
          <w:rFonts w:cs="Arial"/>
        </w:rPr>
        <w:t xml:space="preserve"> (Accessed: 29 June 2026).</w:t>
      </w:r>
    </w:p>
    <w:p w14:paraId="57793BE2" w14:textId="77777777" w:rsidR="00853354" w:rsidRPr="00F23650" w:rsidRDefault="00853354" w:rsidP="005B170B">
      <w:pPr>
        <w:rPr>
          <w:rFonts w:cs="Arial"/>
        </w:rPr>
      </w:pPr>
    </w:p>
    <w:p w14:paraId="1886D363" w14:textId="77777777" w:rsidR="008548C2" w:rsidRPr="00F23650" w:rsidRDefault="008548C2" w:rsidP="005B170B">
      <w:pPr>
        <w:rPr>
          <w:rFonts w:cs="Arial"/>
        </w:rPr>
      </w:pPr>
    </w:p>
    <w:sectPr w:rsidR="008548C2" w:rsidRPr="00F23650">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25E15D" w14:textId="77777777" w:rsidR="007605E6" w:rsidRDefault="007605E6" w:rsidP="00CC1931">
      <w:pPr>
        <w:spacing w:after="0" w:line="240" w:lineRule="auto"/>
      </w:pPr>
      <w:r>
        <w:separator/>
      </w:r>
    </w:p>
  </w:endnote>
  <w:endnote w:type="continuationSeparator" w:id="0">
    <w:p w14:paraId="427106BB" w14:textId="77777777" w:rsidR="007605E6" w:rsidRDefault="007605E6" w:rsidP="00CC1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CB44BB" w14:textId="77777777" w:rsidR="007605E6" w:rsidRDefault="007605E6" w:rsidP="00CC1931">
      <w:pPr>
        <w:spacing w:after="0" w:line="240" w:lineRule="auto"/>
      </w:pPr>
      <w:r>
        <w:separator/>
      </w:r>
    </w:p>
  </w:footnote>
  <w:footnote w:type="continuationSeparator" w:id="0">
    <w:p w14:paraId="39698F7C" w14:textId="77777777" w:rsidR="007605E6" w:rsidRDefault="007605E6" w:rsidP="00CC19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5941758"/>
      <w:docPartObj>
        <w:docPartGallery w:val="Page Numbers (Top of Page)"/>
        <w:docPartUnique/>
      </w:docPartObj>
    </w:sdtPr>
    <w:sdtEndPr>
      <w:rPr>
        <w:noProof/>
      </w:rPr>
    </w:sdtEndPr>
    <w:sdtContent>
      <w:p w14:paraId="36C0797C" w14:textId="79B8B74B" w:rsidR="00CC1931" w:rsidRDefault="00CC193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3E32933" w14:textId="77777777" w:rsidR="00CC1931" w:rsidRDefault="00CC19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41665"/>
    <w:multiLevelType w:val="hybridMultilevel"/>
    <w:tmpl w:val="85904BE0"/>
    <w:lvl w:ilvl="0" w:tplc="08090011">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64B19A8"/>
    <w:multiLevelType w:val="hybridMultilevel"/>
    <w:tmpl w:val="A642D104"/>
    <w:lvl w:ilvl="0" w:tplc="0809000F">
      <w:start w:val="1"/>
      <w:numFmt w:val="decimal"/>
      <w:lvlText w:val="%1."/>
      <w:lvlJc w:val="left"/>
      <w:pPr>
        <w:ind w:left="720" w:hanging="360"/>
      </w:pPr>
      <w:rPr>
        <w:rFonts w:eastAsia="Times New Roman"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9DB6EAC"/>
    <w:multiLevelType w:val="hybridMultilevel"/>
    <w:tmpl w:val="CA8274CC"/>
    <w:lvl w:ilvl="0" w:tplc="0809000F">
      <w:start w:val="1"/>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0479039">
    <w:abstractNumId w:val="2"/>
  </w:num>
  <w:num w:numId="2" w16cid:durableId="1761874613">
    <w:abstractNumId w:val="1"/>
  </w:num>
  <w:num w:numId="3" w16cid:durableId="1447963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EF8"/>
    <w:rsid w:val="000005AD"/>
    <w:rsid w:val="0000179D"/>
    <w:rsid w:val="0000207B"/>
    <w:rsid w:val="00007376"/>
    <w:rsid w:val="0001214D"/>
    <w:rsid w:val="00014095"/>
    <w:rsid w:val="00017598"/>
    <w:rsid w:val="00025F9D"/>
    <w:rsid w:val="000351D0"/>
    <w:rsid w:val="000358DF"/>
    <w:rsid w:val="00036917"/>
    <w:rsid w:val="00041049"/>
    <w:rsid w:val="000420A5"/>
    <w:rsid w:val="00042848"/>
    <w:rsid w:val="00044771"/>
    <w:rsid w:val="000453E3"/>
    <w:rsid w:val="00045A5D"/>
    <w:rsid w:val="000464D3"/>
    <w:rsid w:val="00051D3C"/>
    <w:rsid w:val="00052D54"/>
    <w:rsid w:val="00053DDF"/>
    <w:rsid w:val="00054298"/>
    <w:rsid w:val="00071409"/>
    <w:rsid w:val="00075FE1"/>
    <w:rsid w:val="00080F27"/>
    <w:rsid w:val="000830DA"/>
    <w:rsid w:val="000849DD"/>
    <w:rsid w:val="00085807"/>
    <w:rsid w:val="000871F1"/>
    <w:rsid w:val="0009088B"/>
    <w:rsid w:val="00091C5B"/>
    <w:rsid w:val="00092A6C"/>
    <w:rsid w:val="0009625B"/>
    <w:rsid w:val="000A6FEC"/>
    <w:rsid w:val="000A7C73"/>
    <w:rsid w:val="000B3585"/>
    <w:rsid w:val="000B5BAC"/>
    <w:rsid w:val="000C3577"/>
    <w:rsid w:val="000C4A68"/>
    <w:rsid w:val="000C5667"/>
    <w:rsid w:val="000D1EBE"/>
    <w:rsid w:val="000D49E4"/>
    <w:rsid w:val="000E02CB"/>
    <w:rsid w:val="000E172E"/>
    <w:rsid w:val="000E2B33"/>
    <w:rsid w:val="000F25B1"/>
    <w:rsid w:val="000F2BA6"/>
    <w:rsid w:val="001027C6"/>
    <w:rsid w:val="00104983"/>
    <w:rsid w:val="00104C28"/>
    <w:rsid w:val="00104D20"/>
    <w:rsid w:val="00112A32"/>
    <w:rsid w:val="001141A0"/>
    <w:rsid w:val="0011468A"/>
    <w:rsid w:val="00120778"/>
    <w:rsid w:val="001216BC"/>
    <w:rsid w:val="00121867"/>
    <w:rsid w:val="00121944"/>
    <w:rsid w:val="00123DF9"/>
    <w:rsid w:val="00124221"/>
    <w:rsid w:val="00130288"/>
    <w:rsid w:val="001328A2"/>
    <w:rsid w:val="001332CE"/>
    <w:rsid w:val="0013355F"/>
    <w:rsid w:val="00133D7E"/>
    <w:rsid w:val="001343E5"/>
    <w:rsid w:val="00134B9E"/>
    <w:rsid w:val="00136AEE"/>
    <w:rsid w:val="00137400"/>
    <w:rsid w:val="00140309"/>
    <w:rsid w:val="001413E2"/>
    <w:rsid w:val="001436DA"/>
    <w:rsid w:val="001437DC"/>
    <w:rsid w:val="00145053"/>
    <w:rsid w:val="00151F7D"/>
    <w:rsid w:val="00152A5D"/>
    <w:rsid w:val="00153AB4"/>
    <w:rsid w:val="00154514"/>
    <w:rsid w:val="001568DA"/>
    <w:rsid w:val="00157E79"/>
    <w:rsid w:val="001844FC"/>
    <w:rsid w:val="00185A13"/>
    <w:rsid w:val="0019103E"/>
    <w:rsid w:val="001927F9"/>
    <w:rsid w:val="00193CF1"/>
    <w:rsid w:val="00193FE8"/>
    <w:rsid w:val="00194223"/>
    <w:rsid w:val="00196885"/>
    <w:rsid w:val="001A3FCF"/>
    <w:rsid w:val="001A4627"/>
    <w:rsid w:val="001A6ADF"/>
    <w:rsid w:val="001B07A9"/>
    <w:rsid w:val="001B1600"/>
    <w:rsid w:val="001B442E"/>
    <w:rsid w:val="001B4535"/>
    <w:rsid w:val="001B49EA"/>
    <w:rsid w:val="001B668D"/>
    <w:rsid w:val="001B6CD4"/>
    <w:rsid w:val="001C0E60"/>
    <w:rsid w:val="001C63D2"/>
    <w:rsid w:val="001D12FB"/>
    <w:rsid w:val="001D180F"/>
    <w:rsid w:val="001D1BE8"/>
    <w:rsid w:val="001D240A"/>
    <w:rsid w:val="001D4B9B"/>
    <w:rsid w:val="001D4CA4"/>
    <w:rsid w:val="001E5A4F"/>
    <w:rsid w:val="001E6449"/>
    <w:rsid w:val="001F3205"/>
    <w:rsid w:val="001F3B68"/>
    <w:rsid w:val="001F4891"/>
    <w:rsid w:val="001F4909"/>
    <w:rsid w:val="0020255D"/>
    <w:rsid w:val="0020395E"/>
    <w:rsid w:val="00203AF0"/>
    <w:rsid w:val="00212CD0"/>
    <w:rsid w:val="00213B5D"/>
    <w:rsid w:val="00215E0A"/>
    <w:rsid w:val="00220DF8"/>
    <w:rsid w:val="00220E60"/>
    <w:rsid w:val="00221772"/>
    <w:rsid w:val="00226050"/>
    <w:rsid w:val="002402F0"/>
    <w:rsid w:val="002409F4"/>
    <w:rsid w:val="002463BA"/>
    <w:rsid w:val="002468F5"/>
    <w:rsid w:val="00247CC8"/>
    <w:rsid w:val="00253215"/>
    <w:rsid w:val="00253BFA"/>
    <w:rsid w:val="00255EA4"/>
    <w:rsid w:val="00255EF8"/>
    <w:rsid w:val="00256F49"/>
    <w:rsid w:val="002572F9"/>
    <w:rsid w:val="00263215"/>
    <w:rsid w:val="00263657"/>
    <w:rsid w:val="00270BBF"/>
    <w:rsid w:val="002722BB"/>
    <w:rsid w:val="00273CFD"/>
    <w:rsid w:val="00276151"/>
    <w:rsid w:val="002773F4"/>
    <w:rsid w:val="0028393B"/>
    <w:rsid w:val="00283E6F"/>
    <w:rsid w:val="00287384"/>
    <w:rsid w:val="00287D20"/>
    <w:rsid w:val="00290FA7"/>
    <w:rsid w:val="00291192"/>
    <w:rsid w:val="00291349"/>
    <w:rsid w:val="00291F14"/>
    <w:rsid w:val="00295AB7"/>
    <w:rsid w:val="00296ECC"/>
    <w:rsid w:val="002A0471"/>
    <w:rsid w:val="002A0527"/>
    <w:rsid w:val="002A2714"/>
    <w:rsid w:val="002A2B2E"/>
    <w:rsid w:val="002A3723"/>
    <w:rsid w:val="002A40F5"/>
    <w:rsid w:val="002A431B"/>
    <w:rsid w:val="002A554D"/>
    <w:rsid w:val="002B10DE"/>
    <w:rsid w:val="002B335B"/>
    <w:rsid w:val="002B434A"/>
    <w:rsid w:val="002B517F"/>
    <w:rsid w:val="002B6FB9"/>
    <w:rsid w:val="002B75BB"/>
    <w:rsid w:val="002B7CCD"/>
    <w:rsid w:val="002C04B0"/>
    <w:rsid w:val="002C5E57"/>
    <w:rsid w:val="002C6FCC"/>
    <w:rsid w:val="002C70F6"/>
    <w:rsid w:val="002C7E1D"/>
    <w:rsid w:val="002D0FC2"/>
    <w:rsid w:val="002D1506"/>
    <w:rsid w:val="002D32DD"/>
    <w:rsid w:val="002D34A3"/>
    <w:rsid w:val="002D550E"/>
    <w:rsid w:val="002D69F5"/>
    <w:rsid w:val="002D7F7C"/>
    <w:rsid w:val="002D7F8C"/>
    <w:rsid w:val="002E079E"/>
    <w:rsid w:val="002E0AD4"/>
    <w:rsid w:val="002E6AAA"/>
    <w:rsid w:val="002F0420"/>
    <w:rsid w:val="00300889"/>
    <w:rsid w:val="0030188F"/>
    <w:rsid w:val="00301FF9"/>
    <w:rsid w:val="00304D54"/>
    <w:rsid w:val="00305FE8"/>
    <w:rsid w:val="00306D38"/>
    <w:rsid w:val="003072B3"/>
    <w:rsid w:val="00307A57"/>
    <w:rsid w:val="00310F41"/>
    <w:rsid w:val="00312333"/>
    <w:rsid w:val="00315B05"/>
    <w:rsid w:val="00317E0E"/>
    <w:rsid w:val="00323CFD"/>
    <w:rsid w:val="00324E37"/>
    <w:rsid w:val="003264DC"/>
    <w:rsid w:val="0033131B"/>
    <w:rsid w:val="00333102"/>
    <w:rsid w:val="003337E0"/>
    <w:rsid w:val="00335996"/>
    <w:rsid w:val="003417C5"/>
    <w:rsid w:val="00341D79"/>
    <w:rsid w:val="00342335"/>
    <w:rsid w:val="003427ED"/>
    <w:rsid w:val="00343E7D"/>
    <w:rsid w:val="00344788"/>
    <w:rsid w:val="0034605C"/>
    <w:rsid w:val="0034622D"/>
    <w:rsid w:val="00350A7E"/>
    <w:rsid w:val="00351706"/>
    <w:rsid w:val="0035196C"/>
    <w:rsid w:val="003533E9"/>
    <w:rsid w:val="00354AA5"/>
    <w:rsid w:val="00356698"/>
    <w:rsid w:val="0036136B"/>
    <w:rsid w:val="003711B1"/>
    <w:rsid w:val="00371CF7"/>
    <w:rsid w:val="00372EB4"/>
    <w:rsid w:val="00374FEE"/>
    <w:rsid w:val="00375D67"/>
    <w:rsid w:val="00376B7B"/>
    <w:rsid w:val="00382F7F"/>
    <w:rsid w:val="00384756"/>
    <w:rsid w:val="003A1954"/>
    <w:rsid w:val="003A5117"/>
    <w:rsid w:val="003B0677"/>
    <w:rsid w:val="003B26B7"/>
    <w:rsid w:val="003B3746"/>
    <w:rsid w:val="003B37B7"/>
    <w:rsid w:val="003B4FB1"/>
    <w:rsid w:val="003C1B79"/>
    <w:rsid w:val="003C2126"/>
    <w:rsid w:val="003C6372"/>
    <w:rsid w:val="003D0458"/>
    <w:rsid w:val="003D264A"/>
    <w:rsid w:val="003D4349"/>
    <w:rsid w:val="003D7005"/>
    <w:rsid w:val="003D7241"/>
    <w:rsid w:val="003E0FD4"/>
    <w:rsid w:val="003E223B"/>
    <w:rsid w:val="003E303F"/>
    <w:rsid w:val="003E32AA"/>
    <w:rsid w:val="003E46D4"/>
    <w:rsid w:val="003E543B"/>
    <w:rsid w:val="003E616A"/>
    <w:rsid w:val="003E7421"/>
    <w:rsid w:val="003F1C1A"/>
    <w:rsid w:val="003F3CD2"/>
    <w:rsid w:val="003F3EC4"/>
    <w:rsid w:val="003F4AF0"/>
    <w:rsid w:val="003F73FB"/>
    <w:rsid w:val="004000C5"/>
    <w:rsid w:val="004016BC"/>
    <w:rsid w:val="00405269"/>
    <w:rsid w:val="00413022"/>
    <w:rsid w:val="00415323"/>
    <w:rsid w:val="004169E5"/>
    <w:rsid w:val="004200DD"/>
    <w:rsid w:val="0042589D"/>
    <w:rsid w:val="00427C5C"/>
    <w:rsid w:val="004322FE"/>
    <w:rsid w:val="00433936"/>
    <w:rsid w:val="004366DF"/>
    <w:rsid w:val="0044290A"/>
    <w:rsid w:val="00443188"/>
    <w:rsid w:val="004446AD"/>
    <w:rsid w:val="00445FE5"/>
    <w:rsid w:val="004530F4"/>
    <w:rsid w:val="00453FC4"/>
    <w:rsid w:val="00454116"/>
    <w:rsid w:val="00455166"/>
    <w:rsid w:val="004611D4"/>
    <w:rsid w:val="0046120A"/>
    <w:rsid w:val="0046183C"/>
    <w:rsid w:val="00464D07"/>
    <w:rsid w:val="00466048"/>
    <w:rsid w:val="004667A1"/>
    <w:rsid w:val="00466EAB"/>
    <w:rsid w:val="00471714"/>
    <w:rsid w:val="00472F02"/>
    <w:rsid w:val="004742B5"/>
    <w:rsid w:val="004762C8"/>
    <w:rsid w:val="00476670"/>
    <w:rsid w:val="0047769B"/>
    <w:rsid w:val="0048286A"/>
    <w:rsid w:val="0048540B"/>
    <w:rsid w:val="00485B34"/>
    <w:rsid w:val="00490202"/>
    <w:rsid w:val="00491447"/>
    <w:rsid w:val="0049229E"/>
    <w:rsid w:val="00496160"/>
    <w:rsid w:val="004A1FE7"/>
    <w:rsid w:val="004A3820"/>
    <w:rsid w:val="004A46E1"/>
    <w:rsid w:val="004A4F9B"/>
    <w:rsid w:val="004A7E8B"/>
    <w:rsid w:val="004B5C9F"/>
    <w:rsid w:val="004B652A"/>
    <w:rsid w:val="004B73D2"/>
    <w:rsid w:val="004C2DBD"/>
    <w:rsid w:val="004D17EF"/>
    <w:rsid w:val="004D6064"/>
    <w:rsid w:val="004E0639"/>
    <w:rsid w:val="004F1166"/>
    <w:rsid w:val="004F3CC3"/>
    <w:rsid w:val="004F4213"/>
    <w:rsid w:val="004F52B5"/>
    <w:rsid w:val="004F6922"/>
    <w:rsid w:val="00500216"/>
    <w:rsid w:val="00500669"/>
    <w:rsid w:val="00504450"/>
    <w:rsid w:val="00504BA4"/>
    <w:rsid w:val="0050530A"/>
    <w:rsid w:val="00505E6C"/>
    <w:rsid w:val="00514DEB"/>
    <w:rsid w:val="00515879"/>
    <w:rsid w:val="00516114"/>
    <w:rsid w:val="005215D7"/>
    <w:rsid w:val="00521BB0"/>
    <w:rsid w:val="005224DB"/>
    <w:rsid w:val="00522F6E"/>
    <w:rsid w:val="00526F39"/>
    <w:rsid w:val="00530295"/>
    <w:rsid w:val="00531179"/>
    <w:rsid w:val="00531D59"/>
    <w:rsid w:val="0053352F"/>
    <w:rsid w:val="00533D7A"/>
    <w:rsid w:val="0053708C"/>
    <w:rsid w:val="005373C5"/>
    <w:rsid w:val="005414E0"/>
    <w:rsid w:val="00544434"/>
    <w:rsid w:val="00544C58"/>
    <w:rsid w:val="00551C95"/>
    <w:rsid w:val="0055229F"/>
    <w:rsid w:val="005532B0"/>
    <w:rsid w:val="00553D05"/>
    <w:rsid w:val="00553D52"/>
    <w:rsid w:val="005562AF"/>
    <w:rsid w:val="005601F2"/>
    <w:rsid w:val="00562364"/>
    <w:rsid w:val="005652C5"/>
    <w:rsid w:val="00565CCA"/>
    <w:rsid w:val="00566A6C"/>
    <w:rsid w:val="00566D1A"/>
    <w:rsid w:val="00567198"/>
    <w:rsid w:val="00572DCE"/>
    <w:rsid w:val="005739E7"/>
    <w:rsid w:val="00575582"/>
    <w:rsid w:val="00576F3B"/>
    <w:rsid w:val="00582C0D"/>
    <w:rsid w:val="00585448"/>
    <w:rsid w:val="005877A2"/>
    <w:rsid w:val="0059067A"/>
    <w:rsid w:val="00590EC5"/>
    <w:rsid w:val="00591BC8"/>
    <w:rsid w:val="0059335F"/>
    <w:rsid w:val="005958B1"/>
    <w:rsid w:val="00597582"/>
    <w:rsid w:val="005A2CD0"/>
    <w:rsid w:val="005A74B7"/>
    <w:rsid w:val="005A7785"/>
    <w:rsid w:val="005B1515"/>
    <w:rsid w:val="005B170B"/>
    <w:rsid w:val="005B19B9"/>
    <w:rsid w:val="005B4CD7"/>
    <w:rsid w:val="005C0FAE"/>
    <w:rsid w:val="005C3E74"/>
    <w:rsid w:val="005C43A1"/>
    <w:rsid w:val="005C79DE"/>
    <w:rsid w:val="005D3E08"/>
    <w:rsid w:val="005D45AC"/>
    <w:rsid w:val="005D4AA8"/>
    <w:rsid w:val="005D5539"/>
    <w:rsid w:val="005D65AF"/>
    <w:rsid w:val="005E1D9A"/>
    <w:rsid w:val="005E1F61"/>
    <w:rsid w:val="005E336E"/>
    <w:rsid w:val="005E3D89"/>
    <w:rsid w:val="005E56ED"/>
    <w:rsid w:val="005E58D2"/>
    <w:rsid w:val="005F015B"/>
    <w:rsid w:val="005F0C78"/>
    <w:rsid w:val="005F1E4F"/>
    <w:rsid w:val="005F403E"/>
    <w:rsid w:val="005F565C"/>
    <w:rsid w:val="005F633B"/>
    <w:rsid w:val="005F7E76"/>
    <w:rsid w:val="005F7E8E"/>
    <w:rsid w:val="005F7FE2"/>
    <w:rsid w:val="00602506"/>
    <w:rsid w:val="006048B0"/>
    <w:rsid w:val="00604B17"/>
    <w:rsid w:val="00610530"/>
    <w:rsid w:val="006130F2"/>
    <w:rsid w:val="00615424"/>
    <w:rsid w:val="0062195E"/>
    <w:rsid w:val="00630284"/>
    <w:rsid w:val="006306F3"/>
    <w:rsid w:val="006315AE"/>
    <w:rsid w:val="006318F2"/>
    <w:rsid w:val="006340A4"/>
    <w:rsid w:val="006355C4"/>
    <w:rsid w:val="00636493"/>
    <w:rsid w:val="00643247"/>
    <w:rsid w:val="00645A8E"/>
    <w:rsid w:val="006511C1"/>
    <w:rsid w:val="00652A3C"/>
    <w:rsid w:val="006544F9"/>
    <w:rsid w:val="0065609A"/>
    <w:rsid w:val="006605F6"/>
    <w:rsid w:val="00660D14"/>
    <w:rsid w:val="00660E60"/>
    <w:rsid w:val="006615B7"/>
    <w:rsid w:val="0066709F"/>
    <w:rsid w:val="006671EF"/>
    <w:rsid w:val="00670C09"/>
    <w:rsid w:val="00674584"/>
    <w:rsid w:val="00674EC8"/>
    <w:rsid w:val="00680032"/>
    <w:rsid w:val="00680CE8"/>
    <w:rsid w:val="00681359"/>
    <w:rsid w:val="0068403A"/>
    <w:rsid w:val="00686C9C"/>
    <w:rsid w:val="006875C8"/>
    <w:rsid w:val="00690550"/>
    <w:rsid w:val="00693A8E"/>
    <w:rsid w:val="006963E8"/>
    <w:rsid w:val="006A125A"/>
    <w:rsid w:val="006A167E"/>
    <w:rsid w:val="006A20D3"/>
    <w:rsid w:val="006A35E3"/>
    <w:rsid w:val="006A4B26"/>
    <w:rsid w:val="006A5F32"/>
    <w:rsid w:val="006B1415"/>
    <w:rsid w:val="006B1694"/>
    <w:rsid w:val="006B27DE"/>
    <w:rsid w:val="006B393B"/>
    <w:rsid w:val="006B6D98"/>
    <w:rsid w:val="006B7356"/>
    <w:rsid w:val="006C057A"/>
    <w:rsid w:val="006C1C3A"/>
    <w:rsid w:val="006C2F19"/>
    <w:rsid w:val="006C3759"/>
    <w:rsid w:val="006C524D"/>
    <w:rsid w:val="006C596F"/>
    <w:rsid w:val="006C67A3"/>
    <w:rsid w:val="006C79C6"/>
    <w:rsid w:val="006D0330"/>
    <w:rsid w:val="006D0A05"/>
    <w:rsid w:val="006D5EBD"/>
    <w:rsid w:val="006D68D9"/>
    <w:rsid w:val="006E227E"/>
    <w:rsid w:val="006E63CC"/>
    <w:rsid w:val="006F160F"/>
    <w:rsid w:val="006F71DC"/>
    <w:rsid w:val="006F7D4D"/>
    <w:rsid w:val="00701145"/>
    <w:rsid w:val="007060B3"/>
    <w:rsid w:val="0071105E"/>
    <w:rsid w:val="007116B0"/>
    <w:rsid w:val="00711E8D"/>
    <w:rsid w:val="007157AD"/>
    <w:rsid w:val="00720893"/>
    <w:rsid w:val="007209D7"/>
    <w:rsid w:val="00722AA3"/>
    <w:rsid w:val="007231EE"/>
    <w:rsid w:val="00723634"/>
    <w:rsid w:val="007244BE"/>
    <w:rsid w:val="00724C36"/>
    <w:rsid w:val="007310E8"/>
    <w:rsid w:val="007327B6"/>
    <w:rsid w:val="00737ECD"/>
    <w:rsid w:val="007450BF"/>
    <w:rsid w:val="00746DC3"/>
    <w:rsid w:val="00751613"/>
    <w:rsid w:val="00751D73"/>
    <w:rsid w:val="007565F1"/>
    <w:rsid w:val="00756D50"/>
    <w:rsid w:val="0076026E"/>
    <w:rsid w:val="007605E6"/>
    <w:rsid w:val="00761B6D"/>
    <w:rsid w:val="00764ACC"/>
    <w:rsid w:val="00764B59"/>
    <w:rsid w:val="00765119"/>
    <w:rsid w:val="00771E28"/>
    <w:rsid w:val="00773862"/>
    <w:rsid w:val="0078079D"/>
    <w:rsid w:val="00781B4F"/>
    <w:rsid w:val="00782F35"/>
    <w:rsid w:val="00782FC9"/>
    <w:rsid w:val="00786277"/>
    <w:rsid w:val="007901F4"/>
    <w:rsid w:val="007920FD"/>
    <w:rsid w:val="00793A51"/>
    <w:rsid w:val="007A05D0"/>
    <w:rsid w:val="007A3A49"/>
    <w:rsid w:val="007A50A7"/>
    <w:rsid w:val="007B4304"/>
    <w:rsid w:val="007B69A5"/>
    <w:rsid w:val="007C04F1"/>
    <w:rsid w:val="007C1C45"/>
    <w:rsid w:val="007C27A3"/>
    <w:rsid w:val="007C5904"/>
    <w:rsid w:val="007D41DC"/>
    <w:rsid w:val="007D573C"/>
    <w:rsid w:val="007D723B"/>
    <w:rsid w:val="007E17CB"/>
    <w:rsid w:val="007E2E70"/>
    <w:rsid w:val="007E4913"/>
    <w:rsid w:val="007E7446"/>
    <w:rsid w:val="007F1479"/>
    <w:rsid w:val="007F24FD"/>
    <w:rsid w:val="007F2F7A"/>
    <w:rsid w:val="007F2FCC"/>
    <w:rsid w:val="007F3FDC"/>
    <w:rsid w:val="007F4289"/>
    <w:rsid w:val="007F5F39"/>
    <w:rsid w:val="008006BD"/>
    <w:rsid w:val="00803A6F"/>
    <w:rsid w:val="008133F4"/>
    <w:rsid w:val="008138B1"/>
    <w:rsid w:val="00813E62"/>
    <w:rsid w:val="00814175"/>
    <w:rsid w:val="00820F63"/>
    <w:rsid w:val="008217D1"/>
    <w:rsid w:val="008235F9"/>
    <w:rsid w:val="00826D01"/>
    <w:rsid w:val="00827125"/>
    <w:rsid w:val="00831E69"/>
    <w:rsid w:val="0083503C"/>
    <w:rsid w:val="00837DA9"/>
    <w:rsid w:val="00842388"/>
    <w:rsid w:val="0084728E"/>
    <w:rsid w:val="00847895"/>
    <w:rsid w:val="00853354"/>
    <w:rsid w:val="008548C2"/>
    <w:rsid w:val="00861C74"/>
    <w:rsid w:val="0087055C"/>
    <w:rsid w:val="00870A80"/>
    <w:rsid w:val="008731AA"/>
    <w:rsid w:val="00885529"/>
    <w:rsid w:val="00891697"/>
    <w:rsid w:val="00891FE9"/>
    <w:rsid w:val="00896150"/>
    <w:rsid w:val="008962F3"/>
    <w:rsid w:val="0089706A"/>
    <w:rsid w:val="00897C07"/>
    <w:rsid w:val="008A4436"/>
    <w:rsid w:val="008A4DE2"/>
    <w:rsid w:val="008A5FF1"/>
    <w:rsid w:val="008A66D7"/>
    <w:rsid w:val="008A7074"/>
    <w:rsid w:val="008A7E6E"/>
    <w:rsid w:val="008B1304"/>
    <w:rsid w:val="008B3678"/>
    <w:rsid w:val="008B5E02"/>
    <w:rsid w:val="008C3FFB"/>
    <w:rsid w:val="008C4422"/>
    <w:rsid w:val="008C4949"/>
    <w:rsid w:val="008C52E0"/>
    <w:rsid w:val="008C602B"/>
    <w:rsid w:val="008C7CE6"/>
    <w:rsid w:val="008D26BB"/>
    <w:rsid w:val="008D50FD"/>
    <w:rsid w:val="008D7D9B"/>
    <w:rsid w:val="008E0C48"/>
    <w:rsid w:val="008E0F30"/>
    <w:rsid w:val="008E34FD"/>
    <w:rsid w:val="008E47F6"/>
    <w:rsid w:val="008E594F"/>
    <w:rsid w:val="008E631E"/>
    <w:rsid w:val="008F24EF"/>
    <w:rsid w:val="008F43D6"/>
    <w:rsid w:val="009029D6"/>
    <w:rsid w:val="00904E84"/>
    <w:rsid w:val="00905BC3"/>
    <w:rsid w:val="00907D47"/>
    <w:rsid w:val="009129FC"/>
    <w:rsid w:val="009165F7"/>
    <w:rsid w:val="00921B25"/>
    <w:rsid w:val="00921C7C"/>
    <w:rsid w:val="009278AF"/>
    <w:rsid w:val="00930008"/>
    <w:rsid w:val="00931342"/>
    <w:rsid w:val="009331AD"/>
    <w:rsid w:val="009342A2"/>
    <w:rsid w:val="009378F5"/>
    <w:rsid w:val="00937B19"/>
    <w:rsid w:val="0094071C"/>
    <w:rsid w:val="0094256B"/>
    <w:rsid w:val="009437D7"/>
    <w:rsid w:val="00945656"/>
    <w:rsid w:val="0094646C"/>
    <w:rsid w:val="009507EE"/>
    <w:rsid w:val="00950D8B"/>
    <w:rsid w:val="00952D90"/>
    <w:rsid w:val="00954D19"/>
    <w:rsid w:val="009555CE"/>
    <w:rsid w:val="00960A3C"/>
    <w:rsid w:val="00965626"/>
    <w:rsid w:val="00970126"/>
    <w:rsid w:val="009720DB"/>
    <w:rsid w:val="00974A4B"/>
    <w:rsid w:val="009767AF"/>
    <w:rsid w:val="00977AD1"/>
    <w:rsid w:val="00977D4F"/>
    <w:rsid w:val="00977E7B"/>
    <w:rsid w:val="00981C9E"/>
    <w:rsid w:val="00982610"/>
    <w:rsid w:val="00987B91"/>
    <w:rsid w:val="00990048"/>
    <w:rsid w:val="00990C04"/>
    <w:rsid w:val="00990D2B"/>
    <w:rsid w:val="00992487"/>
    <w:rsid w:val="00994E99"/>
    <w:rsid w:val="00995896"/>
    <w:rsid w:val="00997080"/>
    <w:rsid w:val="0099711B"/>
    <w:rsid w:val="009A1D6D"/>
    <w:rsid w:val="009A2CA9"/>
    <w:rsid w:val="009A3DA3"/>
    <w:rsid w:val="009A40BF"/>
    <w:rsid w:val="009A4531"/>
    <w:rsid w:val="009A7C83"/>
    <w:rsid w:val="009B07B9"/>
    <w:rsid w:val="009B12AA"/>
    <w:rsid w:val="009C0CAA"/>
    <w:rsid w:val="009D031F"/>
    <w:rsid w:val="009D5036"/>
    <w:rsid w:val="009E0303"/>
    <w:rsid w:val="009E28CD"/>
    <w:rsid w:val="009E4EE3"/>
    <w:rsid w:val="009E5841"/>
    <w:rsid w:val="009F02F7"/>
    <w:rsid w:val="009F2369"/>
    <w:rsid w:val="009F2D30"/>
    <w:rsid w:val="009F3738"/>
    <w:rsid w:val="009F40E4"/>
    <w:rsid w:val="009F55BA"/>
    <w:rsid w:val="00A0006D"/>
    <w:rsid w:val="00A00460"/>
    <w:rsid w:val="00A014EB"/>
    <w:rsid w:val="00A015CE"/>
    <w:rsid w:val="00A04B8E"/>
    <w:rsid w:val="00A119FC"/>
    <w:rsid w:val="00A12D0F"/>
    <w:rsid w:val="00A168E8"/>
    <w:rsid w:val="00A22C15"/>
    <w:rsid w:val="00A2624F"/>
    <w:rsid w:val="00A31424"/>
    <w:rsid w:val="00A3216A"/>
    <w:rsid w:val="00A34ECC"/>
    <w:rsid w:val="00A4222A"/>
    <w:rsid w:val="00A42725"/>
    <w:rsid w:val="00A430BD"/>
    <w:rsid w:val="00A4532D"/>
    <w:rsid w:val="00A507D6"/>
    <w:rsid w:val="00A5237C"/>
    <w:rsid w:val="00A54B2F"/>
    <w:rsid w:val="00A5608F"/>
    <w:rsid w:val="00A56321"/>
    <w:rsid w:val="00A57FAC"/>
    <w:rsid w:val="00A6208A"/>
    <w:rsid w:val="00A627D0"/>
    <w:rsid w:val="00A636BD"/>
    <w:rsid w:val="00A70F24"/>
    <w:rsid w:val="00A722ED"/>
    <w:rsid w:val="00A73222"/>
    <w:rsid w:val="00A77168"/>
    <w:rsid w:val="00A8308C"/>
    <w:rsid w:val="00A8497E"/>
    <w:rsid w:val="00A94E74"/>
    <w:rsid w:val="00A9775D"/>
    <w:rsid w:val="00AA11E6"/>
    <w:rsid w:val="00AA12AB"/>
    <w:rsid w:val="00AA16B1"/>
    <w:rsid w:val="00AA1721"/>
    <w:rsid w:val="00AA38AD"/>
    <w:rsid w:val="00AA635C"/>
    <w:rsid w:val="00AA751F"/>
    <w:rsid w:val="00AB6555"/>
    <w:rsid w:val="00AC019B"/>
    <w:rsid w:val="00AC1C91"/>
    <w:rsid w:val="00AC4F76"/>
    <w:rsid w:val="00AC6030"/>
    <w:rsid w:val="00AC6741"/>
    <w:rsid w:val="00AD0413"/>
    <w:rsid w:val="00AD32FB"/>
    <w:rsid w:val="00AD3BB8"/>
    <w:rsid w:val="00AD6F22"/>
    <w:rsid w:val="00AE1D86"/>
    <w:rsid w:val="00AE1FF2"/>
    <w:rsid w:val="00AE2BEC"/>
    <w:rsid w:val="00AE6A64"/>
    <w:rsid w:val="00AF0D67"/>
    <w:rsid w:val="00AF31DA"/>
    <w:rsid w:val="00B013D9"/>
    <w:rsid w:val="00B026F1"/>
    <w:rsid w:val="00B075D1"/>
    <w:rsid w:val="00B07748"/>
    <w:rsid w:val="00B07A4B"/>
    <w:rsid w:val="00B10B40"/>
    <w:rsid w:val="00B12B30"/>
    <w:rsid w:val="00B13B42"/>
    <w:rsid w:val="00B2458D"/>
    <w:rsid w:val="00B25B22"/>
    <w:rsid w:val="00B32F3E"/>
    <w:rsid w:val="00B34CCD"/>
    <w:rsid w:val="00B40480"/>
    <w:rsid w:val="00B415AC"/>
    <w:rsid w:val="00B447DF"/>
    <w:rsid w:val="00B456E3"/>
    <w:rsid w:val="00B4616A"/>
    <w:rsid w:val="00B47241"/>
    <w:rsid w:val="00B47D0D"/>
    <w:rsid w:val="00B5081C"/>
    <w:rsid w:val="00B53292"/>
    <w:rsid w:val="00B543B9"/>
    <w:rsid w:val="00B56961"/>
    <w:rsid w:val="00B571EC"/>
    <w:rsid w:val="00B6144A"/>
    <w:rsid w:val="00B620D0"/>
    <w:rsid w:val="00B63F90"/>
    <w:rsid w:val="00B72609"/>
    <w:rsid w:val="00B72817"/>
    <w:rsid w:val="00B7295C"/>
    <w:rsid w:val="00B73D00"/>
    <w:rsid w:val="00B74BE6"/>
    <w:rsid w:val="00B75B5C"/>
    <w:rsid w:val="00B75EB0"/>
    <w:rsid w:val="00B76490"/>
    <w:rsid w:val="00B77B70"/>
    <w:rsid w:val="00B80D82"/>
    <w:rsid w:val="00B825B0"/>
    <w:rsid w:val="00B84A63"/>
    <w:rsid w:val="00B86DD5"/>
    <w:rsid w:val="00B9075E"/>
    <w:rsid w:val="00B90BA5"/>
    <w:rsid w:val="00B917C0"/>
    <w:rsid w:val="00B918D4"/>
    <w:rsid w:val="00BA19B2"/>
    <w:rsid w:val="00BA1BD8"/>
    <w:rsid w:val="00BA412B"/>
    <w:rsid w:val="00BA419F"/>
    <w:rsid w:val="00BA4C2D"/>
    <w:rsid w:val="00BA524C"/>
    <w:rsid w:val="00BA6A55"/>
    <w:rsid w:val="00BA7121"/>
    <w:rsid w:val="00BA73FE"/>
    <w:rsid w:val="00BB0DA6"/>
    <w:rsid w:val="00BB2526"/>
    <w:rsid w:val="00BB4A76"/>
    <w:rsid w:val="00BC040B"/>
    <w:rsid w:val="00BC0573"/>
    <w:rsid w:val="00BC0882"/>
    <w:rsid w:val="00BC0F16"/>
    <w:rsid w:val="00BC38B9"/>
    <w:rsid w:val="00BC45CF"/>
    <w:rsid w:val="00BD1476"/>
    <w:rsid w:val="00BD2BDD"/>
    <w:rsid w:val="00BD43C9"/>
    <w:rsid w:val="00BE2A7F"/>
    <w:rsid w:val="00BE4119"/>
    <w:rsid w:val="00BE4795"/>
    <w:rsid w:val="00BE5A02"/>
    <w:rsid w:val="00BE7B7B"/>
    <w:rsid w:val="00BF37CA"/>
    <w:rsid w:val="00BF7808"/>
    <w:rsid w:val="00C00F93"/>
    <w:rsid w:val="00C04558"/>
    <w:rsid w:val="00C0618C"/>
    <w:rsid w:val="00C1203B"/>
    <w:rsid w:val="00C17374"/>
    <w:rsid w:val="00C21793"/>
    <w:rsid w:val="00C21EBD"/>
    <w:rsid w:val="00C2202B"/>
    <w:rsid w:val="00C221DE"/>
    <w:rsid w:val="00C24592"/>
    <w:rsid w:val="00C25F8D"/>
    <w:rsid w:val="00C33B58"/>
    <w:rsid w:val="00C34A63"/>
    <w:rsid w:val="00C35CDD"/>
    <w:rsid w:val="00C40BA7"/>
    <w:rsid w:val="00C41D6C"/>
    <w:rsid w:val="00C421E1"/>
    <w:rsid w:val="00C42FF3"/>
    <w:rsid w:val="00C44018"/>
    <w:rsid w:val="00C501FE"/>
    <w:rsid w:val="00C5083D"/>
    <w:rsid w:val="00C57651"/>
    <w:rsid w:val="00C57B99"/>
    <w:rsid w:val="00C57D02"/>
    <w:rsid w:val="00C67F89"/>
    <w:rsid w:val="00C76518"/>
    <w:rsid w:val="00C776DD"/>
    <w:rsid w:val="00C80D2F"/>
    <w:rsid w:val="00C81B00"/>
    <w:rsid w:val="00C83F9C"/>
    <w:rsid w:val="00C87F0F"/>
    <w:rsid w:val="00C92412"/>
    <w:rsid w:val="00C93AC6"/>
    <w:rsid w:val="00C94532"/>
    <w:rsid w:val="00CA28B9"/>
    <w:rsid w:val="00CA3266"/>
    <w:rsid w:val="00CA5251"/>
    <w:rsid w:val="00CA5E7C"/>
    <w:rsid w:val="00CA61E2"/>
    <w:rsid w:val="00CB372C"/>
    <w:rsid w:val="00CB765B"/>
    <w:rsid w:val="00CC1931"/>
    <w:rsid w:val="00CC2E3D"/>
    <w:rsid w:val="00CC304E"/>
    <w:rsid w:val="00CC4050"/>
    <w:rsid w:val="00CC4301"/>
    <w:rsid w:val="00CC5C8B"/>
    <w:rsid w:val="00CC6D10"/>
    <w:rsid w:val="00CD4B5E"/>
    <w:rsid w:val="00CD5B81"/>
    <w:rsid w:val="00CD5BBB"/>
    <w:rsid w:val="00CD6C59"/>
    <w:rsid w:val="00CE12B9"/>
    <w:rsid w:val="00CE1B35"/>
    <w:rsid w:val="00CE3C58"/>
    <w:rsid w:val="00CE6805"/>
    <w:rsid w:val="00CE7993"/>
    <w:rsid w:val="00CE7E45"/>
    <w:rsid w:val="00CF1BA7"/>
    <w:rsid w:val="00CF5344"/>
    <w:rsid w:val="00CF6438"/>
    <w:rsid w:val="00CF7DEA"/>
    <w:rsid w:val="00D01B76"/>
    <w:rsid w:val="00D07B71"/>
    <w:rsid w:val="00D10F5A"/>
    <w:rsid w:val="00D11746"/>
    <w:rsid w:val="00D13CDB"/>
    <w:rsid w:val="00D20A6A"/>
    <w:rsid w:val="00D22049"/>
    <w:rsid w:val="00D24AD8"/>
    <w:rsid w:val="00D25BA1"/>
    <w:rsid w:val="00D30A67"/>
    <w:rsid w:val="00D3455C"/>
    <w:rsid w:val="00D35768"/>
    <w:rsid w:val="00D37081"/>
    <w:rsid w:val="00D37783"/>
    <w:rsid w:val="00D402EE"/>
    <w:rsid w:val="00D41B2C"/>
    <w:rsid w:val="00D41BE4"/>
    <w:rsid w:val="00D44EF9"/>
    <w:rsid w:val="00D510A8"/>
    <w:rsid w:val="00D51ABF"/>
    <w:rsid w:val="00D51ADC"/>
    <w:rsid w:val="00D51D06"/>
    <w:rsid w:val="00D54A30"/>
    <w:rsid w:val="00D56025"/>
    <w:rsid w:val="00D56BD5"/>
    <w:rsid w:val="00D574B5"/>
    <w:rsid w:val="00D60825"/>
    <w:rsid w:val="00D64636"/>
    <w:rsid w:val="00D67F4C"/>
    <w:rsid w:val="00D67FB7"/>
    <w:rsid w:val="00D70A1B"/>
    <w:rsid w:val="00D72062"/>
    <w:rsid w:val="00D75064"/>
    <w:rsid w:val="00D77F86"/>
    <w:rsid w:val="00D833A0"/>
    <w:rsid w:val="00D83C98"/>
    <w:rsid w:val="00D91075"/>
    <w:rsid w:val="00D91941"/>
    <w:rsid w:val="00D93194"/>
    <w:rsid w:val="00D97094"/>
    <w:rsid w:val="00DA003D"/>
    <w:rsid w:val="00DA4083"/>
    <w:rsid w:val="00DA40F9"/>
    <w:rsid w:val="00DA5A5F"/>
    <w:rsid w:val="00DA640A"/>
    <w:rsid w:val="00DA7359"/>
    <w:rsid w:val="00DA7F38"/>
    <w:rsid w:val="00DB281E"/>
    <w:rsid w:val="00DB2A13"/>
    <w:rsid w:val="00DB5AB4"/>
    <w:rsid w:val="00DC1CF1"/>
    <w:rsid w:val="00DC4C4E"/>
    <w:rsid w:val="00DC7373"/>
    <w:rsid w:val="00DC7F9C"/>
    <w:rsid w:val="00DD172F"/>
    <w:rsid w:val="00DD424E"/>
    <w:rsid w:val="00DD4EFE"/>
    <w:rsid w:val="00DE05E1"/>
    <w:rsid w:val="00DE1937"/>
    <w:rsid w:val="00DE24F8"/>
    <w:rsid w:val="00DE33A2"/>
    <w:rsid w:val="00DE5741"/>
    <w:rsid w:val="00DE7D75"/>
    <w:rsid w:val="00DF1097"/>
    <w:rsid w:val="00DF26DB"/>
    <w:rsid w:val="00E03509"/>
    <w:rsid w:val="00E11FA9"/>
    <w:rsid w:val="00E15966"/>
    <w:rsid w:val="00E164B1"/>
    <w:rsid w:val="00E16DA0"/>
    <w:rsid w:val="00E17502"/>
    <w:rsid w:val="00E204EB"/>
    <w:rsid w:val="00E206E9"/>
    <w:rsid w:val="00E21546"/>
    <w:rsid w:val="00E238CB"/>
    <w:rsid w:val="00E26058"/>
    <w:rsid w:val="00E26F7B"/>
    <w:rsid w:val="00E2715E"/>
    <w:rsid w:val="00E310FF"/>
    <w:rsid w:val="00E33125"/>
    <w:rsid w:val="00E36142"/>
    <w:rsid w:val="00E3690C"/>
    <w:rsid w:val="00E427A2"/>
    <w:rsid w:val="00E440E7"/>
    <w:rsid w:val="00E454F8"/>
    <w:rsid w:val="00E46739"/>
    <w:rsid w:val="00E47621"/>
    <w:rsid w:val="00E535F5"/>
    <w:rsid w:val="00E5502A"/>
    <w:rsid w:val="00E60321"/>
    <w:rsid w:val="00E62808"/>
    <w:rsid w:val="00E628EF"/>
    <w:rsid w:val="00E643CA"/>
    <w:rsid w:val="00E65C5F"/>
    <w:rsid w:val="00E72F7B"/>
    <w:rsid w:val="00E754B4"/>
    <w:rsid w:val="00E75744"/>
    <w:rsid w:val="00E76EDB"/>
    <w:rsid w:val="00E827BD"/>
    <w:rsid w:val="00E861C8"/>
    <w:rsid w:val="00E86313"/>
    <w:rsid w:val="00E866CC"/>
    <w:rsid w:val="00E92C04"/>
    <w:rsid w:val="00E944BE"/>
    <w:rsid w:val="00E97E0F"/>
    <w:rsid w:val="00EA0353"/>
    <w:rsid w:val="00EA1798"/>
    <w:rsid w:val="00EA76BD"/>
    <w:rsid w:val="00EB1F7D"/>
    <w:rsid w:val="00EB1F8B"/>
    <w:rsid w:val="00EB21BF"/>
    <w:rsid w:val="00EB3BA6"/>
    <w:rsid w:val="00EB57FB"/>
    <w:rsid w:val="00EB6C59"/>
    <w:rsid w:val="00EC45AE"/>
    <w:rsid w:val="00EC6BDB"/>
    <w:rsid w:val="00ED0522"/>
    <w:rsid w:val="00ED4E86"/>
    <w:rsid w:val="00ED5DD3"/>
    <w:rsid w:val="00ED71F0"/>
    <w:rsid w:val="00ED73DF"/>
    <w:rsid w:val="00EE629F"/>
    <w:rsid w:val="00EE63E3"/>
    <w:rsid w:val="00EE6AB3"/>
    <w:rsid w:val="00EE6E15"/>
    <w:rsid w:val="00EE7709"/>
    <w:rsid w:val="00EE7F6B"/>
    <w:rsid w:val="00EF022A"/>
    <w:rsid w:val="00EF11E3"/>
    <w:rsid w:val="00EF31C4"/>
    <w:rsid w:val="00F01071"/>
    <w:rsid w:val="00F0344E"/>
    <w:rsid w:val="00F055E3"/>
    <w:rsid w:val="00F07CFF"/>
    <w:rsid w:val="00F11F4D"/>
    <w:rsid w:val="00F13C57"/>
    <w:rsid w:val="00F177A5"/>
    <w:rsid w:val="00F225D5"/>
    <w:rsid w:val="00F23650"/>
    <w:rsid w:val="00F236CD"/>
    <w:rsid w:val="00F249A2"/>
    <w:rsid w:val="00F24DCE"/>
    <w:rsid w:val="00F26608"/>
    <w:rsid w:val="00F27CE8"/>
    <w:rsid w:val="00F30049"/>
    <w:rsid w:val="00F30D93"/>
    <w:rsid w:val="00F322B0"/>
    <w:rsid w:val="00F35FA8"/>
    <w:rsid w:val="00F429F2"/>
    <w:rsid w:val="00F44C80"/>
    <w:rsid w:val="00F50ACA"/>
    <w:rsid w:val="00F560A3"/>
    <w:rsid w:val="00F632D2"/>
    <w:rsid w:val="00F63C64"/>
    <w:rsid w:val="00F64826"/>
    <w:rsid w:val="00F64987"/>
    <w:rsid w:val="00F721EC"/>
    <w:rsid w:val="00F775F2"/>
    <w:rsid w:val="00F80159"/>
    <w:rsid w:val="00F8142D"/>
    <w:rsid w:val="00F903CD"/>
    <w:rsid w:val="00F922EE"/>
    <w:rsid w:val="00F92BFD"/>
    <w:rsid w:val="00F94429"/>
    <w:rsid w:val="00F9510F"/>
    <w:rsid w:val="00FA73F6"/>
    <w:rsid w:val="00FA75D7"/>
    <w:rsid w:val="00FB2520"/>
    <w:rsid w:val="00FB28DE"/>
    <w:rsid w:val="00FB302B"/>
    <w:rsid w:val="00FB3C05"/>
    <w:rsid w:val="00FB5B56"/>
    <w:rsid w:val="00FB6B15"/>
    <w:rsid w:val="00FC1921"/>
    <w:rsid w:val="00FC3F28"/>
    <w:rsid w:val="00FC5D1B"/>
    <w:rsid w:val="00FC7EF3"/>
    <w:rsid w:val="00FD50FD"/>
    <w:rsid w:val="00FD6F5E"/>
    <w:rsid w:val="00FD7DB2"/>
    <w:rsid w:val="00FE17C0"/>
    <w:rsid w:val="00FE2058"/>
    <w:rsid w:val="00FE246C"/>
    <w:rsid w:val="00FE5948"/>
    <w:rsid w:val="00FE69A9"/>
    <w:rsid w:val="00FF1CEB"/>
    <w:rsid w:val="00FF6D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F6C16"/>
  <w15:chartTrackingRefBased/>
  <w15:docId w15:val="{68D8FFF2-857C-42F9-91B0-2E56AFF0A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114"/>
    <w:pPr>
      <w:spacing w:line="360" w:lineRule="auto"/>
      <w:jc w:val="both"/>
    </w:pPr>
    <w:rPr>
      <w:rFonts w:ascii="Arial" w:hAnsi="Arial"/>
      <w:lang w:val="en-GB"/>
    </w:rPr>
  </w:style>
  <w:style w:type="paragraph" w:styleId="Heading1">
    <w:name w:val="heading 1"/>
    <w:basedOn w:val="Normal"/>
    <w:next w:val="Normal"/>
    <w:link w:val="Heading1Char"/>
    <w:uiPriority w:val="9"/>
    <w:qFormat/>
    <w:rsid w:val="003427ED"/>
    <w:pPr>
      <w:keepNext/>
      <w:keepLines/>
      <w:spacing w:before="360" w:after="80"/>
      <w:jc w:val="left"/>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3427ED"/>
    <w:pPr>
      <w:keepNext/>
      <w:keepLines/>
      <w:spacing w:before="160" w:after="80"/>
      <w:jc w:val="left"/>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255EF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55EF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55EF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55E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5E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5E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5E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7ED"/>
    <w:rPr>
      <w:rFonts w:ascii="Times New Roman" w:eastAsiaTheme="majorEastAsia" w:hAnsi="Times New Roman" w:cstheme="majorBidi"/>
      <w:b/>
      <w:sz w:val="24"/>
      <w:szCs w:val="40"/>
      <w:lang w:val="en-GB"/>
    </w:rPr>
  </w:style>
  <w:style w:type="character" w:customStyle="1" w:styleId="Heading2Char">
    <w:name w:val="Heading 2 Char"/>
    <w:basedOn w:val="DefaultParagraphFont"/>
    <w:link w:val="Heading2"/>
    <w:uiPriority w:val="9"/>
    <w:rsid w:val="003427ED"/>
    <w:rPr>
      <w:rFonts w:ascii="Times New Roman" w:eastAsiaTheme="majorEastAsia" w:hAnsi="Times New Roman" w:cstheme="majorBidi"/>
      <w:b/>
      <w:sz w:val="24"/>
      <w:szCs w:val="32"/>
      <w:lang w:val="en-GB"/>
    </w:rPr>
  </w:style>
  <w:style w:type="character" w:customStyle="1" w:styleId="Heading3Char">
    <w:name w:val="Heading 3 Char"/>
    <w:basedOn w:val="DefaultParagraphFont"/>
    <w:link w:val="Heading3"/>
    <w:uiPriority w:val="9"/>
    <w:semiHidden/>
    <w:rsid w:val="00255EF8"/>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55EF8"/>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55EF8"/>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55EF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55EF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55EF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55EF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55E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EF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55E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5EF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55EF8"/>
    <w:pPr>
      <w:spacing w:before="160"/>
      <w:jc w:val="center"/>
    </w:pPr>
    <w:rPr>
      <w:i/>
      <w:iCs/>
      <w:color w:val="404040" w:themeColor="text1" w:themeTint="BF"/>
    </w:rPr>
  </w:style>
  <w:style w:type="character" w:customStyle="1" w:styleId="QuoteChar">
    <w:name w:val="Quote Char"/>
    <w:basedOn w:val="DefaultParagraphFont"/>
    <w:link w:val="Quote"/>
    <w:uiPriority w:val="29"/>
    <w:rsid w:val="00255EF8"/>
    <w:rPr>
      <w:i/>
      <w:iCs/>
      <w:color w:val="404040" w:themeColor="text1" w:themeTint="BF"/>
      <w:lang w:val="en-GB"/>
    </w:rPr>
  </w:style>
  <w:style w:type="paragraph" w:styleId="ListParagraph">
    <w:name w:val="List Paragraph"/>
    <w:basedOn w:val="Normal"/>
    <w:uiPriority w:val="34"/>
    <w:qFormat/>
    <w:rsid w:val="00255EF8"/>
    <w:pPr>
      <w:ind w:left="720"/>
      <w:contextualSpacing/>
    </w:pPr>
  </w:style>
  <w:style w:type="character" w:styleId="IntenseEmphasis">
    <w:name w:val="Intense Emphasis"/>
    <w:basedOn w:val="DefaultParagraphFont"/>
    <w:uiPriority w:val="21"/>
    <w:qFormat/>
    <w:rsid w:val="00255EF8"/>
    <w:rPr>
      <w:i/>
      <w:iCs/>
      <w:color w:val="2F5496" w:themeColor="accent1" w:themeShade="BF"/>
    </w:rPr>
  </w:style>
  <w:style w:type="paragraph" w:styleId="IntenseQuote">
    <w:name w:val="Intense Quote"/>
    <w:basedOn w:val="Normal"/>
    <w:next w:val="Normal"/>
    <w:link w:val="IntenseQuoteChar"/>
    <w:uiPriority w:val="30"/>
    <w:qFormat/>
    <w:rsid w:val="00255EF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55EF8"/>
    <w:rPr>
      <w:i/>
      <w:iCs/>
      <w:color w:val="2F5496" w:themeColor="accent1" w:themeShade="BF"/>
      <w:lang w:val="en-GB"/>
    </w:rPr>
  </w:style>
  <w:style w:type="character" w:styleId="IntenseReference">
    <w:name w:val="Intense Reference"/>
    <w:basedOn w:val="DefaultParagraphFont"/>
    <w:uiPriority w:val="32"/>
    <w:qFormat/>
    <w:rsid w:val="00255EF8"/>
    <w:rPr>
      <w:b/>
      <w:bCs/>
      <w:smallCaps/>
      <w:color w:val="2F5496" w:themeColor="accent1" w:themeShade="BF"/>
      <w:spacing w:val="5"/>
    </w:rPr>
  </w:style>
  <w:style w:type="character" w:styleId="Hyperlink">
    <w:name w:val="Hyperlink"/>
    <w:basedOn w:val="DefaultParagraphFont"/>
    <w:uiPriority w:val="99"/>
    <w:unhideWhenUsed/>
    <w:rsid w:val="00300889"/>
    <w:rPr>
      <w:color w:val="0563C1" w:themeColor="hyperlink"/>
      <w:u w:val="single"/>
    </w:rPr>
  </w:style>
  <w:style w:type="character" w:styleId="UnresolvedMention">
    <w:name w:val="Unresolved Mention"/>
    <w:basedOn w:val="DefaultParagraphFont"/>
    <w:uiPriority w:val="99"/>
    <w:semiHidden/>
    <w:unhideWhenUsed/>
    <w:rsid w:val="00300889"/>
    <w:rPr>
      <w:color w:val="605E5C"/>
      <w:shd w:val="clear" w:color="auto" w:fill="E1DFDD"/>
    </w:rPr>
  </w:style>
  <w:style w:type="table" w:styleId="TableGrid">
    <w:name w:val="Table Grid"/>
    <w:basedOn w:val="TableNormal"/>
    <w:uiPriority w:val="39"/>
    <w:rsid w:val="007C04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1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931"/>
    <w:rPr>
      <w:rFonts w:ascii="Arial" w:hAnsi="Arial"/>
      <w:lang w:val="en-GB"/>
    </w:rPr>
  </w:style>
  <w:style w:type="paragraph" w:styleId="Footer">
    <w:name w:val="footer"/>
    <w:basedOn w:val="Normal"/>
    <w:link w:val="FooterChar"/>
    <w:uiPriority w:val="99"/>
    <w:unhideWhenUsed/>
    <w:rsid w:val="00CC1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931"/>
    <w:rPr>
      <w:rFonts w:ascii="Arial" w:hAnsi="Arial"/>
      <w:lang w:val="en-GB"/>
    </w:rPr>
  </w:style>
  <w:style w:type="paragraph" w:styleId="TOCHeading">
    <w:name w:val="TOC Heading"/>
    <w:basedOn w:val="Heading1"/>
    <w:next w:val="Normal"/>
    <w:uiPriority w:val="39"/>
    <w:unhideWhenUsed/>
    <w:qFormat/>
    <w:rsid w:val="00CC1931"/>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C1931"/>
    <w:pPr>
      <w:spacing w:after="100"/>
    </w:pPr>
  </w:style>
  <w:style w:type="paragraph" w:styleId="TOC2">
    <w:name w:val="toc 2"/>
    <w:basedOn w:val="Normal"/>
    <w:next w:val="Normal"/>
    <w:autoRedefine/>
    <w:uiPriority w:val="39"/>
    <w:unhideWhenUsed/>
    <w:rsid w:val="00CC1931"/>
    <w:pPr>
      <w:spacing w:after="100"/>
      <w:ind w:left="220"/>
    </w:pPr>
  </w:style>
  <w:style w:type="paragraph" w:customStyle="1" w:styleId="Normal1">
    <w:name w:val="Normal1"/>
    <w:rsid w:val="00DC7F9C"/>
    <w:pPr>
      <w:widowControl w:val="0"/>
      <w:spacing w:after="0" w:line="240" w:lineRule="auto"/>
    </w:pPr>
    <w:rPr>
      <w:rFonts w:ascii="Calibri" w:eastAsia="Calibri" w:hAnsi="Calibri" w:cs="Calibri"/>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Happiness-Anusi-2/publication/365199614_A_conceptual_framework_of_organisational_change_process_in_hospitals/links/636a50db431b1f53007dedd1/A-conceptual-framework-of-organisational-change-process-in-hospitals.pdf" TargetMode="External"/><Relationship Id="rId18" Type="http://schemas.openxmlformats.org/officeDocument/2006/relationships/hyperlink" Target="https://www.sciencedirect.com/science/article/pii/S1361920923000718" TargetMode="External"/><Relationship Id="rId26" Type="http://schemas.openxmlformats.org/officeDocument/2006/relationships/hyperlink" Target="https://doi.org/10.1002/bse.3229" TargetMode="External"/><Relationship Id="rId39" Type="http://schemas.openxmlformats.org/officeDocument/2006/relationships/hyperlink" Target="https://doi.org/10.3390/wevj16030180" TargetMode="External"/><Relationship Id="rId21" Type="http://schemas.openxmlformats.org/officeDocument/2006/relationships/hyperlink" Target="https://www.statista.com/statistics/306648/inflation-rate-consumer-price-index-cpi-united-kingdom-uk/?srsltid=AfmBOooFBp5Ws1C2z8M6ibHg3rhtmL5FjunzpNI5BYjsv0s4CtQn3WXn" TargetMode="External"/><Relationship Id="rId34" Type="http://schemas.openxmlformats.org/officeDocument/2006/relationships/hyperlink" Target="https://ijeasm.com/PublishedPaper/5Vol/Issue12/2024IJEASM520243659-ec9380bf-727b-44b1-b267-9a083bceba8957899.pdf" TargetMode="External"/><Relationship Id="rId42" Type="http://schemas.openxmlformats.org/officeDocument/2006/relationships/hyperlink" Target="https://www.statista.com/topics/5521/ford-in-the-uk/?srsltid=AfmBOorjRsGSfTJb84O1kAyUzUqAH8azKWLEpaAEQqm8PO0t6yqJV2Y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m/news/business-56084500" TargetMode="External"/><Relationship Id="rId29" Type="http://schemas.openxmlformats.org/officeDocument/2006/relationships/hyperlink" Target="http://dx.doi.org/10.1080/0960085x.2022.21154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1108/JAOC-10-2021-0143" TargetMode="External"/><Relationship Id="rId24" Type="http://schemas.openxmlformats.org/officeDocument/2006/relationships/hyperlink" Target="https://doi.org/10.1177/10564926211031290" TargetMode="External"/><Relationship Id="rId32" Type="http://schemas.openxmlformats.org/officeDocument/2006/relationships/hyperlink" Target="https://doi.org/10.1186/s12544" TargetMode="External"/><Relationship Id="rId37" Type="http://schemas.openxmlformats.org/officeDocument/2006/relationships/hyperlink" Target="https://www.sciencedirect.com/science/article/pii/S0045790624001654" TargetMode="External"/><Relationship Id="rId40" Type="http://schemas.openxmlformats.org/officeDocument/2006/relationships/hyperlink" Target="https://www.statista.com/statistics/1411261/uk-annual-electric-vehicle-sales/?srsltid=AfmBOooejF7i-4FcHWMXbCPTUMSB6LtfSZU2NlOsLfYKKYmDBm3eDBO4"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nlinelibrary.wiley.com/doi/pdf/10.1155/2022/7632892" TargetMode="External"/><Relationship Id="rId23" Type="http://schemas.openxmlformats.org/officeDocument/2006/relationships/hyperlink" Target="https://www.pnas.org/doi/pdf/10.1073/pnas.2219396120" TargetMode="External"/><Relationship Id="rId28" Type="http://schemas.openxmlformats.org/officeDocument/2006/relationships/hyperlink" Target="https://commonslibrary.parliament.uk/research-briefings/cbp-7480/" TargetMode="External"/><Relationship Id="rId36" Type="http://schemas.openxmlformats.org/officeDocument/2006/relationships/hyperlink" Target="https://doi.org/10.1177/10860266221099658" TargetMode="External"/><Relationship Id="rId10" Type="http://schemas.openxmlformats.org/officeDocument/2006/relationships/hyperlink" Target="https://doi.org/10.37547/tajmei/Volume07Issue08-07" TargetMode="External"/><Relationship Id="rId19" Type="http://schemas.openxmlformats.org/officeDocument/2006/relationships/hyperlink" Target="https://www.storre.stir.ac.uk/bitstream/1893/30461/1/A-Lewin%203-Step%20ModelV1%20Accepted%20Version.pdf" TargetMode="External"/><Relationship Id="rId31" Type="http://schemas.openxmlformats.org/officeDocument/2006/relationships/hyperlink" Target="https://www.researchgate.net/profile/Marcin-Majka-2/publication/381280928_Leading_Change_Successfully_A_Guide_to_Kotter's_8-Step_Process/links/6664d9cfa54c5f0b94581393/Leading-Change-Successfully-A-Guide-to-Kotters-8-Step-Process.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5281/zenodo.7118461" TargetMode="External"/><Relationship Id="rId14" Type="http://schemas.openxmlformats.org/officeDocument/2006/relationships/hyperlink" Target="https://ieomsociety.org/dc2018/papers/179.pdf" TargetMode="External"/><Relationship Id="rId22" Type="http://schemas.openxmlformats.org/officeDocument/2006/relationships/hyperlink" Target="https://sciendo.com/2/v2/download/article/10.2478/hjbpa-2024-0018.pdf" TargetMode="External"/><Relationship Id="rId27" Type="http://schemas.openxmlformats.org/officeDocument/2006/relationships/hyperlink" Target="https://doi.org/10.70818/pjaei.2025.v02i02.143" TargetMode="External"/><Relationship Id="rId30" Type="http://schemas.openxmlformats.org/officeDocument/2006/relationships/hyperlink" Target="https://www.researchgate.net/profile/Angela-Ackah-2/publication/381812546_Utilization_of_Internal_Analysis_with_the_VRIO_Framework_and_Development_of_Scale_for_Resource_and_Capabilities_of_Fashion_and_Design_Organization/links/687d59a5ba8eac4f1727c17f/Utilization-of-Internal-Analysis-with-the-VRIO-Framework-and-Development-of-Scale-for-Resource-and-Capabilities-of-Fashion-and-Design-Organization.pdf" TargetMode="External"/><Relationship Id="rId35" Type="http://schemas.openxmlformats.org/officeDocument/2006/relationships/hyperlink" Target="https://onlinelibrary.wiley.com/doi/pdf/10.1002/joe.22250" TargetMode="External"/><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jebr.fimek.edu.rs/index.php/jebr/article/download/118/101" TargetMode="External"/><Relationship Id="rId17" Type="http://schemas.openxmlformats.org/officeDocument/2006/relationships/hyperlink" Target="https://eurasian-journals.com/index.php/ejher/article/download/5/5" TargetMode="External"/><Relationship Id="rId25" Type="http://schemas.openxmlformats.org/officeDocument/2006/relationships/hyperlink" Target="https://onlinelibrary.wiley.com/doi/pdfdirect/10.1002/csr.2441?download=true" TargetMode="External"/><Relationship Id="rId33" Type="http://schemas.openxmlformats.org/officeDocument/2006/relationships/hyperlink" Target="https://doi.org/10.1108/MANM-11-2022-0111" TargetMode="External"/><Relationship Id="rId38" Type="http://schemas.openxmlformats.org/officeDocument/2006/relationships/hyperlink" Target="https://www.mdpi.com/1996-1073/14/2/315" TargetMode="External"/><Relationship Id="rId20" Type="http://schemas.openxmlformats.org/officeDocument/2006/relationships/hyperlink" Target="https://www.mdpi.com/2071-1050/11/21/6046" TargetMode="External"/><Relationship Id="rId41" Type="http://schemas.openxmlformats.org/officeDocument/2006/relationships/hyperlink" Target="https://doi.org/10.1080/00207543.2024.23870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6C236D-EBD1-4CF3-9190-43A3E7FDC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21</Pages>
  <Words>6923</Words>
  <Characters>39466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eridan saliasi</cp:lastModifiedBy>
  <cp:revision>171</cp:revision>
  <dcterms:created xsi:type="dcterms:W3CDTF">2026-06-27T12:35:00Z</dcterms:created>
  <dcterms:modified xsi:type="dcterms:W3CDTF">2026-07-04T11:01:00Z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ee232622-8177-4c73-87be-bccdfed07375</vt:lpwstr>
  </property>
</Properties>
</file>