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1ACF8" w14:textId="77777777" w:rsidR="001065CF" w:rsidRDefault="001065CF" w:rsidP="001065CF">
      <w:pPr>
        <w:jc w:val="center"/>
        <w:rPr>
          <w:b/>
          <w:bCs/>
          <w:u w:val="single"/>
        </w:rPr>
      </w:pPr>
    </w:p>
    <w:p w14:paraId="16FB1547" w14:textId="77777777" w:rsidR="001065CF" w:rsidRDefault="001065CF" w:rsidP="001065CF">
      <w:pPr>
        <w:jc w:val="center"/>
        <w:rPr>
          <w:b/>
          <w:bCs/>
          <w:u w:val="single"/>
        </w:rPr>
      </w:pPr>
    </w:p>
    <w:p w14:paraId="7EAA3A87" w14:textId="77777777" w:rsidR="001065CF" w:rsidRDefault="001065CF" w:rsidP="001065CF">
      <w:pPr>
        <w:jc w:val="center"/>
        <w:rPr>
          <w:b/>
          <w:bCs/>
          <w:u w:val="single"/>
        </w:rPr>
      </w:pPr>
    </w:p>
    <w:p w14:paraId="4A6D06C1" w14:textId="77777777" w:rsidR="001065CF" w:rsidRDefault="001065CF" w:rsidP="001065CF">
      <w:pPr>
        <w:jc w:val="center"/>
        <w:rPr>
          <w:b/>
          <w:bCs/>
          <w:u w:val="single"/>
        </w:rPr>
      </w:pPr>
    </w:p>
    <w:p w14:paraId="15FC6E49" w14:textId="77777777" w:rsidR="001065CF" w:rsidRDefault="001065CF" w:rsidP="001065CF">
      <w:pPr>
        <w:jc w:val="center"/>
        <w:rPr>
          <w:b/>
          <w:bCs/>
          <w:u w:val="single"/>
        </w:rPr>
      </w:pPr>
    </w:p>
    <w:p w14:paraId="2A7A19BF" w14:textId="77777777" w:rsidR="001065CF" w:rsidRDefault="001065CF" w:rsidP="001065CF">
      <w:pPr>
        <w:jc w:val="center"/>
        <w:rPr>
          <w:b/>
          <w:bCs/>
          <w:u w:val="single"/>
        </w:rPr>
      </w:pPr>
    </w:p>
    <w:p w14:paraId="43419D57" w14:textId="77777777" w:rsidR="001065CF" w:rsidRDefault="001065CF" w:rsidP="001065CF">
      <w:pPr>
        <w:jc w:val="center"/>
        <w:rPr>
          <w:b/>
          <w:bCs/>
          <w:u w:val="single"/>
        </w:rPr>
      </w:pPr>
    </w:p>
    <w:p w14:paraId="2FE0A95A" w14:textId="77777777" w:rsidR="001065CF" w:rsidRDefault="001065CF" w:rsidP="001065CF">
      <w:pPr>
        <w:jc w:val="center"/>
        <w:rPr>
          <w:b/>
          <w:bCs/>
          <w:u w:val="single"/>
        </w:rPr>
      </w:pPr>
    </w:p>
    <w:p w14:paraId="20580BF7" w14:textId="473DFB5B" w:rsidR="001065CF" w:rsidRDefault="001065CF" w:rsidP="001065CF">
      <w:pPr>
        <w:jc w:val="center"/>
        <w:rPr>
          <w:b/>
          <w:bCs/>
          <w:u w:val="single"/>
        </w:rPr>
      </w:pPr>
      <w:r>
        <w:rPr>
          <w:b/>
          <w:bCs/>
          <w:u w:val="single"/>
        </w:rPr>
        <w:t xml:space="preserve">TERESA KAN </w:t>
      </w:r>
    </w:p>
    <w:p w14:paraId="6CCFC4AA" w14:textId="77777777" w:rsidR="001065CF" w:rsidRDefault="001065CF" w:rsidP="001065CF">
      <w:pPr>
        <w:jc w:val="center"/>
        <w:rPr>
          <w:b/>
          <w:bCs/>
          <w:u w:val="single"/>
        </w:rPr>
      </w:pPr>
      <w:r>
        <w:rPr>
          <w:b/>
          <w:bCs/>
          <w:u w:val="single"/>
        </w:rPr>
        <w:t>STUDENT NUMBER – 2017444</w:t>
      </w:r>
    </w:p>
    <w:p w14:paraId="79B8A7F6" w14:textId="24F321BB" w:rsidR="001065CF" w:rsidRDefault="001065CF" w:rsidP="001065CF">
      <w:pPr>
        <w:jc w:val="center"/>
        <w:rPr>
          <w:b/>
          <w:bCs/>
          <w:u w:val="single"/>
        </w:rPr>
      </w:pPr>
      <w:r>
        <w:rPr>
          <w:b/>
          <w:bCs/>
          <w:u w:val="single"/>
        </w:rPr>
        <w:t xml:space="preserve">EQUITY AND TRUSTS LAW REFORM REPORT </w:t>
      </w:r>
    </w:p>
    <w:p w14:paraId="3C109276" w14:textId="77777777" w:rsidR="001065CF" w:rsidRDefault="001065CF" w:rsidP="001065CF">
      <w:pPr>
        <w:jc w:val="center"/>
        <w:rPr>
          <w:b/>
          <w:bCs/>
          <w:u w:val="single"/>
        </w:rPr>
      </w:pPr>
    </w:p>
    <w:p w14:paraId="62CF89B7" w14:textId="77777777" w:rsidR="001065CF" w:rsidRDefault="001065CF" w:rsidP="001065CF">
      <w:pPr>
        <w:jc w:val="center"/>
        <w:rPr>
          <w:b/>
          <w:bCs/>
          <w:u w:val="single"/>
        </w:rPr>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8C731FB" w14:textId="77777777" w:rsidR="00935B5C" w:rsidRDefault="00935B5C"/>
    <w:p w14:paraId="6564422D" w14:textId="77777777" w:rsidR="001065CF" w:rsidRDefault="001065CF"/>
    <w:p w14:paraId="3A4D94ED" w14:textId="77777777" w:rsidR="001065CF" w:rsidRDefault="001065CF"/>
    <w:p w14:paraId="222B2C75" w14:textId="77777777" w:rsidR="001065CF" w:rsidRDefault="001065CF"/>
    <w:p w14:paraId="7C006AF1" w14:textId="77777777" w:rsidR="001065CF" w:rsidRDefault="001065CF"/>
    <w:p w14:paraId="08B62BEA" w14:textId="77777777" w:rsidR="001065CF" w:rsidRDefault="001065CF"/>
    <w:p w14:paraId="7B024D1B" w14:textId="77777777" w:rsidR="001065CF" w:rsidRDefault="001065CF"/>
    <w:p w14:paraId="315DC50B" w14:textId="77777777" w:rsidR="001065CF" w:rsidRDefault="001065CF"/>
    <w:p w14:paraId="0DE5D8B8" w14:textId="77777777" w:rsidR="001065CF" w:rsidRDefault="001065CF"/>
    <w:p w14:paraId="3751C757" w14:textId="77777777" w:rsidR="001065CF" w:rsidRDefault="001065CF"/>
    <w:p w14:paraId="0F414C2A" w14:textId="77777777" w:rsidR="001065CF" w:rsidRDefault="001065CF"/>
    <w:p w14:paraId="26A82A06" w14:textId="77777777" w:rsidR="001065CF" w:rsidRDefault="001065CF"/>
    <w:p w14:paraId="4B1C8A99" w14:textId="77777777" w:rsidR="001065CF" w:rsidRDefault="001065CF"/>
    <w:p w14:paraId="4A4C4ABF" w14:textId="77777777" w:rsidR="001065CF" w:rsidRDefault="001065CF"/>
    <w:p w14:paraId="021CF54B" w14:textId="77777777" w:rsidR="001065CF" w:rsidRDefault="001065CF"/>
    <w:p w14:paraId="57290016" w14:textId="77777777" w:rsidR="001065CF" w:rsidRDefault="001065CF"/>
    <w:p w14:paraId="08B399D3" w14:textId="77777777" w:rsidR="001065CF" w:rsidRDefault="001065CF"/>
    <w:p w14:paraId="1C73D954" w14:textId="54EBC2CC" w:rsidR="001065CF" w:rsidRDefault="001065CF">
      <w:pPr>
        <w:rPr>
          <w:u w:val="single"/>
        </w:rPr>
      </w:pPr>
      <w:r w:rsidRPr="001065CF">
        <w:rPr>
          <w:u w:val="single"/>
        </w:rPr>
        <w:t>Introduction</w:t>
      </w:r>
    </w:p>
    <w:p w14:paraId="41D26932" w14:textId="49AB08AA" w:rsidR="001065CF" w:rsidRDefault="001065CF">
      <w:r>
        <w:t>The administration of trusts depends on the relationship between trustees, who hold the legal title to trust property and the beneficiaries who possess the equitable interest.</w:t>
      </w:r>
    </w:p>
    <w:p w14:paraId="3BC9F74F" w14:textId="777373C6" w:rsidR="001065CF" w:rsidRDefault="001065CF">
      <w:r>
        <w:t xml:space="preserve">A key feature of this relationship is accountability. The principle of accountability is central to this relationship, </w:t>
      </w:r>
      <w:r w:rsidR="008E3A9B">
        <w:t xml:space="preserve">and </w:t>
      </w:r>
      <w:r>
        <w:t xml:space="preserve">trustees must act in good faith and in the best interests of the beneficiaries. </w:t>
      </w:r>
    </w:p>
    <w:p w14:paraId="4BB06DB5" w14:textId="6DC9165E" w:rsidR="001065CF" w:rsidRDefault="001065CF">
      <w:r>
        <w:t>Beneficiaries</w:t>
      </w:r>
      <w:r w:rsidR="008E3A9B">
        <w:t>’</w:t>
      </w:r>
      <w:r>
        <w:t xml:space="preserve"> access to information is therefore essential for them to be able to effectively enforce their equitable rights and without this access they won’t have sufficient knowledge of how the trust is managed. Therefore, access to information is therefore fundamental to the proper functioning of a trust. </w:t>
      </w:r>
    </w:p>
    <w:p w14:paraId="6A94AC42" w14:textId="4A5610AD" w:rsidR="001065CF" w:rsidRDefault="001065CF">
      <w:r>
        <w:t xml:space="preserve">The current law regarding the disclosure of trust information is uncertain and largely dependent on trustee discretion. In the case Schmidt v Rosewood Trust Ltd (2003), the privy council confirmed that beneficiaries do not have automatic rights to trust documents. With disclosure being governed by the court’s supervisory jurisdiction. </w:t>
      </w:r>
    </w:p>
    <w:p w14:paraId="12D83A88" w14:textId="592D014D" w:rsidR="001065CF" w:rsidRDefault="001065CF">
      <w:r>
        <w:t xml:space="preserve">Another key case is Re Londonderry’s Settlement (1965) which established that trustees do not need to provide reasons for their discretionary decisions. Where these rules can provide some flexibility and protect confidentiality, it does have the potential to lack transparency and provide a power imbalance between trustees and beneficiaries. </w:t>
      </w:r>
    </w:p>
    <w:p w14:paraId="37E07384" w14:textId="48792262" w:rsidR="001065CF" w:rsidRDefault="001065CF">
      <w:r>
        <w:t>This report evaluate</w:t>
      </w:r>
      <w:r w:rsidR="00985710">
        <w:t>s</w:t>
      </w:r>
      <w:r>
        <w:t xml:space="preserve"> the need for reform </w:t>
      </w:r>
      <w:r w:rsidR="00985710">
        <w:t xml:space="preserve">by examining the current disclosure framework and proposing a statutory model to improve beneficiaries’ access to trust information. </w:t>
      </w:r>
      <w:r>
        <w:t xml:space="preserve">This proposal aims to strengthen </w:t>
      </w:r>
      <w:proofErr w:type="gramStart"/>
      <w:r>
        <w:t>beneficiaries</w:t>
      </w:r>
      <w:proofErr w:type="gramEnd"/>
      <w:r>
        <w:t xml:space="preserve"> ability to access essential trust information, clarify trustees’ duties o</w:t>
      </w:r>
      <w:r w:rsidR="00985710">
        <w:t>f</w:t>
      </w:r>
      <w:r>
        <w:t xml:space="preserve"> disclosure and define categories of documents necessary to enable beneficiaries to protect and enforce their equitable rights. </w:t>
      </w:r>
    </w:p>
    <w:p w14:paraId="7C30B7D7" w14:textId="77777777" w:rsidR="001065CF" w:rsidRDefault="001065CF"/>
    <w:p w14:paraId="32B7F4E1" w14:textId="5BAD4AD1" w:rsidR="001065CF" w:rsidRDefault="001065CF">
      <w:pPr>
        <w:rPr>
          <w:u w:val="single"/>
        </w:rPr>
      </w:pPr>
      <w:r w:rsidRPr="001065CF">
        <w:rPr>
          <w:u w:val="single"/>
        </w:rPr>
        <w:t xml:space="preserve">Current position </w:t>
      </w:r>
    </w:p>
    <w:p w14:paraId="19256B5F" w14:textId="77777777" w:rsidR="00FD28A9" w:rsidRDefault="001065CF">
      <w:r>
        <w:t>The current law</w:t>
      </w:r>
      <w:r w:rsidR="00FD28A9">
        <w:t xml:space="preserve"> </w:t>
      </w:r>
      <w:r>
        <w:t xml:space="preserve">derived from case law being the primary authority stipulates that beneficiaries do not possess an automatic right to access trust documents. Trustees retain control over trust information as part of their administrative function. </w:t>
      </w:r>
    </w:p>
    <w:p w14:paraId="2A452A03" w14:textId="2849EC63" w:rsidR="00FD28A9" w:rsidRDefault="00FD28A9">
      <w:r>
        <w:t>Trustees remain subject to fiduciary and statutory duties which require proper administration of the trust</w:t>
      </w:r>
      <w:r w:rsidR="007E4F53">
        <w:t xml:space="preserve"> and must follow their basic duties recognised in Armitage v Nurse (1998</w:t>
      </w:r>
      <w:proofErr w:type="gramStart"/>
      <w:r w:rsidR="007E4F53">
        <w:t xml:space="preserve">) </w:t>
      </w:r>
      <w:r>
        <w:t>,</w:t>
      </w:r>
      <w:proofErr w:type="gramEnd"/>
      <w:r>
        <w:t xml:space="preserve"> including the duty of care under th</w:t>
      </w:r>
      <w:r w:rsidR="00576A8B">
        <w:t>e</w:t>
      </w:r>
      <w:r>
        <w:t xml:space="preserve"> Trustee Act 2000, which reinforces the expectation that trustees must manage trust affairs responsibly and maintain adequate records. </w:t>
      </w:r>
    </w:p>
    <w:p w14:paraId="007EDFCC" w14:textId="4B94E5EA" w:rsidR="001065CF" w:rsidRDefault="001065CF">
      <w:r>
        <w:t xml:space="preserve">As determined in Schmidt v Rosewood Trust Ltd (2003) due to beneficiaries not having rights to obtain trust documents and the court holds supervisory jurisdiction over the beneficiaries ability to obtain information, disclosure is therefore determined on a case by case basis, by taking into account the nature of the beneficiaries interest, the purpose of the request and confidentiality concerns. </w:t>
      </w:r>
    </w:p>
    <w:p w14:paraId="3858CEC1" w14:textId="06BF0ED7" w:rsidR="001065CF" w:rsidRDefault="001065CF">
      <w:r>
        <w:t xml:space="preserve">In cases where disclosure is refused beneficiaries can apply to the court for relief, it is then up to the court to determine where disclosure is appropriate under the circumstances presented to them. </w:t>
      </w:r>
    </w:p>
    <w:p w14:paraId="565FD610" w14:textId="3C038203" w:rsidR="00FD28A9" w:rsidRDefault="001065CF">
      <w:r>
        <w:lastRenderedPageBreak/>
        <w:t>This is further complicated by data protection law. In the case Dawson-Damer v Taylor Wessing LLP (2017) the court of appeal confirmed that data subject access rights cannot be used to obtain trust documents beyond those permitted under trust law, although individuals retain the right to access to personal data concerning them. Trustees have the responsibility of balancing fiduciary accountability with obligations under the UK GDPR and the Data protection Act 2018.</w:t>
      </w:r>
      <w:r w:rsidR="00FD28A9">
        <w:t xml:space="preserve"> </w:t>
      </w:r>
    </w:p>
    <w:p w14:paraId="478C3C01" w14:textId="77777777" w:rsidR="0096333B" w:rsidRDefault="0096333B"/>
    <w:p w14:paraId="54BF0960" w14:textId="247BA0C9" w:rsidR="0096333B" w:rsidRDefault="0096333B">
      <w:pPr>
        <w:rPr>
          <w:u w:val="single"/>
        </w:rPr>
      </w:pPr>
      <w:r w:rsidRPr="0096333B">
        <w:rPr>
          <w:u w:val="single"/>
        </w:rPr>
        <w:t xml:space="preserve">Current Challenges </w:t>
      </w:r>
    </w:p>
    <w:p w14:paraId="6F38D39C" w14:textId="0B445339" w:rsidR="001065CF" w:rsidRDefault="0096333B">
      <w:r>
        <w:t xml:space="preserve">The current approach to disclosure may sit uneasily with the underlying principles of trust law. Trusts are built on the idea that trustees hold property for the benefit of others and must act honestly and in the best interests of the beneficiaries. Trust law was created to prevent trustees from misusing property they control for others and central to this structure is accountability. </w:t>
      </w:r>
      <w:r w:rsidR="00EC7F70">
        <w:t>The structure of a trust separates legal ownership from beneficial enjoyment</w:t>
      </w:r>
      <w:r w:rsidR="00985710">
        <w:t>, with t</w:t>
      </w:r>
      <w:r w:rsidR="00EC7F70">
        <w:t>rustees hold</w:t>
      </w:r>
      <w:r w:rsidR="00985710">
        <w:t xml:space="preserve">ing </w:t>
      </w:r>
      <w:r w:rsidR="00EC7F70">
        <w:t xml:space="preserve">legal title, </w:t>
      </w:r>
      <w:r w:rsidR="00985710">
        <w:t xml:space="preserve">while </w:t>
      </w:r>
      <w:r w:rsidR="00EC7F70">
        <w:t xml:space="preserve">beneficiaries </w:t>
      </w:r>
      <w:r w:rsidR="007E4F53">
        <w:t>possess the equitable interest</w:t>
      </w:r>
      <w:r w:rsidR="00985710">
        <w:t xml:space="preserve"> (</w:t>
      </w:r>
      <w:proofErr w:type="spellStart"/>
      <w:r w:rsidR="00985710">
        <w:t>Duddington</w:t>
      </w:r>
      <w:proofErr w:type="spellEnd"/>
      <w:r w:rsidR="00985710">
        <w:t>,</w:t>
      </w:r>
      <w:r w:rsidR="008E3A9B">
        <w:t xml:space="preserve"> </w:t>
      </w:r>
      <w:r w:rsidR="00985710">
        <w:t>2023)</w:t>
      </w:r>
      <w:r w:rsidR="00EC7F70">
        <w:t xml:space="preserve">. </w:t>
      </w:r>
      <w:r w:rsidR="007E4F53">
        <w:t xml:space="preserve">It has been emphasised that the beneficiary’s proprietary interest in the trust property is central to the trust relationship and underpins their ability to hold trustees accountable (Dagan, 2023). </w:t>
      </w:r>
    </w:p>
    <w:p w14:paraId="08C1E3EB" w14:textId="31F479AA" w:rsidR="0096333B" w:rsidRDefault="0096333B">
      <w:r>
        <w:t xml:space="preserve">However, the modern disclosure framework limits beneficiaries’ access to information. </w:t>
      </w:r>
      <w:r w:rsidR="007E4F53">
        <w:t xml:space="preserve">Earlier authority such as O’Rourke v </w:t>
      </w:r>
      <w:proofErr w:type="spellStart"/>
      <w:r w:rsidR="007E4F53">
        <w:t>Darbishire</w:t>
      </w:r>
      <w:proofErr w:type="spellEnd"/>
      <w:r w:rsidR="007E4F53">
        <w:t xml:space="preserve"> (1920), suggested that beneficiaries could inspect trust documents because of their proprietary interest in the trust property. </w:t>
      </w:r>
      <w:proofErr w:type="gramStart"/>
      <w:r w:rsidR="007E4F53">
        <w:t>However</w:t>
      </w:r>
      <w:proofErr w:type="gramEnd"/>
      <w:r w:rsidR="007E4F53">
        <w:t xml:space="preserve"> this approach was reconsidered in </w:t>
      </w:r>
      <w:r>
        <w:t>Schmidt v Rosewood Trust Ltd (2003)</w:t>
      </w:r>
      <w:r w:rsidR="007E4F53">
        <w:t xml:space="preserve"> where</w:t>
      </w:r>
      <w:r>
        <w:t xml:space="preserve"> access to documents is discretionary rather than automatically allowed. In addition to this Re Londonderry’s Settlement (1965) protects trustees from having to disclose their reasons for discretionary decisions. </w:t>
      </w:r>
      <w:r w:rsidR="00EC7F70">
        <w:t xml:space="preserve">This was re-affirmed in Breakspear v Ackland (2008) the justification for these rules is </w:t>
      </w:r>
      <w:r w:rsidR="008E3A9B">
        <w:t>that they</w:t>
      </w:r>
      <w:r w:rsidR="00EC7F70">
        <w:t xml:space="preserve"> allow trustees to exercise discretion without fear that every decision could be challenged. However, while these rules are in place to protect trustees’ they also reduce transparency.</w:t>
      </w:r>
    </w:p>
    <w:p w14:paraId="1FA2C678" w14:textId="566C13E6" w:rsidR="0096333B" w:rsidRDefault="00EC7F70">
      <w:r>
        <w:t xml:space="preserve">If beneficiaries cannot access sufficient information about how trustees are exercising their powers, it could mean their ability to </w:t>
      </w:r>
      <w:r w:rsidR="007E4F53">
        <w:t>monitor the administration of the trust may be limited</w:t>
      </w:r>
      <w:r>
        <w:t xml:space="preserve"> </w:t>
      </w:r>
      <w:r w:rsidR="007E4F53">
        <w:t xml:space="preserve">(Maurice, 2005). </w:t>
      </w:r>
      <w:r w:rsidR="00B218F6">
        <w:t>This</w:t>
      </w:r>
      <w:r>
        <w:t xml:space="preserve"> creates a difficulty because a beneficiary cannot challenge misconduct if they do not know what has occurred. With this difficulty considered the law risks prioritising trustee freedom over beneficiaries’ ability to hold trustees accountable. This could create an imbalance of power, a beneficiary who suspects mismanagement may lack sufficient information to determine whether there has been a breach of duty</w:t>
      </w:r>
      <w:r w:rsidR="007E4F53">
        <w:t xml:space="preserve"> (Target Holdings Ltd v </w:t>
      </w:r>
      <w:proofErr w:type="spellStart"/>
      <w:r w:rsidR="007E4F53">
        <w:t>Redferns</w:t>
      </w:r>
      <w:proofErr w:type="spellEnd"/>
      <w:r w:rsidR="007E4F53">
        <w:t xml:space="preserve"> (1996))</w:t>
      </w:r>
      <w:r>
        <w:t>.</w:t>
      </w:r>
      <w:r w:rsidR="007E4F53">
        <w:t xml:space="preserve"> Academic commentary has also emphasised that beneficiaries’ rights are central to the accountability of trustees, as beneficiaries must have sufficient information to enforce the equitable obligations owed to them (Hargreaves, 2011). </w:t>
      </w:r>
    </w:p>
    <w:p w14:paraId="39F1D623" w14:textId="14E3C649" w:rsidR="00EC7F70" w:rsidRDefault="00EC7F70">
      <w:r>
        <w:t>The protection of trustee’s reasons under the Londonderry principle could be considered controversial as it aims to prevent any unnecessary disputes it also shields the reasoning process behind discretionary decisions. This makes it harder for beneficiaries to assess whether trustees have acted fairly. Although judicial supervision remains available it is reactive and beneficiaries must first apply to court, this has the potential to discourage challenges due to cost and uncertainty of litigation.</w:t>
      </w:r>
    </w:p>
    <w:p w14:paraId="1E2E5B90" w14:textId="728E3C54" w:rsidR="00EC7F70" w:rsidRDefault="00EC7F70">
      <w:r>
        <w:t xml:space="preserve">The structure of a trust places control of the property in the hands of trustees, while beneficiaries rely on trustees to exercise that control properly. The trustee controls the property and the information on </w:t>
      </w:r>
      <w:r>
        <w:lastRenderedPageBreak/>
        <w:t xml:space="preserve">how it is managed. The beneficiary relies on the trustee complying with their fiduciary duties. Where disclosure is left to judicial discretion it could be argued that the system becomes reactive rather than preventative. </w:t>
      </w:r>
      <w:r w:rsidR="008E3A9B">
        <w:t>In practice, a</w:t>
      </w:r>
      <w:r>
        <w:t xml:space="preserve">ccountability only arises if a court becomes involved. </w:t>
      </w:r>
    </w:p>
    <w:p w14:paraId="67648CB0" w14:textId="3091F6B2" w:rsidR="00EC7F70" w:rsidRDefault="00EC7F70">
      <w:r>
        <w:t>Therefore, although the current framework seeks balance, it may fall short of fully reflecting the core equitable principle that trustees must be answerable to beneficiaries. A model that makes transparency discretionary rather than presumptive risks weakening the supervisory function that lies at the heart of trust law.</w:t>
      </w:r>
    </w:p>
    <w:p w14:paraId="24A16BC2" w14:textId="5A0C7858" w:rsidR="00EC7F70" w:rsidRDefault="00EC7F70">
      <w:r>
        <w:t>Overall, the current law attempts to balance competing interests between trustees, settlors and beneficiaries. The courts recognise that trustees must have a degree of freedom when exercising discretionary powers and that confidentiality may be important for the administration of some trusts. However, the discretionary nature of disclosure following Schmidt v Rosewood Trust Ltd means that beneficiaries do not have a clear entitlement to information on how trust property is managed. This can arguably make it more difficult for beneficiaries to assess whether trustees are complying with their fiduciary duties. While the existing framework promotes flexibility, it may also limit transparency and weaken the ability for beneficiaries to hold trustees accountable.</w:t>
      </w:r>
    </w:p>
    <w:p w14:paraId="47CFA76C" w14:textId="77777777" w:rsidR="005C7C42" w:rsidRDefault="005C7C42"/>
    <w:p w14:paraId="0DABAA0D" w14:textId="1DD1DD34" w:rsidR="005C7C42" w:rsidRDefault="005C7C42">
      <w:pPr>
        <w:rPr>
          <w:u w:val="single"/>
        </w:rPr>
      </w:pPr>
      <w:r w:rsidRPr="005C7C42">
        <w:rPr>
          <w:u w:val="single"/>
        </w:rPr>
        <w:t>Proposals for Reform</w:t>
      </w:r>
    </w:p>
    <w:p w14:paraId="0B54EC01" w14:textId="1C7AC523" w:rsidR="005C7C42" w:rsidRPr="005C7C42" w:rsidRDefault="005C7C42" w:rsidP="005C7C42">
      <w:pPr>
        <w:spacing w:after="161" w:line="240" w:lineRule="auto"/>
        <w:jc w:val="both"/>
      </w:pPr>
      <w:r w:rsidRPr="005C7C42">
        <w:rPr>
          <w:b/>
          <w:bCs/>
        </w:rPr>
        <w:t>TRUSTEE DISCLOSURE AND BENEFICIARY INFORMATION ACT 2026.</w:t>
      </w:r>
    </w:p>
    <w:p w14:paraId="53EE9217" w14:textId="7E6DEA24" w:rsidR="005C7C42" w:rsidRPr="005C7C42" w:rsidRDefault="005C7C42" w:rsidP="005C7C42">
      <w:pPr>
        <w:spacing w:after="161" w:line="240" w:lineRule="auto"/>
        <w:jc w:val="both"/>
      </w:pPr>
      <w:r w:rsidRPr="005C7C42">
        <w:t>An Act to clarify and regulate trustees' duties to provide information to beneficiaries, to define categories of trust documents subject to disclosure and to establish principles governing trustee discretion and for connected purposes.</w:t>
      </w:r>
    </w:p>
    <w:p w14:paraId="0267713F" w14:textId="2D291797" w:rsidR="005C7C42" w:rsidRPr="005C7C42" w:rsidRDefault="005C7C42" w:rsidP="005C7C42">
      <w:pPr>
        <w:spacing w:after="161" w:line="240" w:lineRule="auto"/>
        <w:jc w:val="both"/>
      </w:pPr>
      <w:r w:rsidRPr="005C7C42">
        <w:t>Clause</w:t>
      </w:r>
      <w:r>
        <w:t xml:space="preserve"> </w:t>
      </w:r>
      <w:r w:rsidRPr="005C7C42">
        <w:t>1 – Statutory Right to Core Information</w:t>
      </w:r>
      <w:r w:rsidRPr="005C7C42">
        <w:br/>
        <w:t> A trustee shall, upon reasonable request, provide a beneficiary with: (a) the trust instrument; (b) annual trust accounts (c) a summary of trust assets and liabilities and (d) details of distributions made to that beneficiary. Disclosure under this section shall not require a court order unless disputed. A trustee may refuse disclosure where the request is vexatious, manifestly unreasonable, or contrary to the proper administration of the trust.</w:t>
      </w:r>
    </w:p>
    <w:p w14:paraId="55703F26" w14:textId="77777777" w:rsidR="005C7C42" w:rsidRPr="005C7C42" w:rsidRDefault="005C7C42" w:rsidP="005C7C42">
      <w:pPr>
        <w:spacing w:after="161" w:line="240" w:lineRule="auto"/>
        <w:jc w:val="both"/>
      </w:pPr>
      <w:r w:rsidRPr="005C7C42">
        <w:t>Clause 2 – Confidential and Deliberative Documents</w:t>
      </w:r>
      <w:r w:rsidRPr="005C7C42">
        <w:br/>
        <w:t> Trustees shall not be required to disclose documents recording their deliberations or reasons for discretionary decisions. Letters of wishes shall be presumed confidential. The court may order disclosure where necessary to ensure proper administration and where just and equitable in the circumstances.</w:t>
      </w:r>
    </w:p>
    <w:p w14:paraId="4E3376AA" w14:textId="77777777" w:rsidR="005C7C42" w:rsidRDefault="005C7C42" w:rsidP="005C7C42">
      <w:pPr>
        <w:spacing w:after="161" w:line="240" w:lineRule="auto"/>
        <w:jc w:val="both"/>
      </w:pPr>
      <w:r w:rsidRPr="005C7C42">
        <w:t>Clause 3 – Alternative Dispute Resolution</w:t>
      </w:r>
      <w:r w:rsidRPr="005C7C42">
        <w:br/>
        <w:t> Before commencing court proceedings relating to disclosure under this Act, the parties shall attempt resolution through mediation or another recognised form of alternative dispute resolution. The court may consider non-compliance when determining costs.</w:t>
      </w:r>
    </w:p>
    <w:p w14:paraId="190F55CC" w14:textId="77777777" w:rsidR="005C7C42" w:rsidRDefault="005C7C42" w:rsidP="005C7C42">
      <w:pPr>
        <w:spacing w:after="161" w:line="240" w:lineRule="auto"/>
        <w:jc w:val="both"/>
      </w:pPr>
    </w:p>
    <w:p w14:paraId="52FD7678" w14:textId="0E70C769" w:rsidR="005C7C42" w:rsidRDefault="005C7C42" w:rsidP="005C7C42">
      <w:pPr>
        <w:spacing w:after="161" w:line="240" w:lineRule="auto"/>
        <w:jc w:val="both"/>
        <w:rPr>
          <w:u w:val="single"/>
        </w:rPr>
      </w:pPr>
      <w:r w:rsidRPr="005C7C42">
        <w:rPr>
          <w:u w:val="single"/>
        </w:rPr>
        <w:t>Evaluation of the reform proposals</w:t>
      </w:r>
    </w:p>
    <w:p w14:paraId="275C2AC8" w14:textId="307B4208" w:rsidR="005C7C42" w:rsidRDefault="005C7C42" w:rsidP="005C7C42">
      <w:pPr>
        <w:spacing w:after="0" w:line="240" w:lineRule="auto"/>
      </w:pPr>
      <w:r>
        <w:t xml:space="preserve">The proposed Trustee Disclosure and Beneficiary information Act 2026 seeks to address the uncertainty and lack of transparency within the current disclosure framework governing beneficiaries’ access to trust information. The current law following Schmidt v Rosewood Trust Ltd, relies heavily on judicial discretion meaning beneficiaries often lack a clear entitlement to basic information about how trust property is managed. The proposed reform aims to provide greater clarity by introducing a </w:t>
      </w:r>
      <w:r>
        <w:lastRenderedPageBreak/>
        <w:t xml:space="preserve">statutory right to core trust information while preserving trustee autonomy in relation to confidential materials. The proposal attempts to balance the need for transparency and beneficiary accountability with the practical demands of trust administration. </w:t>
      </w:r>
    </w:p>
    <w:p w14:paraId="52DA6713" w14:textId="77777777" w:rsidR="005C7C42" w:rsidRDefault="005C7C42" w:rsidP="005C7C42">
      <w:pPr>
        <w:spacing w:after="0" w:line="240" w:lineRule="auto"/>
      </w:pPr>
    </w:p>
    <w:p w14:paraId="523AF1A4" w14:textId="77777777" w:rsidR="005C7C42" w:rsidRDefault="005C7C42" w:rsidP="005C7C42">
      <w:pPr>
        <w:spacing w:after="0" w:line="240" w:lineRule="auto"/>
        <w:rPr>
          <w:u w:val="single"/>
        </w:rPr>
      </w:pPr>
    </w:p>
    <w:p w14:paraId="6BBB2E26" w14:textId="77777777" w:rsidR="005C7C42" w:rsidRDefault="005C7C42" w:rsidP="005C7C42">
      <w:pPr>
        <w:spacing w:after="0" w:line="240" w:lineRule="auto"/>
        <w:rPr>
          <w:u w:val="single"/>
        </w:rPr>
      </w:pPr>
    </w:p>
    <w:p w14:paraId="6C8928C2" w14:textId="21137AEF" w:rsidR="005C7C42" w:rsidRPr="005C7C42" w:rsidRDefault="005C7C42" w:rsidP="005C7C42">
      <w:pPr>
        <w:spacing w:after="0" w:line="240" w:lineRule="auto"/>
        <w:rPr>
          <w:u w:val="single"/>
        </w:rPr>
      </w:pPr>
      <w:r w:rsidRPr="005C7C42">
        <w:rPr>
          <w:u w:val="single"/>
        </w:rPr>
        <w:t>Clause 1</w:t>
      </w:r>
      <w:r w:rsidR="00CD55BB">
        <w:rPr>
          <w:u w:val="single"/>
        </w:rPr>
        <w:t xml:space="preserve"> – Statutory right to Core Information. </w:t>
      </w:r>
    </w:p>
    <w:p w14:paraId="0AC0B34C" w14:textId="77777777" w:rsidR="005C7C42" w:rsidRDefault="005C7C42"/>
    <w:p w14:paraId="4EB85757" w14:textId="04F78E01" w:rsidR="005C7C42" w:rsidRDefault="00CD55BB">
      <w:r>
        <w:t>Clause 1</w:t>
      </w:r>
      <w:r w:rsidR="005C7C42">
        <w:t xml:space="preserve"> introduces a statutory right for beneficiaries to access core trust information, </w:t>
      </w:r>
      <w:r>
        <w:t>including the</w:t>
      </w:r>
      <w:r w:rsidR="005C7C42">
        <w:t xml:space="preserve"> trust instrument, annual accounts, a small summary of trust assets and liabilities and details of distributions made to that beneficiary. </w:t>
      </w:r>
      <w:r>
        <w:t xml:space="preserve">This provision addresses one of the main weaknesses in the current law, particularly the lack of clarity regarding what information beneficiaries are entitled to receive. Under the current framework disclosure largely depends on judicial discretion following Schmidt v Rosewood Trust Ltd. As a result of this case beneficiaries may need to apply to the court to obtain basic information regarding the administration of the trust. Clause 1 will help by creating a clear statutory baseline by improving legal certainty and reduce the need for court intervention which will reduce the cost of potential litigation. Beneficiaries would have access to essential information needed to monitor the trust and how it is being managed and to assess whether trustees are complying with their fiduciary duties. The clause will also provide safeguards for the trustees by allowing them to refuse requests that are vexatious, unreasonable or contrary to the proper administration of the trust. </w:t>
      </w:r>
      <w:r w:rsidR="009548CE">
        <w:t>However, the reform must still preserve the balance between improving transparency for beneficiaries and allowing trustees to administer the trust effectively</w:t>
      </w:r>
      <w:r w:rsidR="008E3A9B">
        <w:t>.</w:t>
      </w:r>
    </w:p>
    <w:p w14:paraId="12BDAAD5" w14:textId="77777777" w:rsidR="00CD55BB" w:rsidRDefault="00CD55BB"/>
    <w:p w14:paraId="2DD8FC82" w14:textId="4FA830E1" w:rsidR="00CD55BB" w:rsidRPr="00CD55BB" w:rsidRDefault="00CD55BB">
      <w:pPr>
        <w:rPr>
          <w:u w:val="single"/>
        </w:rPr>
      </w:pPr>
      <w:r w:rsidRPr="00CD55BB">
        <w:rPr>
          <w:u w:val="single"/>
        </w:rPr>
        <w:t xml:space="preserve">Clause 2 – Confidential and Deliberative Documents </w:t>
      </w:r>
    </w:p>
    <w:p w14:paraId="70DBD2C3" w14:textId="7A7E9724" w:rsidR="005C7C42" w:rsidRDefault="00CD55BB">
      <w:r>
        <w:t xml:space="preserve">Clause 2 preserves confidentiality in relation to trustees’ deliberative processes by confirming that trustees are not required to disclose documents recording their internal discussions or reasons for discretionary decisions. This reflects the approach taken in Re Londonderry’s Settlement and reaffirmed </w:t>
      </w:r>
      <w:r w:rsidR="00576A8B">
        <w:t xml:space="preserve">in Breakspear v Ackland in which the courts recognised that disclosure of trustees reasoning could undermine the trustees using their decision-making powers properly. Keeping </w:t>
      </w:r>
      <w:proofErr w:type="gramStart"/>
      <w:r w:rsidR="00576A8B">
        <w:t>trustees</w:t>
      </w:r>
      <w:proofErr w:type="gramEnd"/>
      <w:r w:rsidR="00576A8B">
        <w:t xml:space="preserve"> internal discussions confidential allows them to make decisions freely without concern that beneficiaries will challenge their reasoning if they disagree with the outcome. The clause also maintains the confidentiality of the letters of wishes which often contain sensitive personal guidance from the settlor. However, the proposal allows courts to order disclosure where necessary to ensure proper administration. This balances trustee autonomy with accountability while clarifying which documents remain confidential.</w:t>
      </w:r>
    </w:p>
    <w:p w14:paraId="75C0F1A0" w14:textId="77777777" w:rsidR="00576A8B" w:rsidRDefault="00576A8B"/>
    <w:p w14:paraId="2B4D84FC" w14:textId="650C3D84" w:rsidR="00576A8B" w:rsidRDefault="00576A8B">
      <w:pPr>
        <w:rPr>
          <w:u w:val="single"/>
        </w:rPr>
      </w:pPr>
      <w:r w:rsidRPr="00576A8B">
        <w:rPr>
          <w:u w:val="single"/>
        </w:rPr>
        <w:t xml:space="preserve">Clause 3 – Alternative Dispute Resolution </w:t>
      </w:r>
    </w:p>
    <w:p w14:paraId="20F3423C" w14:textId="59AB75DD" w:rsidR="00576A8B" w:rsidRDefault="00576A8B">
      <w:r>
        <w:t xml:space="preserve">Clause 3 encourages the use of alternative dispute resolution before court proceedings are initiated. This provision recognises that litigation in trust matters can be costly, time consuming and potentially damaging to family relationships. This proposal promotes a more cooperative and efficient resolution of disputes and in doing so encourages settlements outside of court. The clause does not remove access to the </w:t>
      </w:r>
      <w:proofErr w:type="gramStart"/>
      <w:r>
        <w:t>courts,</w:t>
      </w:r>
      <w:proofErr w:type="gramEnd"/>
      <w:r>
        <w:t xml:space="preserve"> judicial supervision remains available where disputes cannot be resolved </w:t>
      </w:r>
      <w:r>
        <w:lastRenderedPageBreak/>
        <w:t xml:space="preserve">through alternative means. In this way the proposal aims to reduce unnecessary litigation while preserving the </w:t>
      </w:r>
      <w:proofErr w:type="gramStart"/>
      <w:r>
        <w:t>courts</w:t>
      </w:r>
      <w:proofErr w:type="gramEnd"/>
      <w:r>
        <w:t xml:space="preserve"> supervisory role in ensuring the proper administration of trusts. </w:t>
      </w:r>
    </w:p>
    <w:p w14:paraId="13098867" w14:textId="77777777" w:rsidR="00576A8B" w:rsidRDefault="00576A8B"/>
    <w:p w14:paraId="192E58A3" w14:textId="76FEC69B" w:rsidR="00576A8B" w:rsidRPr="00576A8B" w:rsidRDefault="00576A8B">
      <w:r>
        <w:t xml:space="preserve">In conclusion, the </w:t>
      </w:r>
      <w:r w:rsidR="008E3A9B">
        <w:t>c</w:t>
      </w:r>
      <w:r>
        <w:t xml:space="preserve">urrent legal framework governing beneficiaries’ access to trust </w:t>
      </w:r>
      <w:r w:rsidR="00AF2573">
        <w:t>in</w:t>
      </w:r>
      <w:r>
        <w:t xml:space="preserve">formation provides flexibility but also creates uncertainty and potential barriers to accountability. While judicial discretion allows courts to balance competing interests, it may leave beneficiaries without a clear entitlement to basic trust information. The proposed Trustee Disclosure and Beneficiary Information Act 2026 </w:t>
      </w:r>
      <w:proofErr w:type="gramStart"/>
      <w:r>
        <w:t>seeks</w:t>
      </w:r>
      <w:proofErr w:type="gramEnd"/>
      <w:r>
        <w:t xml:space="preserve"> to address these concerns by introducing a statutory right to core information while preserving trustee confidentiality in relation to deliberative materials. By clarifying disclosure duties and encouraging alternative dispute resolution, the proposal aims to strengthen transparency without undermining the trust administration. Overall, the reform seeks to achieve a more balanced relationship between trustee autonomy and beneficiary accountability.</w:t>
      </w:r>
    </w:p>
    <w:p w14:paraId="41CFD3EA" w14:textId="77777777" w:rsidR="00EC7F70" w:rsidRDefault="00EC7F70"/>
    <w:p w14:paraId="7783E57A" w14:textId="77777777" w:rsidR="0096333B" w:rsidRDefault="0096333B"/>
    <w:p w14:paraId="07D1E807" w14:textId="77777777" w:rsidR="00521486" w:rsidRDefault="00521486">
      <w:pPr>
        <w:rPr>
          <w:u w:val="single"/>
        </w:rPr>
      </w:pPr>
    </w:p>
    <w:p w14:paraId="2B33B58E" w14:textId="77777777" w:rsidR="00521486" w:rsidRDefault="00521486">
      <w:pPr>
        <w:rPr>
          <w:u w:val="single"/>
        </w:rPr>
      </w:pPr>
    </w:p>
    <w:p w14:paraId="269B4FB3" w14:textId="77777777" w:rsidR="00521486" w:rsidRDefault="00521486">
      <w:pPr>
        <w:rPr>
          <w:u w:val="single"/>
        </w:rPr>
      </w:pPr>
    </w:p>
    <w:p w14:paraId="43D436CF" w14:textId="77777777" w:rsidR="00521486" w:rsidRDefault="00521486">
      <w:pPr>
        <w:rPr>
          <w:u w:val="single"/>
        </w:rPr>
      </w:pPr>
    </w:p>
    <w:p w14:paraId="31981CB5" w14:textId="77777777" w:rsidR="00521486" w:rsidRDefault="00521486">
      <w:pPr>
        <w:rPr>
          <w:u w:val="single"/>
        </w:rPr>
      </w:pPr>
    </w:p>
    <w:p w14:paraId="063526DD" w14:textId="77777777" w:rsidR="00521486" w:rsidRDefault="00521486">
      <w:pPr>
        <w:rPr>
          <w:u w:val="single"/>
        </w:rPr>
      </w:pPr>
    </w:p>
    <w:p w14:paraId="3EE88A26" w14:textId="77777777" w:rsidR="00521486" w:rsidRDefault="00521486">
      <w:pPr>
        <w:rPr>
          <w:u w:val="single"/>
        </w:rPr>
      </w:pPr>
    </w:p>
    <w:p w14:paraId="3B19D7AE" w14:textId="77777777" w:rsidR="00521486" w:rsidRDefault="00521486">
      <w:pPr>
        <w:rPr>
          <w:u w:val="single"/>
        </w:rPr>
      </w:pPr>
    </w:p>
    <w:p w14:paraId="24D59BD8" w14:textId="77777777" w:rsidR="00521486" w:rsidRDefault="00521486">
      <w:pPr>
        <w:rPr>
          <w:u w:val="single"/>
        </w:rPr>
      </w:pPr>
    </w:p>
    <w:p w14:paraId="709AA5CE" w14:textId="77777777" w:rsidR="00521486" w:rsidRDefault="00521486">
      <w:pPr>
        <w:rPr>
          <w:u w:val="single"/>
        </w:rPr>
      </w:pPr>
    </w:p>
    <w:p w14:paraId="2CA86924" w14:textId="77777777" w:rsidR="00521486" w:rsidRDefault="00521486">
      <w:pPr>
        <w:rPr>
          <w:u w:val="single"/>
        </w:rPr>
      </w:pPr>
    </w:p>
    <w:p w14:paraId="60909964" w14:textId="77777777" w:rsidR="00521486" w:rsidRDefault="00521486">
      <w:pPr>
        <w:rPr>
          <w:u w:val="single"/>
        </w:rPr>
      </w:pPr>
    </w:p>
    <w:p w14:paraId="4FB05F72" w14:textId="77777777" w:rsidR="00521486" w:rsidRDefault="00521486">
      <w:pPr>
        <w:rPr>
          <w:u w:val="single"/>
        </w:rPr>
      </w:pPr>
    </w:p>
    <w:p w14:paraId="12A5CFE7" w14:textId="77777777" w:rsidR="00521486" w:rsidRDefault="00521486">
      <w:pPr>
        <w:rPr>
          <w:u w:val="single"/>
        </w:rPr>
      </w:pPr>
    </w:p>
    <w:p w14:paraId="03DB7FC2" w14:textId="77777777" w:rsidR="00521486" w:rsidRDefault="00521486">
      <w:pPr>
        <w:rPr>
          <w:u w:val="single"/>
        </w:rPr>
      </w:pPr>
    </w:p>
    <w:p w14:paraId="0331193F" w14:textId="77777777" w:rsidR="00521486" w:rsidRDefault="00521486">
      <w:pPr>
        <w:rPr>
          <w:u w:val="single"/>
        </w:rPr>
      </w:pPr>
    </w:p>
    <w:p w14:paraId="2265C323" w14:textId="77777777" w:rsidR="00521486" w:rsidRDefault="00521486">
      <w:pPr>
        <w:rPr>
          <w:u w:val="single"/>
        </w:rPr>
      </w:pPr>
    </w:p>
    <w:p w14:paraId="3B0BC6D8" w14:textId="77777777" w:rsidR="00521486" w:rsidRDefault="00521486">
      <w:pPr>
        <w:rPr>
          <w:u w:val="single"/>
        </w:rPr>
      </w:pPr>
    </w:p>
    <w:p w14:paraId="763FED84" w14:textId="77777777" w:rsidR="00521486" w:rsidRDefault="00521486">
      <w:pPr>
        <w:rPr>
          <w:u w:val="single"/>
        </w:rPr>
      </w:pPr>
    </w:p>
    <w:p w14:paraId="32149F00" w14:textId="77777777" w:rsidR="00521486" w:rsidRDefault="00521486">
      <w:pPr>
        <w:rPr>
          <w:u w:val="single"/>
        </w:rPr>
      </w:pPr>
    </w:p>
    <w:p w14:paraId="00577BAD" w14:textId="77777777" w:rsidR="00521486" w:rsidRDefault="00521486">
      <w:pPr>
        <w:rPr>
          <w:u w:val="single"/>
        </w:rPr>
      </w:pPr>
    </w:p>
    <w:p w14:paraId="50497864" w14:textId="77777777" w:rsidR="00521486" w:rsidRDefault="00521486">
      <w:pPr>
        <w:rPr>
          <w:u w:val="single"/>
        </w:rPr>
      </w:pPr>
    </w:p>
    <w:p w14:paraId="64AE5FA1" w14:textId="77777777" w:rsidR="00521486" w:rsidRDefault="00521486">
      <w:pPr>
        <w:rPr>
          <w:u w:val="single"/>
        </w:rPr>
      </w:pPr>
    </w:p>
    <w:p w14:paraId="2022A082" w14:textId="77777777" w:rsidR="00521486" w:rsidRDefault="00521486">
      <w:pPr>
        <w:rPr>
          <w:u w:val="single"/>
        </w:rPr>
      </w:pPr>
    </w:p>
    <w:p w14:paraId="2AA3D9B9" w14:textId="109786FF" w:rsidR="001065CF" w:rsidRPr="001065CF" w:rsidRDefault="001065CF">
      <w:pPr>
        <w:rPr>
          <w:u w:val="single"/>
        </w:rPr>
      </w:pPr>
      <w:r w:rsidRPr="001065CF">
        <w:rPr>
          <w:u w:val="single"/>
        </w:rPr>
        <w:t xml:space="preserve">Reference List. </w:t>
      </w:r>
    </w:p>
    <w:p w14:paraId="5956359F" w14:textId="35B80B69" w:rsidR="007E4F53" w:rsidRDefault="007E4F53">
      <w:r>
        <w:t xml:space="preserve">Dagan, H. (2023) </w:t>
      </w:r>
      <w:r>
        <w:rPr>
          <w:i/>
          <w:iCs/>
        </w:rPr>
        <w:t xml:space="preserve">The Beneficiary’s Ownership Rights in the Trust Res in a Liberal Property Regime. </w:t>
      </w:r>
      <w:r>
        <w:t xml:space="preserve">Modern Law Review, 86(3), pp.701-728. </w:t>
      </w:r>
    </w:p>
    <w:p w14:paraId="61AB8400" w14:textId="1722E684" w:rsidR="00985710" w:rsidRPr="00985710" w:rsidRDefault="00985710">
      <w:proofErr w:type="spellStart"/>
      <w:r>
        <w:t>Duddington</w:t>
      </w:r>
      <w:proofErr w:type="spellEnd"/>
      <w:r>
        <w:t xml:space="preserve">, J. (2023) </w:t>
      </w:r>
      <w:r>
        <w:rPr>
          <w:i/>
          <w:iCs/>
        </w:rPr>
        <w:t xml:space="preserve">Law Express: Equity and Trusts. </w:t>
      </w:r>
      <w:r>
        <w:t xml:space="preserve">9th </w:t>
      </w:r>
      <w:proofErr w:type="spellStart"/>
      <w:r>
        <w:t>edn</w:t>
      </w:r>
      <w:proofErr w:type="spellEnd"/>
      <w:r>
        <w:t>. Harlow:</w:t>
      </w:r>
      <w:r w:rsidR="008E3A9B">
        <w:t xml:space="preserve"> </w:t>
      </w:r>
      <w:r>
        <w:t>Pearson.</w:t>
      </w:r>
    </w:p>
    <w:p w14:paraId="4FB48205" w14:textId="271621FE" w:rsidR="00985710" w:rsidRDefault="00985710">
      <w:proofErr w:type="gramStart"/>
      <w:r>
        <w:t>Hargreaves ,</w:t>
      </w:r>
      <w:proofErr w:type="gramEnd"/>
      <w:r w:rsidR="008E3A9B">
        <w:t xml:space="preserve"> </w:t>
      </w:r>
      <w:r>
        <w:t xml:space="preserve">E. (2011) </w:t>
      </w:r>
      <w:r>
        <w:rPr>
          <w:i/>
          <w:iCs/>
        </w:rPr>
        <w:t xml:space="preserve">The nature of Beneficiaries’ Rights Under Trusts. </w:t>
      </w:r>
      <w:r>
        <w:t>Trust Law International, 25(4), pp.163-183.</w:t>
      </w:r>
    </w:p>
    <w:p w14:paraId="7AC6F1EA" w14:textId="1A5E48CF" w:rsidR="007E4F53" w:rsidRPr="007E4F53" w:rsidRDefault="007E4F53">
      <w:r>
        <w:t xml:space="preserve">Maurice, C. (2005) </w:t>
      </w:r>
      <w:r>
        <w:rPr>
          <w:i/>
          <w:iCs/>
        </w:rPr>
        <w:t xml:space="preserve">Trustees’ Reactions to Beneficiaries’ Rights to Information. </w:t>
      </w:r>
      <w:r>
        <w:t>Trusts &amp; Trustees, 11(4), p.18.</w:t>
      </w:r>
    </w:p>
    <w:p w14:paraId="153FE5C9" w14:textId="581C4A50" w:rsidR="001065CF" w:rsidRPr="00FD28A9" w:rsidRDefault="00FD28A9">
      <w:r w:rsidRPr="00FD28A9">
        <w:t>Trustee Act 2000</w:t>
      </w:r>
    </w:p>
    <w:p w14:paraId="0D0FDA0D" w14:textId="60168A4A" w:rsidR="001065CF" w:rsidRDefault="001065CF">
      <w:pPr>
        <w:rPr>
          <w:u w:val="single"/>
        </w:rPr>
      </w:pPr>
      <w:r>
        <w:t xml:space="preserve">UK GDPR and the Data protection Act 2018 </w:t>
      </w:r>
    </w:p>
    <w:p w14:paraId="37E7A8C5" w14:textId="77777777" w:rsidR="001065CF" w:rsidRDefault="001065CF">
      <w:pPr>
        <w:rPr>
          <w:u w:val="single"/>
        </w:rPr>
      </w:pPr>
    </w:p>
    <w:p w14:paraId="54B8AFD5" w14:textId="342CDB59" w:rsidR="001065CF" w:rsidRDefault="001065CF">
      <w:pPr>
        <w:rPr>
          <w:u w:val="single"/>
        </w:rPr>
      </w:pPr>
      <w:r w:rsidRPr="001065CF">
        <w:rPr>
          <w:u w:val="single"/>
        </w:rPr>
        <w:t xml:space="preserve">Case Law. </w:t>
      </w:r>
    </w:p>
    <w:p w14:paraId="584F9CF5" w14:textId="40185625" w:rsidR="007E4F53" w:rsidRDefault="007E4F53">
      <w:r>
        <w:t>Armitage v Nurse (1998) Ch 241 (CA)</w:t>
      </w:r>
    </w:p>
    <w:p w14:paraId="58AFD6F1" w14:textId="36FE6403" w:rsidR="00EC7F70" w:rsidRDefault="00EC7F70">
      <w:r>
        <w:t>Breakspear v Ackland (2008) EWHC 220 (Ch)</w:t>
      </w:r>
    </w:p>
    <w:p w14:paraId="70E630B4" w14:textId="00FBD891" w:rsidR="001065CF" w:rsidRDefault="001065CF">
      <w:r>
        <w:t xml:space="preserve">Dawson-Damer v Taylor Wessing LLP (2017) EWCA </w:t>
      </w:r>
      <w:proofErr w:type="spellStart"/>
      <w:r>
        <w:t>Civ</w:t>
      </w:r>
      <w:proofErr w:type="spellEnd"/>
      <w:r>
        <w:t xml:space="preserve"> 74</w:t>
      </w:r>
    </w:p>
    <w:p w14:paraId="4320B2F7" w14:textId="2F665612" w:rsidR="007E4F53" w:rsidRDefault="007E4F53">
      <w:r>
        <w:t xml:space="preserve">O’Rourke v </w:t>
      </w:r>
      <w:proofErr w:type="spellStart"/>
      <w:r>
        <w:t>Darbishire</w:t>
      </w:r>
      <w:proofErr w:type="spellEnd"/>
      <w:r>
        <w:t xml:space="preserve"> (1920) AC 581 (HL</w:t>
      </w:r>
      <w:r w:rsidR="00B218F6">
        <w:t>)</w:t>
      </w:r>
    </w:p>
    <w:p w14:paraId="57A0330E" w14:textId="7796D7EA" w:rsidR="001065CF" w:rsidRPr="001065CF" w:rsidRDefault="001065CF">
      <w:r w:rsidRPr="001065CF">
        <w:t>Re Londonderry’s Settlement (1965) Ch 918</w:t>
      </w:r>
    </w:p>
    <w:p w14:paraId="471BC938" w14:textId="4C6B4CEE" w:rsidR="001065CF" w:rsidRDefault="001065CF">
      <w:r>
        <w:t>Schmidt v Rosewood Trust Ltd (2003) 2 AC 709</w:t>
      </w:r>
    </w:p>
    <w:p w14:paraId="2BB20EBE" w14:textId="5157C67C" w:rsidR="007E4F53" w:rsidRDefault="007E4F53">
      <w:r>
        <w:t xml:space="preserve">Target Holdings Ltd v </w:t>
      </w:r>
      <w:proofErr w:type="spellStart"/>
      <w:r>
        <w:t>Redfern</w:t>
      </w:r>
      <w:r w:rsidR="00B218F6">
        <w:t>s</w:t>
      </w:r>
      <w:proofErr w:type="spellEnd"/>
      <w:r>
        <w:t xml:space="preserve"> (1996) AC 421 (HL)</w:t>
      </w:r>
    </w:p>
    <w:p w14:paraId="6B4F19C7" w14:textId="77777777" w:rsidR="001065CF" w:rsidRDefault="001065CF"/>
    <w:p w14:paraId="1CD5C2B0" w14:textId="77777777" w:rsidR="001065CF" w:rsidRDefault="001065CF"/>
    <w:p w14:paraId="78A87C3C" w14:textId="77777777" w:rsidR="001065CF" w:rsidRPr="001065CF" w:rsidRDefault="001065CF"/>
    <w:sectPr w:rsidR="001065CF" w:rsidRPr="001065CF" w:rsidSect="00BD7923">
      <w:pgSz w:w="11900" w:h="16820"/>
      <w:pgMar w:top="720" w:right="720" w:bottom="720" w:left="720" w:header="709" w:footer="45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5CF"/>
    <w:rsid w:val="000F417F"/>
    <w:rsid w:val="001065CF"/>
    <w:rsid w:val="002C5D41"/>
    <w:rsid w:val="00521486"/>
    <w:rsid w:val="00576A8B"/>
    <w:rsid w:val="005C7C42"/>
    <w:rsid w:val="007E4F53"/>
    <w:rsid w:val="008E3A9B"/>
    <w:rsid w:val="00935B5C"/>
    <w:rsid w:val="009548CE"/>
    <w:rsid w:val="0096333B"/>
    <w:rsid w:val="00985710"/>
    <w:rsid w:val="00AF2573"/>
    <w:rsid w:val="00B218F6"/>
    <w:rsid w:val="00BD7923"/>
    <w:rsid w:val="00C3065E"/>
    <w:rsid w:val="00CD55BB"/>
    <w:rsid w:val="00EC7F70"/>
    <w:rsid w:val="00FD2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FC8F17"/>
  <w15:chartTrackingRefBased/>
  <w15:docId w15:val="{2C15C62F-F651-714D-A72E-C78C203CC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5CF"/>
    <w:pPr>
      <w:spacing w:after="160" w:line="279" w:lineRule="auto"/>
    </w:pPr>
    <w:rPr>
      <w:rFonts w:eastAsiaTheme="minorEastAsia"/>
      <w:lang w:eastAsia="ja-JP"/>
    </w:rPr>
  </w:style>
  <w:style w:type="paragraph" w:styleId="Heading1">
    <w:name w:val="heading 1"/>
    <w:basedOn w:val="Normal"/>
    <w:next w:val="Normal"/>
    <w:link w:val="Heading1Char"/>
    <w:uiPriority w:val="9"/>
    <w:qFormat/>
    <w:rsid w:val="001065CF"/>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1065CF"/>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1065CF"/>
    <w:pPr>
      <w:keepNext/>
      <w:keepLines/>
      <w:spacing w:before="160" w:after="80" w:line="240"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065CF"/>
    <w:pPr>
      <w:keepNext/>
      <w:keepLines/>
      <w:spacing w:before="80" w:after="40" w:line="240" w:lineRule="auto"/>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065CF"/>
    <w:pPr>
      <w:keepNext/>
      <w:keepLines/>
      <w:spacing w:before="80" w:after="40" w:line="240" w:lineRule="auto"/>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065CF"/>
    <w:pPr>
      <w:keepNext/>
      <w:keepLines/>
      <w:spacing w:before="40" w:after="0" w:line="240" w:lineRule="auto"/>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065CF"/>
    <w:pPr>
      <w:keepNext/>
      <w:keepLines/>
      <w:spacing w:before="40" w:after="0" w:line="240" w:lineRule="auto"/>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065CF"/>
    <w:pPr>
      <w:keepNext/>
      <w:keepLines/>
      <w:spacing w:after="0" w:line="240" w:lineRule="auto"/>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065CF"/>
    <w:pPr>
      <w:keepNext/>
      <w:keepLines/>
      <w:spacing w:after="0" w:line="240" w:lineRule="auto"/>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5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65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65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65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6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6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6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6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65CF"/>
    <w:rPr>
      <w:rFonts w:eastAsiaTheme="majorEastAsia" w:cstheme="majorBidi"/>
      <w:color w:val="272727" w:themeColor="text1" w:themeTint="D8"/>
    </w:rPr>
  </w:style>
  <w:style w:type="paragraph" w:styleId="Title">
    <w:name w:val="Title"/>
    <w:basedOn w:val="Normal"/>
    <w:next w:val="Normal"/>
    <w:link w:val="TitleChar"/>
    <w:uiPriority w:val="10"/>
    <w:qFormat/>
    <w:rsid w:val="001065CF"/>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1065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65CF"/>
    <w:pPr>
      <w:numPr>
        <w:ilvl w:val="1"/>
      </w:numPr>
      <w:spacing w:line="240"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065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65CF"/>
    <w:pPr>
      <w:spacing w:before="160" w:line="240" w:lineRule="auto"/>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1065CF"/>
    <w:rPr>
      <w:i/>
      <w:iCs/>
      <w:color w:val="404040" w:themeColor="text1" w:themeTint="BF"/>
    </w:rPr>
  </w:style>
  <w:style w:type="paragraph" w:styleId="ListParagraph">
    <w:name w:val="List Paragraph"/>
    <w:basedOn w:val="Normal"/>
    <w:uiPriority w:val="34"/>
    <w:qFormat/>
    <w:rsid w:val="001065CF"/>
    <w:pPr>
      <w:spacing w:after="0" w:line="240" w:lineRule="auto"/>
      <w:ind w:left="720"/>
      <w:contextualSpacing/>
    </w:pPr>
    <w:rPr>
      <w:rFonts w:eastAsiaTheme="minorHAnsi"/>
      <w:lang w:eastAsia="en-US"/>
    </w:rPr>
  </w:style>
  <w:style w:type="character" w:styleId="IntenseEmphasis">
    <w:name w:val="Intense Emphasis"/>
    <w:basedOn w:val="DefaultParagraphFont"/>
    <w:uiPriority w:val="21"/>
    <w:qFormat/>
    <w:rsid w:val="001065CF"/>
    <w:rPr>
      <w:i/>
      <w:iCs/>
      <w:color w:val="0F4761" w:themeColor="accent1" w:themeShade="BF"/>
    </w:rPr>
  </w:style>
  <w:style w:type="paragraph" w:styleId="IntenseQuote">
    <w:name w:val="Intense Quote"/>
    <w:basedOn w:val="Normal"/>
    <w:next w:val="Normal"/>
    <w:link w:val="IntenseQuoteChar"/>
    <w:uiPriority w:val="30"/>
    <w:qFormat/>
    <w:rsid w:val="001065CF"/>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1065CF"/>
    <w:rPr>
      <w:i/>
      <w:iCs/>
      <w:color w:val="0F4761" w:themeColor="accent1" w:themeShade="BF"/>
    </w:rPr>
  </w:style>
  <w:style w:type="character" w:styleId="IntenseReference">
    <w:name w:val="Intense Reference"/>
    <w:basedOn w:val="DefaultParagraphFont"/>
    <w:uiPriority w:val="32"/>
    <w:qFormat/>
    <w:rsid w:val="001065CF"/>
    <w:rPr>
      <w:b/>
      <w:bCs/>
      <w:smallCaps/>
      <w:color w:val="0F4761" w:themeColor="accent1" w:themeShade="BF"/>
      <w:spacing w:val="5"/>
    </w:rPr>
  </w:style>
  <w:style w:type="paragraph" w:styleId="NormalWeb">
    <w:name w:val="Normal (Web)"/>
    <w:basedOn w:val="Normal"/>
    <w:uiPriority w:val="99"/>
    <w:semiHidden/>
    <w:unhideWhenUsed/>
    <w:rsid w:val="005C7C42"/>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C7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286</TotalTime>
  <Pages>7</Pages>
  <Words>2350</Words>
  <Characters>13397</Characters>
  <Application>Microsoft Office Word</Application>
  <DocSecurity>0</DocSecurity>
  <Lines>111</Lines>
  <Paragraphs>31</Paragraphs>
  <ScaleCrop>false</ScaleCrop>
  <Company/>
  <LinksUpToDate>false</LinksUpToDate>
  <CharactersWithSpaces>15716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Kan (Student)</dc:creator>
  <cp:keywords/>
  <dc:description/>
  <cp:lastModifiedBy>Teresa Kan (Student)</cp:lastModifiedBy>
  <cp:revision>15</cp:revision>
  <dcterms:created xsi:type="dcterms:W3CDTF">2026-02-25T10:15:00Z</dcterms:created>
  <dcterms:modified xsi:type="dcterms:W3CDTF">2026-03-12T20:20:00Z</dcterms:modified>
</cp:coreProperties>
</file>