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7C677" w14:textId="77777777" w:rsidR="002731C7" w:rsidRDefault="002731C7" w:rsidP="00DC763C">
      <w:pPr>
        <w:spacing w:line="360" w:lineRule="auto"/>
        <w:jc w:val="center"/>
        <w:rPr>
          <w:b/>
          <w:bCs/>
        </w:rPr>
      </w:pPr>
      <w:r w:rsidRPr="002731C7">
        <w:rPr>
          <w:b/>
          <w:bCs/>
        </w:rPr>
        <w:t>Strategic Financial Turnaround: A Comprehensive Recovery Plan for General Electronics</w:t>
      </w:r>
    </w:p>
    <w:p w14:paraId="7292B715" w14:textId="77777777" w:rsidR="009A512D" w:rsidRDefault="009A512D" w:rsidP="009A512D">
      <w:pPr>
        <w:jc w:val="center"/>
      </w:pPr>
      <w:r>
        <w:rPr>
          <w:noProof/>
        </w:rPr>
        <w:drawing>
          <wp:inline distT="0" distB="0" distL="0" distR="0" wp14:anchorId="442B05AB" wp14:editId="41854A3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18690CD" w14:textId="77777777" w:rsidR="009A512D" w:rsidRDefault="009A512D" w:rsidP="009A512D">
      <w:pPr>
        <w:jc w:val="center"/>
      </w:pPr>
    </w:p>
    <w:p w14:paraId="226DB8CE" w14:textId="77777777" w:rsidR="009A512D" w:rsidRDefault="009A512D" w:rsidP="009A512D">
      <w:pPr>
        <w:rPr>
          <w:rFonts w:cs="Arial"/>
        </w:rPr>
      </w:pPr>
      <w:r>
        <w:t xml:space="preserve">                                                     </w:t>
      </w:r>
      <w:r w:rsidRPr="00024C42">
        <w:rPr>
          <w:rFonts w:cs="Arial"/>
          <w:b/>
          <w:bCs/>
        </w:rPr>
        <w:t xml:space="preserve">Course Title: </w:t>
      </w:r>
      <w:r w:rsidRPr="00024C42">
        <w:rPr>
          <w:rFonts w:cs="Arial"/>
        </w:rPr>
        <w:t xml:space="preserve">MBA </w:t>
      </w:r>
      <w:r>
        <w:rPr>
          <w:rFonts w:cs="Arial"/>
        </w:rPr>
        <w:t>-</w:t>
      </w:r>
      <w:r w:rsidRPr="00024C42">
        <w:rPr>
          <w:rFonts w:cs="Arial"/>
        </w:rPr>
        <w:t xml:space="preserve"> International Busines</w:t>
      </w:r>
      <w:r>
        <w:rPr>
          <w:rFonts w:cs="Arial"/>
        </w:rPr>
        <w:t xml:space="preserve">s </w:t>
      </w:r>
    </w:p>
    <w:p w14:paraId="66577061" w14:textId="77777777" w:rsidR="009A512D" w:rsidRDefault="009A512D" w:rsidP="009A512D">
      <w:pPr>
        <w:rPr>
          <w:rFonts w:cs="Arial"/>
          <w:b/>
          <w:bCs/>
        </w:rPr>
      </w:pPr>
      <w:r>
        <w:rPr>
          <w:rFonts w:cs="Arial"/>
        </w:rPr>
        <w:t xml:space="preserve">                                                     </w:t>
      </w:r>
      <w:r w:rsidRPr="00646406">
        <w:rPr>
          <w:rFonts w:cs="Arial"/>
          <w:b/>
          <w:bCs/>
        </w:rPr>
        <w:t>Term 1</w:t>
      </w:r>
    </w:p>
    <w:p w14:paraId="01A4D305" w14:textId="77777777" w:rsidR="009A512D" w:rsidRPr="00646406" w:rsidRDefault="009A512D" w:rsidP="009A512D">
      <w:pPr>
        <w:rPr>
          <w:rFonts w:cs="Arial"/>
          <w:b/>
          <w:bCs/>
        </w:rPr>
      </w:pPr>
    </w:p>
    <w:p w14:paraId="2B401DBE" w14:textId="77777777" w:rsidR="009A512D" w:rsidRPr="00646406" w:rsidRDefault="009A512D" w:rsidP="009A512D">
      <w:pPr>
        <w:rPr>
          <w:rFonts w:cs="Arial"/>
          <w:b/>
          <w:bCs/>
        </w:rPr>
      </w:pPr>
      <w:r>
        <w:rPr>
          <w:rFonts w:cs="Arial"/>
          <w:b/>
          <w:bCs/>
        </w:rPr>
        <w:t xml:space="preserve">                                                     </w:t>
      </w:r>
      <w:r w:rsidRPr="00646406">
        <w:rPr>
          <w:rFonts w:cs="Arial"/>
          <w:b/>
          <w:bCs/>
        </w:rPr>
        <w:t>Student Name:</w:t>
      </w:r>
      <w:r>
        <w:rPr>
          <w:rFonts w:cs="Arial"/>
          <w:b/>
          <w:bCs/>
        </w:rPr>
        <w:t xml:space="preserve"> Maruf Usmanbhai Hilali</w:t>
      </w:r>
    </w:p>
    <w:p w14:paraId="55C1BAF8" w14:textId="77777777" w:rsidR="009A512D" w:rsidRPr="00646406" w:rsidRDefault="009A512D" w:rsidP="009A512D">
      <w:pPr>
        <w:rPr>
          <w:rFonts w:cs="Arial"/>
          <w:b/>
          <w:bCs/>
        </w:rPr>
      </w:pPr>
      <w:r>
        <w:rPr>
          <w:rFonts w:cs="Arial"/>
          <w:b/>
          <w:bCs/>
        </w:rPr>
        <w:t xml:space="preserve">                                                     </w:t>
      </w:r>
      <w:r w:rsidRPr="00646406">
        <w:rPr>
          <w:rFonts w:cs="Arial"/>
          <w:b/>
          <w:bCs/>
        </w:rPr>
        <w:t>Student ID:</w:t>
      </w:r>
      <w:r>
        <w:rPr>
          <w:rFonts w:cs="Arial"/>
          <w:b/>
          <w:bCs/>
        </w:rPr>
        <w:t xml:space="preserve"> 2509582</w:t>
      </w:r>
    </w:p>
    <w:p w14:paraId="042EA33D" w14:textId="77777777" w:rsidR="009A512D" w:rsidRDefault="009A512D" w:rsidP="009A512D">
      <w:pPr>
        <w:rPr>
          <w:rFonts w:cs="Arial"/>
          <w:b/>
          <w:bCs/>
        </w:rPr>
      </w:pPr>
      <w:r>
        <w:rPr>
          <w:rFonts w:cs="Arial"/>
          <w:b/>
          <w:bCs/>
        </w:rPr>
        <w:t xml:space="preserve"> </w:t>
      </w:r>
    </w:p>
    <w:p w14:paraId="0C38FC95" w14:textId="77777777" w:rsidR="009A512D" w:rsidRPr="00777EF3" w:rsidRDefault="009A512D" w:rsidP="009A512D">
      <w:pPr>
        <w:rPr>
          <w:rFonts w:cs="Arial"/>
        </w:rPr>
      </w:pPr>
      <w:r>
        <w:rPr>
          <w:rFonts w:cs="Arial"/>
          <w:b/>
          <w:bCs/>
        </w:rPr>
        <w:t xml:space="preserve">                                                    </w:t>
      </w:r>
      <w:r w:rsidRPr="00646406">
        <w:rPr>
          <w:rFonts w:cs="Arial"/>
          <w:b/>
          <w:bCs/>
        </w:rPr>
        <w:t xml:space="preserve">Module Name: </w:t>
      </w:r>
      <w:r>
        <w:rPr>
          <w:rFonts w:cs="Arial"/>
        </w:rPr>
        <w:t>Financial Management</w:t>
      </w:r>
    </w:p>
    <w:p w14:paraId="013E940F" w14:textId="77777777" w:rsidR="009A512D" w:rsidRPr="00421088" w:rsidRDefault="009A512D" w:rsidP="009A512D">
      <w:pPr>
        <w:jc w:val="center"/>
        <w:rPr>
          <w:rFonts w:cs="Arial"/>
        </w:rPr>
      </w:pPr>
      <w:r>
        <w:rPr>
          <w:rFonts w:cs="Arial"/>
          <w:b/>
          <w:bCs/>
        </w:rPr>
        <w:t xml:space="preserve">       </w:t>
      </w:r>
      <w:r w:rsidRPr="00646406">
        <w:rPr>
          <w:rFonts w:cs="Arial"/>
          <w:b/>
          <w:bCs/>
        </w:rPr>
        <w:t xml:space="preserve">Module Code: </w:t>
      </w:r>
      <w:r w:rsidRPr="000E18FD">
        <w:rPr>
          <w:rFonts w:cs="Arial"/>
        </w:rPr>
        <w:t>LCMB</w:t>
      </w:r>
      <w:r>
        <w:rPr>
          <w:rFonts w:cs="Arial"/>
        </w:rPr>
        <w:t>7002</w:t>
      </w:r>
    </w:p>
    <w:p w14:paraId="58C2B234" w14:textId="77777777" w:rsidR="009A512D" w:rsidRDefault="009A512D" w:rsidP="009A512D">
      <w:pPr>
        <w:rPr>
          <w:rFonts w:cs="Arial"/>
          <w:b/>
          <w:bCs/>
        </w:rPr>
      </w:pPr>
    </w:p>
    <w:p w14:paraId="403B5BEB" w14:textId="77777777" w:rsidR="009A512D" w:rsidRPr="0021135E" w:rsidRDefault="009A512D" w:rsidP="009A512D">
      <w:pPr>
        <w:rPr>
          <w:rFonts w:cs="Arial"/>
        </w:rPr>
      </w:pPr>
      <w:r>
        <w:rPr>
          <w:rFonts w:cs="Arial"/>
          <w:b/>
          <w:bCs/>
        </w:rPr>
        <w:t xml:space="preserve">                                                     </w:t>
      </w:r>
      <w:r w:rsidRPr="00646406">
        <w:rPr>
          <w:rFonts w:cs="Arial"/>
          <w:b/>
          <w:bCs/>
        </w:rPr>
        <w:t>Lecturer’s Name:</w:t>
      </w:r>
      <w:r>
        <w:rPr>
          <w:rFonts w:cs="Arial"/>
          <w:b/>
          <w:bCs/>
        </w:rPr>
        <w:t xml:space="preserve"> </w:t>
      </w:r>
      <w:r>
        <w:rPr>
          <w:rFonts w:cs="Arial"/>
        </w:rPr>
        <w:t>Md Kalam</w:t>
      </w:r>
    </w:p>
    <w:p w14:paraId="4042224F" w14:textId="77777777" w:rsidR="009A512D" w:rsidRPr="00A77816" w:rsidRDefault="009A512D" w:rsidP="009A512D">
      <w:pPr>
        <w:jc w:val="center"/>
        <w:rPr>
          <w:rFonts w:cs="Arial"/>
        </w:rPr>
      </w:pPr>
      <w:r w:rsidRPr="00646406">
        <w:rPr>
          <w:rFonts w:cs="Arial"/>
          <w:b/>
          <w:bCs/>
        </w:rPr>
        <w:t>Wor</w:t>
      </w:r>
      <w:r>
        <w:rPr>
          <w:rFonts w:cs="Arial"/>
          <w:b/>
          <w:bCs/>
        </w:rPr>
        <w:t>d</w:t>
      </w:r>
      <w:r w:rsidRPr="00646406">
        <w:rPr>
          <w:rFonts w:cs="Arial"/>
          <w:b/>
          <w:bCs/>
        </w:rPr>
        <w:t xml:space="preserve"> Count:</w:t>
      </w:r>
      <w:r>
        <w:rPr>
          <w:rFonts w:cs="Arial"/>
          <w:b/>
          <w:bCs/>
        </w:rPr>
        <w:t xml:space="preserve"> 5482</w:t>
      </w:r>
    </w:p>
    <w:p w14:paraId="48474E46" w14:textId="77777777" w:rsidR="009A512D" w:rsidRPr="002731C7" w:rsidRDefault="009A512D" w:rsidP="00DC763C">
      <w:pPr>
        <w:spacing w:line="360" w:lineRule="auto"/>
        <w:jc w:val="center"/>
      </w:pPr>
    </w:p>
    <w:p w14:paraId="1205A58A" w14:textId="74763FE3" w:rsidR="002731C7" w:rsidRPr="002731C7" w:rsidRDefault="002731C7" w:rsidP="00607DB7">
      <w:pPr>
        <w:spacing w:line="360" w:lineRule="auto"/>
      </w:pPr>
    </w:p>
    <w:p w14:paraId="32B7ADAE" w14:textId="77777777" w:rsidR="002731C7" w:rsidRDefault="002731C7" w:rsidP="00607DB7">
      <w:pPr>
        <w:spacing w:after="160" w:line="360" w:lineRule="auto"/>
        <w:rPr>
          <w:b/>
          <w:bCs/>
        </w:rPr>
      </w:pPr>
      <w:r>
        <w:rPr>
          <w:b/>
          <w:bCs/>
        </w:rPr>
        <w:br w:type="page"/>
      </w:r>
    </w:p>
    <w:p w14:paraId="163D1D27" w14:textId="77777777" w:rsidR="00ED18F4" w:rsidRDefault="00ED18F4" w:rsidP="00607DB7">
      <w:pPr>
        <w:spacing w:after="160" w:line="360" w:lineRule="auto"/>
        <w:rPr>
          <w:b/>
          <w:bCs/>
        </w:rPr>
      </w:pPr>
      <w:r>
        <w:rPr>
          <w:b/>
          <w:bCs/>
        </w:rPr>
        <w:lastRenderedPageBreak/>
        <w:t>Executive summary</w:t>
      </w:r>
    </w:p>
    <w:p w14:paraId="233899D9" w14:textId="0047E600" w:rsidR="00ED18F4" w:rsidRPr="00ED18F4" w:rsidRDefault="00ED18F4" w:rsidP="00607DB7">
      <w:pPr>
        <w:spacing w:after="160" w:line="360" w:lineRule="auto"/>
      </w:pPr>
      <w:r w:rsidRPr="00ED18F4">
        <w:t>General Electronics is facing extreme financial hardships after experiencing disastrous performance decline between 2020-2024. This report is a detailed turnaround plan to overcome high operational and financial weaknesses that are posing a threat to the survival of the corporation.</w:t>
      </w:r>
      <w:r>
        <w:t xml:space="preserve"> </w:t>
      </w:r>
      <w:r w:rsidRPr="00ED18F4">
        <w:t>Financial analysis shows worrying tendencies: the revenues decreased by 36 to £394.9 million, cumulative losses were over 122 million, and the Altman Z-Score of 2.39/2.36 is the indicator of moderate risk of bankruptcy. Profitability ratios became negative, and the operating margins are at -20.29% (2023), whereas liquidity restrains became even more evident with sufficient current ratios. The inefficiencies in working capital were in the form of long cash operating cycles of 121 days that were holding around 215 million pounds in unproductive assets.</w:t>
      </w:r>
    </w:p>
    <w:p w14:paraId="4019E958" w14:textId="2D5C91AF" w:rsidR="002731C7" w:rsidRPr="00ED18F4" w:rsidRDefault="00ED18F4" w:rsidP="00607DB7">
      <w:pPr>
        <w:spacing w:after="160" w:line="360" w:lineRule="auto"/>
      </w:pPr>
      <w:r w:rsidRPr="00ED18F4">
        <w:t>There are three combined dimensions in the strategic recommendations. To begin with, aggressive working capital management in terms of 85–90-day inventory turnover and 80–85-day receivables collection can unleash cash in the amount of £30-35 million. Second, gradual financial restructuring involves assets of between £35 and 40 million divestiture and a capital injection of 50 million of equity balance the capital structure with minimum shareholder dilution. Third, capital investment in Project C brings about a fresh value creation ability, in that, NPV is 4.23 million, given 12.4% IRR.</w:t>
      </w:r>
      <w:r>
        <w:t xml:space="preserve"> </w:t>
      </w:r>
      <w:r w:rsidRPr="00ED18F4">
        <w:t>Leadership that is decisive, stakeholder orientation and strict monitoring of execution are necessary. This combined framework offers General Electronics an efficient recovery route, reinstating profitability, financial wellbeing and competitive edge that will be important to its sustainability in the long run.</w:t>
      </w:r>
      <w:r w:rsidR="002731C7">
        <w:rPr>
          <w:b/>
          <w:bCs/>
        </w:rPr>
        <w:br w:type="page"/>
      </w:r>
    </w:p>
    <w:sdt>
      <w:sdtPr>
        <w:rPr>
          <w:rFonts w:ascii="Arial" w:eastAsia="Calibri" w:hAnsi="Arial" w:cs="Times New Roman"/>
          <w:color w:val="auto"/>
          <w:sz w:val="24"/>
          <w:szCs w:val="22"/>
        </w:rPr>
        <w:id w:val="1741979412"/>
        <w:docPartObj>
          <w:docPartGallery w:val="Table of Contents"/>
          <w:docPartUnique/>
        </w:docPartObj>
      </w:sdtPr>
      <w:sdtEndPr>
        <w:rPr>
          <w:b/>
          <w:bCs/>
          <w:noProof/>
        </w:rPr>
      </w:sdtEndPr>
      <w:sdtContent>
        <w:p w14:paraId="66A116A7" w14:textId="759FC1BE" w:rsidR="00DC763C" w:rsidRPr="00DC763C" w:rsidRDefault="00DC763C" w:rsidP="00DC763C">
          <w:pPr>
            <w:pStyle w:val="TOCHeading"/>
            <w:spacing w:after="240"/>
            <w:rPr>
              <w:rFonts w:ascii="Arial" w:hAnsi="Arial" w:cs="Arial"/>
              <w:b/>
              <w:bCs/>
              <w:color w:val="000000" w:themeColor="text1"/>
              <w:sz w:val="24"/>
              <w:szCs w:val="24"/>
            </w:rPr>
          </w:pPr>
          <w:r w:rsidRPr="00DC763C">
            <w:rPr>
              <w:rFonts w:ascii="Arial" w:hAnsi="Arial" w:cs="Arial"/>
              <w:b/>
              <w:bCs/>
              <w:color w:val="000000" w:themeColor="text1"/>
              <w:sz w:val="24"/>
              <w:szCs w:val="24"/>
            </w:rPr>
            <w:t>Table of Contents</w:t>
          </w:r>
        </w:p>
        <w:p w14:paraId="225985AA" w14:textId="381B6511"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3234330" w:history="1">
            <w:r w:rsidRPr="00322852">
              <w:rPr>
                <w:rStyle w:val="Hyperlink"/>
                <w:noProof/>
              </w:rPr>
              <w:t>Introduction</w:t>
            </w:r>
            <w:r>
              <w:rPr>
                <w:noProof/>
                <w:webHidden/>
              </w:rPr>
              <w:tab/>
            </w:r>
            <w:r>
              <w:rPr>
                <w:noProof/>
                <w:webHidden/>
              </w:rPr>
              <w:fldChar w:fldCharType="begin"/>
            </w:r>
            <w:r>
              <w:rPr>
                <w:noProof/>
                <w:webHidden/>
              </w:rPr>
              <w:instrText xml:space="preserve"> PAGEREF _Toc213234330 \h </w:instrText>
            </w:r>
            <w:r>
              <w:rPr>
                <w:noProof/>
                <w:webHidden/>
              </w:rPr>
            </w:r>
            <w:r>
              <w:rPr>
                <w:noProof/>
                <w:webHidden/>
              </w:rPr>
              <w:fldChar w:fldCharType="separate"/>
            </w:r>
            <w:r>
              <w:rPr>
                <w:noProof/>
                <w:webHidden/>
              </w:rPr>
              <w:t>5</w:t>
            </w:r>
            <w:r>
              <w:rPr>
                <w:noProof/>
                <w:webHidden/>
              </w:rPr>
              <w:fldChar w:fldCharType="end"/>
            </w:r>
          </w:hyperlink>
        </w:p>
        <w:p w14:paraId="5F697FCE" w14:textId="59A65417"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31" w:history="1">
            <w:r w:rsidRPr="00322852">
              <w:rPr>
                <w:rStyle w:val="Hyperlink"/>
                <w:noProof/>
              </w:rPr>
              <w:t>1. Financial Health Check</w:t>
            </w:r>
            <w:r>
              <w:rPr>
                <w:noProof/>
                <w:webHidden/>
              </w:rPr>
              <w:tab/>
            </w:r>
            <w:r>
              <w:rPr>
                <w:noProof/>
                <w:webHidden/>
              </w:rPr>
              <w:fldChar w:fldCharType="begin"/>
            </w:r>
            <w:r>
              <w:rPr>
                <w:noProof/>
                <w:webHidden/>
              </w:rPr>
              <w:instrText xml:space="preserve"> PAGEREF _Toc213234331 \h </w:instrText>
            </w:r>
            <w:r>
              <w:rPr>
                <w:noProof/>
                <w:webHidden/>
              </w:rPr>
            </w:r>
            <w:r>
              <w:rPr>
                <w:noProof/>
                <w:webHidden/>
              </w:rPr>
              <w:fldChar w:fldCharType="separate"/>
            </w:r>
            <w:r>
              <w:rPr>
                <w:noProof/>
                <w:webHidden/>
              </w:rPr>
              <w:t>5</w:t>
            </w:r>
            <w:r>
              <w:rPr>
                <w:noProof/>
                <w:webHidden/>
              </w:rPr>
              <w:fldChar w:fldCharType="end"/>
            </w:r>
          </w:hyperlink>
        </w:p>
        <w:p w14:paraId="6D58F2C0" w14:textId="3A47F8C8"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2" w:history="1">
            <w:r w:rsidRPr="00322852">
              <w:rPr>
                <w:rStyle w:val="Hyperlink"/>
                <w:rFonts w:eastAsiaTheme="majorEastAsia"/>
                <w:noProof/>
              </w:rPr>
              <w:t>1.1 Profitability Ratio Analysis</w:t>
            </w:r>
            <w:r>
              <w:rPr>
                <w:noProof/>
                <w:webHidden/>
              </w:rPr>
              <w:tab/>
            </w:r>
            <w:r>
              <w:rPr>
                <w:noProof/>
                <w:webHidden/>
              </w:rPr>
              <w:fldChar w:fldCharType="begin"/>
            </w:r>
            <w:r>
              <w:rPr>
                <w:noProof/>
                <w:webHidden/>
              </w:rPr>
              <w:instrText xml:space="preserve"> PAGEREF _Toc213234332 \h </w:instrText>
            </w:r>
            <w:r>
              <w:rPr>
                <w:noProof/>
                <w:webHidden/>
              </w:rPr>
            </w:r>
            <w:r>
              <w:rPr>
                <w:noProof/>
                <w:webHidden/>
              </w:rPr>
              <w:fldChar w:fldCharType="separate"/>
            </w:r>
            <w:r>
              <w:rPr>
                <w:noProof/>
                <w:webHidden/>
              </w:rPr>
              <w:t>5</w:t>
            </w:r>
            <w:r>
              <w:rPr>
                <w:noProof/>
                <w:webHidden/>
              </w:rPr>
              <w:fldChar w:fldCharType="end"/>
            </w:r>
          </w:hyperlink>
        </w:p>
        <w:p w14:paraId="0865A5B1" w14:textId="3ED8F9D0"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3" w:history="1">
            <w:r w:rsidRPr="00322852">
              <w:rPr>
                <w:rStyle w:val="Hyperlink"/>
                <w:rFonts w:eastAsiaTheme="majorEastAsia"/>
                <w:noProof/>
              </w:rPr>
              <w:t>1.2 Liquidity Ratio Analysis</w:t>
            </w:r>
            <w:r>
              <w:rPr>
                <w:noProof/>
                <w:webHidden/>
              </w:rPr>
              <w:tab/>
            </w:r>
            <w:r>
              <w:rPr>
                <w:noProof/>
                <w:webHidden/>
              </w:rPr>
              <w:fldChar w:fldCharType="begin"/>
            </w:r>
            <w:r>
              <w:rPr>
                <w:noProof/>
                <w:webHidden/>
              </w:rPr>
              <w:instrText xml:space="preserve"> PAGEREF _Toc213234333 \h </w:instrText>
            </w:r>
            <w:r>
              <w:rPr>
                <w:noProof/>
                <w:webHidden/>
              </w:rPr>
            </w:r>
            <w:r>
              <w:rPr>
                <w:noProof/>
                <w:webHidden/>
              </w:rPr>
              <w:fldChar w:fldCharType="separate"/>
            </w:r>
            <w:r>
              <w:rPr>
                <w:noProof/>
                <w:webHidden/>
              </w:rPr>
              <w:t>6</w:t>
            </w:r>
            <w:r>
              <w:rPr>
                <w:noProof/>
                <w:webHidden/>
              </w:rPr>
              <w:fldChar w:fldCharType="end"/>
            </w:r>
          </w:hyperlink>
        </w:p>
        <w:p w14:paraId="3E92272E" w14:textId="518A18C8"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4" w:history="1">
            <w:r w:rsidRPr="00322852">
              <w:rPr>
                <w:rStyle w:val="Hyperlink"/>
                <w:rFonts w:eastAsiaTheme="majorEastAsia"/>
                <w:noProof/>
              </w:rPr>
              <w:t>1.3 Efficiency Ratio Analysis</w:t>
            </w:r>
            <w:r>
              <w:rPr>
                <w:noProof/>
                <w:webHidden/>
              </w:rPr>
              <w:tab/>
            </w:r>
            <w:r>
              <w:rPr>
                <w:noProof/>
                <w:webHidden/>
              </w:rPr>
              <w:fldChar w:fldCharType="begin"/>
            </w:r>
            <w:r>
              <w:rPr>
                <w:noProof/>
                <w:webHidden/>
              </w:rPr>
              <w:instrText xml:space="preserve"> PAGEREF _Toc213234334 \h </w:instrText>
            </w:r>
            <w:r>
              <w:rPr>
                <w:noProof/>
                <w:webHidden/>
              </w:rPr>
            </w:r>
            <w:r>
              <w:rPr>
                <w:noProof/>
                <w:webHidden/>
              </w:rPr>
              <w:fldChar w:fldCharType="separate"/>
            </w:r>
            <w:r>
              <w:rPr>
                <w:noProof/>
                <w:webHidden/>
              </w:rPr>
              <w:t>6</w:t>
            </w:r>
            <w:r>
              <w:rPr>
                <w:noProof/>
                <w:webHidden/>
              </w:rPr>
              <w:fldChar w:fldCharType="end"/>
            </w:r>
          </w:hyperlink>
        </w:p>
        <w:p w14:paraId="07F5EC2D" w14:textId="345B4EB1"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5" w:history="1">
            <w:r w:rsidRPr="00322852">
              <w:rPr>
                <w:rStyle w:val="Hyperlink"/>
                <w:rFonts w:eastAsiaTheme="majorEastAsia"/>
                <w:noProof/>
              </w:rPr>
              <w:t>1.4 Gearing and Investment Ratio Analysis</w:t>
            </w:r>
            <w:r>
              <w:rPr>
                <w:noProof/>
                <w:webHidden/>
              </w:rPr>
              <w:tab/>
            </w:r>
            <w:r>
              <w:rPr>
                <w:noProof/>
                <w:webHidden/>
              </w:rPr>
              <w:fldChar w:fldCharType="begin"/>
            </w:r>
            <w:r>
              <w:rPr>
                <w:noProof/>
                <w:webHidden/>
              </w:rPr>
              <w:instrText xml:space="preserve"> PAGEREF _Toc213234335 \h </w:instrText>
            </w:r>
            <w:r>
              <w:rPr>
                <w:noProof/>
                <w:webHidden/>
              </w:rPr>
            </w:r>
            <w:r>
              <w:rPr>
                <w:noProof/>
                <w:webHidden/>
              </w:rPr>
              <w:fldChar w:fldCharType="separate"/>
            </w:r>
            <w:r>
              <w:rPr>
                <w:noProof/>
                <w:webHidden/>
              </w:rPr>
              <w:t>7</w:t>
            </w:r>
            <w:r>
              <w:rPr>
                <w:noProof/>
                <w:webHidden/>
              </w:rPr>
              <w:fldChar w:fldCharType="end"/>
            </w:r>
          </w:hyperlink>
        </w:p>
        <w:p w14:paraId="0072335F" w14:textId="05036A7B"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6" w:history="1">
            <w:r w:rsidRPr="00322852">
              <w:rPr>
                <w:rStyle w:val="Hyperlink"/>
                <w:rFonts w:eastAsiaTheme="majorEastAsia"/>
                <w:noProof/>
              </w:rPr>
              <w:t>1.5 Altman Z-Score Analysis</w:t>
            </w:r>
            <w:r>
              <w:rPr>
                <w:noProof/>
                <w:webHidden/>
              </w:rPr>
              <w:tab/>
            </w:r>
            <w:r>
              <w:rPr>
                <w:noProof/>
                <w:webHidden/>
              </w:rPr>
              <w:fldChar w:fldCharType="begin"/>
            </w:r>
            <w:r>
              <w:rPr>
                <w:noProof/>
                <w:webHidden/>
              </w:rPr>
              <w:instrText xml:space="preserve"> PAGEREF _Toc213234336 \h </w:instrText>
            </w:r>
            <w:r>
              <w:rPr>
                <w:noProof/>
                <w:webHidden/>
              </w:rPr>
            </w:r>
            <w:r>
              <w:rPr>
                <w:noProof/>
                <w:webHidden/>
              </w:rPr>
              <w:fldChar w:fldCharType="separate"/>
            </w:r>
            <w:r>
              <w:rPr>
                <w:noProof/>
                <w:webHidden/>
              </w:rPr>
              <w:t>8</w:t>
            </w:r>
            <w:r>
              <w:rPr>
                <w:noProof/>
                <w:webHidden/>
              </w:rPr>
              <w:fldChar w:fldCharType="end"/>
            </w:r>
          </w:hyperlink>
        </w:p>
        <w:p w14:paraId="38297FC1" w14:textId="1F92483E"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37" w:history="1">
            <w:r w:rsidRPr="00322852">
              <w:rPr>
                <w:rStyle w:val="Hyperlink"/>
                <w:noProof/>
              </w:rPr>
              <w:t>2. Working Capital Management Analysis</w:t>
            </w:r>
            <w:r>
              <w:rPr>
                <w:noProof/>
                <w:webHidden/>
              </w:rPr>
              <w:tab/>
            </w:r>
            <w:r>
              <w:rPr>
                <w:noProof/>
                <w:webHidden/>
              </w:rPr>
              <w:fldChar w:fldCharType="begin"/>
            </w:r>
            <w:r>
              <w:rPr>
                <w:noProof/>
                <w:webHidden/>
              </w:rPr>
              <w:instrText xml:space="preserve"> PAGEREF _Toc213234337 \h </w:instrText>
            </w:r>
            <w:r>
              <w:rPr>
                <w:noProof/>
                <w:webHidden/>
              </w:rPr>
            </w:r>
            <w:r>
              <w:rPr>
                <w:noProof/>
                <w:webHidden/>
              </w:rPr>
              <w:fldChar w:fldCharType="separate"/>
            </w:r>
            <w:r>
              <w:rPr>
                <w:noProof/>
                <w:webHidden/>
              </w:rPr>
              <w:t>9</w:t>
            </w:r>
            <w:r>
              <w:rPr>
                <w:noProof/>
                <w:webHidden/>
              </w:rPr>
              <w:fldChar w:fldCharType="end"/>
            </w:r>
          </w:hyperlink>
        </w:p>
        <w:p w14:paraId="2B16EA74" w14:textId="37111C0D"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8" w:history="1">
            <w:r w:rsidRPr="00322852">
              <w:rPr>
                <w:rStyle w:val="Hyperlink"/>
                <w:rFonts w:eastAsiaTheme="majorEastAsia"/>
                <w:noProof/>
              </w:rPr>
              <w:t>2.1 Cash Operating Cycle Assessment</w:t>
            </w:r>
            <w:r>
              <w:rPr>
                <w:noProof/>
                <w:webHidden/>
              </w:rPr>
              <w:tab/>
            </w:r>
            <w:r>
              <w:rPr>
                <w:noProof/>
                <w:webHidden/>
              </w:rPr>
              <w:fldChar w:fldCharType="begin"/>
            </w:r>
            <w:r>
              <w:rPr>
                <w:noProof/>
                <w:webHidden/>
              </w:rPr>
              <w:instrText xml:space="preserve"> PAGEREF _Toc213234338 \h </w:instrText>
            </w:r>
            <w:r>
              <w:rPr>
                <w:noProof/>
                <w:webHidden/>
              </w:rPr>
            </w:r>
            <w:r>
              <w:rPr>
                <w:noProof/>
                <w:webHidden/>
              </w:rPr>
              <w:fldChar w:fldCharType="separate"/>
            </w:r>
            <w:r>
              <w:rPr>
                <w:noProof/>
                <w:webHidden/>
              </w:rPr>
              <w:t>9</w:t>
            </w:r>
            <w:r>
              <w:rPr>
                <w:noProof/>
                <w:webHidden/>
              </w:rPr>
              <w:fldChar w:fldCharType="end"/>
            </w:r>
          </w:hyperlink>
        </w:p>
        <w:p w14:paraId="292D3331" w14:textId="63C8BF47"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39" w:history="1">
            <w:r w:rsidRPr="00322852">
              <w:rPr>
                <w:rStyle w:val="Hyperlink"/>
                <w:rFonts w:eastAsiaTheme="majorEastAsia"/>
                <w:noProof/>
              </w:rPr>
              <w:t>2.2 Working Capital Component Analysis</w:t>
            </w:r>
            <w:r>
              <w:rPr>
                <w:noProof/>
                <w:webHidden/>
              </w:rPr>
              <w:tab/>
            </w:r>
            <w:r>
              <w:rPr>
                <w:noProof/>
                <w:webHidden/>
              </w:rPr>
              <w:fldChar w:fldCharType="begin"/>
            </w:r>
            <w:r>
              <w:rPr>
                <w:noProof/>
                <w:webHidden/>
              </w:rPr>
              <w:instrText xml:space="preserve"> PAGEREF _Toc213234339 \h </w:instrText>
            </w:r>
            <w:r>
              <w:rPr>
                <w:noProof/>
                <w:webHidden/>
              </w:rPr>
            </w:r>
            <w:r>
              <w:rPr>
                <w:noProof/>
                <w:webHidden/>
              </w:rPr>
              <w:fldChar w:fldCharType="separate"/>
            </w:r>
            <w:r>
              <w:rPr>
                <w:noProof/>
                <w:webHidden/>
              </w:rPr>
              <w:t>10</w:t>
            </w:r>
            <w:r>
              <w:rPr>
                <w:noProof/>
                <w:webHidden/>
              </w:rPr>
              <w:fldChar w:fldCharType="end"/>
            </w:r>
          </w:hyperlink>
        </w:p>
        <w:p w14:paraId="4611AA7A" w14:textId="7E387462"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0" w:history="1">
            <w:r w:rsidRPr="00322852">
              <w:rPr>
                <w:rStyle w:val="Hyperlink"/>
                <w:rFonts w:eastAsiaTheme="majorEastAsia"/>
                <w:noProof/>
              </w:rPr>
              <w:t>2.3 Strategic Working Capital Improvement Recommendations</w:t>
            </w:r>
            <w:r>
              <w:rPr>
                <w:noProof/>
                <w:webHidden/>
              </w:rPr>
              <w:tab/>
            </w:r>
            <w:r>
              <w:rPr>
                <w:noProof/>
                <w:webHidden/>
              </w:rPr>
              <w:fldChar w:fldCharType="begin"/>
            </w:r>
            <w:r>
              <w:rPr>
                <w:noProof/>
                <w:webHidden/>
              </w:rPr>
              <w:instrText xml:space="preserve"> PAGEREF _Toc213234340 \h </w:instrText>
            </w:r>
            <w:r>
              <w:rPr>
                <w:noProof/>
                <w:webHidden/>
              </w:rPr>
            </w:r>
            <w:r>
              <w:rPr>
                <w:noProof/>
                <w:webHidden/>
              </w:rPr>
              <w:fldChar w:fldCharType="separate"/>
            </w:r>
            <w:r>
              <w:rPr>
                <w:noProof/>
                <w:webHidden/>
              </w:rPr>
              <w:t>11</w:t>
            </w:r>
            <w:r>
              <w:rPr>
                <w:noProof/>
                <w:webHidden/>
              </w:rPr>
              <w:fldChar w:fldCharType="end"/>
            </w:r>
          </w:hyperlink>
        </w:p>
        <w:p w14:paraId="2EC5F5B2" w14:textId="61963553"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1" w:history="1">
            <w:r w:rsidRPr="00322852">
              <w:rPr>
                <w:rStyle w:val="Hyperlink"/>
                <w:rFonts w:eastAsiaTheme="majorEastAsia"/>
                <w:noProof/>
              </w:rPr>
              <w:t>2.4 Short-Term versus Long-Term Financing Comparison</w:t>
            </w:r>
            <w:r>
              <w:rPr>
                <w:noProof/>
                <w:webHidden/>
              </w:rPr>
              <w:tab/>
            </w:r>
            <w:r>
              <w:rPr>
                <w:noProof/>
                <w:webHidden/>
              </w:rPr>
              <w:fldChar w:fldCharType="begin"/>
            </w:r>
            <w:r>
              <w:rPr>
                <w:noProof/>
                <w:webHidden/>
              </w:rPr>
              <w:instrText xml:space="preserve"> PAGEREF _Toc213234341 \h </w:instrText>
            </w:r>
            <w:r>
              <w:rPr>
                <w:noProof/>
                <w:webHidden/>
              </w:rPr>
            </w:r>
            <w:r>
              <w:rPr>
                <w:noProof/>
                <w:webHidden/>
              </w:rPr>
              <w:fldChar w:fldCharType="separate"/>
            </w:r>
            <w:r>
              <w:rPr>
                <w:noProof/>
                <w:webHidden/>
              </w:rPr>
              <w:t>12</w:t>
            </w:r>
            <w:r>
              <w:rPr>
                <w:noProof/>
                <w:webHidden/>
              </w:rPr>
              <w:fldChar w:fldCharType="end"/>
            </w:r>
          </w:hyperlink>
        </w:p>
        <w:p w14:paraId="7B6F6C4D" w14:textId="4853A9E1"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42" w:history="1">
            <w:r w:rsidRPr="00322852">
              <w:rPr>
                <w:rStyle w:val="Hyperlink"/>
                <w:noProof/>
              </w:rPr>
              <w:t>3. Strategic Financial Restructuring Plan</w:t>
            </w:r>
            <w:r>
              <w:rPr>
                <w:noProof/>
                <w:webHidden/>
              </w:rPr>
              <w:tab/>
            </w:r>
            <w:r>
              <w:rPr>
                <w:noProof/>
                <w:webHidden/>
              </w:rPr>
              <w:fldChar w:fldCharType="begin"/>
            </w:r>
            <w:r>
              <w:rPr>
                <w:noProof/>
                <w:webHidden/>
              </w:rPr>
              <w:instrText xml:space="preserve"> PAGEREF _Toc213234342 \h </w:instrText>
            </w:r>
            <w:r>
              <w:rPr>
                <w:noProof/>
                <w:webHidden/>
              </w:rPr>
            </w:r>
            <w:r>
              <w:rPr>
                <w:noProof/>
                <w:webHidden/>
              </w:rPr>
              <w:fldChar w:fldCharType="separate"/>
            </w:r>
            <w:r>
              <w:rPr>
                <w:noProof/>
                <w:webHidden/>
              </w:rPr>
              <w:t>13</w:t>
            </w:r>
            <w:r>
              <w:rPr>
                <w:noProof/>
                <w:webHidden/>
              </w:rPr>
              <w:fldChar w:fldCharType="end"/>
            </w:r>
          </w:hyperlink>
        </w:p>
        <w:p w14:paraId="7C9AC07A" w14:textId="07A10D9B"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3" w:history="1">
            <w:r w:rsidRPr="00322852">
              <w:rPr>
                <w:rStyle w:val="Hyperlink"/>
                <w:rFonts w:eastAsiaTheme="majorEastAsia"/>
                <w:noProof/>
              </w:rPr>
              <w:t>3.1 Restructuring Options Analysis</w:t>
            </w:r>
            <w:r>
              <w:rPr>
                <w:noProof/>
                <w:webHidden/>
              </w:rPr>
              <w:tab/>
            </w:r>
            <w:r>
              <w:rPr>
                <w:noProof/>
                <w:webHidden/>
              </w:rPr>
              <w:fldChar w:fldCharType="begin"/>
            </w:r>
            <w:r>
              <w:rPr>
                <w:noProof/>
                <w:webHidden/>
              </w:rPr>
              <w:instrText xml:space="preserve"> PAGEREF _Toc213234343 \h </w:instrText>
            </w:r>
            <w:r>
              <w:rPr>
                <w:noProof/>
                <w:webHidden/>
              </w:rPr>
            </w:r>
            <w:r>
              <w:rPr>
                <w:noProof/>
                <w:webHidden/>
              </w:rPr>
              <w:fldChar w:fldCharType="separate"/>
            </w:r>
            <w:r>
              <w:rPr>
                <w:noProof/>
                <w:webHidden/>
              </w:rPr>
              <w:t>13</w:t>
            </w:r>
            <w:r>
              <w:rPr>
                <w:noProof/>
                <w:webHidden/>
              </w:rPr>
              <w:fldChar w:fldCharType="end"/>
            </w:r>
          </w:hyperlink>
        </w:p>
        <w:p w14:paraId="57D707EC" w14:textId="65D68325"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4" w:history="1">
            <w:r w:rsidRPr="00322852">
              <w:rPr>
                <w:rStyle w:val="Hyperlink"/>
                <w:rFonts w:eastAsiaTheme="majorEastAsia"/>
                <w:noProof/>
              </w:rPr>
              <w:t>3.2 Shareholder Value Impact Assessment</w:t>
            </w:r>
            <w:r>
              <w:rPr>
                <w:noProof/>
                <w:webHidden/>
              </w:rPr>
              <w:tab/>
            </w:r>
            <w:r>
              <w:rPr>
                <w:noProof/>
                <w:webHidden/>
              </w:rPr>
              <w:fldChar w:fldCharType="begin"/>
            </w:r>
            <w:r>
              <w:rPr>
                <w:noProof/>
                <w:webHidden/>
              </w:rPr>
              <w:instrText xml:space="preserve"> PAGEREF _Toc213234344 \h </w:instrText>
            </w:r>
            <w:r>
              <w:rPr>
                <w:noProof/>
                <w:webHidden/>
              </w:rPr>
            </w:r>
            <w:r>
              <w:rPr>
                <w:noProof/>
                <w:webHidden/>
              </w:rPr>
              <w:fldChar w:fldCharType="separate"/>
            </w:r>
            <w:r>
              <w:rPr>
                <w:noProof/>
                <w:webHidden/>
              </w:rPr>
              <w:t>14</w:t>
            </w:r>
            <w:r>
              <w:rPr>
                <w:noProof/>
                <w:webHidden/>
              </w:rPr>
              <w:fldChar w:fldCharType="end"/>
            </w:r>
          </w:hyperlink>
        </w:p>
        <w:p w14:paraId="6F57CF75" w14:textId="3D8640B7"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5" w:history="1">
            <w:r w:rsidRPr="00322852">
              <w:rPr>
                <w:rStyle w:val="Hyperlink"/>
                <w:rFonts w:eastAsiaTheme="majorEastAsia"/>
                <w:noProof/>
              </w:rPr>
              <w:t>3.3 Debt Structure Implications</w:t>
            </w:r>
            <w:r>
              <w:rPr>
                <w:noProof/>
                <w:webHidden/>
              </w:rPr>
              <w:tab/>
            </w:r>
            <w:r>
              <w:rPr>
                <w:noProof/>
                <w:webHidden/>
              </w:rPr>
              <w:fldChar w:fldCharType="begin"/>
            </w:r>
            <w:r>
              <w:rPr>
                <w:noProof/>
                <w:webHidden/>
              </w:rPr>
              <w:instrText xml:space="preserve"> PAGEREF _Toc213234345 \h </w:instrText>
            </w:r>
            <w:r>
              <w:rPr>
                <w:noProof/>
                <w:webHidden/>
              </w:rPr>
            </w:r>
            <w:r>
              <w:rPr>
                <w:noProof/>
                <w:webHidden/>
              </w:rPr>
              <w:fldChar w:fldCharType="separate"/>
            </w:r>
            <w:r>
              <w:rPr>
                <w:noProof/>
                <w:webHidden/>
              </w:rPr>
              <w:t>14</w:t>
            </w:r>
            <w:r>
              <w:rPr>
                <w:noProof/>
                <w:webHidden/>
              </w:rPr>
              <w:fldChar w:fldCharType="end"/>
            </w:r>
          </w:hyperlink>
        </w:p>
        <w:p w14:paraId="16BEBCD5" w14:textId="1F3F8408"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6" w:history="1">
            <w:r w:rsidRPr="00322852">
              <w:rPr>
                <w:rStyle w:val="Hyperlink"/>
                <w:rFonts w:eastAsiaTheme="majorEastAsia"/>
                <w:noProof/>
              </w:rPr>
              <w:t>3.4 Operational Flexibility Considerations</w:t>
            </w:r>
            <w:r>
              <w:rPr>
                <w:noProof/>
                <w:webHidden/>
              </w:rPr>
              <w:tab/>
            </w:r>
            <w:r>
              <w:rPr>
                <w:noProof/>
                <w:webHidden/>
              </w:rPr>
              <w:fldChar w:fldCharType="begin"/>
            </w:r>
            <w:r>
              <w:rPr>
                <w:noProof/>
                <w:webHidden/>
              </w:rPr>
              <w:instrText xml:space="preserve"> PAGEREF _Toc213234346 \h </w:instrText>
            </w:r>
            <w:r>
              <w:rPr>
                <w:noProof/>
                <w:webHidden/>
              </w:rPr>
            </w:r>
            <w:r>
              <w:rPr>
                <w:noProof/>
                <w:webHidden/>
              </w:rPr>
              <w:fldChar w:fldCharType="separate"/>
            </w:r>
            <w:r>
              <w:rPr>
                <w:noProof/>
                <w:webHidden/>
              </w:rPr>
              <w:t>15</w:t>
            </w:r>
            <w:r>
              <w:rPr>
                <w:noProof/>
                <w:webHidden/>
              </w:rPr>
              <w:fldChar w:fldCharType="end"/>
            </w:r>
          </w:hyperlink>
        </w:p>
        <w:p w14:paraId="2E5EFEA3" w14:textId="6B5C13B7"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7" w:history="1">
            <w:r w:rsidRPr="00322852">
              <w:rPr>
                <w:rStyle w:val="Hyperlink"/>
                <w:rFonts w:eastAsiaTheme="majorEastAsia"/>
                <w:noProof/>
              </w:rPr>
              <w:t>3.5 International Considerations</w:t>
            </w:r>
            <w:r>
              <w:rPr>
                <w:noProof/>
                <w:webHidden/>
              </w:rPr>
              <w:tab/>
            </w:r>
            <w:r>
              <w:rPr>
                <w:noProof/>
                <w:webHidden/>
              </w:rPr>
              <w:fldChar w:fldCharType="begin"/>
            </w:r>
            <w:r>
              <w:rPr>
                <w:noProof/>
                <w:webHidden/>
              </w:rPr>
              <w:instrText xml:space="preserve"> PAGEREF _Toc213234347 \h </w:instrText>
            </w:r>
            <w:r>
              <w:rPr>
                <w:noProof/>
                <w:webHidden/>
              </w:rPr>
            </w:r>
            <w:r>
              <w:rPr>
                <w:noProof/>
                <w:webHidden/>
              </w:rPr>
              <w:fldChar w:fldCharType="separate"/>
            </w:r>
            <w:r>
              <w:rPr>
                <w:noProof/>
                <w:webHidden/>
              </w:rPr>
              <w:t>15</w:t>
            </w:r>
            <w:r>
              <w:rPr>
                <w:noProof/>
                <w:webHidden/>
              </w:rPr>
              <w:fldChar w:fldCharType="end"/>
            </w:r>
          </w:hyperlink>
        </w:p>
        <w:p w14:paraId="0D5B8318" w14:textId="69E88110"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8" w:history="1">
            <w:r w:rsidRPr="00322852">
              <w:rPr>
                <w:rStyle w:val="Hyperlink"/>
                <w:rFonts w:eastAsiaTheme="majorEastAsia"/>
                <w:noProof/>
              </w:rPr>
              <w:t>3.6 Ethical and Corporate Social Responsibility Dimensions</w:t>
            </w:r>
            <w:r>
              <w:rPr>
                <w:noProof/>
                <w:webHidden/>
              </w:rPr>
              <w:tab/>
            </w:r>
            <w:r>
              <w:rPr>
                <w:noProof/>
                <w:webHidden/>
              </w:rPr>
              <w:fldChar w:fldCharType="begin"/>
            </w:r>
            <w:r>
              <w:rPr>
                <w:noProof/>
                <w:webHidden/>
              </w:rPr>
              <w:instrText xml:space="preserve"> PAGEREF _Toc213234348 \h </w:instrText>
            </w:r>
            <w:r>
              <w:rPr>
                <w:noProof/>
                <w:webHidden/>
              </w:rPr>
            </w:r>
            <w:r>
              <w:rPr>
                <w:noProof/>
                <w:webHidden/>
              </w:rPr>
              <w:fldChar w:fldCharType="separate"/>
            </w:r>
            <w:r>
              <w:rPr>
                <w:noProof/>
                <w:webHidden/>
              </w:rPr>
              <w:t>16</w:t>
            </w:r>
            <w:r>
              <w:rPr>
                <w:noProof/>
                <w:webHidden/>
              </w:rPr>
              <w:fldChar w:fldCharType="end"/>
            </w:r>
          </w:hyperlink>
        </w:p>
        <w:p w14:paraId="0AC0D4F6" w14:textId="433848CB"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49" w:history="1">
            <w:r w:rsidRPr="00322852">
              <w:rPr>
                <w:rStyle w:val="Hyperlink"/>
                <w:rFonts w:eastAsiaTheme="majorEastAsia"/>
                <w:noProof/>
              </w:rPr>
              <w:t>3.7 Recommended Restructuring Strategy</w:t>
            </w:r>
            <w:r>
              <w:rPr>
                <w:noProof/>
                <w:webHidden/>
              </w:rPr>
              <w:tab/>
            </w:r>
            <w:r>
              <w:rPr>
                <w:noProof/>
                <w:webHidden/>
              </w:rPr>
              <w:fldChar w:fldCharType="begin"/>
            </w:r>
            <w:r>
              <w:rPr>
                <w:noProof/>
                <w:webHidden/>
              </w:rPr>
              <w:instrText xml:space="preserve"> PAGEREF _Toc213234349 \h </w:instrText>
            </w:r>
            <w:r>
              <w:rPr>
                <w:noProof/>
                <w:webHidden/>
              </w:rPr>
            </w:r>
            <w:r>
              <w:rPr>
                <w:noProof/>
                <w:webHidden/>
              </w:rPr>
              <w:fldChar w:fldCharType="separate"/>
            </w:r>
            <w:r>
              <w:rPr>
                <w:noProof/>
                <w:webHidden/>
              </w:rPr>
              <w:t>16</w:t>
            </w:r>
            <w:r>
              <w:rPr>
                <w:noProof/>
                <w:webHidden/>
              </w:rPr>
              <w:fldChar w:fldCharType="end"/>
            </w:r>
          </w:hyperlink>
        </w:p>
        <w:p w14:paraId="22B69F69" w14:textId="730FFE0C"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50" w:history="1">
            <w:r w:rsidRPr="00322852">
              <w:rPr>
                <w:rStyle w:val="Hyperlink"/>
                <w:noProof/>
              </w:rPr>
              <w:t>4. Investment Appraisal and Capital Budgeting</w:t>
            </w:r>
            <w:r>
              <w:rPr>
                <w:noProof/>
                <w:webHidden/>
              </w:rPr>
              <w:tab/>
            </w:r>
            <w:r>
              <w:rPr>
                <w:noProof/>
                <w:webHidden/>
              </w:rPr>
              <w:fldChar w:fldCharType="begin"/>
            </w:r>
            <w:r>
              <w:rPr>
                <w:noProof/>
                <w:webHidden/>
              </w:rPr>
              <w:instrText xml:space="preserve"> PAGEREF _Toc213234350 \h </w:instrText>
            </w:r>
            <w:r>
              <w:rPr>
                <w:noProof/>
                <w:webHidden/>
              </w:rPr>
            </w:r>
            <w:r>
              <w:rPr>
                <w:noProof/>
                <w:webHidden/>
              </w:rPr>
              <w:fldChar w:fldCharType="separate"/>
            </w:r>
            <w:r>
              <w:rPr>
                <w:noProof/>
                <w:webHidden/>
              </w:rPr>
              <w:t>16</w:t>
            </w:r>
            <w:r>
              <w:rPr>
                <w:noProof/>
                <w:webHidden/>
              </w:rPr>
              <w:fldChar w:fldCharType="end"/>
            </w:r>
          </w:hyperlink>
        </w:p>
        <w:p w14:paraId="530E41E8" w14:textId="4A54CAAF"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1" w:history="1">
            <w:r w:rsidRPr="00322852">
              <w:rPr>
                <w:rStyle w:val="Hyperlink"/>
                <w:rFonts w:eastAsiaTheme="majorEastAsia"/>
                <w:noProof/>
              </w:rPr>
              <w:t>4.1 Project Evaluation Methodology</w:t>
            </w:r>
            <w:r>
              <w:rPr>
                <w:noProof/>
                <w:webHidden/>
              </w:rPr>
              <w:tab/>
            </w:r>
            <w:r>
              <w:rPr>
                <w:noProof/>
                <w:webHidden/>
              </w:rPr>
              <w:fldChar w:fldCharType="begin"/>
            </w:r>
            <w:r>
              <w:rPr>
                <w:noProof/>
                <w:webHidden/>
              </w:rPr>
              <w:instrText xml:space="preserve"> PAGEREF _Toc213234351 \h </w:instrText>
            </w:r>
            <w:r>
              <w:rPr>
                <w:noProof/>
                <w:webHidden/>
              </w:rPr>
            </w:r>
            <w:r>
              <w:rPr>
                <w:noProof/>
                <w:webHidden/>
              </w:rPr>
              <w:fldChar w:fldCharType="separate"/>
            </w:r>
            <w:r>
              <w:rPr>
                <w:noProof/>
                <w:webHidden/>
              </w:rPr>
              <w:t>16</w:t>
            </w:r>
            <w:r>
              <w:rPr>
                <w:noProof/>
                <w:webHidden/>
              </w:rPr>
              <w:fldChar w:fldCharType="end"/>
            </w:r>
          </w:hyperlink>
        </w:p>
        <w:p w14:paraId="6503350D" w14:textId="6E70F0B9"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2" w:history="1">
            <w:r w:rsidRPr="00322852">
              <w:rPr>
                <w:rStyle w:val="Hyperlink"/>
                <w:rFonts w:eastAsiaTheme="majorEastAsia"/>
                <w:noProof/>
              </w:rPr>
              <w:t>4.2 Payback Period Analysis</w:t>
            </w:r>
            <w:r>
              <w:rPr>
                <w:noProof/>
                <w:webHidden/>
              </w:rPr>
              <w:tab/>
            </w:r>
            <w:r>
              <w:rPr>
                <w:noProof/>
                <w:webHidden/>
              </w:rPr>
              <w:fldChar w:fldCharType="begin"/>
            </w:r>
            <w:r>
              <w:rPr>
                <w:noProof/>
                <w:webHidden/>
              </w:rPr>
              <w:instrText xml:space="preserve"> PAGEREF _Toc213234352 \h </w:instrText>
            </w:r>
            <w:r>
              <w:rPr>
                <w:noProof/>
                <w:webHidden/>
              </w:rPr>
            </w:r>
            <w:r>
              <w:rPr>
                <w:noProof/>
                <w:webHidden/>
              </w:rPr>
              <w:fldChar w:fldCharType="separate"/>
            </w:r>
            <w:r>
              <w:rPr>
                <w:noProof/>
                <w:webHidden/>
              </w:rPr>
              <w:t>17</w:t>
            </w:r>
            <w:r>
              <w:rPr>
                <w:noProof/>
                <w:webHidden/>
              </w:rPr>
              <w:fldChar w:fldCharType="end"/>
            </w:r>
          </w:hyperlink>
        </w:p>
        <w:p w14:paraId="47171069" w14:textId="2B799B7C"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3" w:history="1">
            <w:r w:rsidRPr="00322852">
              <w:rPr>
                <w:rStyle w:val="Hyperlink"/>
                <w:rFonts w:eastAsiaTheme="majorEastAsia"/>
                <w:noProof/>
              </w:rPr>
              <w:t>4.3 Accounting Rate of Return Analysis</w:t>
            </w:r>
            <w:r>
              <w:rPr>
                <w:noProof/>
                <w:webHidden/>
              </w:rPr>
              <w:tab/>
            </w:r>
            <w:r>
              <w:rPr>
                <w:noProof/>
                <w:webHidden/>
              </w:rPr>
              <w:fldChar w:fldCharType="begin"/>
            </w:r>
            <w:r>
              <w:rPr>
                <w:noProof/>
                <w:webHidden/>
              </w:rPr>
              <w:instrText xml:space="preserve"> PAGEREF _Toc213234353 \h </w:instrText>
            </w:r>
            <w:r>
              <w:rPr>
                <w:noProof/>
                <w:webHidden/>
              </w:rPr>
            </w:r>
            <w:r>
              <w:rPr>
                <w:noProof/>
                <w:webHidden/>
              </w:rPr>
              <w:fldChar w:fldCharType="separate"/>
            </w:r>
            <w:r>
              <w:rPr>
                <w:noProof/>
                <w:webHidden/>
              </w:rPr>
              <w:t>18</w:t>
            </w:r>
            <w:r>
              <w:rPr>
                <w:noProof/>
                <w:webHidden/>
              </w:rPr>
              <w:fldChar w:fldCharType="end"/>
            </w:r>
          </w:hyperlink>
        </w:p>
        <w:p w14:paraId="5ADD5A12" w14:textId="2A2BB4F0"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4" w:history="1">
            <w:r w:rsidRPr="00322852">
              <w:rPr>
                <w:rStyle w:val="Hyperlink"/>
                <w:rFonts w:eastAsiaTheme="majorEastAsia"/>
                <w:noProof/>
              </w:rPr>
              <w:t>4.4 Net Present Value Analysis</w:t>
            </w:r>
            <w:r>
              <w:rPr>
                <w:noProof/>
                <w:webHidden/>
              </w:rPr>
              <w:tab/>
            </w:r>
            <w:r>
              <w:rPr>
                <w:noProof/>
                <w:webHidden/>
              </w:rPr>
              <w:fldChar w:fldCharType="begin"/>
            </w:r>
            <w:r>
              <w:rPr>
                <w:noProof/>
                <w:webHidden/>
              </w:rPr>
              <w:instrText xml:space="preserve"> PAGEREF _Toc213234354 \h </w:instrText>
            </w:r>
            <w:r>
              <w:rPr>
                <w:noProof/>
                <w:webHidden/>
              </w:rPr>
            </w:r>
            <w:r>
              <w:rPr>
                <w:noProof/>
                <w:webHidden/>
              </w:rPr>
              <w:fldChar w:fldCharType="separate"/>
            </w:r>
            <w:r>
              <w:rPr>
                <w:noProof/>
                <w:webHidden/>
              </w:rPr>
              <w:t>18</w:t>
            </w:r>
            <w:r>
              <w:rPr>
                <w:noProof/>
                <w:webHidden/>
              </w:rPr>
              <w:fldChar w:fldCharType="end"/>
            </w:r>
          </w:hyperlink>
        </w:p>
        <w:p w14:paraId="78D53AC7" w14:textId="652CB46C"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5" w:history="1">
            <w:r w:rsidRPr="00322852">
              <w:rPr>
                <w:rStyle w:val="Hyperlink"/>
                <w:rFonts w:eastAsiaTheme="majorEastAsia"/>
                <w:noProof/>
              </w:rPr>
              <w:t>4.5 Profitability Index Analysis</w:t>
            </w:r>
            <w:r>
              <w:rPr>
                <w:noProof/>
                <w:webHidden/>
              </w:rPr>
              <w:tab/>
            </w:r>
            <w:r>
              <w:rPr>
                <w:noProof/>
                <w:webHidden/>
              </w:rPr>
              <w:fldChar w:fldCharType="begin"/>
            </w:r>
            <w:r>
              <w:rPr>
                <w:noProof/>
                <w:webHidden/>
              </w:rPr>
              <w:instrText xml:space="preserve"> PAGEREF _Toc213234355 \h </w:instrText>
            </w:r>
            <w:r>
              <w:rPr>
                <w:noProof/>
                <w:webHidden/>
              </w:rPr>
            </w:r>
            <w:r>
              <w:rPr>
                <w:noProof/>
                <w:webHidden/>
              </w:rPr>
              <w:fldChar w:fldCharType="separate"/>
            </w:r>
            <w:r>
              <w:rPr>
                <w:noProof/>
                <w:webHidden/>
              </w:rPr>
              <w:t>19</w:t>
            </w:r>
            <w:r>
              <w:rPr>
                <w:noProof/>
                <w:webHidden/>
              </w:rPr>
              <w:fldChar w:fldCharType="end"/>
            </w:r>
          </w:hyperlink>
        </w:p>
        <w:p w14:paraId="273CE71F" w14:textId="046A5B7D"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6" w:history="1">
            <w:r w:rsidRPr="00322852">
              <w:rPr>
                <w:rStyle w:val="Hyperlink"/>
                <w:rFonts w:eastAsiaTheme="majorEastAsia"/>
                <w:noProof/>
              </w:rPr>
              <w:t>4.6 Internal Rate of Return Analysis</w:t>
            </w:r>
            <w:r>
              <w:rPr>
                <w:noProof/>
                <w:webHidden/>
              </w:rPr>
              <w:tab/>
            </w:r>
            <w:r>
              <w:rPr>
                <w:noProof/>
                <w:webHidden/>
              </w:rPr>
              <w:fldChar w:fldCharType="begin"/>
            </w:r>
            <w:r>
              <w:rPr>
                <w:noProof/>
                <w:webHidden/>
              </w:rPr>
              <w:instrText xml:space="preserve"> PAGEREF _Toc213234356 \h </w:instrText>
            </w:r>
            <w:r>
              <w:rPr>
                <w:noProof/>
                <w:webHidden/>
              </w:rPr>
            </w:r>
            <w:r>
              <w:rPr>
                <w:noProof/>
                <w:webHidden/>
              </w:rPr>
              <w:fldChar w:fldCharType="separate"/>
            </w:r>
            <w:r>
              <w:rPr>
                <w:noProof/>
                <w:webHidden/>
              </w:rPr>
              <w:t>20</w:t>
            </w:r>
            <w:r>
              <w:rPr>
                <w:noProof/>
                <w:webHidden/>
              </w:rPr>
              <w:fldChar w:fldCharType="end"/>
            </w:r>
          </w:hyperlink>
        </w:p>
        <w:p w14:paraId="667B496E" w14:textId="7FD253D3"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7" w:history="1">
            <w:r w:rsidRPr="00322852">
              <w:rPr>
                <w:rStyle w:val="Hyperlink"/>
                <w:rFonts w:eastAsiaTheme="majorEastAsia"/>
                <w:noProof/>
              </w:rPr>
              <w:t>4.7 Capital Rationing Decision and Portfolio Selection</w:t>
            </w:r>
            <w:r>
              <w:rPr>
                <w:noProof/>
                <w:webHidden/>
              </w:rPr>
              <w:tab/>
            </w:r>
            <w:r>
              <w:rPr>
                <w:noProof/>
                <w:webHidden/>
              </w:rPr>
              <w:fldChar w:fldCharType="begin"/>
            </w:r>
            <w:r>
              <w:rPr>
                <w:noProof/>
                <w:webHidden/>
              </w:rPr>
              <w:instrText xml:space="preserve"> PAGEREF _Toc213234357 \h </w:instrText>
            </w:r>
            <w:r>
              <w:rPr>
                <w:noProof/>
                <w:webHidden/>
              </w:rPr>
            </w:r>
            <w:r>
              <w:rPr>
                <w:noProof/>
                <w:webHidden/>
              </w:rPr>
              <w:fldChar w:fldCharType="separate"/>
            </w:r>
            <w:r>
              <w:rPr>
                <w:noProof/>
                <w:webHidden/>
              </w:rPr>
              <w:t>21</w:t>
            </w:r>
            <w:r>
              <w:rPr>
                <w:noProof/>
                <w:webHidden/>
              </w:rPr>
              <w:fldChar w:fldCharType="end"/>
            </w:r>
          </w:hyperlink>
        </w:p>
        <w:p w14:paraId="22BCF181" w14:textId="2B49A869" w:rsidR="00DC763C" w:rsidRDefault="00DC763C">
          <w:pPr>
            <w:pStyle w:val="TOC2"/>
            <w:tabs>
              <w:tab w:val="right" w:leader="dot" w:pos="9350"/>
            </w:tabs>
            <w:rPr>
              <w:rFonts w:asciiTheme="minorHAnsi" w:eastAsiaTheme="minorEastAsia" w:hAnsiTheme="minorHAnsi" w:cstheme="minorBidi"/>
              <w:noProof/>
              <w:kern w:val="2"/>
              <w:szCs w:val="24"/>
              <w14:ligatures w14:val="standardContextual"/>
            </w:rPr>
          </w:pPr>
          <w:hyperlink w:anchor="_Toc213234358" w:history="1">
            <w:r w:rsidRPr="00322852">
              <w:rPr>
                <w:rStyle w:val="Hyperlink"/>
                <w:rFonts w:eastAsiaTheme="majorEastAsia"/>
                <w:noProof/>
              </w:rPr>
              <w:t>4.8 Risk Assessment and Strategic Recommendation</w:t>
            </w:r>
            <w:r>
              <w:rPr>
                <w:noProof/>
                <w:webHidden/>
              </w:rPr>
              <w:tab/>
            </w:r>
            <w:r>
              <w:rPr>
                <w:noProof/>
                <w:webHidden/>
              </w:rPr>
              <w:fldChar w:fldCharType="begin"/>
            </w:r>
            <w:r>
              <w:rPr>
                <w:noProof/>
                <w:webHidden/>
              </w:rPr>
              <w:instrText xml:space="preserve"> PAGEREF _Toc213234358 \h </w:instrText>
            </w:r>
            <w:r>
              <w:rPr>
                <w:noProof/>
                <w:webHidden/>
              </w:rPr>
            </w:r>
            <w:r>
              <w:rPr>
                <w:noProof/>
                <w:webHidden/>
              </w:rPr>
              <w:fldChar w:fldCharType="separate"/>
            </w:r>
            <w:r>
              <w:rPr>
                <w:noProof/>
                <w:webHidden/>
              </w:rPr>
              <w:t>22</w:t>
            </w:r>
            <w:r>
              <w:rPr>
                <w:noProof/>
                <w:webHidden/>
              </w:rPr>
              <w:fldChar w:fldCharType="end"/>
            </w:r>
          </w:hyperlink>
        </w:p>
        <w:p w14:paraId="4589B4F5" w14:textId="64766D6C"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59" w:history="1">
            <w:r w:rsidRPr="00322852">
              <w:rPr>
                <w:rStyle w:val="Hyperlink"/>
                <w:noProof/>
              </w:rPr>
              <w:t>Conclusion</w:t>
            </w:r>
            <w:r>
              <w:rPr>
                <w:noProof/>
                <w:webHidden/>
              </w:rPr>
              <w:tab/>
            </w:r>
            <w:r>
              <w:rPr>
                <w:noProof/>
                <w:webHidden/>
              </w:rPr>
              <w:fldChar w:fldCharType="begin"/>
            </w:r>
            <w:r>
              <w:rPr>
                <w:noProof/>
                <w:webHidden/>
              </w:rPr>
              <w:instrText xml:space="preserve"> PAGEREF _Toc213234359 \h </w:instrText>
            </w:r>
            <w:r>
              <w:rPr>
                <w:noProof/>
                <w:webHidden/>
              </w:rPr>
            </w:r>
            <w:r>
              <w:rPr>
                <w:noProof/>
                <w:webHidden/>
              </w:rPr>
              <w:fldChar w:fldCharType="separate"/>
            </w:r>
            <w:r>
              <w:rPr>
                <w:noProof/>
                <w:webHidden/>
              </w:rPr>
              <w:t>22</w:t>
            </w:r>
            <w:r>
              <w:rPr>
                <w:noProof/>
                <w:webHidden/>
              </w:rPr>
              <w:fldChar w:fldCharType="end"/>
            </w:r>
          </w:hyperlink>
        </w:p>
        <w:p w14:paraId="4EF005B4" w14:textId="6788D783"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60" w:history="1">
            <w:r w:rsidRPr="00322852">
              <w:rPr>
                <w:rStyle w:val="Hyperlink"/>
                <w:noProof/>
              </w:rPr>
              <w:t>References</w:t>
            </w:r>
            <w:r>
              <w:rPr>
                <w:noProof/>
                <w:webHidden/>
              </w:rPr>
              <w:tab/>
            </w:r>
            <w:r>
              <w:rPr>
                <w:noProof/>
                <w:webHidden/>
              </w:rPr>
              <w:fldChar w:fldCharType="begin"/>
            </w:r>
            <w:r>
              <w:rPr>
                <w:noProof/>
                <w:webHidden/>
              </w:rPr>
              <w:instrText xml:space="preserve"> PAGEREF _Toc213234360 \h </w:instrText>
            </w:r>
            <w:r>
              <w:rPr>
                <w:noProof/>
                <w:webHidden/>
              </w:rPr>
            </w:r>
            <w:r>
              <w:rPr>
                <w:noProof/>
                <w:webHidden/>
              </w:rPr>
              <w:fldChar w:fldCharType="separate"/>
            </w:r>
            <w:r>
              <w:rPr>
                <w:noProof/>
                <w:webHidden/>
              </w:rPr>
              <w:t>24</w:t>
            </w:r>
            <w:r>
              <w:rPr>
                <w:noProof/>
                <w:webHidden/>
              </w:rPr>
              <w:fldChar w:fldCharType="end"/>
            </w:r>
          </w:hyperlink>
        </w:p>
        <w:p w14:paraId="6917970A" w14:textId="0323E274" w:rsidR="00DC763C" w:rsidRDefault="00DC763C">
          <w:pPr>
            <w:pStyle w:val="TOC1"/>
            <w:tabs>
              <w:tab w:val="right" w:leader="dot" w:pos="9350"/>
            </w:tabs>
            <w:rPr>
              <w:rFonts w:asciiTheme="minorHAnsi" w:eastAsiaTheme="minorEastAsia" w:hAnsiTheme="minorHAnsi" w:cstheme="minorBidi"/>
              <w:noProof/>
              <w:kern w:val="2"/>
              <w:szCs w:val="24"/>
              <w14:ligatures w14:val="standardContextual"/>
            </w:rPr>
          </w:pPr>
          <w:hyperlink w:anchor="_Toc213234361" w:history="1">
            <w:r w:rsidRPr="00322852">
              <w:rPr>
                <w:rStyle w:val="Hyperlink"/>
                <w:noProof/>
              </w:rPr>
              <w:t>Appendix</w:t>
            </w:r>
            <w:r>
              <w:rPr>
                <w:noProof/>
                <w:webHidden/>
              </w:rPr>
              <w:tab/>
            </w:r>
            <w:r>
              <w:rPr>
                <w:noProof/>
                <w:webHidden/>
              </w:rPr>
              <w:fldChar w:fldCharType="begin"/>
            </w:r>
            <w:r>
              <w:rPr>
                <w:noProof/>
                <w:webHidden/>
              </w:rPr>
              <w:instrText xml:space="preserve"> PAGEREF _Toc213234361 \h </w:instrText>
            </w:r>
            <w:r>
              <w:rPr>
                <w:noProof/>
                <w:webHidden/>
              </w:rPr>
            </w:r>
            <w:r>
              <w:rPr>
                <w:noProof/>
                <w:webHidden/>
              </w:rPr>
              <w:fldChar w:fldCharType="separate"/>
            </w:r>
            <w:r>
              <w:rPr>
                <w:noProof/>
                <w:webHidden/>
              </w:rPr>
              <w:t>27</w:t>
            </w:r>
            <w:r>
              <w:rPr>
                <w:noProof/>
                <w:webHidden/>
              </w:rPr>
              <w:fldChar w:fldCharType="end"/>
            </w:r>
          </w:hyperlink>
        </w:p>
        <w:p w14:paraId="4CEF01A6" w14:textId="490A53DE" w:rsidR="00DC763C" w:rsidRDefault="00DC763C">
          <w:r>
            <w:rPr>
              <w:b/>
              <w:bCs/>
              <w:noProof/>
            </w:rPr>
            <w:fldChar w:fldCharType="end"/>
          </w:r>
        </w:p>
      </w:sdtContent>
    </w:sdt>
    <w:p w14:paraId="6474A6E0" w14:textId="77777777" w:rsidR="00ED18F4" w:rsidRDefault="00ED18F4" w:rsidP="00607DB7">
      <w:pPr>
        <w:spacing w:after="160" w:line="360" w:lineRule="auto"/>
        <w:rPr>
          <w:b/>
          <w:bCs/>
        </w:rPr>
      </w:pPr>
      <w:r>
        <w:rPr>
          <w:b/>
          <w:bCs/>
        </w:rPr>
        <w:br w:type="page"/>
      </w:r>
    </w:p>
    <w:p w14:paraId="7DAC5E98" w14:textId="534DA30A" w:rsidR="002731C7" w:rsidRPr="002731C7" w:rsidRDefault="002731C7" w:rsidP="00607DB7">
      <w:pPr>
        <w:pStyle w:val="Heading1"/>
      </w:pPr>
      <w:bookmarkStart w:id="0" w:name="_Toc213234330"/>
      <w:r w:rsidRPr="002731C7">
        <w:lastRenderedPageBreak/>
        <w:t>Introduction</w:t>
      </w:r>
      <w:bookmarkEnd w:id="0"/>
    </w:p>
    <w:p w14:paraId="75108A5E" w14:textId="24647ECB" w:rsidR="000C47DB" w:rsidRDefault="000C47DB" w:rsidP="00607DB7">
      <w:pPr>
        <w:spacing w:line="360" w:lineRule="auto"/>
      </w:pPr>
      <w:r>
        <w:t xml:space="preserve">General </w:t>
      </w:r>
      <w:r w:rsidR="00E70890">
        <w:t>Electronics</w:t>
      </w:r>
      <w:r>
        <w:t xml:space="preserve"> is a multinational company that deals with consumer electronics and is experiencing an existential financial crisis. The company has been facing extreme conditions of operational decline in the last five years as revenues have fallen by 36 per cent since 2020 (£614.7 million) to 2024 (394.9 million). This downward spiral has seen it incur losses amounting to a catastrophic loss of 98.2 million in 2023 and 24 million in 2024, and high goodwill impairment and dwindling cash reserves. This report is a turnaround plan based on data and it is a report by the Chief Financial Officer who has just been appointed to the position and </w:t>
      </w:r>
      <w:r w:rsidR="00E70890">
        <w:t>to</w:t>
      </w:r>
      <w:r>
        <w:t xml:space="preserve"> bring financial stability and </w:t>
      </w:r>
      <w:r w:rsidR="00607DB7">
        <w:t>long-term</w:t>
      </w:r>
      <w:r>
        <w:t xml:space="preserve"> viability to the company</w:t>
      </w:r>
      <w:r w:rsidR="00E50182">
        <w:t xml:space="preserve"> </w:t>
      </w:r>
      <w:r w:rsidR="00E50182" w:rsidRPr="00E50182">
        <w:t>(Schweizer and Nienhaus, 2017)</w:t>
      </w:r>
      <w:r>
        <w:t>.</w:t>
      </w:r>
    </w:p>
    <w:p w14:paraId="5584C403" w14:textId="76715076" w:rsidR="002731C7" w:rsidRDefault="000C47DB" w:rsidP="00607DB7">
      <w:pPr>
        <w:spacing w:line="360" w:lineRule="auto"/>
      </w:pPr>
      <w:r>
        <w:t xml:space="preserve">This is an in-depth analysis that assesses the financial health of General Electronics based on an intense ratio analysis and corporate failure prediction framework, working capital efficiency, strategic restructuring solutions, and appraisal of significant investment opportunities within the capital constraints. Using </w:t>
      </w:r>
      <w:r w:rsidR="00607DB7">
        <w:t>systematic</w:t>
      </w:r>
      <w:r>
        <w:t xml:space="preserve"> financial analysis and strategic recommendations based on the current financial management theory, this report will offer a working roadmap to turn the company around, increase the shareholder value, and create sustainable competitive advantage in the ever-changing consumer electronics market</w:t>
      </w:r>
      <w:r w:rsidR="00E50182">
        <w:t xml:space="preserve"> </w:t>
      </w:r>
      <w:r w:rsidR="00E50182" w:rsidRPr="00E50182">
        <w:t>(Schweizer and Nienhaus, 2017)</w:t>
      </w:r>
      <w:r>
        <w:t>.</w:t>
      </w:r>
    </w:p>
    <w:p w14:paraId="1E9A9B6C" w14:textId="77777777" w:rsidR="002731C7" w:rsidRPr="002731C7" w:rsidRDefault="002731C7" w:rsidP="00607DB7">
      <w:pPr>
        <w:pStyle w:val="Heading1"/>
      </w:pPr>
      <w:bookmarkStart w:id="1" w:name="_Toc213234331"/>
      <w:r w:rsidRPr="002731C7">
        <w:t>1. Financial Health Check</w:t>
      </w:r>
      <w:bookmarkEnd w:id="1"/>
    </w:p>
    <w:p w14:paraId="2C4944F6" w14:textId="77777777" w:rsidR="002731C7" w:rsidRPr="002731C7" w:rsidRDefault="002731C7" w:rsidP="00607DB7">
      <w:pPr>
        <w:pStyle w:val="Heading2"/>
        <w:spacing w:line="360" w:lineRule="auto"/>
        <w:jc w:val="both"/>
      </w:pPr>
      <w:bookmarkStart w:id="2" w:name="_Toc213234332"/>
      <w:r w:rsidRPr="002731C7">
        <w:rPr>
          <w:rFonts w:eastAsiaTheme="majorEastAsia"/>
        </w:rPr>
        <w:t>1.1 Profitability Ratio Analysis</w:t>
      </w:r>
      <w:bookmarkEnd w:id="2"/>
    </w:p>
    <w:p w14:paraId="11E76A0C" w14:textId="77777777" w:rsidR="002731C7" w:rsidRPr="002731C7" w:rsidRDefault="002731C7" w:rsidP="00607DB7">
      <w:pPr>
        <w:spacing w:line="360" w:lineRule="auto"/>
      </w:pPr>
      <w:r w:rsidRPr="002731C7">
        <w:t>Table 1: Profitability Ratios (2020-2024)</w:t>
      </w:r>
    </w:p>
    <w:p w14:paraId="63F917CE" w14:textId="519A12F9" w:rsidR="001E5B83" w:rsidRDefault="001E5B83" w:rsidP="00607DB7">
      <w:pPr>
        <w:spacing w:line="360" w:lineRule="auto"/>
        <w:rPr>
          <w:b/>
          <w:bCs/>
        </w:rPr>
      </w:pPr>
      <w:r w:rsidRPr="001E5B83">
        <w:rPr>
          <w:noProof/>
        </w:rPr>
        <w:drawing>
          <wp:inline distT="0" distB="0" distL="0" distR="0" wp14:anchorId="4A3E81EB" wp14:editId="2AEF29AB">
            <wp:extent cx="5943600" cy="1879600"/>
            <wp:effectExtent l="0" t="0" r="0" b="6350"/>
            <wp:docPr id="190091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879600"/>
                    </a:xfrm>
                    <a:prstGeom prst="rect">
                      <a:avLst/>
                    </a:prstGeom>
                    <a:noFill/>
                    <a:ln>
                      <a:noFill/>
                    </a:ln>
                  </pic:spPr>
                </pic:pic>
              </a:graphicData>
            </a:graphic>
          </wp:inline>
        </w:drawing>
      </w:r>
    </w:p>
    <w:p w14:paraId="5558CDD8" w14:textId="3AEA100D" w:rsidR="00EC6B62" w:rsidRPr="00EC6B62" w:rsidRDefault="00EC6B62" w:rsidP="00607DB7">
      <w:pPr>
        <w:spacing w:line="360" w:lineRule="auto"/>
      </w:pPr>
      <w:r w:rsidRPr="00EC6B62">
        <w:rPr>
          <w:noProof/>
        </w:rPr>
        <w:lastRenderedPageBreak/>
        <w:drawing>
          <wp:inline distT="0" distB="0" distL="0" distR="0" wp14:anchorId="40768B2E" wp14:editId="1EC62FFE">
            <wp:extent cx="5477639" cy="3172268"/>
            <wp:effectExtent l="0" t="0" r="0" b="9525"/>
            <wp:docPr id="131920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0410" name=""/>
                    <pic:cNvPicPr/>
                  </pic:nvPicPr>
                  <pic:blipFill>
                    <a:blip r:embed="rId7"/>
                    <a:stretch>
                      <a:fillRect/>
                    </a:stretch>
                  </pic:blipFill>
                  <pic:spPr>
                    <a:xfrm>
                      <a:off x="0" y="0"/>
                      <a:ext cx="5477639" cy="3172268"/>
                    </a:xfrm>
                    <a:prstGeom prst="rect">
                      <a:avLst/>
                    </a:prstGeom>
                  </pic:spPr>
                </pic:pic>
              </a:graphicData>
            </a:graphic>
          </wp:inline>
        </w:drawing>
      </w:r>
    </w:p>
    <w:p w14:paraId="3D1C4C12" w14:textId="7DCA4F80" w:rsidR="002731C7" w:rsidRPr="002731C7" w:rsidRDefault="002731C7" w:rsidP="00607DB7">
      <w:pPr>
        <w:spacing w:line="360" w:lineRule="auto"/>
      </w:pPr>
      <w:r w:rsidRPr="002731C7">
        <w:rPr>
          <w:b/>
          <w:bCs/>
        </w:rPr>
        <w:t>Note:</w:t>
      </w:r>
      <w:r w:rsidRPr="002731C7">
        <w:t xml:space="preserve"> Capital Employed = Total Assets - Current Liabilities</w:t>
      </w:r>
    </w:p>
    <w:p w14:paraId="019F2310" w14:textId="17566101" w:rsidR="002731C7" w:rsidRPr="002731C7" w:rsidRDefault="000C47DB" w:rsidP="00607DB7">
      <w:pPr>
        <w:spacing w:line="360" w:lineRule="auto"/>
      </w:pPr>
      <w:r w:rsidRPr="000C47DB">
        <w:t xml:space="preserve">General electronics has catastrophic decline in profitability. Whereas gross profit margins did not vary significantly (23-29%), which showed </w:t>
      </w:r>
      <w:r w:rsidR="00E50182" w:rsidRPr="000C47DB">
        <w:t>constant</w:t>
      </w:r>
      <w:r w:rsidRPr="000C47DB">
        <w:t xml:space="preserve"> pricing power, operating and net profit margins fell to very negative levels. The operating loss (20.29%), net loss (23.36%), in 2023 show that the company has serious operational inefficiency and </w:t>
      </w:r>
      <w:r w:rsidR="00E50182" w:rsidRPr="000C47DB">
        <w:t>high-cost</w:t>
      </w:r>
      <w:r w:rsidRPr="000C47DB">
        <w:t xml:space="preserve"> bases. </w:t>
      </w:r>
      <w:r w:rsidR="00E50182" w:rsidRPr="000C47DB">
        <w:t>Value</w:t>
      </w:r>
      <w:r w:rsidRPr="000C47DB">
        <w:t xml:space="preserve"> destruction and destruction can be seen in the fall in Return on Capital Employed, which dropped 11.18% (2020) to -36.31% (2023). The same case was observed with Return on Equity that fell to 12.31% to -</w:t>
      </w:r>
      <w:r w:rsidR="00E50182" w:rsidRPr="000C47DB">
        <w:t>54.92,</w:t>
      </w:r>
      <w:r w:rsidRPr="000C47DB">
        <w:t xml:space="preserve"> indicating that </w:t>
      </w:r>
      <w:r w:rsidR="00E50182" w:rsidRPr="000C47DB">
        <w:t>shareholder</w:t>
      </w:r>
      <w:r w:rsidRPr="000C47DB">
        <w:t xml:space="preserve"> wealth was eroding significantly. The marginal 2024 recovery is still wanting, and the continued low profitability levels speak of basic dysfunction in the operations that need urgent strategic action</w:t>
      </w:r>
      <w:r w:rsidR="00E50182">
        <w:t xml:space="preserve"> </w:t>
      </w:r>
      <w:r w:rsidR="00E50182" w:rsidRPr="00E50182">
        <w:t>(</w:t>
      </w:r>
      <w:proofErr w:type="spellStart"/>
      <w:r w:rsidR="00E50182" w:rsidRPr="00E50182">
        <w:t>Fadillah</w:t>
      </w:r>
      <w:proofErr w:type="spellEnd"/>
      <w:r w:rsidR="00E50182" w:rsidRPr="00E50182">
        <w:t xml:space="preserve"> et al., 2024)</w:t>
      </w:r>
      <w:r w:rsidRPr="000C47DB">
        <w:t>.</w:t>
      </w:r>
    </w:p>
    <w:p w14:paraId="5110CC17" w14:textId="77777777" w:rsidR="002731C7" w:rsidRPr="002731C7" w:rsidRDefault="002731C7" w:rsidP="00607DB7">
      <w:pPr>
        <w:pStyle w:val="Heading2"/>
        <w:spacing w:line="360" w:lineRule="auto"/>
        <w:jc w:val="both"/>
      </w:pPr>
      <w:bookmarkStart w:id="3" w:name="_Toc213234333"/>
      <w:r w:rsidRPr="002731C7">
        <w:rPr>
          <w:rFonts w:eastAsiaTheme="majorEastAsia"/>
        </w:rPr>
        <w:t>1.2 Liquidity Ratio Analysis</w:t>
      </w:r>
      <w:bookmarkEnd w:id="3"/>
    </w:p>
    <w:p w14:paraId="0C727FCD" w14:textId="77777777" w:rsidR="002731C7" w:rsidRPr="002731C7" w:rsidRDefault="002731C7" w:rsidP="00607DB7">
      <w:pPr>
        <w:spacing w:line="360" w:lineRule="auto"/>
      </w:pPr>
      <w:r w:rsidRPr="002731C7">
        <w:t>Table 2: Liquidity Ratios (2020-2024)</w:t>
      </w:r>
    </w:p>
    <w:p w14:paraId="1F38FDAE" w14:textId="076369A6" w:rsidR="00303211" w:rsidRDefault="00303211" w:rsidP="00607DB7">
      <w:pPr>
        <w:spacing w:line="360" w:lineRule="auto"/>
      </w:pPr>
      <w:r w:rsidRPr="00303211">
        <w:rPr>
          <w:noProof/>
        </w:rPr>
        <w:drawing>
          <wp:inline distT="0" distB="0" distL="0" distR="0" wp14:anchorId="0FD45E62" wp14:editId="4F6E3362">
            <wp:extent cx="5943600" cy="768350"/>
            <wp:effectExtent l="0" t="0" r="0" b="0"/>
            <wp:docPr id="12423882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68350"/>
                    </a:xfrm>
                    <a:prstGeom prst="rect">
                      <a:avLst/>
                    </a:prstGeom>
                    <a:noFill/>
                    <a:ln>
                      <a:noFill/>
                    </a:ln>
                  </pic:spPr>
                </pic:pic>
              </a:graphicData>
            </a:graphic>
          </wp:inline>
        </w:drawing>
      </w:r>
    </w:p>
    <w:p w14:paraId="33398B6A" w14:textId="4A73D6F0" w:rsidR="00EC6B62" w:rsidRDefault="00EC6B62" w:rsidP="00607DB7">
      <w:pPr>
        <w:spacing w:line="360" w:lineRule="auto"/>
      </w:pPr>
      <w:r w:rsidRPr="00EC6B62">
        <w:rPr>
          <w:noProof/>
        </w:rPr>
        <w:lastRenderedPageBreak/>
        <w:drawing>
          <wp:inline distT="0" distB="0" distL="0" distR="0" wp14:anchorId="590981FD" wp14:editId="5CCCA7B7">
            <wp:extent cx="5229955" cy="3172268"/>
            <wp:effectExtent l="0" t="0" r="8890" b="9525"/>
            <wp:docPr id="49457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72840" name=""/>
                    <pic:cNvPicPr/>
                  </pic:nvPicPr>
                  <pic:blipFill>
                    <a:blip r:embed="rId9"/>
                    <a:stretch>
                      <a:fillRect/>
                    </a:stretch>
                  </pic:blipFill>
                  <pic:spPr>
                    <a:xfrm>
                      <a:off x="0" y="0"/>
                      <a:ext cx="5229955" cy="3172268"/>
                    </a:xfrm>
                    <a:prstGeom prst="rect">
                      <a:avLst/>
                    </a:prstGeom>
                  </pic:spPr>
                </pic:pic>
              </a:graphicData>
            </a:graphic>
          </wp:inline>
        </w:drawing>
      </w:r>
    </w:p>
    <w:p w14:paraId="4EA8A22F" w14:textId="3F04B8FD" w:rsidR="002731C7" w:rsidRPr="002731C7" w:rsidRDefault="000C47DB" w:rsidP="00607DB7">
      <w:pPr>
        <w:spacing w:line="360" w:lineRule="auto"/>
      </w:pPr>
      <w:r w:rsidRPr="000C47DB">
        <w:t xml:space="preserve">General Electronics indicates that it shows sufficient yet decreasing liquidity positions. The current ratios were also better than the benchmark level of 1.5, implying that there was enough coverage of short-term </w:t>
      </w:r>
      <w:r w:rsidR="00E50182" w:rsidRPr="000C47DB">
        <w:t>assets</w:t>
      </w:r>
      <w:r w:rsidRPr="000C47DB">
        <w:t xml:space="preserve"> to cover the immediate </w:t>
      </w:r>
      <w:r w:rsidR="00E50182" w:rsidRPr="000C47DB">
        <w:t>limitations</w:t>
      </w:r>
      <w:r w:rsidRPr="000C47DB">
        <w:t xml:space="preserve">. But the decline between 1.82 (2020) and 1.53 (2024) shows that the liquidity is getting </w:t>
      </w:r>
      <w:r w:rsidR="00E50182" w:rsidRPr="000C47DB">
        <w:t>tighter</w:t>
      </w:r>
      <w:r w:rsidRPr="000C47DB">
        <w:t xml:space="preserve">. On quick ratios, when the figures are printed without the less liquid </w:t>
      </w:r>
      <w:r w:rsidR="00011A07" w:rsidRPr="000C47DB">
        <w:t>inventory</w:t>
      </w:r>
      <w:r w:rsidRPr="000C47DB">
        <w:t>, they indicate more alarming patterns, standing at approximately 1.0, that depicts low levels of safety margins</w:t>
      </w:r>
      <w:r w:rsidR="00011A07">
        <w:t xml:space="preserve"> </w:t>
      </w:r>
      <w:r w:rsidR="00011A07" w:rsidRPr="00011A07">
        <w:t>(Li, 2023)</w:t>
      </w:r>
      <w:r w:rsidRPr="000C47DB">
        <w:t xml:space="preserve">. The years 2022-2023 recorded especially poor ratios of quick (0.91-0.93) as this is below the required standards and they might experience stress in cash flow. At the same time, the lines of credit have increased with a rise in the </w:t>
      </w:r>
      <w:r w:rsidR="00E50182" w:rsidRPr="000C47DB">
        <w:t>short-term</w:t>
      </w:r>
      <w:r w:rsidRPr="000C47DB">
        <w:t xml:space="preserve"> borrowing of the company between 2020 and 2022 by increase of around 88 million pounds (as compared to 2020 which was 20 million pounds)</w:t>
      </w:r>
      <w:r w:rsidR="00E50182">
        <w:t xml:space="preserve"> </w:t>
      </w:r>
      <w:r w:rsidR="00E50182" w:rsidRPr="00E50182">
        <w:t>(</w:t>
      </w:r>
      <w:proofErr w:type="spellStart"/>
      <w:r w:rsidR="00E50182" w:rsidRPr="00E50182">
        <w:t>Fadillah</w:t>
      </w:r>
      <w:proofErr w:type="spellEnd"/>
      <w:r w:rsidR="00E50182" w:rsidRPr="00E50182">
        <w:t xml:space="preserve"> et al., 2024)</w:t>
      </w:r>
      <w:r w:rsidRPr="000C47DB">
        <w:t>.</w:t>
      </w:r>
    </w:p>
    <w:p w14:paraId="3662C67B" w14:textId="77777777" w:rsidR="002731C7" w:rsidRPr="002731C7" w:rsidRDefault="002731C7" w:rsidP="00607DB7">
      <w:pPr>
        <w:pStyle w:val="Heading2"/>
        <w:spacing w:line="360" w:lineRule="auto"/>
        <w:jc w:val="both"/>
      </w:pPr>
      <w:bookmarkStart w:id="4" w:name="_Toc213234334"/>
      <w:r w:rsidRPr="002731C7">
        <w:rPr>
          <w:rFonts w:eastAsiaTheme="majorEastAsia"/>
        </w:rPr>
        <w:t>1.3 Efficiency Ratio Analysis</w:t>
      </w:r>
      <w:bookmarkEnd w:id="4"/>
    </w:p>
    <w:p w14:paraId="06653B9F" w14:textId="77777777" w:rsidR="002731C7" w:rsidRPr="002731C7" w:rsidRDefault="002731C7" w:rsidP="00607DB7">
      <w:pPr>
        <w:spacing w:line="360" w:lineRule="auto"/>
      </w:pPr>
      <w:r w:rsidRPr="002731C7">
        <w:t>Table 3: Efficiency Ratios (2020-2024)</w:t>
      </w:r>
    </w:p>
    <w:p w14:paraId="46D25E7C" w14:textId="4DFB77D7" w:rsidR="00303211" w:rsidRDefault="00303211" w:rsidP="00607DB7">
      <w:pPr>
        <w:spacing w:line="360" w:lineRule="auto"/>
      </w:pPr>
      <w:r w:rsidRPr="00303211">
        <w:rPr>
          <w:noProof/>
        </w:rPr>
        <w:lastRenderedPageBreak/>
        <w:drawing>
          <wp:inline distT="0" distB="0" distL="0" distR="0" wp14:anchorId="5AFE2510" wp14:editId="37B96240">
            <wp:extent cx="5943600" cy="1422400"/>
            <wp:effectExtent l="0" t="0" r="0" b="6350"/>
            <wp:docPr id="7962778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422400"/>
                    </a:xfrm>
                    <a:prstGeom prst="rect">
                      <a:avLst/>
                    </a:prstGeom>
                    <a:noFill/>
                    <a:ln>
                      <a:noFill/>
                    </a:ln>
                  </pic:spPr>
                </pic:pic>
              </a:graphicData>
            </a:graphic>
          </wp:inline>
        </w:drawing>
      </w:r>
    </w:p>
    <w:p w14:paraId="45A5E04D" w14:textId="3DC48EF2" w:rsidR="00EC6B62" w:rsidRDefault="00EC6B62" w:rsidP="00607DB7">
      <w:pPr>
        <w:spacing w:line="360" w:lineRule="auto"/>
      </w:pPr>
      <w:r w:rsidRPr="00EC6B62">
        <w:rPr>
          <w:noProof/>
        </w:rPr>
        <w:drawing>
          <wp:inline distT="0" distB="0" distL="0" distR="0" wp14:anchorId="38ACACDC" wp14:editId="537050AF">
            <wp:extent cx="5877745" cy="3057952"/>
            <wp:effectExtent l="0" t="0" r="0" b="9525"/>
            <wp:docPr id="603921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21879" name=""/>
                    <pic:cNvPicPr/>
                  </pic:nvPicPr>
                  <pic:blipFill>
                    <a:blip r:embed="rId11"/>
                    <a:stretch>
                      <a:fillRect/>
                    </a:stretch>
                  </pic:blipFill>
                  <pic:spPr>
                    <a:xfrm>
                      <a:off x="0" y="0"/>
                      <a:ext cx="5877745" cy="3057952"/>
                    </a:xfrm>
                    <a:prstGeom prst="rect">
                      <a:avLst/>
                    </a:prstGeom>
                  </pic:spPr>
                </pic:pic>
              </a:graphicData>
            </a:graphic>
          </wp:inline>
        </w:drawing>
      </w:r>
    </w:p>
    <w:p w14:paraId="74601D42" w14:textId="4E5FA0BA" w:rsidR="002731C7" w:rsidRPr="002731C7" w:rsidRDefault="000C47DB" w:rsidP="00607DB7">
      <w:pPr>
        <w:spacing w:line="360" w:lineRule="auto"/>
      </w:pPr>
      <w:r w:rsidRPr="000C47DB">
        <w:t xml:space="preserve">The working capital management issues are enormous as indicated by the measures of operational efficiency. Inventory turnover was reduced to 2.83 times (2023) compared to 3.64 times (2020) and inventory holding extended to 129 days, which implies obsolescence and capital invested in slow moving inventory. The collection of the receivables was </w:t>
      </w:r>
      <w:r w:rsidR="00E50182" w:rsidRPr="000C47DB">
        <w:t>disastrous,</w:t>
      </w:r>
      <w:r w:rsidRPr="000C47DB">
        <w:t xml:space="preserve"> and it went up to 106 days (2024) (previously 77 days (2020)) indicating a lack of control over credit or financial crisis amongst customers</w:t>
      </w:r>
      <w:r w:rsidR="00011A07">
        <w:t xml:space="preserve"> </w:t>
      </w:r>
      <w:r w:rsidR="00011A07" w:rsidRPr="00011A07">
        <w:t>(Li, 2023)</w:t>
      </w:r>
      <w:r w:rsidRPr="000C47DB">
        <w:t xml:space="preserve">. The payables days were not trending well (64-94 days), which might have put strain on the relations with suppliers. The cash operating cycle (Inventory Days + Receivables Days - Payables Days) has grown significantly and drained the working capital. Asset turnover was relatively constant at 1.2 times, showing that assets are used reasonably, even in the face of decreasing revenues, but there is a need to see </w:t>
      </w:r>
      <w:r w:rsidR="00E50182" w:rsidRPr="000C47DB">
        <w:t>absolute</w:t>
      </w:r>
      <w:r w:rsidRPr="000C47DB">
        <w:t xml:space="preserve"> efficiency increases</w:t>
      </w:r>
      <w:r w:rsidR="00E50182">
        <w:t xml:space="preserve"> </w:t>
      </w:r>
      <w:r w:rsidR="00E50182" w:rsidRPr="00E50182">
        <w:t>(</w:t>
      </w:r>
      <w:proofErr w:type="spellStart"/>
      <w:r w:rsidR="00E50182" w:rsidRPr="00E50182">
        <w:t>Fadillah</w:t>
      </w:r>
      <w:proofErr w:type="spellEnd"/>
      <w:r w:rsidR="00E50182" w:rsidRPr="00E50182">
        <w:t xml:space="preserve"> et al., 2024)</w:t>
      </w:r>
      <w:r w:rsidRPr="000C47DB">
        <w:t>.</w:t>
      </w:r>
    </w:p>
    <w:p w14:paraId="264F6829" w14:textId="77777777" w:rsidR="002731C7" w:rsidRPr="002731C7" w:rsidRDefault="002731C7" w:rsidP="00607DB7">
      <w:pPr>
        <w:pStyle w:val="Heading2"/>
        <w:spacing w:line="360" w:lineRule="auto"/>
        <w:jc w:val="both"/>
      </w:pPr>
      <w:bookmarkStart w:id="5" w:name="_Toc213234335"/>
      <w:r w:rsidRPr="002731C7">
        <w:rPr>
          <w:rFonts w:eastAsiaTheme="majorEastAsia"/>
        </w:rPr>
        <w:lastRenderedPageBreak/>
        <w:t>1.4 Gearing and Investment Ratio Analysis</w:t>
      </w:r>
      <w:bookmarkEnd w:id="5"/>
    </w:p>
    <w:p w14:paraId="4F5BB80C" w14:textId="77777777" w:rsidR="002731C7" w:rsidRPr="002731C7" w:rsidRDefault="002731C7" w:rsidP="00607DB7">
      <w:pPr>
        <w:spacing w:line="360" w:lineRule="auto"/>
      </w:pPr>
      <w:r w:rsidRPr="002731C7">
        <w:t>Table 4: Gearing and Investment Ratios (2020-2024)</w:t>
      </w:r>
    </w:p>
    <w:p w14:paraId="796E9836" w14:textId="4C3030EC" w:rsidR="00303211" w:rsidRDefault="00303211" w:rsidP="00607DB7">
      <w:pPr>
        <w:spacing w:line="360" w:lineRule="auto"/>
      </w:pPr>
      <w:r w:rsidRPr="00303211">
        <w:rPr>
          <w:noProof/>
        </w:rPr>
        <w:drawing>
          <wp:inline distT="0" distB="0" distL="0" distR="0" wp14:anchorId="0224503C" wp14:editId="27D18F65">
            <wp:extent cx="5943600" cy="920750"/>
            <wp:effectExtent l="0" t="0" r="0" b="0"/>
            <wp:docPr id="16985416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920750"/>
                    </a:xfrm>
                    <a:prstGeom prst="rect">
                      <a:avLst/>
                    </a:prstGeom>
                    <a:noFill/>
                    <a:ln>
                      <a:noFill/>
                    </a:ln>
                  </pic:spPr>
                </pic:pic>
              </a:graphicData>
            </a:graphic>
          </wp:inline>
        </w:drawing>
      </w:r>
    </w:p>
    <w:p w14:paraId="62A1B3B7" w14:textId="6299A09C" w:rsidR="00EC6B62" w:rsidRDefault="00EC6B62" w:rsidP="00607DB7">
      <w:pPr>
        <w:spacing w:line="360" w:lineRule="auto"/>
      </w:pPr>
      <w:r>
        <w:rPr>
          <w:noProof/>
        </w:rPr>
        <w:drawing>
          <wp:inline distT="0" distB="0" distL="0" distR="0" wp14:anchorId="3AB36D18" wp14:editId="784BAA73">
            <wp:extent cx="4884355" cy="3035300"/>
            <wp:effectExtent l="0" t="0" r="0" b="0"/>
            <wp:docPr id="1707018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3721" cy="3041120"/>
                    </a:xfrm>
                    <a:prstGeom prst="rect">
                      <a:avLst/>
                    </a:prstGeom>
                    <a:noFill/>
                  </pic:spPr>
                </pic:pic>
              </a:graphicData>
            </a:graphic>
          </wp:inline>
        </w:drawing>
      </w:r>
    </w:p>
    <w:p w14:paraId="56AB798D" w14:textId="16D41E79" w:rsidR="002731C7" w:rsidRPr="002731C7" w:rsidRDefault="000C47DB" w:rsidP="00607DB7">
      <w:pPr>
        <w:spacing w:line="360" w:lineRule="auto"/>
      </w:pPr>
      <w:r w:rsidRPr="000C47DB">
        <w:t>Gearing ratios represent growing financial distress and untenable capital structure. Debts to equity ratios multiplied by six times as 0.06 (2020) was transformed into 0.33 (2022), which reflected aggressive short-term borrowing to finance the gaps in operations</w:t>
      </w:r>
      <w:r w:rsidR="00011A07">
        <w:t xml:space="preserve"> </w:t>
      </w:r>
      <w:r w:rsidR="00011A07" w:rsidRPr="00011A07">
        <w:t>(</w:t>
      </w:r>
      <w:proofErr w:type="spellStart"/>
      <w:r w:rsidR="00011A07" w:rsidRPr="00011A07">
        <w:t>Arhinful</w:t>
      </w:r>
      <w:proofErr w:type="spellEnd"/>
      <w:r w:rsidR="00011A07" w:rsidRPr="00011A07">
        <w:t xml:space="preserve"> and Radmehr, 2023)</w:t>
      </w:r>
      <w:r w:rsidRPr="000C47DB">
        <w:t xml:space="preserve">. Worse still, the interest coverage ratio declined to unhealthy levels of -19.69 times (2023) instead of being healthy of 26-41 times (2020-2021) which means that the company </w:t>
      </w:r>
      <w:r w:rsidR="00011A07" w:rsidRPr="000C47DB">
        <w:t>cannot</w:t>
      </w:r>
      <w:r w:rsidRPr="000C47DB">
        <w:t xml:space="preserve"> cover its debts through its operations. EPS fell to bits of -7.64 (2023) and 2.78 (2020), which is an utter decimation of shareholder value. The financial leverage of the company, coupled with operating negative profitability, places it at the risk of a dangerous debt-spiral situation, since the cost of borrowing is higher than the cost of doing operations, which will put it at risk of insolvency and cause creditors to lose confidence in it</w:t>
      </w:r>
      <w:r w:rsidR="00011A07">
        <w:t xml:space="preserve"> </w:t>
      </w:r>
      <w:r w:rsidR="00011A07" w:rsidRPr="00011A07">
        <w:t>(</w:t>
      </w:r>
      <w:proofErr w:type="spellStart"/>
      <w:r w:rsidR="00011A07" w:rsidRPr="00011A07">
        <w:t>Arhinful</w:t>
      </w:r>
      <w:proofErr w:type="spellEnd"/>
      <w:r w:rsidR="00011A07" w:rsidRPr="00011A07">
        <w:t xml:space="preserve"> and Radmehr, 2023)</w:t>
      </w:r>
      <w:r w:rsidRPr="000C47DB">
        <w:t>.</w:t>
      </w:r>
    </w:p>
    <w:p w14:paraId="0B62EF77" w14:textId="77777777" w:rsidR="002731C7" w:rsidRPr="002731C7" w:rsidRDefault="002731C7" w:rsidP="00607DB7">
      <w:pPr>
        <w:pStyle w:val="Heading2"/>
        <w:spacing w:line="360" w:lineRule="auto"/>
        <w:jc w:val="both"/>
      </w:pPr>
      <w:bookmarkStart w:id="6" w:name="_Toc213234336"/>
      <w:r w:rsidRPr="002731C7">
        <w:rPr>
          <w:rFonts w:eastAsiaTheme="majorEastAsia"/>
        </w:rPr>
        <w:lastRenderedPageBreak/>
        <w:t>1.5 Altman Z-Score Analysis</w:t>
      </w:r>
      <w:bookmarkEnd w:id="6"/>
    </w:p>
    <w:p w14:paraId="6D896884" w14:textId="77777777" w:rsidR="002731C7" w:rsidRPr="002731C7" w:rsidRDefault="002731C7" w:rsidP="00607DB7">
      <w:pPr>
        <w:spacing w:line="360" w:lineRule="auto"/>
      </w:pPr>
      <w:r w:rsidRPr="002731C7">
        <w:t>Table 5: Altman Z-Score Calculation (2024)</w:t>
      </w:r>
    </w:p>
    <w:tbl>
      <w:tblPr>
        <w:tblStyle w:val="GridTable4-Accent5"/>
        <w:tblW w:w="0" w:type="auto"/>
        <w:tblLook w:val="04A0" w:firstRow="1" w:lastRow="0" w:firstColumn="1" w:lastColumn="0" w:noHBand="0" w:noVBand="1"/>
      </w:tblPr>
      <w:tblGrid>
        <w:gridCol w:w="1550"/>
        <w:gridCol w:w="2412"/>
        <w:gridCol w:w="4521"/>
        <w:gridCol w:w="867"/>
      </w:tblGrid>
      <w:tr w:rsidR="002731C7" w:rsidRPr="002731C7" w14:paraId="4E7FC8C6" w14:textId="77777777" w:rsidTr="00171E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B8A50" w14:textId="77777777" w:rsidR="002731C7" w:rsidRPr="002731C7" w:rsidRDefault="002731C7" w:rsidP="00607DB7">
            <w:pPr>
              <w:spacing w:line="360" w:lineRule="auto"/>
            </w:pPr>
            <w:r w:rsidRPr="002731C7">
              <w:t>Component</w:t>
            </w:r>
          </w:p>
        </w:tc>
        <w:tc>
          <w:tcPr>
            <w:tcW w:w="0" w:type="auto"/>
            <w:hideMark/>
          </w:tcPr>
          <w:p w14:paraId="5D75EA5D" w14:textId="77777777" w:rsidR="002731C7" w:rsidRPr="002731C7" w:rsidRDefault="002731C7" w:rsidP="00607DB7">
            <w:pPr>
              <w:spacing w:line="360" w:lineRule="auto"/>
              <w:cnfStyle w:val="100000000000" w:firstRow="1" w:lastRow="0" w:firstColumn="0" w:lastColumn="0" w:oddVBand="0" w:evenVBand="0" w:oddHBand="0" w:evenHBand="0" w:firstRowFirstColumn="0" w:firstRowLastColumn="0" w:lastRowFirstColumn="0" w:lastRowLastColumn="0"/>
            </w:pPr>
            <w:r w:rsidRPr="002731C7">
              <w:t>Formula</w:t>
            </w:r>
          </w:p>
        </w:tc>
        <w:tc>
          <w:tcPr>
            <w:tcW w:w="0" w:type="auto"/>
            <w:hideMark/>
          </w:tcPr>
          <w:p w14:paraId="0FACE0AF" w14:textId="77777777" w:rsidR="002731C7" w:rsidRPr="002731C7" w:rsidRDefault="002731C7" w:rsidP="00607DB7">
            <w:pPr>
              <w:spacing w:line="360" w:lineRule="auto"/>
              <w:cnfStyle w:val="100000000000" w:firstRow="1" w:lastRow="0" w:firstColumn="0" w:lastColumn="0" w:oddVBand="0" w:evenVBand="0" w:oddHBand="0" w:evenHBand="0" w:firstRowFirstColumn="0" w:firstRowLastColumn="0" w:lastRowFirstColumn="0" w:lastRowLastColumn="0"/>
            </w:pPr>
            <w:r w:rsidRPr="002731C7">
              <w:t>Calculation</w:t>
            </w:r>
          </w:p>
        </w:tc>
        <w:tc>
          <w:tcPr>
            <w:tcW w:w="0" w:type="auto"/>
            <w:hideMark/>
          </w:tcPr>
          <w:p w14:paraId="76344674" w14:textId="77777777" w:rsidR="002731C7" w:rsidRPr="002731C7" w:rsidRDefault="002731C7" w:rsidP="00607DB7">
            <w:pPr>
              <w:spacing w:line="360" w:lineRule="auto"/>
              <w:cnfStyle w:val="100000000000" w:firstRow="1" w:lastRow="0" w:firstColumn="0" w:lastColumn="0" w:oddVBand="0" w:evenVBand="0" w:oddHBand="0" w:evenHBand="0" w:firstRowFirstColumn="0" w:firstRowLastColumn="0" w:lastRowFirstColumn="0" w:lastRowLastColumn="0"/>
            </w:pPr>
            <w:r w:rsidRPr="002731C7">
              <w:t>Value</w:t>
            </w:r>
          </w:p>
        </w:tc>
      </w:tr>
      <w:tr w:rsidR="002731C7" w:rsidRPr="002731C7" w14:paraId="576C9F88" w14:textId="77777777" w:rsidTr="00171E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63EDB" w14:textId="77777777" w:rsidR="002731C7" w:rsidRPr="002731C7" w:rsidRDefault="002731C7" w:rsidP="00607DB7">
            <w:pPr>
              <w:spacing w:line="360" w:lineRule="auto"/>
            </w:pPr>
            <w:r w:rsidRPr="002731C7">
              <w:t>X₁</w:t>
            </w:r>
          </w:p>
        </w:tc>
        <w:tc>
          <w:tcPr>
            <w:tcW w:w="0" w:type="auto"/>
            <w:hideMark/>
          </w:tcPr>
          <w:p w14:paraId="7CE612C0"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Working Capital/Total Assets</w:t>
            </w:r>
          </w:p>
        </w:tc>
        <w:tc>
          <w:tcPr>
            <w:tcW w:w="0" w:type="auto"/>
            <w:hideMark/>
          </w:tcPr>
          <w:p w14:paraId="216A3C9F"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(242,494-158,291)/323,354</w:t>
            </w:r>
          </w:p>
        </w:tc>
        <w:tc>
          <w:tcPr>
            <w:tcW w:w="0" w:type="auto"/>
            <w:hideMark/>
          </w:tcPr>
          <w:p w14:paraId="03A476C2"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0.260</w:t>
            </w:r>
          </w:p>
        </w:tc>
      </w:tr>
      <w:tr w:rsidR="002731C7" w:rsidRPr="002731C7" w14:paraId="262A5633" w14:textId="77777777" w:rsidTr="00171E1F">
        <w:tc>
          <w:tcPr>
            <w:cnfStyle w:val="001000000000" w:firstRow="0" w:lastRow="0" w:firstColumn="1" w:lastColumn="0" w:oddVBand="0" w:evenVBand="0" w:oddHBand="0" w:evenHBand="0" w:firstRowFirstColumn="0" w:firstRowLastColumn="0" w:lastRowFirstColumn="0" w:lastRowLastColumn="0"/>
            <w:tcW w:w="0" w:type="auto"/>
            <w:hideMark/>
          </w:tcPr>
          <w:p w14:paraId="7D3100F0" w14:textId="77777777" w:rsidR="002731C7" w:rsidRPr="002731C7" w:rsidRDefault="002731C7" w:rsidP="00607DB7">
            <w:pPr>
              <w:spacing w:line="360" w:lineRule="auto"/>
            </w:pPr>
            <w:r w:rsidRPr="002731C7">
              <w:t>X₂</w:t>
            </w:r>
          </w:p>
        </w:tc>
        <w:tc>
          <w:tcPr>
            <w:tcW w:w="0" w:type="auto"/>
            <w:hideMark/>
          </w:tcPr>
          <w:p w14:paraId="5BFE03E7"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Retained Earnings/Total Assets</w:t>
            </w:r>
          </w:p>
        </w:tc>
        <w:tc>
          <w:tcPr>
            <w:tcW w:w="0" w:type="auto"/>
            <w:hideMark/>
          </w:tcPr>
          <w:p w14:paraId="3AE8938E"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208,431/323,354</w:t>
            </w:r>
          </w:p>
        </w:tc>
        <w:tc>
          <w:tcPr>
            <w:tcW w:w="0" w:type="auto"/>
            <w:hideMark/>
          </w:tcPr>
          <w:p w14:paraId="077171E0"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0.645</w:t>
            </w:r>
          </w:p>
        </w:tc>
      </w:tr>
      <w:tr w:rsidR="002731C7" w:rsidRPr="002731C7" w14:paraId="29FCFC66" w14:textId="77777777" w:rsidTr="00171E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39A25E" w14:textId="77777777" w:rsidR="002731C7" w:rsidRPr="002731C7" w:rsidRDefault="002731C7" w:rsidP="00607DB7">
            <w:pPr>
              <w:spacing w:line="360" w:lineRule="auto"/>
            </w:pPr>
            <w:r w:rsidRPr="002731C7">
              <w:t>X₃</w:t>
            </w:r>
          </w:p>
        </w:tc>
        <w:tc>
          <w:tcPr>
            <w:tcW w:w="0" w:type="auto"/>
            <w:hideMark/>
          </w:tcPr>
          <w:p w14:paraId="5B16C0B2"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EBIT/Total Assets</w:t>
            </w:r>
          </w:p>
        </w:tc>
        <w:tc>
          <w:tcPr>
            <w:tcW w:w="0" w:type="auto"/>
            <w:hideMark/>
          </w:tcPr>
          <w:p w14:paraId="12EB509F"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-15,297/323,354</w:t>
            </w:r>
          </w:p>
        </w:tc>
        <w:tc>
          <w:tcPr>
            <w:tcW w:w="0" w:type="auto"/>
            <w:hideMark/>
          </w:tcPr>
          <w:p w14:paraId="6880A313"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-0.047</w:t>
            </w:r>
          </w:p>
        </w:tc>
      </w:tr>
      <w:tr w:rsidR="002731C7" w:rsidRPr="002731C7" w14:paraId="00C2F59C" w14:textId="77777777" w:rsidTr="00171E1F">
        <w:tc>
          <w:tcPr>
            <w:cnfStyle w:val="001000000000" w:firstRow="0" w:lastRow="0" w:firstColumn="1" w:lastColumn="0" w:oddVBand="0" w:evenVBand="0" w:oddHBand="0" w:evenHBand="0" w:firstRowFirstColumn="0" w:firstRowLastColumn="0" w:lastRowFirstColumn="0" w:lastRowLastColumn="0"/>
            <w:tcW w:w="0" w:type="auto"/>
            <w:hideMark/>
          </w:tcPr>
          <w:p w14:paraId="696BAF7E" w14:textId="77777777" w:rsidR="002731C7" w:rsidRPr="002731C7" w:rsidRDefault="002731C7" w:rsidP="00607DB7">
            <w:pPr>
              <w:spacing w:line="360" w:lineRule="auto"/>
            </w:pPr>
            <w:r w:rsidRPr="002731C7">
              <w:t>X₄</w:t>
            </w:r>
          </w:p>
        </w:tc>
        <w:tc>
          <w:tcPr>
            <w:tcW w:w="0" w:type="auto"/>
            <w:hideMark/>
          </w:tcPr>
          <w:p w14:paraId="633857D4"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Market Value Equity/Total Liabilities</w:t>
            </w:r>
          </w:p>
        </w:tc>
        <w:tc>
          <w:tcPr>
            <w:tcW w:w="0" w:type="auto"/>
            <w:hideMark/>
          </w:tcPr>
          <w:p w14:paraId="038E3ECE"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153,105/170,249</w:t>
            </w:r>
          </w:p>
        </w:tc>
        <w:tc>
          <w:tcPr>
            <w:tcW w:w="0" w:type="auto"/>
            <w:hideMark/>
          </w:tcPr>
          <w:p w14:paraId="030C0FB3"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t>0.899</w:t>
            </w:r>
          </w:p>
        </w:tc>
      </w:tr>
      <w:tr w:rsidR="002731C7" w:rsidRPr="002731C7" w14:paraId="728D0267" w14:textId="77777777" w:rsidTr="00171E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52243" w14:textId="77777777" w:rsidR="002731C7" w:rsidRPr="002731C7" w:rsidRDefault="002731C7" w:rsidP="00607DB7">
            <w:pPr>
              <w:spacing w:line="360" w:lineRule="auto"/>
            </w:pPr>
            <w:r w:rsidRPr="002731C7">
              <w:t>X₅</w:t>
            </w:r>
          </w:p>
        </w:tc>
        <w:tc>
          <w:tcPr>
            <w:tcW w:w="0" w:type="auto"/>
            <w:hideMark/>
          </w:tcPr>
          <w:p w14:paraId="271044D8"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Sales/Total Assets</w:t>
            </w:r>
          </w:p>
        </w:tc>
        <w:tc>
          <w:tcPr>
            <w:tcW w:w="0" w:type="auto"/>
            <w:hideMark/>
          </w:tcPr>
          <w:p w14:paraId="362DD767"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394,879/323,354</w:t>
            </w:r>
          </w:p>
        </w:tc>
        <w:tc>
          <w:tcPr>
            <w:tcW w:w="0" w:type="auto"/>
            <w:hideMark/>
          </w:tcPr>
          <w:p w14:paraId="17AD6875" w14:textId="77777777" w:rsidR="002731C7" w:rsidRPr="002731C7" w:rsidRDefault="002731C7" w:rsidP="00607DB7">
            <w:pPr>
              <w:spacing w:line="360" w:lineRule="auto"/>
              <w:cnfStyle w:val="000000100000" w:firstRow="0" w:lastRow="0" w:firstColumn="0" w:lastColumn="0" w:oddVBand="0" w:evenVBand="0" w:oddHBand="1" w:evenHBand="0" w:firstRowFirstColumn="0" w:firstRowLastColumn="0" w:lastRowFirstColumn="0" w:lastRowLastColumn="0"/>
            </w:pPr>
            <w:r w:rsidRPr="002731C7">
              <w:t>1.221</w:t>
            </w:r>
          </w:p>
        </w:tc>
      </w:tr>
      <w:tr w:rsidR="002731C7" w:rsidRPr="002731C7" w14:paraId="7B57CB8A" w14:textId="77777777" w:rsidTr="00171E1F">
        <w:tc>
          <w:tcPr>
            <w:cnfStyle w:val="001000000000" w:firstRow="0" w:lastRow="0" w:firstColumn="1" w:lastColumn="0" w:oddVBand="0" w:evenVBand="0" w:oddHBand="0" w:evenHBand="0" w:firstRowFirstColumn="0" w:firstRowLastColumn="0" w:lastRowFirstColumn="0" w:lastRowLastColumn="0"/>
            <w:tcW w:w="0" w:type="auto"/>
            <w:hideMark/>
          </w:tcPr>
          <w:p w14:paraId="26A22893" w14:textId="77777777" w:rsidR="002731C7" w:rsidRPr="002731C7" w:rsidRDefault="002731C7" w:rsidP="00607DB7">
            <w:pPr>
              <w:spacing w:line="360" w:lineRule="auto"/>
            </w:pPr>
            <w:r w:rsidRPr="002731C7">
              <w:t>Z-Score</w:t>
            </w:r>
          </w:p>
        </w:tc>
        <w:tc>
          <w:tcPr>
            <w:tcW w:w="0" w:type="auto"/>
            <w:hideMark/>
          </w:tcPr>
          <w:p w14:paraId="35FB4C52"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rPr>
                <w:b/>
                <w:bCs/>
              </w:rPr>
              <w:t>1.2X₁ + 1.4X₂ + 3.3X₃ + 0.6X₄ + 1.0X₅</w:t>
            </w:r>
          </w:p>
        </w:tc>
        <w:tc>
          <w:tcPr>
            <w:tcW w:w="0" w:type="auto"/>
            <w:hideMark/>
          </w:tcPr>
          <w:p w14:paraId="04ABB31E"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rPr>
                <w:b/>
                <w:bCs/>
              </w:rPr>
              <w:t>(1.2×0.</w:t>
            </w:r>
            <w:proofErr w:type="gramStart"/>
            <w:r w:rsidRPr="002731C7">
              <w:rPr>
                <w:b/>
                <w:bCs/>
              </w:rPr>
              <w:t>260)+(</w:t>
            </w:r>
            <w:proofErr w:type="gramEnd"/>
            <w:r w:rsidRPr="002731C7">
              <w:rPr>
                <w:b/>
                <w:bCs/>
              </w:rPr>
              <w:t>1.4×0.</w:t>
            </w:r>
            <w:proofErr w:type="gramStart"/>
            <w:r w:rsidRPr="002731C7">
              <w:rPr>
                <w:b/>
                <w:bCs/>
              </w:rPr>
              <w:t>645)+(</w:t>
            </w:r>
            <w:proofErr w:type="gramEnd"/>
            <w:r w:rsidRPr="002731C7">
              <w:rPr>
                <w:b/>
                <w:bCs/>
              </w:rPr>
              <w:t>3.3×-0.</w:t>
            </w:r>
            <w:proofErr w:type="gramStart"/>
            <w:r w:rsidRPr="002731C7">
              <w:rPr>
                <w:b/>
                <w:bCs/>
              </w:rPr>
              <w:t>047)+(</w:t>
            </w:r>
            <w:proofErr w:type="gramEnd"/>
            <w:r w:rsidRPr="002731C7">
              <w:rPr>
                <w:b/>
                <w:bCs/>
              </w:rPr>
              <w:t>0.6×0.</w:t>
            </w:r>
            <w:proofErr w:type="gramStart"/>
            <w:r w:rsidRPr="002731C7">
              <w:rPr>
                <w:b/>
                <w:bCs/>
              </w:rPr>
              <w:t>899)+(</w:t>
            </w:r>
            <w:proofErr w:type="gramEnd"/>
            <w:r w:rsidRPr="002731C7">
              <w:rPr>
                <w:b/>
                <w:bCs/>
              </w:rPr>
              <w:t>1.0×1.221)</w:t>
            </w:r>
          </w:p>
        </w:tc>
        <w:tc>
          <w:tcPr>
            <w:tcW w:w="0" w:type="auto"/>
            <w:hideMark/>
          </w:tcPr>
          <w:p w14:paraId="4A034AC2" w14:textId="77777777" w:rsidR="002731C7" w:rsidRPr="002731C7" w:rsidRDefault="002731C7" w:rsidP="00607DB7">
            <w:pPr>
              <w:spacing w:line="360" w:lineRule="auto"/>
              <w:cnfStyle w:val="000000000000" w:firstRow="0" w:lastRow="0" w:firstColumn="0" w:lastColumn="0" w:oddVBand="0" w:evenVBand="0" w:oddHBand="0" w:evenHBand="0" w:firstRowFirstColumn="0" w:firstRowLastColumn="0" w:lastRowFirstColumn="0" w:lastRowLastColumn="0"/>
            </w:pPr>
            <w:r w:rsidRPr="002731C7">
              <w:rPr>
                <w:b/>
                <w:bCs/>
              </w:rPr>
              <w:t>2.39</w:t>
            </w:r>
          </w:p>
        </w:tc>
      </w:tr>
    </w:tbl>
    <w:p w14:paraId="72286FE1" w14:textId="3051A1B8" w:rsidR="002731C7" w:rsidRPr="002731C7" w:rsidRDefault="000C47DB" w:rsidP="00607DB7">
      <w:pPr>
        <w:spacing w:line="360" w:lineRule="auto"/>
      </w:pPr>
      <w:r w:rsidRPr="000C47DB">
        <w:t>The Altman Z-Score of 2.39 puts General Electronics in the grey zone (1.8-3.0) which is a moderate risk of distress and unstable financial position. Although slightly over the critical distress threshold 1.8 the score indicates acute operational weaknesses, especially negative EBIT contribution. The retained earnings component offers a certain cushion, which shows the accumulation of profits in the past</w:t>
      </w:r>
      <w:r w:rsidR="00011A07">
        <w:t xml:space="preserve"> </w:t>
      </w:r>
      <w:r w:rsidR="00011A07" w:rsidRPr="00011A07">
        <w:t>(Altman, 2018)</w:t>
      </w:r>
      <w:r w:rsidRPr="000C47DB">
        <w:t>. Nevertheless, the weakening of the operational performance, chronic losses, and weak liquidity standings indicate imminent migration to the distress zone unless the corrective measures are taken drastically. This predictive model confirms the experienced financial decline and requires immediate overall reorganization to avoid the corporate collapse and revives financial health in the context of competitive forces in the industry</w:t>
      </w:r>
      <w:r w:rsidR="00011A07">
        <w:t xml:space="preserve"> </w:t>
      </w:r>
      <w:r w:rsidR="00011A07" w:rsidRPr="00011A07">
        <w:t>(Altman, 2018)</w:t>
      </w:r>
      <w:r w:rsidRPr="000C47DB">
        <w:t>.</w:t>
      </w:r>
    </w:p>
    <w:p w14:paraId="414807F4" w14:textId="77777777" w:rsidR="001E5B83" w:rsidRPr="001E5B83" w:rsidRDefault="001E5B83" w:rsidP="00607DB7">
      <w:pPr>
        <w:pStyle w:val="Heading1"/>
      </w:pPr>
      <w:bookmarkStart w:id="7" w:name="_Toc213234337"/>
      <w:r w:rsidRPr="001E5B83">
        <w:lastRenderedPageBreak/>
        <w:t>2. Working Capital Management Analysis</w:t>
      </w:r>
      <w:bookmarkEnd w:id="7"/>
    </w:p>
    <w:p w14:paraId="0365F808" w14:textId="77777777" w:rsidR="001E5B83" w:rsidRPr="001E5B83" w:rsidRDefault="001E5B83" w:rsidP="00607DB7">
      <w:pPr>
        <w:pStyle w:val="Heading2"/>
        <w:spacing w:line="360" w:lineRule="auto"/>
        <w:jc w:val="both"/>
      </w:pPr>
      <w:bookmarkStart w:id="8" w:name="_Toc213234338"/>
      <w:r w:rsidRPr="001E5B83">
        <w:rPr>
          <w:rFonts w:eastAsiaTheme="majorEastAsia"/>
        </w:rPr>
        <w:t>2.1 Cash Operating Cycle Assessment</w:t>
      </w:r>
      <w:bookmarkEnd w:id="8"/>
    </w:p>
    <w:p w14:paraId="79E8FCF5" w14:textId="77777777" w:rsidR="001E5B83" w:rsidRPr="001E5B83" w:rsidRDefault="001E5B83" w:rsidP="00607DB7">
      <w:pPr>
        <w:spacing w:line="360" w:lineRule="auto"/>
      </w:pPr>
      <w:r w:rsidRPr="001E5B83">
        <w:t>Table 6: Cash Operating Cycle Components (2020-2024)</w:t>
      </w:r>
    </w:p>
    <w:tbl>
      <w:tblPr>
        <w:tblW w:w="0" w:type="auto"/>
        <w:tblLook w:val="04A0" w:firstRow="1" w:lastRow="0" w:firstColumn="1" w:lastColumn="0" w:noHBand="0" w:noVBand="1"/>
      </w:tblPr>
      <w:tblGrid>
        <w:gridCol w:w="1330"/>
        <w:gridCol w:w="980"/>
        <w:gridCol w:w="1408"/>
        <w:gridCol w:w="1408"/>
        <w:gridCol w:w="1408"/>
        <w:gridCol w:w="1408"/>
        <w:gridCol w:w="1408"/>
      </w:tblGrid>
      <w:tr w:rsidR="00171E1F" w:rsidRPr="00171E1F" w14:paraId="69553363" w14:textId="77777777" w:rsidTr="00171E1F">
        <w:trPr>
          <w:trHeight w:val="290"/>
        </w:trPr>
        <w:tc>
          <w:tcPr>
            <w:tcW w:w="0" w:type="auto"/>
            <w:tcBorders>
              <w:top w:val="single" w:sz="4" w:space="0" w:color="F1A983"/>
              <w:left w:val="single" w:sz="4" w:space="0" w:color="F1A983"/>
              <w:bottom w:val="single" w:sz="4" w:space="0" w:color="F1A983"/>
              <w:right w:val="nil"/>
            </w:tcBorders>
            <w:shd w:val="clear" w:color="E97132" w:fill="E97132"/>
            <w:noWrap/>
            <w:vAlign w:val="bottom"/>
            <w:hideMark/>
          </w:tcPr>
          <w:p w14:paraId="5E372685"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Component</w:t>
            </w:r>
          </w:p>
        </w:tc>
        <w:tc>
          <w:tcPr>
            <w:tcW w:w="0" w:type="auto"/>
            <w:tcBorders>
              <w:top w:val="single" w:sz="4" w:space="0" w:color="F1A983"/>
              <w:left w:val="nil"/>
              <w:bottom w:val="single" w:sz="4" w:space="0" w:color="F1A983"/>
              <w:right w:val="nil"/>
            </w:tcBorders>
            <w:shd w:val="clear" w:color="E97132" w:fill="E97132"/>
            <w:vAlign w:val="bottom"/>
            <w:hideMark/>
          </w:tcPr>
          <w:p w14:paraId="04CD96C2"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Formula</w:t>
            </w:r>
          </w:p>
        </w:tc>
        <w:tc>
          <w:tcPr>
            <w:tcW w:w="0" w:type="auto"/>
            <w:tcBorders>
              <w:top w:val="single" w:sz="4" w:space="0" w:color="F1A983"/>
              <w:left w:val="nil"/>
              <w:bottom w:val="single" w:sz="4" w:space="0" w:color="F1A983"/>
              <w:right w:val="nil"/>
            </w:tcBorders>
            <w:shd w:val="clear" w:color="E97132" w:fill="E97132"/>
            <w:vAlign w:val="bottom"/>
            <w:hideMark/>
          </w:tcPr>
          <w:p w14:paraId="5E1D4D2B"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2024</w:t>
            </w:r>
          </w:p>
        </w:tc>
        <w:tc>
          <w:tcPr>
            <w:tcW w:w="0" w:type="auto"/>
            <w:tcBorders>
              <w:top w:val="single" w:sz="4" w:space="0" w:color="F1A983"/>
              <w:left w:val="nil"/>
              <w:bottom w:val="single" w:sz="4" w:space="0" w:color="F1A983"/>
              <w:right w:val="nil"/>
            </w:tcBorders>
            <w:shd w:val="clear" w:color="E97132" w:fill="E97132"/>
            <w:vAlign w:val="bottom"/>
            <w:hideMark/>
          </w:tcPr>
          <w:p w14:paraId="25264968"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2023</w:t>
            </w:r>
          </w:p>
        </w:tc>
        <w:tc>
          <w:tcPr>
            <w:tcW w:w="0" w:type="auto"/>
            <w:tcBorders>
              <w:top w:val="single" w:sz="4" w:space="0" w:color="F1A983"/>
              <w:left w:val="nil"/>
              <w:bottom w:val="single" w:sz="4" w:space="0" w:color="F1A983"/>
              <w:right w:val="nil"/>
            </w:tcBorders>
            <w:shd w:val="clear" w:color="E97132" w:fill="E97132"/>
            <w:vAlign w:val="bottom"/>
            <w:hideMark/>
          </w:tcPr>
          <w:p w14:paraId="48DAEC01"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2022</w:t>
            </w:r>
          </w:p>
        </w:tc>
        <w:tc>
          <w:tcPr>
            <w:tcW w:w="0" w:type="auto"/>
            <w:tcBorders>
              <w:top w:val="single" w:sz="4" w:space="0" w:color="F1A983"/>
              <w:left w:val="nil"/>
              <w:bottom w:val="single" w:sz="4" w:space="0" w:color="F1A983"/>
              <w:right w:val="nil"/>
            </w:tcBorders>
            <w:shd w:val="clear" w:color="E97132" w:fill="E97132"/>
            <w:vAlign w:val="bottom"/>
            <w:hideMark/>
          </w:tcPr>
          <w:p w14:paraId="119CB84F"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2021</w:t>
            </w:r>
          </w:p>
        </w:tc>
        <w:tc>
          <w:tcPr>
            <w:tcW w:w="0" w:type="auto"/>
            <w:tcBorders>
              <w:top w:val="single" w:sz="4" w:space="0" w:color="F1A983"/>
              <w:left w:val="nil"/>
              <w:bottom w:val="single" w:sz="4" w:space="0" w:color="F1A983"/>
              <w:right w:val="single" w:sz="4" w:space="0" w:color="F1A983"/>
            </w:tcBorders>
            <w:shd w:val="clear" w:color="E97132" w:fill="E97132"/>
            <w:vAlign w:val="bottom"/>
            <w:hideMark/>
          </w:tcPr>
          <w:p w14:paraId="44576F4A"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2020</w:t>
            </w:r>
          </w:p>
        </w:tc>
      </w:tr>
      <w:tr w:rsidR="00171E1F" w:rsidRPr="00171E1F" w14:paraId="5103C3D8" w14:textId="77777777" w:rsidTr="00171E1F">
        <w:trPr>
          <w:trHeight w:val="870"/>
        </w:trPr>
        <w:tc>
          <w:tcPr>
            <w:tcW w:w="0" w:type="auto"/>
            <w:tcBorders>
              <w:top w:val="single" w:sz="4" w:space="0" w:color="F1A983"/>
              <w:left w:val="single" w:sz="4" w:space="0" w:color="F1A983"/>
              <w:bottom w:val="single" w:sz="4" w:space="0" w:color="F1A983"/>
              <w:right w:val="nil"/>
            </w:tcBorders>
            <w:shd w:val="clear" w:color="FBE2D5" w:fill="FBE2D5"/>
            <w:noWrap/>
            <w:vAlign w:val="bottom"/>
            <w:hideMark/>
          </w:tcPr>
          <w:p w14:paraId="04A13E13" w14:textId="77777777" w:rsidR="00171E1F" w:rsidRPr="00171E1F" w:rsidRDefault="00171E1F" w:rsidP="00607DB7">
            <w:pPr>
              <w:spacing w:after="0" w:line="360" w:lineRule="auto"/>
              <w:rPr>
                <w:rFonts w:ascii="Aptos Narrow" w:eastAsia="Times New Roman" w:hAnsi="Aptos Narrow"/>
                <w:b/>
                <w:bCs/>
                <w:color w:val="000000"/>
                <w:sz w:val="22"/>
              </w:rPr>
            </w:pPr>
            <w:r w:rsidRPr="00171E1F">
              <w:rPr>
                <w:rFonts w:ascii="Aptos Narrow" w:eastAsia="Times New Roman" w:hAnsi="Aptos Narrow"/>
                <w:b/>
                <w:bCs/>
                <w:color w:val="000000"/>
                <w:sz w:val="22"/>
              </w:rPr>
              <w:t>Inventory Days</w:t>
            </w:r>
          </w:p>
        </w:tc>
        <w:tc>
          <w:tcPr>
            <w:tcW w:w="0" w:type="auto"/>
            <w:tcBorders>
              <w:top w:val="single" w:sz="4" w:space="0" w:color="F1A983"/>
              <w:left w:val="nil"/>
              <w:bottom w:val="single" w:sz="4" w:space="0" w:color="F1A983"/>
              <w:right w:val="nil"/>
            </w:tcBorders>
            <w:shd w:val="clear" w:color="FBE2D5" w:fill="FBE2D5"/>
            <w:vAlign w:val="bottom"/>
            <w:hideMark/>
          </w:tcPr>
          <w:p w14:paraId="38D721F7"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 xml:space="preserve">(Average Inventory/Cost of </w:t>
            </w:r>
            <w:proofErr w:type="gramStart"/>
            <w:r w:rsidRPr="00171E1F">
              <w:rPr>
                <w:rFonts w:ascii="Aptos Narrow" w:eastAsia="Times New Roman" w:hAnsi="Aptos Narrow"/>
                <w:color w:val="000000"/>
                <w:sz w:val="22"/>
              </w:rPr>
              <w:t>Sales)×</w:t>
            </w:r>
            <w:proofErr w:type="gramEnd"/>
            <w:r w:rsidRPr="00171E1F">
              <w:rPr>
                <w:rFonts w:ascii="Aptos Narrow" w:eastAsia="Times New Roman" w:hAnsi="Aptos Narrow"/>
                <w:color w:val="000000"/>
                <w:sz w:val="22"/>
              </w:rPr>
              <w:t>365</w:t>
            </w:r>
          </w:p>
        </w:tc>
        <w:tc>
          <w:tcPr>
            <w:tcW w:w="0" w:type="auto"/>
            <w:tcBorders>
              <w:top w:val="single" w:sz="4" w:space="0" w:color="F1A983"/>
              <w:left w:val="nil"/>
              <w:bottom w:val="single" w:sz="4" w:space="0" w:color="F1A983"/>
              <w:right w:val="nil"/>
            </w:tcBorders>
            <w:shd w:val="clear" w:color="FBE2D5" w:fill="FBE2D5"/>
            <w:vAlign w:val="bottom"/>
            <w:hideMark/>
          </w:tcPr>
          <w:p w14:paraId="303ECA03"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(83,814/</w:t>
            </w:r>
            <w:proofErr w:type="gramStart"/>
            <w:r w:rsidRPr="00171E1F">
              <w:rPr>
                <w:rFonts w:ascii="Aptos Narrow" w:eastAsia="Times New Roman" w:hAnsi="Aptos Narrow"/>
                <w:color w:val="000000"/>
                <w:sz w:val="22"/>
              </w:rPr>
              <w:t>280,885)×</w:t>
            </w:r>
            <w:proofErr w:type="gramEnd"/>
            <w:r w:rsidRPr="00171E1F">
              <w:rPr>
                <w:rFonts w:ascii="Aptos Narrow" w:eastAsia="Times New Roman" w:hAnsi="Aptos Narrow"/>
                <w:color w:val="000000"/>
                <w:sz w:val="22"/>
              </w:rPr>
              <w:t>365 = 109 days</w:t>
            </w:r>
          </w:p>
        </w:tc>
        <w:tc>
          <w:tcPr>
            <w:tcW w:w="0" w:type="auto"/>
            <w:tcBorders>
              <w:top w:val="single" w:sz="4" w:space="0" w:color="F1A983"/>
              <w:left w:val="nil"/>
              <w:bottom w:val="single" w:sz="4" w:space="0" w:color="F1A983"/>
              <w:right w:val="nil"/>
            </w:tcBorders>
            <w:shd w:val="clear" w:color="FBE2D5" w:fill="FBE2D5"/>
            <w:vAlign w:val="bottom"/>
            <w:hideMark/>
          </w:tcPr>
          <w:p w14:paraId="73D8A14A"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(114,227/</w:t>
            </w:r>
            <w:proofErr w:type="gramStart"/>
            <w:r w:rsidRPr="00171E1F">
              <w:rPr>
                <w:rFonts w:ascii="Aptos Narrow" w:eastAsia="Times New Roman" w:hAnsi="Aptos Narrow"/>
                <w:color w:val="000000"/>
                <w:sz w:val="22"/>
              </w:rPr>
              <w:t>322,897)×</w:t>
            </w:r>
            <w:proofErr w:type="gramEnd"/>
            <w:r w:rsidRPr="00171E1F">
              <w:rPr>
                <w:rFonts w:ascii="Aptos Narrow" w:eastAsia="Times New Roman" w:hAnsi="Aptos Narrow"/>
                <w:color w:val="000000"/>
                <w:sz w:val="22"/>
              </w:rPr>
              <w:t>365 = 129 days</w:t>
            </w:r>
          </w:p>
        </w:tc>
        <w:tc>
          <w:tcPr>
            <w:tcW w:w="0" w:type="auto"/>
            <w:tcBorders>
              <w:top w:val="single" w:sz="4" w:space="0" w:color="F1A983"/>
              <w:left w:val="nil"/>
              <w:bottom w:val="single" w:sz="4" w:space="0" w:color="F1A983"/>
              <w:right w:val="nil"/>
            </w:tcBorders>
            <w:shd w:val="clear" w:color="FBE2D5" w:fill="FBE2D5"/>
            <w:vAlign w:val="bottom"/>
            <w:hideMark/>
          </w:tcPr>
          <w:p w14:paraId="58B089AB"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(137,325/</w:t>
            </w:r>
            <w:proofErr w:type="gramStart"/>
            <w:r w:rsidRPr="00171E1F">
              <w:rPr>
                <w:rFonts w:ascii="Aptos Narrow" w:eastAsia="Times New Roman" w:hAnsi="Aptos Narrow"/>
                <w:color w:val="000000"/>
                <w:sz w:val="22"/>
              </w:rPr>
              <w:t>390,459)×</w:t>
            </w:r>
            <w:proofErr w:type="gramEnd"/>
            <w:r w:rsidRPr="00171E1F">
              <w:rPr>
                <w:rFonts w:ascii="Aptos Narrow" w:eastAsia="Times New Roman" w:hAnsi="Aptos Narrow"/>
                <w:color w:val="000000"/>
                <w:sz w:val="22"/>
              </w:rPr>
              <w:t>365 = 129 days</w:t>
            </w:r>
          </w:p>
        </w:tc>
        <w:tc>
          <w:tcPr>
            <w:tcW w:w="0" w:type="auto"/>
            <w:tcBorders>
              <w:top w:val="single" w:sz="4" w:space="0" w:color="F1A983"/>
              <w:left w:val="nil"/>
              <w:bottom w:val="single" w:sz="4" w:space="0" w:color="F1A983"/>
              <w:right w:val="nil"/>
            </w:tcBorders>
            <w:shd w:val="clear" w:color="FBE2D5" w:fill="FBE2D5"/>
            <w:vAlign w:val="bottom"/>
            <w:hideMark/>
          </w:tcPr>
          <w:p w14:paraId="079E53A5"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(127,450/</w:t>
            </w:r>
            <w:proofErr w:type="gramStart"/>
            <w:r w:rsidRPr="00171E1F">
              <w:rPr>
                <w:rFonts w:ascii="Aptos Narrow" w:eastAsia="Times New Roman" w:hAnsi="Aptos Narrow"/>
                <w:color w:val="000000"/>
                <w:sz w:val="22"/>
              </w:rPr>
              <w:t>428,586)×</w:t>
            </w:r>
            <w:proofErr w:type="gramEnd"/>
            <w:r w:rsidRPr="00171E1F">
              <w:rPr>
                <w:rFonts w:ascii="Aptos Narrow" w:eastAsia="Times New Roman" w:hAnsi="Aptos Narrow"/>
                <w:color w:val="000000"/>
                <w:sz w:val="22"/>
              </w:rPr>
              <w:t>365 = 109 days</w:t>
            </w:r>
          </w:p>
        </w:tc>
        <w:tc>
          <w:tcPr>
            <w:tcW w:w="0" w:type="auto"/>
            <w:tcBorders>
              <w:top w:val="single" w:sz="4" w:space="0" w:color="F1A983"/>
              <w:left w:val="nil"/>
              <w:bottom w:val="single" w:sz="4" w:space="0" w:color="F1A983"/>
              <w:right w:val="single" w:sz="4" w:space="0" w:color="F1A983"/>
            </w:tcBorders>
            <w:shd w:val="clear" w:color="FBE2D5" w:fill="FBE2D5"/>
            <w:vAlign w:val="bottom"/>
            <w:hideMark/>
          </w:tcPr>
          <w:p w14:paraId="5FFB9158"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(120,430/</w:t>
            </w:r>
            <w:proofErr w:type="gramStart"/>
            <w:r w:rsidRPr="00171E1F">
              <w:rPr>
                <w:rFonts w:ascii="Aptos Narrow" w:eastAsia="Times New Roman" w:hAnsi="Aptos Narrow"/>
                <w:color w:val="000000"/>
                <w:sz w:val="22"/>
              </w:rPr>
              <w:t>438,424)×</w:t>
            </w:r>
            <w:proofErr w:type="gramEnd"/>
            <w:r w:rsidRPr="00171E1F">
              <w:rPr>
                <w:rFonts w:ascii="Aptos Narrow" w:eastAsia="Times New Roman" w:hAnsi="Aptos Narrow"/>
                <w:color w:val="000000"/>
                <w:sz w:val="22"/>
              </w:rPr>
              <w:t>365 = 100 days</w:t>
            </w:r>
          </w:p>
        </w:tc>
      </w:tr>
      <w:tr w:rsidR="00171E1F" w:rsidRPr="00171E1F" w14:paraId="234D4F87" w14:textId="77777777" w:rsidTr="00171E1F">
        <w:trPr>
          <w:trHeight w:val="870"/>
        </w:trPr>
        <w:tc>
          <w:tcPr>
            <w:tcW w:w="0" w:type="auto"/>
            <w:tcBorders>
              <w:top w:val="single" w:sz="4" w:space="0" w:color="F1A983"/>
              <w:left w:val="single" w:sz="4" w:space="0" w:color="F1A983"/>
              <w:bottom w:val="single" w:sz="4" w:space="0" w:color="F1A983"/>
              <w:right w:val="nil"/>
            </w:tcBorders>
            <w:noWrap/>
            <w:vAlign w:val="bottom"/>
            <w:hideMark/>
          </w:tcPr>
          <w:p w14:paraId="187D1E5F" w14:textId="77777777" w:rsidR="00171E1F" w:rsidRPr="00171E1F" w:rsidRDefault="00171E1F" w:rsidP="00607DB7">
            <w:pPr>
              <w:spacing w:after="0" w:line="360" w:lineRule="auto"/>
              <w:rPr>
                <w:rFonts w:ascii="Aptos Narrow" w:eastAsia="Times New Roman" w:hAnsi="Aptos Narrow"/>
                <w:b/>
                <w:bCs/>
                <w:color w:val="000000"/>
                <w:sz w:val="22"/>
              </w:rPr>
            </w:pPr>
            <w:r w:rsidRPr="00171E1F">
              <w:rPr>
                <w:rFonts w:ascii="Aptos Narrow" w:eastAsia="Times New Roman" w:hAnsi="Aptos Narrow"/>
                <w:b/>
                <w:bCs/>
                <w:color w:val="000000"/>
                <w:sz w:val="22"/>
              </w:rPr>
              <w:t>Receivables Days</w:t>
            </w:r>
          </w:p>
        </w:tc>
        <w:tc>
          <w:tcPr>
            <w:tcW w:w="0" w:type="auto"/>
            <w:tcBorders>
              <w:top w:val="single" w:sz="4" w:space="0" w:color="F1A983"/>
              <w:left w:val="nil"/>
              <w:bottom w:val="single" w:sz="4" w:space="0" w:color="F1A983"/>
              <w:right w:val="nil"/>
            </w:tcBorders>
            <w:vAlign w:val="bottom"/>
            <w:hideMark/>
          </w:tcPr>
          <w:p w14:paraId="1302E161"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 xml:space="preserve">(Accounts Receivable/Net </w:t>
            </w:r>
            <w:proofErr w:type="gramStart"/>
            <w:r w:rsidRPr="00171E1F">
              <w:rPr>
                <w:rFonts w:ascii="Aptos Narrow" w:eastAsia="Times New Roman" w:hAnsi="Aptos Narrow"/>
                <w:color w:val="000000"/>
                <w:sz w:val="22"/>
              </w:rPr>
              <w:t>Sales)×</w:t>
            </w:r>
            <w:proofErr w:type="gramEnd"/>
            <w:r w:rsidRPr="00171E1F">
              <w:rPr>
                <w:rFonts w:ascii="Aptos Narrow" w:eastAsia="Times New Roman" w:hAnsi="Aptos Narrow"/>
                <w:color w:val="000000"/>
                <w:sz w:val="22"/>
              </w:rPr>
              <w:t>365</w:t>
            </w:r>
          </w:p>
        </w:tc>
        <w:tc>
          <w:tcPr>
            <w:tcW w:w="0" w:type="auto"/>
            <w:tcBorders>
              <w:top w:val="single" w:sz="4" w:space="0" w:color="F1A983"/>
              <w:left w:val="nil"/>
              <w:bottom w:val="single" w:sz="4" w:space="0" w:color="F1A983"/>
              <w:right w:val="nil"/>
            </w:tcBorders>
            <w:vAlign w:val="bottom"/>
            <w:hideMark/>
          </w:tcPr>
          <w:p w14:paraId="708D08EC"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(114,182/</w:t>
            </w:r>
            <w:proofErr w:type="gramStart"/>
            <w:r w:rsidRPr="00171E1F">
              <w:rPr>
                <w:rFonts w:ascii="Aptos Narrow" w:eastAsia="Times New Roman" w:hAnsi="Aptos Narrow"/>
                <w:color w:val="000000"/>
                <w:sz w:val="22"/>
              </w:rPr>
              <w:t>394,879)×</w:t>
            </w:r>
            <w:proofErr w:type="gramEnd"/>
            <w:r w:rsidRPr="00171E1F">
              <w:rPr>
                <w:rFonts w:ascii="Aptos Narrow" w:eastAsia="Times New Roman" w:hAnsi="Aptos Narrow"/>
                <w:color w:val="000000"/>
                <w:sz w:val="22"/>
              </w:rPr>
              <w:t>365 = 106 days</w:t>
            </w:r>
          </w:p>
        </w:tc>
        <w:tc>
          <w:tcPr>
            <w:tcW w:w="0" w:type="auto"/>
            <w:tcBorders>
              <w:top w:val="single" w:sz="4" w:space="0" w:color="F1A983"/>
              <w:left w:val="nil"/>
              <w:bottom w:val="single" w:sz="4" w:space="0" w:color="F1A983"/>
              <w:right w:val="nil"/>
            </w:tcBorders>
            <w:vAlign w:val="bottom"/>
            <w:hideMark/>
          </w:tcPr>
          <w:p w14:paraId="6D9C38E6"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(112,596/</w:t>
            </w:r>
            <w:proofErr w:type="gramStart"/>
            <w:r w:rsidRPr="00171E1F">
              <w:rPr>
                <w:rFonts w:ascii="Aptos Narrow" w:eastAsia="Times New Roman" w:hAnsi="Aptos Narrow"/>
                <w:color w:val="000000"/>
                <w:sz w:val="22"/>
              </w:rPr>
              <w:t>420,457)×</w:t>
            </w:r>
            <w:proofErr w:type="gramEnd"/>
            <w:r w:rsidRPr="00171E1F">
              <w:rPr>
                <w:rFonts w:ascii="Aptos Narrow" w:eastAsia="Times New Roman" w:hAnsi="Aptos Narrow"/>
                <w:color w:val="000000"/>
                <w:sz w:val="22"/>
              </w:rPr>
              <w:t>365 = 98 days</w:t>
            </w:r>
          </w:p>
        </w:tc>
        <w:tc>
          <w:tcPr>
            <w:tcW w:w="0" w:type="auto"/>
            <w:tcBorders>
              <w:top w:val="single" w:sz="4" w:space="0" w:color="F1A983"/>
              <w:left w:val="nil"/>
              <w:bottom w:val="single" w:sz="4" w:space="0" w:color="F1A983"/>
              <w:right w:val="nil"/>
            </w:tcBorders>
            <w:vAlign w:val="bottom"/>
            <w:hideMark/>
          </w:tcPr>
          <w:p w14:paraId="1D3FB070"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(112,346/</w:t>
            </w:r>
            <w:proofErr w:type="gramStart"/>
            <w:r w:rsidRPr="00171E1F">
              <w:rPr>
                <w:rFonts w:ascii="Aptos Narrow" w:eastAsia="Times New Roman" w:hAnsi="Aptos Narrow"/>
                <w:color w:val="000000"/>
                <w:sz w:val="22"/>
              </w:rPr>
              <w:t>542,751)×</w:t>
            </w:r>
            <w:proofErr w:type="gramEnd"/>
            <w:r w:rsidRPr="00171E1F">
              <w:rPr>
                <w:rFonts w:ascii="Aptos Narrow" w:eastAsia="Times New Roman" w:hAnsi="Aptos Narrow"/>
                <w:color w:val="000000"/>
                <w:sz w:val="22"/>
              </w:rPr>
              <w:t>365 = 75 days</w:t>
            </w:r>
          </w:p>
        </w:tc>
        <w:tc>
          <w:tcPr>
            <w:tcW w:w="0" w:type="auto"/>
            <w:tcBorders>
              <w:top w:val="single" w:sz="4" w:space="0" w:color="F1A983"/>
              <w:left w:val="nil"/>
              <w:bottom w:val="single" w:sz="4" w:space="0" w:color="F1A983"/>
              <w:right w:val="nil"/>
            </w:tcBorders>
            <w:vAlign w:val="bottom"/>
            <w:hideMark/>
          </w:tcPr>
          <w:p w14:paraId="2F608D48"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(129,215/</w:t>
            </w:r>
            <w:proofErr w:type="gramStart"/>
            <w:r w:rsidRPr="00171E1F">
              <w:rPr>
                <w:rFonts w:ascii="Aptos Narrow" w:eastAsia="Times New Roman" w:hAnsi="Aptos Narrow"/>
                <w:color w:val="000000"/>
                <w:sz w:val="22"/>
              </w:rPr>
              <w:t>601,602)×</w:t>
            </w:r>
            <w:proofErr w:type="gramEnd"/>
            <w:r w:rsidRPr="00171E1F">
              <w:rPr>
                <w:rFonts w:ascii="Aptos Narrow" w:eastAsia="Times New Roman" w:hAnsi="Aptos Narrow"/>
                <w:color w:val="000000"/>
                <w:sz w:val="22"/>
              </w:rPr>
              <w:t>365 = 78 days</w:t>
            </w:r>
          </w:p>
        </w:tc>
        <w:tc>
          <w:tcPr>
            <w:tcW w:w="0" w:type="auto"/>
            <w:tcBorders>
              <w:top w:val="single" w:sz="4" w:space="0" w:color="F1A983"/>
              <w:left w:val="nil"/>
              <w:bottom w:val="single" w:sz="4" w:space="0" w:color="F1A983"/>
              <w:right w:val="single" w:sz="4" w:space="0" w:color="F1A983"/>
            </w:tcBorders>
            <w:vAlign w:val="bottom"/>
            <w:hideMark/>
          </w:tcPr>
          <w:p w14:paraId="2618DFC5"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(129,433/</w:t>
            </w:r>
            <w:proofErr w:type="gramStart"/>
            <w:r w:rsidRPr="00171E1F">
              <w:rPr>
                <w:rFonts w:ascii="Aptos Narrow" w:eastAsia="Times New Roman" w:hAnsi="Aptos Narrow"/>
                <w:color w:val="000000"/>
                <w:sz w:val="22"/>
              </w:rPr>
              <w:t>614,680)×</w:t>
            </w:r>
            <w:proofErr w:type="gramEnd"/>
            <w:r w:rsidRPr="00171E1F">
              <w:rPr>
                <w:rFonts w:ascii="Aptos Narrow" w:eastAsia="Times New Roman" w:hAnsi="Aptos Narrow"/>
                <w:color w:val="000000"/>
                <w:sz w:val="22"/>
              </w:rPr>
              <w:t>365 = 77 days</w:t>
            </w:r>
          </w:p>
        </w:tc>
      </w:tr>
      <w:tr w:rsidR="00171E1F" w:rsidRPr="00171E1F" w14:paraId="3F7332C7" w14:textId="77777777" w:rsidTr="00171E1F">
        <w:trPr>
          <w:trHeight w:val="870"/>
        </w:trPr>
        <w:tc>
          <w:tcPr>
            <w:tcW w:w="0" w:type="auto"/>
            <w:tcBorders>
              <w:top w:val="single" w:sz="4" w:space="0" w:color="F1A983"/>
              <w:left w:val="single" w:sz="4" w:space="0" w:color="F1A983"/>
              <w:bottom w:val="single" w:sz="4" w:space="0" w:color="F1A983"/>
              <w:right w:val="nil"/>
            </w:tcBorders>
            <w:shd w:val="clear" w:color="FBE2D5" w:fill="FBE2D5"/>
            <w:noWrap/>
            <w:vAlign w:val="bottom"/>
            <w:hideMark/>
          </w:tcPr>
          <w:p w14:paraId="67F0A20B" w14:textId="77777777" w:rsidR="00171E1F" w:rsidRPr="00171E1F" w:rsidRDefault="00171E1F" w:rsidP="00607DB7">
            <w:pPr>
              <w:spacing w:after="0" w:line="360" w:lineRule="auto"/>
              <w:rPr>
                <w:rFonts w:ascii="Aptos Narrow" w:eastAsia="Times New Roman" w:hAnsi="Aptos Narrow"/>
                <w:b/>
                <w:bCs/>
                <w:color w:val="000000"/>
                <w:sz w:val="22"/>
              </w:rPr>
            </w:pPr>
            <w:r w:rsidRPr="00171E1F">
              <w:rPr>
                <w:rFonts w:ascii="Aptos Narrow" w:eastAsia="Times New Roman" w:hAnsi="Aptos Narrow"/>
                <w:b/>
                <w:bCs/>
                <w:color w:val="000000"/>
                <w:sz w:val="22"/>
              </w:rPr>
              <w:t>Payables Days</w:t>
            </w:r>
          </w:p>
        </w:tc>
        <w:tc>
          <w:tcPr>
            <w:tcW w:w="0" w:type="auto"/>
            <w:tcBorders>
              <w:top w:val="single" w:sz="4" w:space="0" w:color="F1A983"/>
              <w:left w:val="nil"/>
              <w:bottom w:val="single" w:sz="4" w:space="0" w:color="F1A983"/>
              <w:right w:val="nil"/>
            </w:tcBorders>
            <w:shd w:val="clear" w:color="FBE2D5" w:fill="FBE2D5"/>
            <w:vAlign w:val="bottom"/>
            <w:hideMark/>
          </w:tcPr>
          <w:p w14:paraId="15855C16"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 xml:space="preserve">(Accounts Payable/Cost of </w:t>
            </w:r>
            <w:proofErr w:type="gramStart"/>
            <w:r w:rsidRPr="00171E1F">
              <w:rPr>
                <w:rFonts w:ascii="Aptos Narrow" w:eastAsia="Times New Roman" w:hAnsi="Aptos Narrow"/>
                <w:color w:val="000000"/>
                <w:sz w:val="22"/>
              </w:rPr>
              <w:t>Sales)×</w:t>
            </w:r>
            <w:proofErr w:type="gramEnd"/>
            <w:r w:rsidRPr="00171E1F">
              <w:rPr>
                <w:rFonts w:ascii="Aptos Narrow" w:eastAsia="Times New Roman" w:hAnsi="Aptos Narrow"/>
                <w:color w:val="000000"/>
                <w:sz w:val="22"/>
              </w:rPr>
              <w:t>365</w:t>
            </w:r>
          </w:p>
        </w:tc>
        <w:tc>
          <w:tcPr>
            <w:tcW w:w="0" w:type="auto"/>
            <w:tcBorders>
              <w:top w:val="single" w:sz="4" w:space="0" w:color="F1A983"/>
              <w:left w:val="nil"/>
              <w:bottom w:val="single" w:sz="4" w:space="0" w:color="F1A983"/>
              <w:right w:val="nil"/>
            </w:tcBorders>
            <w:shd w:val="clear" w:color="FBE2D5" w:fill="FBE2D5"/>
            <w:vAlign w:val="bottom"/>
            <w:hideMark/>
          </w:tcPr>
          <w:p w14:paraId="382A7489"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(72,031/</w:t>
            </w:r>
            <w:proofErr w:type="gramStart"/>
            <w:r w:rsidRPr="00171E1F">
              <w:rPr>
                <w:rFonts w:ascii="Aptos Narrow" w:eastAsia="Times New Roman" w:hAnsi="Aptos Narrow"/>
                <w:color w:val="000000"/>
                <w:sz w:val="22"/>
              </w:rPr>
              <w:t>280,885)×</w:t>
            </w:r>
            <w:proofErr w:type="gramEnd"/>
            <w:r w:rsidRPr="00171E1F">
              <w:rPr>
                <w:rFonts w:ascii="Aptos Narrow" w:eastAsia="Times New Roman" w:hAnsi="Aptos Narrow"/>
                <w:color w:val="000000"/>
                <w:sz w:val="22"/>
              </w:rPr>
              <w:t>365 = 94 days</w:t>
            </w:r>
          </w:p>
        </w:tc>
        <w:tc>
          <w:tcPr>
            <w:tcW w:w="0" w:type="auto"/>
            <w:tcBorders>
              <w:top w:val="single" w:sz="4" w:space="0" w:color="F1A983"/>
              <w:left w:val="nil"/>
              <w:bottom w:val="single" w:sz="4" w:space="0" w:color="F1A983"/>
              <w:right w:val="nil"/>
            </w:tcBorders>
            <w:shd w:val="clear" w:color="FBE2D5" w:fill="FBE2D5"/>
            <w:vAlign w:val="bottom"/>
            <w:hideMark/>
          </w:tcPr>
          <w:p w14:paraId="4FC57C9E"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(57,033/</w:t>
            </w:r>
            <w:proofErr w:type="gramStart"/>
            <w:r w:rsidRPr="00171E1F">
              <w:rPr>
                <w:rFonts w:ascii="Aptos Narrow" w:eastAsia="Times New Roman" w:hAnsi="Aptos Narrow"/>
                <w:color w:val="000000"/>
                <w:sz w:val="22"/>
              </w:rPr>
              <w:t>322,897)×</w:t>
            </w:r>
            <w:proofErr w:type="gramEnd"/>
            <w:r w:rsidRPr="00171E1F">
              <w:rPr>
                <w:rFonts w:ascii="Aptos Narrow" w:eastAsia="Times New Roman" w:hAnsi="Aptos Narrow"/>
                <w:color w:val="000000"/>
                <w:sz w:val="22"/>
              </w:rPr>
              <w:t>365 = 64 days</w:t>
            </w:r>
          </w:p>
        </w:tc>
        <w:tc>
          <w:tcPr>
            <w:tcW w:w="0" w:type="auto"/>
            <w:tcBorders>
              <w:top w:val="single" w:sz="4" w:space="0" w:color="F1A983"/>
              <w:left w:val="nil"/>
              <w:bottom w:val="single" w:sz="4" w:space="0" w:color="F1A983"/>
              <w:right w:val="nil"/>
            </w:tcBorders>
            <w:shd w:val="clear" w:color="FBE2D5" w:fill="FBE2D5"/>
            <w:vAlign w:val="bottom"/>
            <w:hideMark/>
          </w:tcPr>
          <w:p w14:paraId="664A92DC"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(71,373/</w:t>
            </w:r>
            <w:proofErr w:type="gramStart"/>
            <w:r w:rsidRPr="00171E1F">
              <w:rPr>
                <w:rFonts w:ascii="Aptos Narrow" w:eastAsia="Times New Roman" w:hAnsi="Aptos Narrow"/>
                <w:color w:val="000000"/>
                <w:sz w:val="22"/>
              </w:rPr>
              <w:t>390,459)×</w:t>
            </w:r>
            <w:proofErr w:type="gramEnd"/>
            <w:r w:rsidRPr="00171E1F">
              <w:rPr>
                <w:rFonts w:ascii="Aptos Narrow" w:eastAsia="Times New Roman" w:hAnsi="Aptos Narrow"/>
                <w:color w:val="000000"/>
                <w:sz w:val="22"/>
              </w:rPr>
              <w:t>365 = 67 days</w:t>
            </w:r>
          </w:p>
        </w:tc>
        <w:tc>
          <w:tcPr>
            <w:tcW w:w="0" w:type="auto"/>
            <w:tcBorders>
              <w:top w:val="single" w:sz="4" w:space="0" w:color="F1A983"/>
              <w:left w:val="nil"/>
              <w:bottom w:val="single" w:sz="4" w:space="0" w:color="F1A983"/>
              <w:right w:val="nil"/>
            </w:tcBorders>
            <w:shd w:val="clear" w:color="FBE2D5" w:fill="FBE2D5"/>
            <w:vAlign w:val="bottom"/>
            <w:hideMark/>
          </w:tcPr>
          <w:p w14:paraId="55F0FD7A"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(92,707/</w:t>
            </w:r>
            <w:proofErr w:type="gramStart"/>
            <w:r w:rsidRPr="00171E1F">
              <w:rPr>
                <w:rFonts w:ascii="Aptos Narrow" w:eastAsia="Times New Roman" w:hAnsi="Aptos Narrow"/>
                <w:color w:val="000000"/>
                <w:sz w:val="22"/>
              </w:rPr>
              <w:t>428,586)×</w:t>
            </w:r>
            <w:proofErr w:type="gramEnd"/>
            <w:r w:rsidRPr="00171E1F">
              <w:rPr>
                <w:rFonts w:ascii="Aptos Narrow" w:eastAsia="Times New Roman" w:hAnsi="Aptos Narrow"/>
                <w:color w:val="000000"/>
                <w:sz w:val="22"/>
              </w:rPr>
              <w:t>365 = 79 days</w:t>
            </w:r>
          </w:p>
        </w:tc>
        <w:tc>
          <w:tcPr>
            <w:tcW w:w="0" w:type="auto"/>
            <w:tcBorders>
              <w:top w:val="single" w:sz="4" w:space="0" w:color="F1A983"/>
              <w:left w:val="nil"/>
              <w:bottom w:val="single" w:sz="4" w:space="0" w:color="F1A983"/>
              <w:right w:val="single" w:sz="4" w:space="0" w:color="F1A983"/>
            </w:tcBorders>
            <w:shd w:val="clear" w:color="FBE2D5" w:fill="FBE2D5"/>
            <w:vAlign w:val="bottom"/>
            <w:hideMark/>
          </w:tcPr>
          <w:p w14:paraId="19391F51"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(83,229/</w:t>
            </w:r>
            <w:proofErr w:type="gramStart"/>
            <w:r w:rsidRPr="00171E1F">
              <w:rPr>
                <w:rFonts w:ascii="Aptos Narrow" w:eastAsia="Times New Roman" w:hAnsi="Aptos Narrow"/>
                <w:color w:val="000000"/>
                <w:sz w:val="22"/>
              </w:rPr>
              <w:t>438,424)×</w:t>
            </w:r>
            <w:proofErr w:type="gramEnd"/>
            <w:r w:rsidRPr="00171E1F">
              <w:rPr>
                <w:rFonts w:ascii="Aptos Narrow" w:eastAsia="Times New Roman" w:hAnsi="Aptos Narrow"/>
                <w:color w:val="000000"/>
                <w:sz w:val="22"/>
              </w:rPr>
              <w:t>365 = 69 days</w:t>
            </w:r>
          </w:p>
        </w:tc>
      </w:tr>
      <w:tr w:rsidR="00171E1F" w:rsidRPr="00171E1F" w14:paraId="095E4BCA" w14:textId="77777777" w:rsidTr="00171E1F">
        <w:trPr>
          <w:trHeight w:val="870"/>
        </w:trPr>
        <w:tc>
          <w:tcPr>
            <w:tcW w:w="0" w:type="auto"/>
            <w:tcBorders>
              <w:top w:val="single" w:sz="4" w:space="0" w:color="F1A983"/>
              <w:left w:val="single" w:sz="4" w:space="0" w:color="F1A983"/>
              <w:bottom w:val="single" w:sz="4" w:space="0" w:color="F1A983"/>
              <w:right w:val="nil"/>
            </w:tcBorders>
            <w:noWrap/>
            <w:vAlign w:val="bottom"/>
            <w:hideMark/>
          </w:tcPr>
          <w:p w14:paraId="416FD9A7" w14:textId="77777777" w:rsidR="00171E1F" w:rsidRPr="00171E1F" w:rsidRDefault="00171E1F" w:rsidP="00607DB7">
            <w:pPr>
              <w:spacing w:after="0" w:line="360" w:lineRule="auto"/>
              <w:rPr>
                <w:rFonts w:ascii="Aptos Narrow" w:eastAsia="Times New Roman" w:hAnsi="Aptos Narrow"/>
                <w:b/>
                <w:bCs/>
                <w:color w:val="000000"/>
                <w:sz w:val="22"/>
              </w:rPr>
            </w:pPr>
            <w:r w:rsidRPr="00171E1F">
              <w:rPr>
                <w:rFonts w:ascii="Aptos Narrow" w:eastAsia="Times New Roman" w:hAnsi="Aptos Narrow"/>
                <w:b/>
                <w:bCs/>
                <w:color w:val="000000"/>
                <w:sz w:val="22"/>
              </w:rPr>
              <w:t>Cash Operating Cycle</w:t>
            </w:r>
          </w:p>
        </w:tc>
        <w:tc>
          <w:tcPr>
            <w:tcW w:w="0" w:type="auto"/>
            <w:tcBorders>
              <w:top w:val="single" w:sz="4" w:space="0" w:color="F1A983"/>
              <w:left w:val="nil"/>
              <w:bottom w:val="single" w:sz="4" w:space="0" w:color="F1A983"/>
              <w:right w:val="nil"/>
            </w:tcBorders>
            <w:vAlign w:val="bottom"/>
            <w:hideMark/>
          </w:tcPr>
          <w:p w14:paraId="7AFDC1F1"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Inventory Days + Receivables Days - Payables Days</w:t>
            </w:r>
          </w:p>
        </w:tc>
        <w:tc>
          <w:tcPr>
            <w:tcW w:w="0" w:type="auto"/>
            <w:tcBorders>
              <w:top w:val="single" w:sz="4" w:space="0" w:color="F1A983"/>
              <w:left w:val="nil"/>
              <w:bottom w:val="single" w:sz="4" w:space="0" w:color="F1A983"/>
              <w:right w:val="nil"/>
            </w:tcBorders>
            <w:vAlign w:val="bottom"/>
            <w:hideMark/>
          </w:tcPr>
          <w:p w14:paraId="7406386D"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109+106-94 = 121 days</w:t>
            </w:r>
          </w:p>
        </w:tc>
        <w:tc>
          <w:tcPr>
            <w:tcW w:w="0" w:type="auto"/>
            <w:tcBorders>
              <w:top w:val="single" w:sz="4" w:space="0" w:color="F1A983"/>
              <w:left w:val="nil"/>
              <w:bottom w:val="single" w:sz="4" w:space="0" w:color="F1A983"/>
              <w:right w:val="nil"/>
            </w:tcBorders>
            <w:vAlign w:val="bottom"/>
            <w:hideMark/>
          </w:tcPr>
          <w:p w14:paraId="2DAFB3CC"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129+98-64 = 163 days</w:t>
            </w:r>
          </w:p>
        </w:tc>
        <w:tc>
          <w:tcPr>
            <w:tcW w:w="0" w:type="auto"/>
            <w:tcBorders>
              <w:top w:val="single" w:sz="4" w:space="0" w:color="F1A983"/>
              <w:left w:val="nil"/>
              <w:bottom w:val="single" w:sz="4" w:space="0" w:color="F1A983"/>
              <w:right w:val="nil"/>
            </w:tcBorders>
            <w:vAlign w:val="bottom"/>
            <w:hideMark/>
          </w:tcPr>
          <w:p w14:paraId="489158E0"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129+75-67 = 137 days</w:t>
            </w:r>
          </w:p>
        </w:tc>
        <w:tc>
          <w:tcPr>
            <w:tcW w:w="0" w:type="auto"/>
            <w:tcBorders>
              <w:top w:val="single" w:sz="4" w:space="0" w:color="F1A983"/>
              <w:left w:val="nil"/>
              <w:bottom w:val="single" w:sz="4" w:space="0" w:color="F1A983"/>
              <w:right w:val="nil"/>
            </w:tcBorders>
            <w:vAlign w:val="bottom"/>
            <w:hideMark/>
          </w:tcPr>
          <w:p w14:paraId="0B0B52F5"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109+78-79 = 108 days</w:t>
            </w:r>
          </w:p>
        </w:tc>
        <w:tc>
          <w:tcPr>
            <w:tcW w:w="0" w:type="auto"/>
            <w:tcBorders>
              <w:top w:val="single" w:sz="4" w:space="0" w:color="F1A983"/>
              <w:left w:val="nil"/>
              <w:bottom w:val="single" w:sz="4" w:space="0" w:color="F1A983"/>
              <w:right w:val="single" w:sz="4" w:space="0" w:color="F1A983"/>
            </w:tcBorders>
            <w:vAlign w:val="bottom"/>
            <w:hideMark/>
          </w:tcPr>
          <w:p w14:paraId="4C7A42B7"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100+77-69 = 108 days</w:t>
            </w:r>
          </w:p>
        </w:tc>
      </w:tr>
    </w:tbl>
    <w:p w14:paraId="18BF4378" w14:textId="318AFE7B" w:rsidR="001E5B83" w:rsidRDefault="001E5B83" w:rsidP="00607DB7">
      <w:pPr>
        <w:spacing w:line="360" w:lineRule="auto"/>
        <w:rPr>
          <w:b/>
          <w:bCs/>
        </w:rPr>
      </w:pPr>
    </w:p>
    <w:p w14:paraId="7E035A9F" w14:textId="2817164D" w:rsidR="001E5B83" w:rsidRDefault="001E5B83" w:rsidP="00607DB7">
      <w:pPr>
        <w:spacing w:line="360" w:lineRule="auto"/>
      </w:pPr>
      <w:r w:rsidRPr="001E5B83">
        <w:lastRenderedPageBreak/>
        <w:t>Table 7: Working Capital Position Analysis (2020-2024)</w:t>
      </w:r>
    </w:p>
    <w:p w14:paraId="45B89D1B" w14:textId="0C4425D2" w:rsidR="001E5B83" w:rsidRPr="001E5B83" w:rsidRDefault="000C47DB" w:rsidP="00607DB7">
      <w:pPr>
        <w:spacing w:line="360" w:lineRule="auto"/>
      </w:pPr>
      <w:r w:rsidRPr="000C47DB">
        <w:t>The cash operating cycle of General Electronics became significantly worse as it declined to 108 days (2020-2021) to the maximum of 163 days (2023). This horrific growth means that there is gross inefficiency in the conversion of cash, capital is tied up in non-productive assets over a long period. The 2024 increase to 121 days, though positive is 12% higher than historical baseline levels, which signal the continued structural working capital difficulties</w:t>
      </w:r>
      <w:r w:rsidR="00011A07">
        <w:t xml:space="preserve"> </w:t>
      </w:r>
      <w:r w:rsidR="00011A07" w:rsidRPr="00011A07">
        <w:t>(Xuan, Thu and Nguyen, 2025)</w:t>
      </w:r>
      <w:r w:rsidRPr="000C47DB">
        <w:t>.</w:t>
      </w:r>
    </w:p>
    <w:tbl>
      <w:tblPr>
        <w:tblW w:w="0" w:type="auto"/>
        <w:tblLook w:val="04A0" w:firstRow="1" w:lastRow="0" w:firstColumn="1" w:lastColumn="0" w:noHBand="0" w:noVBand="1"/>
      </w:tblPr>
      <w:tblGrid>
        <w:gridCol w:w="1941"/>
        <w:gridCol w:w="1425"/>
        <w:gridCol w:w="1424"/>
        <w:gridCol w:w="1520"/>
        <w:gridCol w:w="1520"/>
        <w:gridCol w:w="1520"/>
      </w:tblGrid>
      <w:tr w:rsidR="00171E1F" w:rsidRPr="00171E1F" w14:paraId="6D94480B" w14:textId="77777777" w:rsidTr="00171E1F">
        <w:trPr>
          <w:trHeight w:val="290"/>
        </w:trPr>
        <w:tc>
          <w:tcPr>
            <w:tcW w:w="0" w:type="auto"/>
            <w:tcBorders>
              <w:top w:val="single" w:sz="4" w:space="0" w:color="47D359"/>
              <w:left w:val="single" w:sz="4" w:space="0" w:color="47D359"/>
              <w:bottom w:val="single" w:sz="4" w:space="0" w:color="47D359"/>
              <w:right w:val="nil"/>
            </w:tcBorders>
            <w:shd w:val="clear" w:color="196B24" w:fill="196B24"/>
            <w:noWrap/>
            <w:vAlign w:val="bottom"/>
            <w:hideMark/>
          </w:tcPr>
          <w:p w14:paraId="7DA972F7"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Metric</w:t>
            </w:r>
          </w:p>
        </w:tc>
        <w:tc>
          <w:tcPr>
            <w:tcW w:w="0" w:type="auto"/>
            <w:tcBorders>
              <w:top w:val="single" w:sz="4" w:space="0" w:color="47D359"/>
              <w:left w:val="nil"/>
              <w:bottom w:val="single" w:sz="4" w:space="0" w:color="47D359"/>
              <w:right w:val="nil"/>
            </w:tcBorders>
            <w:shd w:val="clear" w:color="196B24" w:fill="196B24"/>
            <w:vAlign w:val="bottom"/>
            <w:hideMark/>
          </w:tcPr>
          <w:p w14:paraId="68AC6C82"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2024</w:t>
            </w:r>
          </w:p>
        </w:tc>
        <w:tc>
          <w:tcPr>
            <w:tcW w:w="0" w:type="auto"/>
            <w:tcBorders>
              <w:top w:val="single" w:sz="4" w:space="0" w:color="47D359"/>
              <w:left w:val="nil"/>
              <w:bottom w:val="single" w:sz="4" w:space="0" w:color="47D359"/>
              <w:right w:val="nil"/>
            </w:tcBorders>
            <w:shd w:val="clear" w:color="196B24" w:fill="196B24"/>
            <w:vAlign w:val="bottom"/>
            <w:hideMark/>
          </w:tcPr>
          <w:p w14:paraId="39CB9DF4"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2023</w:t>
            </w:r>
          </w:p>
        </w:tc>
        <w:tc>
          <w:tcPr>
            <w:tcW w:w="0" w:type="auto"/>
            <w:tcBorders>
              <w:top w:val="single" w:sz="4" w:space="0" w:color="47D359"/>
              <w:left w:val="nil"/>
              <w:bottom w:val="single" w:sz="4" w:space="0" w:color="47D359"/>
              <w:right w:val="nil"/>
            </w:tcBorders>
            <w:shd w:val="clear" w:color="196B24" w:fill="196B24"/>
            <w:vAlign w:val="bottom"/>
            <w:hideMark/>
          </w:tcPr>
          <w:p w14:paraId="5377749A"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2022</w:t>
            </w:r>
          </w:p>
        </w:tc>
        <w:tc>
          <w:tcPr>
            <w:tcW w:w="0" w:type="auto"/>
            <w:tcBorders>
              <w:top w:val="single" w:sz="4" w:space="0" w:color="47D359"/>
              <w:left w:val="nil"/>
              <w:bottom w:val="single" w:sz="4" w:space="0" w:color="47D359"/>
              <w:right w:val="nil"/>
            </w:tcBorders>
            <w:shd w:val="clear" w:color="196B24" w:fill="196B24"/>
            <w:vAlign w:val="bottom"/>
            <w:hideMark/>
          </w:tcPr>
          <w:p w14:paraId="28C1256B"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2021</w:t>
            </w:r>
          </w:p>
        </w:tc>
        <w:tc>
          <w:tcPr>
            <w:tcW w:w="0" w:type="auto"/>
            <w:tcBorders>
              <w:top w:val="single" w:sz="4" w:space="0" w:color="47D359"/>
              <w:left w:val="nil"/>
              <w:bottom w:val="single" w:sz="4" w:space="0" w:color="47D359"/>
              <w:right w:val="single" w:sz="4" w:space="0" w:color="47D359"/>
            </w:tcBorders>
            <w:shd w:val="clear" w:color="196B24" w:fill="196B24"/>
            <w:vAlign w:val="bottom"/>
            <w:hideMark/>
          </w:tcPr>
          <w:p w14:paraId="14C53BD0" w14:textId="77777777" w:rsidR="00171E1F" w:rsidRPr="00171E1F" w:rsidRDefault="00171E1F" w:rsidP="00607DB7">
            <w:pPr>
              <w:spacing w:after="0" w:line="360" w:lineRule="auto"/>
              <w:rPr>
                <w:rFonts w:ascii="Aptos Narrow" w:eastAsia="Times New Roman" w:hAnsi="Aptos Narrow"/>
                <w:b/>
                <w:bCs/>
                <w:color w:val="FFFFFF"/>
                <w:sz w:val="22"/>
              </w:rPr>
            </w:pPr>
            <w:r w:rsidRPr="00171E1F">
              <w:rPr>
                <w:rFonts w:ascii="Aptos Narrow" w:eastAsia="Times New Roman" w:hAnsi="Aptos Narrow"/>
                <w:b/>
                <w:bCs/>
                <w:color w:val="FFFFFF"/>
                <w:sz w:val="22"/>
              </w:rPr>
              <w:t>2020</w:t>
            </w:r>
          </w:p>
        </w:tc>
      </w:tr>
      <w:tr w:rsidR="00171E1F" w:rsidRPr="00171E1F" w14:paraId="5CB6FD8F" w14:textId="77777777" w:rsidTr="00171E1F">
        <w:trPr>
          <w:trHeight w:val="290"/>
        </w:trPr>
        <w:tc>
          <w:tcPr>
            <w:tcW w:w="0" w:type="auto"/>
            <w:tcBorders>
              <w:top w:val="single" w:sz="4" w:space="0" w:color="47D359"/>
              <w:left w:val="single" w:sz="4" w:space="0" w:color="47D359"/>
              <w:bottom w:val="single" w:sz="4" w:space="0" w:color="47D359"/>
              <w:right w:val="nil"/>
            </w:tcBorders>
            <w:shd w:val="clear" w:color="C1F0C8" w:fill="C1F0C8"/>
            <w:noWrap/>
            <w:vAlign w:val="bottom"/>
            <w:hideMark/>
          </w:tcPr>
          <w:p w14:paraId="6C9CB1A6"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Current Assets (£m)</w:t>
            </w:r>
          </w:p>
        </w:tc>
        <w:tc>
          <w:tcPr>
            <w:tcW w:w="0" w:type="auto"/>
            <w:tcBorders>
              <w:top w:val="single" w:sz="4" w:space="0" w:color="47D359"/>
              <w:left w:val="nil"/>
              <w:bottom w:val="single" w:sz="4" w:space="0" w:color="47D359"/>
              <w:right w:val="nil"/>
            </w:tcBorders>
            <w:shd w:val="clear" w:color="C1F0C8" w:fill="C1F0C8"/>
            <w:vAlign w:val="bottom"/>
            <w:hideMark/>
          </w:tcPr>
          <w:p w14:paraId="52581D9F"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242,494</w:t>
            </w:r>
          </w:p>
        </w:tc>
        <w:tc>
          <w:tcPr>
            <w:tcW w:w="0" w:type="auto"/>
            <w:tcBorders>
              <w:top w:val="single" w:sz="4" w:space="0" w:color="47D359"/>
              <w:left w:val="nil"/>
              <w:bottom w:val="single" w:sz="4" w:space="0" w:color="47D359"/>
              <w:right w:val="nil"/>
            </w:tcBorders>
            <w:shd w:val="clear" w:color="C1F0C8" w:fill="C1F0C8"/>
            <w:vAlign w:val="bottom"/>
            <w:hideMark/>
          </w:tcPr>
          <w:p w14:paraId="19754165"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258,851</w:t>
            </w:r>
          </w:p>
        </w:tc>
        <w:tc>
          <w:tcPr>
            <w:tcW w:w="0" w:type="auto"/>
            <w:tcBorders>
              <w:top w:val="single" w:sz="4" w:space="0" w:color="47D359"/>
              <w:left w:val="nil"/>
              <w:bottom w:val="single" w:sz="4" w:space="0" w:color="47D359"/>
              <w:right w:val="nil"/>
            </w:tcBorders>
            <w:shd w:val="clear" w:color="C1F0C8" w:fill="C1F0C8"/>
            <w:vAlign w:val="bottom"/>
            <w:hideMark/>
          </w:tcPr>
          <w:p w14:paraId="425A70FF"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338,040</w:t>
            </w:r>
          </w:p>
        </w:tc>
        <w:tc>
          <w:tcPr>
            <w:tcW w:w="0" w:type="auto"/>
            <w:tcBorders>
              <w:top w:val="single" w:sz="4" w:space="0" w:color="47D359"/>
              <w:left w:val="nil"/>
              <w:bottom w:val="single" w:sz="4" w:space="0" w:color="47D359"/>
              <w:right w:val="nil"/>
            </w:tcBorders>
            <w:shd w:val="clear" w:color="C1F0C8" w:fill="C1F0C8"/>
            <w:vAlign w:val="bottom"/>
            <w:hideMark/>
          </w:tcPr>
          <w:p w14:paraId="22ADAE0C"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337,146</w:t>
            </w:r>
          </w:p>
        </w:tc>
        <w:tc>
          <w:tcPr>
            <w:tcW w:w="0" w:type="auto"/>
            <w:tcBorders>
              <w:top w:val="single" w:sz="4" w:space="0" w:color="47D359"/>
              <w:left w:val="nil"/>
              <w:bottom w:val="single" w:sz="4" w:space="0" w:color="47D359"/>
              <w:right w:val="single" w:sz="4" w:space="0" w:color="47D359"/>
            </w:tcBorders>
            <w:shd w:val="clear" w:color="C1F0C8" w:fill="C1F0C8"/>
            <w:vAlign w:val="bottom"/>
            <w:hideMark/>
          </w:tcPr>
          <w:p w14:paraId="7BFAB9CE"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326,843</w:t>
            </w:r>
          </w:p>
        </w:tc>
      </w:tr>
      <w:tr w:rsidR="00171E1F" w:rsidRPr="00171E1F" w14:paraId="251BB231" w14:textId="77777777" w:rsidTr="00171E1F">
        <w:trPr>
          <w:trHeight w:val="290"/>
        </w:trPr>
        <w:tc>
          <w:tcPr>
            <w:tcW w:w="0" w:type="auto"/>
            <w:tcBorders>
              <w:top w:val="single" w:sz="4" w:space="0" w:color="47D359"/>
              <w:left w:val="single" w:sz="4" w:space="0" w:color="47D359"/>
              <w:bottom w:val="single" w:sz="4" w:space="0" w:color="47D359"/>
              <w:right w:val="nil"/>
            </w:tcBorders>
            <w:noWrap/>
            <w:vAlign w:val="bottom"/>
            <w:hideMark/>
          </w:tcPr>
          <w:p w14:paraId="732A3C2D"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Current Liabilities (£m)</w:t>
            </w:r>
          </w:p>
        </w:tc>
        <w:tc>
          <w:tcPr>
            <w:tcW w:w="0" w:type="auto"/>
            <w:tcBorders>
              <w:top w:val="single" w:sz="4" w:space="0" w:color="47D359"/>
              <w:left w:val="nil"/>
              <w:bottom w:val="single" w:sz="4" w:space="0" w:color="47D359"/>
              <w:right w:val="nil"/>
            </w:tcBorders>
            <w:vAlign w:val="bottom"/>
            <w:hideMark/>
          </w:tcPr>
          <w:p w14:paraId="36537366"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158,291</w:t>
            </w:r>
          </w:p>
        </w:tc>
        <w:tc>
          <w:tcPr>
            <w:tcW w:w="0" w:type="auto"/>
            <w:tcBorders>
              <w:top w:val="single" w:sz="4" w:space="0" w:color="47D359"/>
              <w:left w:val="nil"/>
              <w:bottom w:val="single" w:sz="4" w:space="0" w:color="47D359"/>
              <w:right w:val="nil"/>
            </w:tcBorders>
            <w:vAlign w:val="bottom"/>
            <w:hideMark/>
          </w:tcPr>
          <w:p w14:paraId="3A7EDD02"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161,148</w:t>
            </w:r>
          </w:p>
        </w:tc>
        <w:tc>
          <w:tcPr>
            <w:tcW w:w="0" w:type="auto"/>
            <w:tcBorders>
              <w:top w:val="single" w:sz="4" w:space="0" w:color="47D359"/>
              <w:left w:val="nil"/>
              <w:bottom w:val="single" w:sz="4" w:space="0" w:color="47D359"/>
              <w:right w:val="nil"/>
            </w:tcBorders>
            <w:vAlign w:val="bottom"/>
            <w:hideMark/>
          </w:tcPr>
          <w:p w14:paraId="2FF15E1C"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216,473</w:t>
            </w:r>
          </w:p>
        </w:tc>
        <w:tc>
          <w:tcPr>
            <w:tcW w:w="0" w:type="auto"/>
            <w:tcBorders>
              <w:top w:val="single" w:sz="4" w:space="0" w:color="47D359"/>
              <w:left w:val="nil"/>
              <w:bottom w:val="single" w:sz="4" w:space="0" w:color="47D359"/>
              <w:right w:val="nil"/>
            </w:tcBorders>
            <w:vAlign w:val="bottom"/>
            <w:hideMark/>
          </w:tcPr>
          <w:p w14:paraId="59B41D7B"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216,787</w:t>
            </w:r>
          </w:p>
        </w:tc>
        <w:tc>
          <w:tcPr>
            <w:tcW w:w="0" w:type="auto"/>
            <w:tcBorders>
              <w:top w:val="single" w:sz="4" w:space="0" w:color="47D359"/>
              <w:left w:val="nil"/>
              <w:bottom w:val="single" w:sz="4" w:space="0" w:color="47D359"/>
              <w:right w:val="single" w:sz="4" w:space="0" w:color="47D359"/>
            </w:tcBorders>
            <w:vAlign w:val="bottom"/>
            <w:hideMark/>
          </w:tcPr>
          <w:p w14:paraId="6DDBD232"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179,510</w:t>
            </w:r>
          </w:p>
        </w:tc>
      </w:tr>
      <w:tr w:rsidR="00171E1F" w:rsidRPr="00171E1F" w14:paraId="66044DFA" w14:textId="77777777" w:rsidTr="00171E1F">
        <w:trPr>
          <w:trHeight w:val="290"/>
        </w:trPr>
        <w:tc>
          <w:tcPr>
            <w:tcW w:w="0" w:type="auto"/>
            <w:tcBorders>
              <w:top w:val="single" w:sz="4" w:space="0" w:color="47D359"/>
              <w:left w:val="single" w:sz="4" w:space="0" w:color="47D359"/>
              <w:bottom w:val="single" w:sz="4" w:space="0" w:color="47D359"/>
              <w:right w:val="nil"/>
            </w:tcBorders>
            <w:shd w:val="clear" w:color="C1F0C8" w:fill="C1F0C8"/>
            <w:noWrap/>
            <w:vAlign w:val="bottom"/>
            <w:hideMark/>
          </w:tcPr>
          <w:p w14:paraId="328FB62D"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Working Capital (£m)</w:t>
            </w:r>
          </w:p>
        </w:tc>
        <w:tc>
          <w:tcPr>
            <w:tcW w:w="0" w:type="auto"/>
            <w:tcBorders>
              <w:top w:val="single" w:sz="4" w:space="0" w:color="47D359"/>
              <w:left w:val="nil"/>
              <w:bottom w:val="single" w:sz="4" w:space="0" w:color="47D359"/>
              <w:right w:val="nil"/>
            </w:tcBorders>
            <w:shd w:val="clear" w:color="C1F0C8" w:fill="C1F0C8"/>
            <w:vAlign w:val="bottom"/>
            <w:hideMark/>
          </w:tcPr>
          <w:p w14:paraId="4E4CB4EA"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84,203</w:t>
            </w:r>
          </w:p>
        </w:tc>
        <w:tc>
          <w:tcPr>
            <w:tcW w:w="0" w:type="auto"/>
            <w:tcBorders>
              <w:top w:val="single" w:sz="4" w:space="0" w:color="47D359"/>
              <w:left w:val="nil"/>
              <w:bottom w:val="single" w:sz="4" w:space="0" w:color="47D359"/>
              <w:right w:val="nil"/>
            </w:tcBorders>
            <w:shd w:val="clear" w:color="C1F0C8" w:fill="C1F0C8"/>
            <w:vAlign w:val="bottom"/>
            <w:hideMark/>
          </w:tcPr>
          <w:p w14:paraId="6FC5434E"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97,703</w:t>
            </w:r>
          </w:p>
        </w:tc>
        <w:tc>
          <w:tcPr>
            <w:tcW w:w="0" w:type="auto"/>
            <w:tcBorders>
              <w:top w:val="single" w:sz="4" w:space="0" w:color="47D359"/>
              <w:left w:val="nil"/>
              <w:bottom w:val="single" w:sz="4" w:space="0" w:color="47D359"/>
              <w:right w:val="nil"/>
            </w:tcBorders>
            <w:shd w:val="clear" w:color="C1F0C8" w:fill="C1F0C8"/>
            <w:vAlign w:val="bottom"/>
            <w:hideMark/>
          </w:tcPr>
          <w:p w14:paraId="7DB4006B"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121,567</w:t>
            </w:r>
          </w:p>
        </w:tc>
        <w:tc>
          <w:tcPr>
            <w:tcW w:w="0" w:type="auto"/>
            <w:tcBorders>
              <w:top w:val="single" w:sz="4" w:space="0" w:color="47D359"/>
              <w:left w:val="nil"/>
              <w:bottom w:val="single" w:sz="4" w:space="0" w:color="47D359"/>
              <w:right w:val="nil"/>
            </w:tcBorders>
            <w:shd w:val="clear" w:color="C1F0C8" w:fill="C1F0C8"/>
            <w:vAlign w:val="bottom"/>
            <w:hideMark/>
          </w:tcPr>
          <w:p w14:paraId="7D80F716"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120,359</w:t>
            </w:r>
          </w:p>
        </w:tc>
        <w:tc>
          <w:tcPr>
            <w:tcW w:w="0" w:type="auto"/>
            <w:tcBorders>
              <w:top w:val="single" w:sz="4" w:space="0" w:color="47D359"/>
              <w:left w:val="nil"/>
              <w:bottom w:val="single" w:sz="4" w:space="0" w:color="47D359"/>
              <w:right w:val="single" w:sz="4" w:space="0" w:color="47D359"/>
            </w:tcBorders>
            <w:shd w:val="clear" w:color="C1F0C8" w:fill="C1F0C8"/>
            <w:vAlign w:val="bottom"/>
            <w:hideMark/>
          </w:tcPr>
          <w:p w14:paraId="57940EB0"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147,333</w:t>
            </w:r>
          </w:p>
        </w:tc>
      </w:tr>
      <w:tr w:rsidR="00171E1F" w:rsidRPr="00171E1F" w14:paraId="3437559E" w14:textId="77777777" w:rsidTr="00171E1F">
        <w:trPr>
          <w:trHeight w:val="580"/>
        </w:trPr>
        <w:tc>
          <w:tcPr>
            <w:tcW w:w="0" w:type="auto"/>
            <w:tcBorders>
              <w:top w:val="single" w:sz="4" w:space="0" w:color="47D359"/>
              <w:left w:val="single" w:sz="4" w:space="0" w:color="47D359"/>
              <w:bottom w:val="single" w:sz="4" w:space="0" w:color="47D359"/>
              <w:right w:val="nil"/>
            </w:tcBorders>
            <w:noWrap/>
            <w:vAlign w:val="bottom"/>
            <w:hideMark/>
          </w:tcPr>
          <w:p w14:paraId="4E305A11"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Working Capital Ratio</w:t>
            </w:r>
          </w:p>
        </w:tc>
        <w:tc>
          <w:tcPr>
            <w:tcW w:w="0" w:type="auto"/>
            <w:tcBorders>
              <w:top w:val="single" w:sz="4" w:space="0" w:color="47D359"/>
              <w:left w:val="nil"/>
              <w:bottom w:val="single" w:sz="4" w:space="0" w:color="47D359"/>
              <w:right w:val="nil"/>
            </w:tcBorders>
            <w:vAlign w:val="bottom"/>
            <w:hideMark/>
          </w:tcPr>
          <w:p w14:paraId="2FFC2DBF"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84,203/394,879 = 21.3%</w:t>
            </w:r>
          </w:p>
        </w:tc>
        <w:tc>
          <w:tcPr>
            <w:tcW w:w="0" w:type="auto"/>
            <w:tcBorders>
              <w:top w:val="single" w:sz="4" w:space="0" w:color="47D359"/>
              <w:left w:val="nil"/>
              <w:bottom w:val="single" w:sz="4" w:space="0" w:color="47D359"/>
              <w:right w:val="nil"/>
            </w:tcBorders>
            <w:vAlign w:val="bottom"/>
            <w:hideMark/>
          </w:tcPr>
          <w:p w14:paraId="7873BD9E"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97,703/420,457 = 23.2%</w:t>
            </w:r>
          </w:p>
        </w:tc>
        <w:tc>
          <w:tcPr>
            <w:tcW w:w="0" w:type="auto"/>
            <w:tcBorders>
              <w:top w:val="single" w:sz="4" w:space="0" w:color="47D359"/>
              <w:left w:val="nil"/>
              <w:bottom w:val="single" w:sz="4" w:space="0" w:color="47D359"/>
              <w:right w:val="nil"/>
            </w:tcBorders>
            <w:vAlign w:val="bottom"/>
            <w:hideMark/>
          </w:tcPr>
          <w:p w14:paraId="0B3E504F"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121,567/542,751 = 22.4%</w:t>
            </w:r>
          </w:p>
        </w:tc>
        <w:tc>
          <w:tcPr>
            <w:tcW w:w="0" w:type="auto"/>
            <w:tcBorders>
              <w:top w:val="single" w:sz="4" w:space="0" w:color="47D359"/>
              <w:left w:val="nil"/>
              <w:bottom w:val="single" w:sz="4" w:space="0" w:color="47D359"/>
              <w:right w:val="nil"/>
            </w:tcBorders>
            <w:vAlign w:val="bottom"/>
            <w:hideMark/>
          </w:tcPr>
          <w:p w14:paraId="709BAE8E"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120,359/601,602 = 20.0%</w:t>
            </w:r>
          </w:p>
        </w:tc>
        <w:tc>
          <w:tcPr>
            <w:tcW w:w="0" w:type="auto"/>
            <w:tcBorders>
              <w:top w:val="single" w:sz="4" w:space="0" w:color="47D359"/>
              <w:left w:val="nil"/>
              <w:bottom w:val="single" w:sz="4" w:space="0" w:color="47D359"/>
              <w:right w:val="single" w:sz="4" w:space="0" w:color="47D359"/>
            </w:tcBorders>
            <w:vAlign w:val="bottom"/>
            <w:hideMark/>
          </w:tcPr>
          <w:p w14:paraId="1F845ED8" w14:textId="77777777" w:rsidR="00171E1F" w:rsidRPr="00171E1F" w:rsidRDefault="00171E1F" w:rsidP="00607DB7">
            <w:pPr>
              <w:spacing w:after="0" w:line="360" w:lineRule="auto"/>
              <w:rPr>
                <w:rFonts w:ascii="Aptos Narrow" w:eastAsia="Times New Roman" w:hAnsi="Aptos Narrow"/>
                <w:color w:val="000000"/>
                <w:sz w:val="22"/>
              </w:rPr>
            </w:pPr>
            <w:r w:rsidRPr="00171E1F">
              <w:rPr>
                <w:rFonts w:ascii="Aptos Narrow" w:eastAsia="Times New Roman" w:hAnsi="Aptos Narrow"/>
                <w:color w:val="000000"/>
                <w:sz w:val="22"/>
              </w:rPr>
              <w:t>147,333/614,680 = 24.0%</w:t>
            </w:r>
          </w:p>
        </w:tc>
      </w:tr>
    </w:tbl>
    <w:p w14:paraId="487DC2C4" w14:textId="70402747" w:rsidR="000C47DB" w:rsidRDefault="000C47DB" w:rsidP="00DC763C">
      <w:pPr>
        <w:spacing w:line="360" w:lineRule="auto"/>
        <w:rPr>
          <w:b/>
          <w:bCs/>
          <w:iCs/>
        </w:rPr>
      </w:pPr>
      <w:r w:rsidRPr="000C47DB">
        <w:t>At the same time, the absolute working capital decreased by 43 percent (between London147.3 and London84.2) to restrict operational flexibility. The long cycle acutely limits the availability of cash, compelling more use of costly short-term credit facilities, which rose to as high as £88 million (2022) before peaking at the existing level of liquidity, and poses a risk to the viability of operations</w:t>
      </w:r>
      <w:r w:rsidR="00011A07">
        <w:rPr>
          <w:b/>
          <w:bCs/>
          <w:iCs/>
        </w:rPr>
        <w:t xml:space="preserve"> </w:t>
      </w:r>
      <w:r w:rsidR="00011A07" w:rsidRPr="00011A07">
        <w:t>(Xuan, Thu and Nguyen, 2025)</w:t>
      </w:r>
      <w:r w:rsidRPr="000C47DB">
        <w:t>.</w:t>
      </w:r>
    </w:p>
    <w:p w14:paraId="6EB84DF0" w14:textId="3B0BA31F" w:rsidR="001E5B83" w:rsidRPr="001E5B83" w:rsidRDefault="001E5B83" w:rsidP="00607DB7">
      <w:pPr>
        <w:pStyle w:val="Heading2"/>
        <w:spacing w:line="360" w:lineRule="auto"/>
        <w:jc w:val="both"/>
      </w:pPr>
      <w:bookmarkStart w:id="9" w:name="_Toc213234339"/>
      <w:r w:rsidRPr="001E5B83">
        <w:rPr>
          <w:rFonts w:eastAsiaTheme="majorEastAsia"/>
        </w:rPr>
        <w:t>2.2 Working Capital Component Analysis</w:t>
      </w:r>
      <w:bookmarkEnd w:id="9"/>
    </w:p>
    <w:p w14:paraId="2F92E97F" w14:textId="2A052117" w:rsidR="001E5B83" w:rsidRPr="001E5B83" w:rsidRDefault="000C47DB" w:rsidP="00607DB7">
      <w:pPr>
        <w:spacing w:line="360" w:lineRule="auto"/>
      </w:pPr>
      <w:r w:rsidRPr="000C47DB">
        <w:t>There is a high level of inefficiency in inventory management, which has been increasing since 2020 (100 days) to 2022-2023 (129 days). This decay of 29% indicates the possibility of obsolescence, failure of demand forecasting, and high policies of safety stock. The long inventory cycles in the unstable consumer electronics market augment the risks of markdowns and exposure to technological obsolescence. The collection period worsened 38 percent, to 106 days (2024) versus 77 days (2020), which is a sign of poor credit management, customer financial status or tight credit policies implemented to sustain dwindling revenues</w:t>
      </w:r>
      <w:r w:rsidR="00011A07">
        <w:t xml:space="preserve"> </w:t>
      </w:r>
      <w:r w:rsidR="00011A07" w:rsidRPr="00011A07">
        <w:t xml:space="preserve">(Zeidan and </w:t>
      </w:r>
      <w:proofErr w:type="spellStart"/>
      <w:r w:rsidR="00011A07" w:rsidRPr="00011A07">
        <w:t>Shapir</w:t>
      </w:r>
      <w:proofErr w:type="spellEnd"/>
      <w:r w:rsidR="00011A07" w:rsidRPr="00011A07">
        <w:t>, 2017)</w:t>
      </w:r>
      <w:r w:rsidRPr="000C47DB">
        <w:t xml:space="preserve">. This expansion directly </w:t>
      </w:r>
      <w:r w:rsidRPr="000C47DB">
        <w:lastRenderedPageBreak/>
        <w:t xml:space="preserve">undermines cash generating ability. On the other hand, management payables </w:t>
      </w:r>
      <w:proofErr w:type="gramStart"/>
      <w:r w:rsidRPr="000C47DB">
        <w:t>was</w:t>
      </w:r>
      <w:proofErr w:type="gramEnd"/>
      <w:r w:rsidRPr="000C47DB">
        <w:t xml:space="preserve"> inconsistent and the period of payment varies with the range between 64-94 days, which could be harmful to the relationship with its suppliers and its access to trade credit. The net effect is massive cash consumption, and about £215 million is languishing in working capital elements, which is one of the key liquidity </w:t>
      </w:r>
      <w:r w:rsidR="00011A07" w:rsidRPr="000C47DB">
        <w:t>constraints that</w:t>
      </w:r>
      <w:r w:rsidRPr="000C47DB">
        <w:t xml:space="preserve"> needs urgent optimization</w:t>
      </w:r>
      <w:r w:rsidR="00011A07">
        <w:t xml:space="preserve"> </w:t>
      </w:r>
      <w:r w:rsidR="00011A07" w:rsidRPr="00011A07">
        <w:t>(</w:t>
      </w:r>
      <w:proofErr w:type="spellStart"/>
      <w:r w:rsidR="00011A07" w:rsidRPr="00011A07">
        <w:t>Mengstie</w:t>
      </w:r>
      <w:proofErr w:type="spellEnd"/>
      <w:r w:rsidR="00011A07" w:rsidRPr="00011A07">
        <w:t xml:space="preserve">, </w:t>
      </w:r>
      <w:proofErr w:type="spellStart"/>
      <w:r w:rsidR="00011A07" w:rsidRPr="00011A07">
        <w:t>Mosisa</w:t>
      </w:r>
      <w:proofErr w:type="spellEnd"/>
      <w:r w:rsidR="00011A07" w:rsidRPr="00011A07">
        <w:t xml:space="preserve"> and </w:t>
      </w:r>
      <w:proofErr w:type="spellStart"/>
      <w:r w:rsidR="00011A07" w:rsidRPr="00011A07">
        <w:t>Mosisa</w:t>
      </w:r>
      <w:proofErr w:type="spellEnd"/>
      <w:r w:rsidR="00011A07" w:rsidRPr="00011A07">
        <w:t>, 2024)</w:t>
      </w:r>
      <w:r w:rsidRPr="000C47DB">
        <w:t>.</w:t>
      </w:r>
    </w:p>
    <w:p w14:paraId="321489F9" w14:textId="77777777" w:rsidR="001E5B83" w:rsidRPr="001E5B83" w:rsidRDefault="001E5B83" w:rsidP="00607DB7">
      <w:pPr>
        <w:pStyle w:val="Heading2"/>
        <w:spacing w:line="360" w:lineRule="auto"/>
        <w:jc w:val="both"/>
      </w:pPr>
      <w:bookmarkStart w:id="10" w:name="_Toc213234340"/>
      <w:r w:rsidRPr="001E5B83">
        <w:rPr>
          <w:rFonts w:eastAsiaTheme="majorEastAsia"/>
        </w:rPr>
        <w:t>2.3 Strategic Working Capital Improvement Recommendations</w:t>
      </w:r>
      <w:bookmarkEnd w:id="10"/>
    </w:p>
    <w:p w14:paraId="7F49B457" w14:textId="61E0A9B7" w:rsidR="000C47DB" w:rsidRDefault="000C47DB" w:rsidP="00607DB7">
      <w:pPr>
        <w:spacing w:line="360" w:lineRule="auto"/>
      </w:pPr>
      <w:r w:rsidRPr="000C47DB">
        <w:rPr>
          <w:b/>
          <w:bCs/>
        </w:rPr>
        <w:t>Inventory Optimization Strategies:</w:t>
      </w:r>
      <w:r>
        <w:t xml:space="preserve"> Just in time inventory options, cutting holding times by </w:t>
      </w:r>
      <w:proofErr w:type="gramStart"/>
      <w:r>
        <w:t>20-25 to 85-90 day</w:t>
      </w:r>
      <w:proofErr w:type="gramEnd"/>
      <w:r>
        <w:t xml:space="preserve"> cycles by demand forecasting analytics, SKU rationalization that gets rid of slow-moving products, and vendor-managed inventory contracts with major suppliers</w:t>
      </w:r>
      <w:r w:rsidR="00011A07">
        <w:t xml:space="preserve"> </w:t>
      </w:r>
      <w:r w:rsidR="00011A07" w:rsidRPr="00011A07">
        <w:t>(</w:t>
      </w:r>
      <w:proofErr w:type="spellStart"/>
      <w:r w:rsidR="00011A07" w:rsidRPr="00011A07">
        <w:t>Mengstie</w:t>
      </w:r>
      <w:proofErr w:type="spellEnd"/>
      <w:r w:rsidR="00011A07" w:rsidRPr="00011A07">
        <w:t xml:space="preserve">, </w:t>
      </w:r>
      <w:proofErr w:type="spellStart"/>
      <w:r w:rsidR="00011A07" w:rsidRPr="00011A07">
        <w:t>Mosisa</w:t>
      </w:r>
      <w:proofErr w:type="spellEnd"/>
      <w:r w:rsidR="00011A07" w:rsidRPr="00011A07">
        <w:t xml:space="preserve"> and </w:t>
      </w:r>
      <w:proofErr w:type="spellStart"/>
      <w:r w:rsidR="00011A07" w:rsidRPr="00011A07">
        <w:t>Mosisa</w:t>
      </w:r>
      <w:proofErr w:type="spellEnd"/>
      <w:r w:rsidR="00011A07" w:rsidRPr="00011A07">
        <w:t>, 2024)</w:t>
      </w:r>
      <w:r>
        <w:t xml:space="preserve">. Implement inventory classification systems with high turnover items being given priority with the old inventory being liquidated through discount channels, which may give out a release of cash of 15-20 million. Institute automated reorder point systems that are tied to sales forecasting </w:t>
      </w:r>
      <w:r w:rsidR="00011A07">
        <w:t>to</w:t>
      </w:r>
      <w:r>
        <w:t xml:space="preserve"> reduce levels of safety stock without compromising on service levels. </w:t>
      </w:r>
      <w:r w:rsidR="00011A07">
        <w:t>Consider</w:t>
      </w:r>
      <w:r>
        <w:t xml:space="preserve"> consignment inventory deals with key suppliers, passing on holding costs and obsolescence risks to the supplier</w:t>
      </w:r>
      <w:r w:rsidR="00011A07">
        <w:t xml:space="preserve"> </w:t>
      </w:r>
      <w:r w:rsidR="00011A07" w:rsidRPr="00011A07">
        <w:t xml:space="preserve">(Zeidan and </w:t>
      </w:r>
      <w:proofErr w:type="spellStart"/>
      <w:r w:rsidR="00011A07" w:rsidRPr="00011A07">
        <w:t>Shapir</w:t>
      </w:r>
      <w:proofErr w:type="spellEnd"/>
      <w:r w:rsidR="00011A07" w:rsidRPr="00011A07">
        <w:t>, 2017)</w:t>
      </w:r>
      <w:r>
        <w:t>.</w:t>
      </w:r>
    </w:p>
    <w:p w14:paraId="49985E72" w14:textId="7626B4C4" w:rsidR="000C47DB" w:rsidRDefault="000C47DB" w:rsidP="00607DB7">
      <w:pPr>
        <w:spacing w:line="360" w:lineRule="auto"/>
      </w:pPr>
      <w:r w:rsidRPr="000C47DB">
        <w:rPr>
          <w:b/>
          <w:bCs/>
        </w:rPr>
        <w:t>Receivables Acceleration Programs:</w:t>
      </w:r>
      <w:r>
        <w:t xml:space="preserve"> Decrease the collection period to 80-85 days by implementing strict credit procedures, early payment discounts (2/10 net 60), automated dunning vehicles, and specific collection departments on </w:t>
      </w:r>
      <w:proofErr w:type="spellStart"/>
      <w:r>
        <w:t>overdues</w:t>
      </w:r>
      <w:proofErr w:type="spellEnd"/>
      <w:r>
        <w:t>. Introduce customer credit score systems that reject high risk accounts</w:t>
      </w:r>
      <w:r w:rsidR="00011A07">
        <w:t xml:space="preserve"> </w:t>
      </w:r>
      <w:r w:rsidR="00011A07" w:rsidRPr="00011A07">
        <w:t>(Hempel, Li and Tibay, 2024)</w:t>
      </w:r>
      <w:r>
        <w:t>. Invoice factoring facilities or receivables financing facilities Invoice factoring facilities or receivables financing facilities can be deployed to get immediate liquidity against outstanding invoices and potentially release the tanks of cash (10-15 million). Enforce terms of contractual payment, deposit on big orders and progress payment on long-term projects. Introduce electronic invoicing and payment systems that minimize delays in processing and enhance the visibility of collection</w:t>
      </w:r>
      <w:r w:rsidR="00011A07">
        <w:t xml:space="preserve"> </w:t>
      </w:r>
      <w:r w:rsidR="00011A07" w:rsidRPr="00011A07">
        <w:t>(</w:t>
      </w:r>
      <w:proofErr w:type="spellStart"/>
      <w:r w:rsidR="00011A07" w:rsidRPr="00011A07">
        <w:t>Mengstie</w:t>
      </w:r>
      <w:proofErr w:type="spellEnd"/>
      <w:r w:rsidR="00011A07" w:rsidRPr="00011A07">
        <w:t xml:space="preserve">, </w:t>
      </w:r>
      <w:proofErr w:type="spellStart"/>
      <w:r w:rsidR="00011A07" w:rsidRPr="00011A07">
        <w:t>Mosisa</w:t>
      </w:r>
      <w:proofErr w:type="spellEnd"/>
      <w:r w:rsidR="00011A07" w:rsidRPr="00011A07">
        <w:t xml:space="preserve"> and </w:t>
      </w:r>
      <w:proofErr w:type="spellStart"/>
      <w:r w:rsidR="00011A07" w:rsidRPr="00011A07">
        <w:t>Mosisa</w:t>
      </w:r>
      <w:proofErr w:type="spellEnd"/>
      <w:r w:rsidR="00011A07" w:rsidRPr="00011A07">
        <w:t>, 2024)</w:t>
      </w:r>
      <w:r>
        <w:t>.</w:t>
      </w:r>
    </w:p>
    <w:p w14:paraId="5601B698" w14:textId="6205AC03" w:rsidR="001E5B83" w:rsidRPr="001E5B83" w:rsidRDefault="000C47DB" w:rsidP="00607DB7">
      <w:pPr>
        <w:spacing w:line="360" w:lineRule="auto"/>
      </w:pPr>
      <w:r w:rsidRPr="000C47DB">
        <w:rPr>
          <w:b/>
          <w:bCs/>
        </w:rPr>
        <w:t>Payables Optimization:</w:t>
      </w:r>
      <w:r>
        <w:t xml:space="preserve"> Lengthen payment terms to 75-80 days without any harm to the supplier relations due to open and clear communication and the possibilities of the </w:t>
      </w:r>
      <w:r>
        <w:lastRenderedPageBreak/>
        <w:t xml:space="preserve">payment planning. Negotiate early payment discounts selectively when the financial gains are high in comparison with the opportunity costs. Centralize suppliers to gain better credit conditions with buying. Implement supply chain financing </w:t>
      </w:r>
      <w:proofErr w:type="spellStart"/>
      <w:r>
        <w:t>programmemes</w:t>
      </w:r>
      <w:proofErr w:type="spellEnd"/>
      <w:r>
        <w:t xml:space="preserve"> that allow suppliers to take advance payment in the form of third-party financing but that extends the payment obligations of the company, so that the working capital is utilized optimally without the threat of adverse impacts to the relationship with the vendors or supply chain</w:t>
      </w:r>
      <w:r w:rsidR="00011A07">
        <w:t xml:space="preserve"> </w:t>
      </w:r>
      <w:r w:rsidR="00011A07" w:rsidRPr="00011A07">
        <w:t>(Hempel, Li and Tibay, 2024)</w:t>
      </w:r>
      <w:r>
        <w:t>.</w:t>
      </w:r>
    </w:p>
    <w:p w14:paraId="1AC6BD90" w14:textId="77777777" w:rsidR="001E5B83" w:rsidRPr="001E5B83" w:rsidRDefault="001E5B83" w:rsidP="00607DB7">
      <w:pPr>
        <w:pStyle w:val="Heading2"/>
        <w:spacing w:line="360" w:lineRule="auto"/>
        <w:jc w:val="both"/>
      </w:pPr>
      <w:bookmarkStart w:id="11" w:name="_Toc213234341"/>
      <w:r w:rsidRPr="001E5B83">
        <w:rPr>
          <w:rFonts w:eastAsiaTheme="majorEastAsia"/>
        </w:rPr>
        <w:t>2.4 Short-Term versus Long-Term Financing Comparison</w:t>
      </w:r>
      <w:bookmarkEnd w:id="11"/>
    </w:p>
    <w:p w14:paraId="5562F6B5" w14:textId="77777777" w:rsidR="001E5B83" w:rsidRPr="001E5B83" w:rsidRDefault="001E5B83" w:rsidP="00607DB7">
      <w:pPr>
        <w:spacing w:line="360" w:lineRule="auto"/>
      </w:pPr>
      <w:r w:rsidRPr="001E5B83">
        <w:t>Table 8: Financing Options Comparative Analysis</w:t>
      </w:r>
    </w:p>
    <w:tbl>
      <w:tblPr>
        <w:tblStyle w:val="TableGrid"/>
        <w:tblW w:w="0" w:type="auto"/>
        <w:tblLook w:val="04A0" w:firstRow="1" w:lastRow="0" w:firstColumn="1" w:lastColumn="0" w:noHBand="0" w:noVBand="1"/>
      </w:tblPr>
      <w:tblGrid>
        <w:gridCol w:w="2007"/>
        <w:gridCol w:w="3631"/>
        <w:gridCol w:w="3712"/>
      </w:tblGrid>
      <w:tr w:rsidR="001E5B83" w:rsidRPr="001E5B83" w14:paraId="1EDE9FC4" w14:textId="77777777" w:rsidTr="001E5B83">
        <w:tc>
          <w:tcPr>
            <w:tcW w:w="0" w:type="auto"/>
            <w:hideMark/>
          </w:tcPr>
          <w:p w14:paraId="509F5CD6" w14:textId="77777777" w:rsidR="001E5B83" w:rsidRPr="001E5B83" w:rsidRDefault="001E5B83" w:rsidP="00607DB7">
            <w:pPr>
              <w:spacing w:line="360" w:lineRule="auto"/>
              <w:rPr>
                <w:b/>
                <w:bCs/>
              </w:rPr>
            </w:pPr>
            <w:r w:rsidRPr="001E5B83">
              <w:rPr>
                <w:b/>
                <w:bCs/>
              </w:rPr>
              <w:t>Criteria</w:t>
            </w:r>
          </w:p>
        </w:tc>
        <w:tc>
          <w:tcPr>
            <w:tcW w:w="0" w:type="auto"/>
            <w:hideMark/>
          </w:tcPr>
          <w:p w14:paraId="0CB96AD7" w14:textId="77777777" w:rsidR="001E5B83" w:rsidRPr="001E5B83" w:rsidRDefault="001E5B83" w:rsidP="00607DB7">
            <w:pPr>
              <w:spacing w:line="360" w:lineRule="auto"/>
              <w:rPr>
                <w:b/>
                <w:bCs/>
              </w:rPr>
            </w:pPr>
            <w:r w:rsidRPr="001E5B83">
              <w:rPr>
                <w:b/>
                <w:bCs/>
              </w:rPr>
              <w:t>Short-Term Financing</w:t>
            </w:r>
          </w:p>
        </w:tc>
        <w:tc>
          <w:tcPr>
            <w:tcW w:w="0" w:type="auto"/>
            <w:hideMark/>
          </w:tcPr>
          <w:p w14:paraId="40447F90" w14:textId="77777777" w:rsidR="001E5B83" w:rsidRPr="001E5B83" w:rsidRDefault="001E5B83" w:rsidP="00607DB7">
            <w:pPr>
              <w:spacing w:line="360" w:lineRule="auto"/>
              <w:rPr>
                <w:b/>
                <w:bCs/>
              </w:rPr>
            </w:pPr>
            <w:r w:rsidRPr="001E5B83">
              <w:rPr>
                <w:b/>
                <w:bCs/>
              </w:rPr>
              <w:t>Long-Term Financing</w:t>
            </w:r>
          </w:p>
        </w:tc>
      </w:tr>
      <w:tr w:rsidR="001E5B83" w:rsidRPr="001E5B83" w14:paraId="4D538D91" w14:textId="77777777" w:rsidTr="001E5B83">
        <w:tc>
          <w:tcPr>
            <w:tcW w:w="0" w:type="auto"/>
            <w:hideMark/>
          </w:tcPr>
          <w:p w14:paraId="5DA3DD9F" w14:textId="77777777" w:rsidR="001E5B83" w:rsidRPr="001E5B83" w:rsidRDefault="001E5B83" w:rsidP="00607DB7">
            <w:pPr>
              <w:spacing w:line="360" w:lineRule="auto"/>
            </w:pPr>
            <w:r w:rsidRPr="001E5B83">
              <w:t>Current Position</w:t>
            </w:r>
          </w:p>
        </w:tc>
        <w:tc>
          <w:tcPr>
            <w:tcW w:w="0" w:type="auto"/>
            <w:hideMark/>
          </w:tcPr>
          <w:p w14:paraId="7279F82C" w14:textId="77777777" w:rsidR="001E5B83" w:rsidRPr="001E5B83" w:rsidRDefault="001E5B83" w:rsidP="00607DB7">
            <w:pPr>
              <w:spacing w:line="360" w:lineRule="auto"/>
            </w:pPr>
            <w:r w:rsidRPr="001E5B83">
              <w:t>Lines of credit: £36.96m (2024)</w:t>
            </w:r>
          </w:p>
        </w:tc>
        <w:tc>
          <w:tcPr>
            <w:tcW w:w="0" w:type="auto"/>
            <w:hideMark/>
          </w:tcPr>
          <w:p w14:paraId="4C32A0E7" w14:textId="77777777" w:rsidR="001E5B83" w:rsidRPr="001E5B83" w:rsidRDefault="001E5B83" w:rsidP="00607DB7">
            <w:pPr>
              <w:spacing w:line="360" w:lineRule="auto"/>
            </w:pPr>
            <w:r w:rsidRPr="001E5B83">
              <w:t>Minimal long-term debt</w:t>
            </w:r>
          </w:p>
        </w:tc>
      </w:tr>
      <w:tr w:rsidR="001E5B83" w:rsidRPr="001E5B83" w14:paraId="676FD7E5" w14:textId="77777777" w:rsidTr="001E5B83">
        <w:tc>
          <w:tcPr>
            <w:tcW w:w="0" w:type="auto"/>
            <w:hideMark/>
          </w:tcPr>
          <w:p w14:paraId="196AD0BD" w14:textId="77777777" w:rsidR="001E5B83" w:rsidRPr="001E5B83" w:rsidRDefault="001E5B83" w:rsidP="00607DB7">
            <w:pPr>
              <w:spacing w:line="360" w:lineRule="auto"/>
            </w:pPr>
            <w:r w:rsidRPr="001E5B83">
              <w:t>Cost</w:t>
            </w:r>
          </w:p>
        </w:tc>
        <w:tc>
          <w:tcPr>
            <w:tcW w:w="0" w:type="auto"/>
            <w:hideMark/>
          </w:tcPr>
          <w:p w14:paraId="31D6AD11" w14:textId="77777777" w:rsidR="001E5B83" w:rsidRPr="001E5B83" w:rsidRDefault="001E5B83" w:rsidP="00607DB7">
            <w:pPr>
              <w:spacing w:line="360" w:lineRule="auto"/>
            </w:pPr>
            <w:r w:rsidRPr="001E5B83">
              <w:t>Higher rates (8-12%), volatile</w:t>
            </w:r>
          </w:p>
        </w:tc>
        <w:tc>
          <w:tcPr>
            <w:tcW w:w="0" w:type="auto"/>
            <w:hideMark/>
          </w:tcPr>
          <w:p w14:paraId="13BA26D1" w14:textId="77777777" w:rsidR="001E5B83" w:rsidRPr="001E5B83" w:rsidRDefault="001E5B83" w:rsidP="00607DB7">
            <w:pPr>
              <w:spacing w:line="360" w:lineRule="auto"/>
            </w:pPr>
            <w:r w:rsidRPr="001E5B83">
              <w:t>Lower rates (5-7%), stable</w:t>
            </w:r>
          </w:p>
        </w:tc>
      </w:tr>
      <w:tr w:rsidR="001E5B83" w:rsidRPr="001E5B83" w14:paraId="66C0D0ED" w14:textId="77777777" w:rsidTr="001E5B83">
        <w:tc>
          <w:tcPr>
            <w:tcW w:w="0" w:type="auto"/>
            <w:hideMark/>
          </w:tcPr>
          <w:p w14:paraId="48BA6054" w14:textId="77777777" w:rsidR="001E5B83" w:rsidRPr="001E5B83" w:rsidRDefault="001E5B83" w:rsidP="00607DB7">
            <w:pPr>
              <w:spacing w:line="360" w:lineRule="auto"/>
            </w:pPr>
            <w:r w:rsidRPr="001E5B83">
              <w:t>Refinancing Risk</w:t>
            </w:r>
          </w:p>
        </w:tc>
        <w:tc>
          <w:tcPr>
            <w:tcW w:w="0" w:type="auto"/>
            <w:hideMark/>
          </w:tcPr>
          <w:p w14:paraId="310E6530" w14:textId="77777777" w:rsidR="001E5B83" w:rsidRPr="001E5B83" w:rsidRDefault="001E5B83" w:rsidP="00607DB7">
            <w:pPr>
              <w:spacing w:line="360" w:lineRule="auto"/>
            </w:pPr>
            <w:r w:rsidRPr="001E5B83">
              <w:t>High annual renewal risk</w:t>
            </w:r>
          </w:p>
        </w:tc>
        <w:tc>
          <w:tcPr>
            <w:tcW w:w="0" w:type="auto"/>
            <w:hideMark/>
          </w:tcPr>
          <w:p w14:paraId="104CA0C8" w14:textId="77777777" w:rsidR="001E5B83" w:rsidRPr="001E5B83" w:rsidRDefault="001E5B83" w:rsidP="00607DB7">
            <w:pPr>
              <w:spacing w:line="360" w:lineRule="auto"/>
            </w:pPr>
            <w:r w:rsidRPr="001E5B83">
              <w:t>Low, locked rates</w:t>
            </w:r>
          </w:p>
        </w:tc>
      </w:tr>
      <w:tr w:rsidR="001E5B83" w:rsidRPr="001E5B83" w14:paraId="03527C13" w14:textId="77777777" w:rsidTr="001E5B83">
        <w:tc>
          <w:tcPr>
            <w:tcW w:w="0" w:type="auto"/>
            <w:hideMark/>
          </w:tcPr>
          <w:p w14:paraId="0E1BFDC0" w14:textId="77777777" w:rsidR="001E5B83" w:rsidRPr="001E5B83" w:rsidRDefault="001E5B83" w:rsidP="00607DB7">
            <w:pPr>
              <w:spacing w:line="360" w:lineRule="auto"/>
            </w:pPr>
            <w:r w:rsidRPr="001E5B83">
              <w:t>Flexibility</w:t>
            </w:r>
          </w:p>
        </w:tc>
        <w:tc>
          <w:tcPr>
            <w:tcW w:w="0" w:type="auto"/>
            <w:hideMark/>
          </w:tcPr>
          <w:p w14:paraId="62E26692" w14:textId="77777777" w:rsidR="001E5B83" w:rsidRPr="001E5B83" w:rsidRDefault="001E5B83" w:rsidP="00607DB7">
            <w:pPr>
              <w:spacing w:line="360" w:lineRule="auto"/>
            </w:pPr>
            <w:r w:rsidRPr="001E5B83">
              <w:t>High operational flexibility</w:t>
            </w:r>
          </w:p>
        </w:tc>
        <w:tc>
          <w:tcPr>
            <w:tcW w:w="0" w:type="auto"/>
            <w:hideMark/>
          </w:tcPr>
          <w:p w14:paraId="2285D53E" w14:textId="77777777" w:rsidR="001E5B83" w:rsidRPr="001E5B83" w:rsidRDefault="001E5B83" w:rsidP="00607DB7">
            <w:pPr>
              <w:spacing w:line="360" w:lineRule="auto"/>
            </w:pPr>
            <w:r w:rsidRPr="001E5B83">
              <w:t>Limited flexibility, covenants</w:t>
            </w:r>
          </w:p>
        </w:tc>
      </w:tr>
      <w:tr w:rsidR="001E5B83" w:rsidRPr="001E5B83" w14:paraId="6A05C12A" w14:textId="77777777" w:rsidTr="001E5B83">
        <w:tc>
          <w:tcPr>
            <w:tcW w:w="0" w:type="auto"/>
            <w:hideMark/>
          </w:tcPr>
          <w:p w14:paraId="0E6EA27F" w14:textId="77777777" w:rsidR="001E5B83" w:rsidRPr="001E5B83" w:rsidRDefault="001E5B83" w:rsidP="00607DB7">
            <w:pPr>
              <w:spacing w:line="360" w:lineRule="auto"/>
            </w:pPr>
            <w:r w:rsidRPr="001E5B83">
              <w:t>Suitability</w:t>
            </w:r>
          </w:p>
        </w:tc>
        <w:tc>
          <w:tcPr>
            <w:tcW w:w="0" w:type="auto"/>
            <w:hideMark/>
          </w:tcPr>
          <w:p w14:paraId="455CA174" w14:textId="77777777" w:rsidR="001E5B83" w:rsidRPr="001E5B83" w:rsidRDefault="001E5B83" w:rsidP="00607DB7">
            <w:pPr>
              <w:spacing w:line="360" w:lineRule="auto"/>
            </w:pPr>
            <w:r w:rsidRPr="001E5B83">
              <w:t>Working capital, seasonal needs</w:t>
            </w:r>
          </w:p>
        </w:tc>
        <w:tc>
          <w:tcPr>
            <w:tcW w:w="0" w:type="auto"/>
            <w:hideMark/>
          </w:tcPr>
          <w:p w14:paraId="0DAABC48" w14:textId="77777777" w:rsidR="001E5B83" w:rsidRPr="001E5B83" w:rsidRDefault="001E5B83" w:rsidP="00607DB7">
            <w:pPr>
              <w:spacing w:line="360" w:lineRule="auto"/>
            </w:pPr>
            <w:r w:rsidRPr="001E5B83">
              <w:t>Capital expenditure, restructuring</w:t>
            </w:r>
          </w:p>
        </w:tc>
      </w:tr>
    </w:tbl>
    <w:p w14:paraId="79D04C22" w14:textId="1B06C2F6" w:rsidR="001E5B83" w:rsidRPr="001E5B83" w:rsidRDefault="000C47DB" w:rsidP="00607DB7">
      <w:pPr>
        <w:spacing w:line="360" w:lineRule="auto"/>
      </w:pPr>
      <w:r w:rsidRPr="000C47DB">
        <w:t xml:space="preserve">The extensive use of short-term credit facilities at present (£37 million) by General Electronics poses significant risks of refinancing, interest rate and covenant pressures. Although short-term financing offers a flexible operation of the company </w:t>
      </w:r>
      <w:r w:rsidR="00011A07" w:rsidRPr="000C47DB">
        <w:t>in relation</w:t>
      </w:r>
      <w:r w:rsidRPr="000C47DB">
        <w:t xml:space="preserve"> to varying working capital needs, the continuous negative operating cash flows of the company require structural financing solutions. Term loans, bonds or equity </w:t>
      </w:r>
      <w:r w:rsidR="00011A07" w:rsidRPr="000C47DB">
        <w:t>injections</w:t>
      </w:r>
      <w:r w:rsidRPr="000C47DB">
        <w:t xml:space="preserve"> would counter the capital structure and the refinancing risk and introduce permanent capital supply to fund the operational restructuring plans</w:t>
      </w:r>
      <w:r w:rsidR="00011A07">
        <w:t xml:space="preserve"> </w:t>
      </w:r>
      <w:r w:rsidR="00011A07" w:rsidRPr="00011A07">
        <w:t>(</w:t>
      </w:r>
      <w:proofErr w:type="spellStart"/>
      <w:r w:rsidR="00011A07" w:rsidRPr="00011A07">
        <w:t>Kontuš</w:t>
      </w:r>
      <w:proofErr w:type="spellEnd"/>
      <w:r w:rsidR="00011A07" w:rsidRPr="00011A07">
        <w:t xml:space="preserve">, </w:t>
      </w:r>
      <w:proofErr w:type="spellStart"/>
      <w:r w:rsidR="00011A07" w:rsidRPr="00011A07">
        <w:t>Šorić</w:t>
      </w:r>
      <w:proofErr w:type="spellEnd"/>
      <w:r w:rsidR="00011A07" w:rsidRPr="00011A07">
        <w:t xml:space="preserve"> and </w:t>
      </w:r>
      <w:proofErr w:type="spellStart"/>
      <w:r w:rsidR="00011A07" w:rsidRPr="00011A07">
        <w:t>Šarlija</w:t>
      </w:r>
      <w:proofErr w:type="spellEnd"/>
      <w:r w:rsidR="00011A07" w:rsidRPr="00011A07">
        <w:t>, 2022)</w:t>
      </w:r>
      <w:r w:rsidRPr="000C47DB">
        <w:t xml:space="preserve">. An equitable solution which entails the use of long-term facilities of between 20- 25 million to support the </w:t>
      </w:r>
      <w:r w:rsidR="00011A07" w:rsidRPr="000C47DB">
        <w:t>long-term</w:t>
      </w:r>
      <w:r w:rsidRPr="000C47DB">
        <w:t xml:space="preserve"> working capital needs and an addition of 10-15 million revolving credit to accommodate seasonal fluctuations would be an optimal move as far as cost, flexibility and financial stability are concerned. This strategic financing combination </w:t>
      </w:r>
      <w:r w:rsidRPr="000C47DB">
        <w:lastRenderedPageBreak/>
        <w:t xml:space="preserve">coupled with aggressive working capital management that liberates a cash amount of between 30-35 million and </w:t>
      </w:r>
      <w:r w:rsidR="00011A07" w:rsidRPr="000C47DB">
        <w:t>liquidity</w:t>
      </w:r>
      <w:r w:rsidRPr="000C47DB">
        <w:t xml:space="preserve"> would be significant to cash flow, less reliance on debt financing and financial flexibility to recover operations successfully and reposition to compete again</w:t>
      </w:r>
      <w:r w:rsidR="00011A07">
        <w:t xml:space="preserve"> </w:t>
      </w:r>
      <w:r w:rsidR="00011A07" w:rsidRPr="00011A07">
        <w:t>(</w:t>
      </w:r>
      <w:proofErr w:type="spellStart"/>
      <w:r w:rsidR="00011A07" w:rsidRPr="00011A07">
        <w:t>Kontuš</w:t>
      </w:r>
      <w:proofErr w:type="spellEnd"/>
      <w:r w:rsidR="00011A07" w:rsidRPr="00011A07">
        <w:t xml:space="preserve">, </w:t>
      </w:r>
      <w:proofErr w:type="spellStart"/>
      <w:r w:rsidR="00011A07" w:rsidRPr="00011A07">
        <w:t>Šorić</w:t>
      </w:r>
      <w:proofErr w:type="spellEnd"/>
      <w:r w:rsidR="00011A07" w:rsidRPr="00011A07">
        <w:t xml:space="preserve"> and </w:t>
      </w:r>
      <w:proofErr w:type="spellStart"/>
      <w:r w:rsidR="00011A07" w:rsidRPr="00011A07">
        <w:t>Šarlija</w:t>
      </w:r>
      <w:proofErr w:type="spellEnd"/>
      <w:r w:rsidR="00011A07" w:rsidRPr="00011A07">
        <w:t>, 2022)</w:t>
      </w:r>
      <w:r w:rsidRPr="000C47DB">
        <w:t>.</w:t>
      </w:r>
    </w:p>
    <w:p w14:paraId="3DF10BF6" w14:textId="77777777" w:rsidR="006E4E71" w:rsidRPr="006E4E71" w:rsidRDefault="006E4E71" w:rsidP="00607DB7">
      <w:pPr>
        <w:pStyle w:val="Heading1"/>
      </w:pPr>
      <w:bookmarkStart w:id="12" w:name="_Toc213234342"/>
      <w:r w:rsidRPr="006E4E71">
        <w:t>3. Strategic Financial Restructuring Plan</w:t>
      </w:r>
      <w:bookmarkEnd w:id="12"/>
    </w:p>
    <w:p w14:paraId="6364AF29" w14:textId="77777777" w:rsidR="006E4E71" w:rsidRPr="006E4E71" w:rsidRDefault="006E4E71" w:rsidP="00607DB7">
      <w:pPr>
        <w:pStyle w:val="Heading2"/>
        <w:spacing w:line="360" w:lineRule="auto"/>
        <w:jc w:val="both"/>
      </w:pPr>
      <w:bookmarkStart w:id="13" w:name="_Toc213234343"/>
      <w:r w:rsidRPr="006E4E71">
        <w:rPr>
          <w:rFonts w:eastAsiaTheme="majorEastAsia"/>
        </w:rPr>
        <w:t>3.1 Restructuring Options Analysis</w:t>
      </w:r>
      <w:bookmarkEnd w:id="13"/>
    </w:p>
    <w:p w14:paraId="022BEC06" w14:textId="5F8541AD" w:rsidR="000C47DB" w:rsidRDefault="000C47DB" w:rsidP="00607DB7">
      <w:pPr>
        <w:spacing w:line="360" w:lineRule="auto"/>
      </w:pPr>
      <w:r>
        <w:t xml:space="preserve">General Electronics is experiencing existential challenges that need overall financial reorganization </w:t>
      </w:r>
      <w:r w:rsidR="00011A07">
        <w:t>to</w:t>
      </w:r>
      <w:r>
        <w:t xml:space="preserve"> achieve viability, competitiveness, and stakeholder trust</w:t>
      </w:r>
      <w:r w:rsidR="009146B3">
        <w:t xml:space="preserve"> </w:t>
      </w:r>
      <w:r w:rsidR="009146B3" w:rsidRPr="009146B3">
        <w:t>(Fang, 2024)</w:t>
      </w:r>
      <w:r>
        <w:t>. There exist three main restructuring options that should be systematically reviewed to include strategic divestiture of non-core assets, merger or acquisition partnerships and equity recapitalization through capital injection. Both solutions have their unique strengths, threats, and implementation difficulties that have to be evaluated with a keen eye on the worsened financial status of the company, competition dynamics, and interests of the stakeholders</w:t>
      </w:r>
      <w:r w:rsidR="009146B3">
        <w:t xml:space="preserve"> </w:t>
      </w:r>
      <w:r w:rsidR="009146B3" w:rsidRPr="009146B3">
        <w:t>(Umar, 2023)</w:t>
      </w:r>
      <w:r>
        <w:t>.</w:t>
      </w:r>
    </w:p>
    <w:p w14:paraId="6A0A5847" w14:textId="7C85EDBF" w:rsidR="000C47DB" w:rsidRDefault="000C47DB" w:rsidP="00607DB7">
      <w:pPr>
        <w:spacing w:line="360" w:lineRule="auto"/>
      </w:pPr>
      <w:r w:rsidRPr="000C47DB">
        <w:rPr>
          <w:b/>
          <w:bCs/>
        </w:rPr>
        <w:t>Divestiture Strategy:</w:t>
      </w:r>
      <w:r>
        <w:t xml:space="preserve"> Asset divestiture refers to the sale of under-performing business units, non-core product lines or excess property, plant and equipment to acquire immediate liquidity, simplify operations and focus on core competencies of the business. With a property, plant and equipment base of 34.2 million, there is a possibility that divestiture of manufacturing plants, distribution </w:t>
      </w:r>
      <w:proofErr w:type="spellStart"/>
      <w:r>
        <w:t>centres</w:t>
      </w:r>
      <w:proofErr w:type="spellEnd"/>
      <w:r>
        <w:t xml:space="preserve"> or regional operations would free up 15-25 million because of the property, plant and equipment base of General Electronics. Also, selling old stock (estimated 20-30 million) and intangibles such as patents or brands would raise large amounts of cash</w:t>
      </w:r>
      <w:r w:rsidR="009146B3">
        <w:t xml:space="preserve"> </w:t>
      </w:r>
      <w:r w:rsidR="009146B3" w:rsidRPr="009146B3">
        <w:t>(Umar, 2023)</w:t>
      </w:r>
      <w:r>
        <w:t xml:space="preserve">. </w:t>
      </w:r>
    </w:p>
    <w:p w14:paraId="29E97B2E" w14:textId="20DA508A" w:rsidR="000C47DB" w:rsidRDefault="000C47DB" w:rsidP="00607DB7">
      <w:pPr>
        <w:spacing w:line="360" w:lineRule="auto"/>
      </w:pPr>
      <w:r w:rsidRPr="000C47DB">
        <w:rPr>
          <w:b/>
          <w:bCs/>
        </w:rPr>
        <w:t>Merger and Acquisition Strategy:</w:t>
      </w:r>
      <w:r>
        <w:t xml:space="preserve"> Believing in a stronger competitor with whom there is financial synergy or acquiring by a bigger conglomerate provides the survival route through merging resources, a realized synergy and market consolidation</w:t>
      </w:r>
      <w:r w:rsidR="009146B3">
        <w:t xml:space="preserve"> </w:t>
      </w:r>
      <w:r w:rsidR="009146B3" w:rsidRPr="009146B3">
        <w:t>(Fang, 2024)</w:t>
      </w:r>
      <w:r>
        <w:t>. Possible partners would be Asian electronics producers who would want access to the western market or technology companies that are interested in vertical integration. The advantages of mergers are in common technology platform, combined distribution chain, purchasing power and getting rid of overheads</w:t>
      </w:r>
      <w:r w:rsidR="009146B3">
        <w:t xml:space="preserve"> </w:t>
      </w:r>
      <w:r w:rsidR="009146B3" w:rsidRPr="009146B3">
        <w:t>(Umar, 2023)</w:t>
      </w:r>
      <w:r>
        <w:t>.</w:t>
      </w:r>
    </w:p>
    <w:p w14:paraId="34ED4E48" w14:textId="172DA6C2" w:rsidR="006E4E71" w:rsidRPr="006E4E71" w:rsidRDefault="000C47DB" w:rsidP="00607DB7">
      <w:pPr>
        <w:spacing w:line="360" w:lineRule="auto"/>
      </w:pPr>
      <w:r w:rsidRPr="000C47DB">
        <w:rPr>
          <w:b/>
          <w:bCs/>
        </w:rPr>
        <w:lastRenderedPageBreak/>
        <w:t>Equity Injection Strategy:</w:t>
      </w:r>
      <w:r>
        <w:t xml:space="preserve"> Capital recapitalization via equity issue to current shareholders (rights issue), new institutional investors, or the private equity firms are permanent capital additions which are not adding to debt requirements. Equity </w:t>
      </w:r>
      <w:proofErr w:type="spellStart"/>
      <w:r>
        <w:t>equity</w:t>
      </w:r>
      <w:proofErr w:type="spellEnd"/>
      <w:r>
        <w:t xml:space="preserve"> raise (50-75M) would be a significant liquidity boost, decrease gearing, finance restructuring, and regain creditor confidence. This </w:t>
      </w:r>
      <w:r w:rsidR="009146B3">
        <w:t>is, however,</w:t>
      </w:r>
      <w:r>
        <w:t xml:space="preserve"> a very thinly veiled way of watering down the current stockholders who are already suffering share value erosion due to the cumulative losses of £122 million in two years and may not be well received unless with plausible turnaround plans that will restore profitability in the future</w:t>
      </w:r>
      <w:r w:rsidR="009146B3">
        <w:t xml:space="preserve"> </w:t>
      </w:r>
      <w:r w:rsidR="009146B3" w:rsidRPr="009146B3">
        <w:t>(Fang, 2024)</w:t>
      </w:r>
      <w:r>
        <w:t>.</w:t>
      </w:r>
    </w:p>
    <w:p w14:paraId="0EE0FEDE" w14:textId="77777777" w:rsidR="006E4E71" w:rsidRPr="006E4E71" w:rsidRDefault="006E4E71" w:rsidP="00607DB7">
      <w:pPr>
        <w:pStyle w:val="Heading2"/>
        <w:spacing w:line="360" w:lineRule="auto"/>
        <w:jc w:val="both"/>
      </w:pPr>
      <w:bookmarkStart w:id="14" w:name="_Toc213234344"/>
      <w:r w:rsidRPr="006E4E71">
        <w:rPr>
          <w:rFonts w:eastAsiaTheme="majorEastAsia"/>
        </w:rPr>
        <w:t>3.2 Shareholder Value Impact Assessment</w:t>
      </w:r>
      <w:bookmarkEnd w:id="14"/>
    </w:p>
    <w:p w14:paraId="689E54E6" w14:textId="0A4A11AF" w:rsidR="006E4E71" w:rsidRPr="006E4E71" w:rsidRDefault="000C47DB" w:rsidP="00607DB7">
      <w:pPr>
        <w:spacing w:line="360" w:lineRule="auto"/>
      </w:pPr>
      <w:r w:rsidRPr="000C47DB">
        <w:t xml:space="preserve">The erosion of shareholder value has been devastating, as retained earnings decreased to bypass 2022 at 330.7 million to 2024 with 2024 of 208.4 million, which is a 122.3 million loss of wealth. To the total shareholders equity reduced 43% between the figures of the 2020 and 2024: as the total shareholders equity went down to 153.1 million to the figures of 2020 of 313.3 million and also the total earnings per share went down to -7.64 </w:t>
      </w:r>
      <w:r w:rsidR="009146B3" w:rsidRPr="000C47DB">
        <w:t xml:space="preserve">and in comparison, </w:t>
      </w:r>
      <w:r w:rsidRPr="000C47DB">
        <w:t>to 2020 of 2.78</w:t>
      </w:r>
      <w:r w:rsidR="009146B3">
        <w:t xml:space="preserve"> </w:t>
      </w:r>
      <w:r w:rsidR="009146B3" w:rsidRPr="009146B3">
        <w:t>(Tang et al., 2022)</w:t>
      </w:r>
      <w:r w:rsidRPr="000C47DB">
        <w:t xml:space="preserve">. Shareholders are affected differently by each of the restructuring options. Divestiture does not change ownership percentage and may stabilize financial performance, but selling assets at distressed values can crystallize losses and decrease the future earnings prospect of divested operations. Mergers are normally accompanied by a price premium over market value, which will give liquidity to shareholders </w:t>
      </w:r>
      <w:r w:rsidR="00607DB7" w:rsidRPr="000C47DB">
        <w:t>at</w:t>
      </w:r>
      <w:r w:rsidRPr="000C47DB">
        <w:t xml:space="preserve"> the exit; however, loss of control as well as undesired exchange ratio can be detrimental to current investors</w:t>
      </w:r>
      <w:r w:rsidR="009146B3">
        <w:t xml:space="preserve"> </w:t>
      </w:r>
      <w:r w:rsidR="009146B3" w:rsidRPr="009146B3">
        <w:t>(</w:t>
      </w:r>
      <w:proofErr w:type="spellStart"/>
      <w:r w:rsidR="009146B3" w:rsidRPr="009146B3">
        <w:t>Asonuma</w:t>
      </w:r>
      <w:proofErr w:type="spellEnd"/>
      <w:r w:rsidR="009146B3" w:rsidRPr="009146B3">
        <w:t xml:space="preserve"> et al., 2024)</w:t>
      </w:r>
      <w:r w:rsidRPr="000C47DB">
        <w:t>.</w:t>
      </w:r>
    </w:p>
    <w:p w14:paraId="1D2BFBFC" w14:textId="77777777" w:rsidR="006E4E71" w:rsidRPr="006E4E71" w:rsidRDefault="006E4E71" w:rsidP="00607DB7">
      <w:pPr>
        <w:pStyle w:val="Heading2"/>
        <w:spacing w:line="360" w:lineRule="auto"/>
        <w:jc w:val="both"/>
      </w:pPr>
      <w:bookmarkStart w:id="15" w:name="_Toc213234345"/>
      <w:r w:rsidRPr="006E4E71">
        <w:rPr>
          <w:rFonts w:eastAsiaTheme="majorEastAsia"/>
        </w:rPr>
        <w:t>3.3 Debt Structure Implications</w:t>
      </w:r>
      <w:bookmarkEnd w:id="15"/>
    </w:p>
    <w:p w14:paraId="3B6EB2C3" w14:textId="2DB35782" w:rsidR="006E4E71" w:rsidRPr="006E4E71" w:rsidRDefault="000C47DB" w:rsidP="00607DB7">
      <w:pPr>
        <w:spacing w:line="360" w:lineRule="auto"/>
      </w:pPr>
      <w:r w:rsidRPr="000C47DB">
        <w:t>The existing debt profile depends too much on short term credit facilities (37 million pounds), which poses refinancing risks and interest coverage issues as indicated by negative interest coverage ratio. This vulnerability needs to be fixed by the strategies of restructuring. The divestiture proceeds allow the reduction of debts, which may lead to the absence of short-term facilities altogether, reinforcement of the balance sheet, and raising the credit rating, which will allow borrowing in the future at advantageous conditions</w:t>
      </w:r>
      <w:r w:rsidR="009146B3">
        <w:t xml:space="preserve"> </w:t>
      </w:r>
      <w:r w:rsidR="009146B3" w:rsidRPr="009146B3">
        <w:t>(</w:t>
      </w:r>
      <w:proofErr w:type="spellStart"/>
      <w:r w:rsidR="009146B3" w:rsidRPr="009146B3">
        <w:t>Asonuma</w:t>
      </w:r>
      <w:proofErr w:type="spellEnd"/>
      <w:r w:rsidR="009146B3" w:rsidRPr="009146B3">
        <w:t xml:space="preserve"> et al., 2024)</w:t>
      </w:r>
      <w:r w:rsidRPr="000C47DB">
        <w:t xml:space="preserve">. The cases of mergers normally feature the negotiation </w:t>
      </w:r>
      <w:r w:rsidRPr="000C47DB">
        <w:lastRenderedPageBreak/>
        <w:t>of debt assumption where other stronger acquiring parties finance the current liabilities at reduced rates or absorb the liabilities in the consolidated structures which results in an immediate favorable shift in the cost of capital in General Electronics. Direct impact of the equity injection is that leverage ratios will decrease to optimal levels of 0.10-0.15, resulting in regaining the financial flexibility and compliance of the covenants, which are currently 0.24 debt-to-equity</w:t>
      </w:r>
      <w:r w:rsidR="009146B3">
        <w:t xml:space="preserve"> </w:t>
      </w:r>
      <w:r w:rsidR="009146B3" w:rsidRPr="009146B3">
        <w:t>(Tang et al., 2022)</w:t>
      </w:r>
      <w:r w:rsidRPr="000C47DB">
        <w:t>.</w:t>
      </w:r>
    </w:p>
    <w:p w14:paraId="20CCAFDE" w14:textId="77777777" w:rsidR="006E4E71" w:rsidRPr="006E4E71" w:rsidRDefault="006E4E71" w:rsidP="00607DB7">
      <w:pPr>
        <w:pStyle w:val="Heading2"/>
        <w:spacing w:line="360" w:lineRule="auto"/>
        <w:jc w:val="both"/>
      </w:pPr>
      <w:bookmarkStart w:id="16" w:name="_Toc213234346"/>
      <w:r w:rsidRPr="006E4E71">
        <w:rPr>
          <w:rFonts w:eastAsiaTheme="majorEastAsia"/>
        </w:rPr>
        <w:t>3.4 Operational Flexibility Considerations</w:t>
      </w:r>
      <w:bookmarkEnd w:id="16"/>
    </w:p>
    <w:p w14:paraId="6783A6FF" w14:textId="79C0C568" w:rsidR="006E4E71" w:rsidRPr="006E4E71" w:rsidRDefault="000C47DB" w:rsidP="00607DB7">
      <w:pPr>
        <w:spacing w:line="360" w:lineRule="auto"/>
      </w:pPr>
      <w:r w:rsidRPr="000C47DB">
        <w:t xml:space="preserve">Operational flexibility refers to the strategic aspect of agility, investment capability and </w:t>
      </w:r>
      <w:proofErr w:type="spellStart"/>
      <w:r w:rsidRPr="000C47DB">
        <w:t>organisational</w:t>
      </w:r>
      <w:proofErr w:type="spellEnd"/>
      <w:r w:rsidRPr="000C47DB">
        <w:t xml:space="preserve"> dexterity necessary in the repositioning of competitiveness. Divestiture enhances flexibility by making operations easier, fixed cost structures are cut and capital is liberalized to be used in core business activities to develop products, expand the business or even upgrade the technology. Organizations that are streamlined are more responsive to the changes in the market and consumer needs</w:t>
      </w:r>
      <w:r w:rsidR="009146B3">
        <w:t xml:space="preserve"> </w:t>
      </w:r>
      <w:r w:rsidR="009146B3" w:rsidRPr="009146B3">
        <w:t>(</w:t>
      </w:r>
      <w:proofErr w:type="spellStart"/>
      <w:r w:rsidR="009146B3" w:rsidRPr="009146B3">
        <w:t>Asonuma</w:t>
      </w:r>
      <w:proofErr w:type="spellEnd"/>
      <w:r w:rsidR="009146B3" w:rsidRPr="009146B3">
        <w:t xml:space="preserve"> et al., 2024)</w:t>
      </w:r>
      <w:r w:rsidRPr="000C47DB">
        <w:t xml:space="preserve">. On the other hand, too much divestiture can destroy economies of scale, vertical integration benefits, or strategic optionality. The potential limitation of mergers plans is that it restricts flexibility due to complexities of integration, cultural clash, and </w:t>
      </w:r>
      <w:r w:rsidR="00607DB7" w:rsidRPr="000C47DB">
        <w:t>post-merger</w:t>
      </w:r>
      <w:r w:rsidRPr="000C47DB">
        <w:t xml:space="preserve"> </w:t>
      </w:r>
      <w:r w:rsidR="00607DB7" w:rsidRPr="000C47DB">
        <w:t>reorganization</w:t>
      </w:r>
      <w:r w:rsidRPr="000C47DB">
        <w:t xml:space="preserve"> which takes up management bandwidth. But combined entity resources make larger scale investments possible which would otherwise be impossible. Equity injection enhances </w:t>
      </w:r>
      <w:r w:rsidR="00607DB7" w:rsidRPr="000C47DB">
        <w:t>operational</w:t>
      </w:r>
      <w:r w:rsidRPr="000C47DB">
        <w:t xml:space="preserve"> flexibility, where it is possible to capitalize the authority to build free capital funds to support restructuring efforts, investments in technology, marketing, and acquisition of talent without fear of profitability in the short run</w:t>
      </w:r>
      <w:r w:rsidR="009146B3">
        <w:t xml:space="preserve"> </w:t>
      </w:r>
      <w:r w:rsidR="009146B3" w:rsidRPr="009146B3">
        <w:t>(Tang et al., 2022)</w:t>
      </w:r>
      <w:r w:rsidRPr="000C47DB">
        <w:t>.</w:t>
      </w:r>
    </w:p>
    <w:p w14:paraId="40AA6C30" w14:textId="77777777" w:rsidR="006E4E71" w:rsidRPr="006E4E71" w:rsidRDefault="006E4E71" w:rsidP="00607DB7">
      <w:pPr>
        <w:pStyle w:val="Heading2"/>
        <w:spacing w:line="360" w:lineRule="auto"/>
        <w:jc w:val="both"/>
      </w:pPr>
      <w:bookmarkStart w:id="17" w:name="_Toc213234347"/>
      <w:r w:rsidRPr="006E4E71">
        <w:rPr>
          <w:rFonts w:eastAsiaTheme="majorEastAsia"/>
        </w:rPr>
        <w:t>3.5 International Considerations</w:t>
      </w:r>
      <w:bookmarkEnd w:id="17"/>
    </w:p>
    <w:p w14:paraId="65054853" w14:textId="4EA06533" w:rsidR="006E4E71" w:rsidRPr="006E4E71" w:rsidRDefault="000C47DB" w:rsidP="00607DB7">
      <w:pPr>
        <w:spacing w:line="360" w:lineRule="auto"/>
      </w:pPr>
      <w:r w:rsidRPr="000C47DB">
        <w:t xml:space="preserve">General Electronics is an international </w:t>
      </w:r>
      <w:r w:rsidR="00607DB7" w:rsidRPr="000C47DB">
        <w:t>company,</w:t>
      </w:r>
      <w:r w:rsidRPr="000C47DB">
        <w:t xml:space="preserve"> and it requires </w:t>
      </w:r>
      <w:r w:rsidR="009146B3" w:rsidRPr="000C47DB">
        <w:t>considering</w:t>
      </w:r>
      <w:r w:rsidRPr="000C47DB">
        <w:t xml:space="preserve"> the global taxation, currency and inflation effects. Disposing of the overseas subsidiaries sparks complicated taxation features such as capital gains tax, repatriation constraints, and withholding tax that has the capacity to diminish the net proceeds by 15-25 percent</w:t>
      </w:r>
      <w:r w:rsidR="009146B3">
        <w:t xml:space="preserve"> </w:t>
      </w:r>
      <w:r w:rsidR="009146B3" w:rsidRPr="009146B3">
        <w:t>(Chen, Liang and Wu, 2023)</w:t>
      </w:r>
      <w:r w:rsidRPr="000C47DB">
        <w:t xml:space="preserve">. Transfers that are made in terms of pricing need to be restructured without fines. The management of currency risk is essential, and the receivables and cash holdings are in various currencies (assessed to be 40% non-GBP exposure) and they are </w:t>
      </w:r>
      <w:r w:rsidRPr="000C47DB">
        <w:lastRenderedPageBreak/>
        <w:t>vulnerable to the fluctuations of the foreign exchange rates. The 2024 cash flow indicates a negative foreign exchange impact of 2.6m, and it has a material exposure that will have to be hedged using forward contracts, options or natural hedging in which currency revenues and expenses match</w:t>
      </w:r>
      <w:r w:rsidR="009146B3">
        <w:t xml:space="preserve"> </w:t>
      </w:r>
      <w:r w:rsidR="009146B3" w:rsidRPr="009146B3">
        <w:t>(Chen, Liang and Wu, 2023)</w:t>
      </w:r>
      <w:r w:rsidRPr="000C47DB">
        <w:t>.</w:t>
      </w:r>
    </w:p>
    <w:p w14:paraId="16B47EA8" w14:textId="77777777" w:rsidR="006E4E71" w:rsidRPr="006E4E71" w:rsidRDefault="006E4E71" w:rsidP="00607DB7">
      <w:pPr>
        <w:pStyle w:val="Heading2"/>
        <w:spacing w:line="360" w:lineRule="auto"/>
        <w:jc w:val="both"/>
      </w:pPr>
      <w:bookmarkStart w:id="18" w:name="_Toc213234348"/>
      <w:r w:rsidRPr="006E4E71">
        <w:rPr>
          <w:rFonts w:eastAsiaTheme="majorEastAsia"/>
        </w:rPr>
        <w:t>3.6 Ethical and Corporate Social Responsibility Dimensions</w:t>
      </w:r>
      <w:bookmarkEnd w:id="18"/>
    </w:p>
    <w:p w14:paraId="256BB917" w14:textId="4830F21D" w:rsidR="006E4E71" w:rsidRPr="006E4E71" w:rsidRDefault="000C47DB" w:rsidP="00607DB7">
      <w:pPr>
        <w:spacing w:line="360" w:lineRule="auto"/>
      </w:pPr>
      <w:r w:rsidRPr="000C47DB">
        <w:t xml:space="preserve">Restructuring is an ethical decision that has </w:t>
      </w:r>
      <w:r w:rsidR="00607DB7" w:rsidRPr="000C47DB">
        <w:t>implications</w:t>
      </w:r>
      <w:r w:rsidRPr="000C47DB">
        <w:t xml:space="preserve"> on various stakeholders not just the shareholders. Divestiture and merger situations are normally characterized by reduction in the workforce whereby there might be reduction of 15-30 percent headcount which affects the livelihoods of the employees, their families and communities</w:t>
      </w:r>
      <w:r w:rsidR="009146B3">
        <w:t xml:space="preserve"> </w:t>
      </w:r>
      <w:r w:rsidR="009146B3" w:rsidRPr="009146B3">
        <w:t>(Kinyua and Kihara, 2021)</w:t>
      </w:r>
      <w:r w:rsidRPr="000C47DB">
        <w:t xml:space="preserve">. Ethical restructuring needs open communication, fair severance packages over and above legal minimums, retrenchment support and career transition retraining </w:t>
      </w:r>
      <w:proofErr w:type="spellStart"/>
      <w:r w:rsidRPr="000C47DB">
        <w:t>programmes</w:t>
      </w:r>
      <w:proofErr w:type="spellEnd"/>
      <w:r w:rsidRPr="000C47DB">
        <w:t xml:space="preserve">. The supply chain partners have a risk of being </w:t>
      </w:r>
      <w:r w:rsidR="00607DB7" w:rsidRPr="000C47DB">
        <w:t>interrupted,</w:t>
      </w:r>
      <w:r w:rsidRPr="000C47DB">
        <w:t xml:space="preserve"> especially small suppliers who rely on the business of General Electronics</w:t>
      </w:r>
      <w:r w:rsidR="009146B3">
        <w:t xml:space="preserve"> </w:t>
      </w:r>
      <w:r w:rsidR="009146B3" w:rsidRPr="009146B3">
        <w:t>(Chen, Liang and Wu, 2023)</w:t>
      </w:r>
      <w:r w:rsidRPr="000C47DB">
        <w:t>.</w:t>
      </w:r>
    </w:p>
    <w:p w14:paraId="30A87AD4" w14:textId="77777777" w:rsidR="006E4E71" w:rsidRPr="006E4E71" w:rsidRDefault="006E4E71" w:rsidP="00607DB7">
      <w:pPr>
        <w:pStyle w:val="Heading2"/>
        <w:spacing w:line="360" w:lineRule="auto"/>
        <w:jc w:val="both"/>
      </w:pPr>
      <w:bookmarkStart w:id="19" w:name="_Toc213234349"/>
      <w:r w:rsidRPr="006E4E71">
        <w:rPr>
          <w:rFonts w:eastAsiaTheme="majorEastAsia"/>
        </w:rPr>
        <w:t>3.7 Recommended Restructuring Strategy</w:t>
      </w:r>
      <w:bookmarkEnd w:id="19"/>
    </w:p>
    <w:p w14:paraId="4A7CD7D4" w14:textId="2A421DDC" w:rsidR="006E4E71" w:rsidRDefault="000C47DB" w:rsidP="00607DB7">
      <w:pPr>
        <w:spacing w:line="360" w:lineRule="auto"/>
      </w:pPr>
      <w:r w:rsidRPr="000C47DB">
        <w:t xml:space="preserve">The best restructuring strategy involves a combination of several actions that are carried out one after the other. </w:t>
      </w:r>
      <w:r w:rsidR="00607DB7" w:rsidRPr="000C47DB">
        <w:t>Phase</w:t>
      </w:r>
      <w:r w:rsidRPr="000C47DB">
        <w:t xml:space="preserve"> One is a focused disposal of non-core assets and obsolete inventory that will give an immediate liquidity of £35-40 million, decrease debt to 15-20 million levels, and simplify operations</w:t>
      </w:r>
      <w:r w:rsidR="009146B3">
        <w:t xml:space="preserve"> </w:t>
      </w:r>
      <w:r w:rsidR="009146B3" w:rsidRPr="009146B3">
        <w:t>(Kinyua and Kihara, 2021)</w:t>
      </w:r>
      <w:r w:rsidRPr="000C47DB">
        <w:t>. Phase Two seeks equity injection of £50 million or institutional investors or private equity, based on improved operations after Phase One, and so as to bolster balance sheet and finance technology investments. Phase Three considers strategic alliances or minority interests sold to technology giants, which reaches capabilities, distribution routes, and credibility without complete relinquishment of control</w:t>
      </w:r>
      <w:r w:rsidR="009146B3">
        <w:t xml:space="preserve"> </w:t>
      </w:r>
      <w:r w:rsidR="009146B3" w:rsidRPr="009146B3">
        <w:t>(Kinyua and Kihara, 2021)</w:t>
      </w:r>
      <w:r w:rsidRPr="000C47DB">
        <w:t>.</w:t>
      </w:r>
    </w:p>
    <w:p w14:paraId="4BB3158B" w14:textId="77777777" w:rsidR="004734AB" w:rsidRPr="004734AB" w:rsidRDefault="004734AB" w:rsidP="00607DB7">
      <w:pPr>
        <w:pStyle w:val="Heading1"/>
      </w:pPr>
      <w:bookmarkStart w:id="20" w:name="_Toc213234350"/>
      <w:r w:rsidRPr="004734AB">
        <w:t>4. Investment Appraisal and Capital Budgeting</w:t>
      </w:r>
      <w:bookmarkEnd w:id="20"/>
    </w:p>
    <w:p w14:paraId="304E56E7" w14:textId="77777777" w:rsidR="004734AB" w:rsidRPr="004734AB" w:rsidRDefault="004734AB" w:rsidP="00607DB7">
      <w:pPr>
        <w:pStyle w:val="Heading2"/>
        <w:spacing w:line="360" w:lineRule="auto"/>
        <w:jc w:val="both"/>
      </w:pPr>
      <w:bookmarkStart w:id="21" w:name="_Toc213234351"/>
      <w:r w:rsidRPr="004734AB">
        <w:rPr>
          <w:rFonts w:eastAsiaTheme="majorEastAsia"/>
        </w:rPr>
        <w:t>4.1 Project Evaluation Methodology</w:t>
      </w:r>
      <w:bookmarkEnd w:id="21"/>
    </w:p>
    <w:p w14:paraId="4868BADA" w14:textId="2AC12FBA" w:rsidR="004734AB" w:rsidRPr="004734AB" w:rsidRDefault="000C47DB" w:rsidP="00607DB7">
      <w:pPr>
        <w:spacing w:line="360" w:lineRule="auto"/>
      </w:pPr>
      <w:r w:rsidRPr="000C47DB">
        <w:t xml:space="preserve">General Electronics will have to assess three mutually exclusive projects of investment with stringent capital rationing regulations of no more than 60 million investment. The </w:t>
      </w:r>
      <w:r w:rsidRPr="000C47DB">
        <w:lastRenderedPageBreak/>
        <w:t xml:space="preserve">decisions to make </w:t>
      </w:r>
      <w:r w:rsidR="00607DB7" w:rsidRPr="000C47DB">
        <w:t>about</w:t>
      </w:r>
      <w:r w:rsidRPr="000C47DB">
        <w:t xml:space="preserve"> the financial investment of the company need to be executed with stringent quantitative examination under various evaluation parameters due to their precarious financial status, which is a negative profitability, poor liquidity, and poor cash generation capacity</w:t>
      </w:r>
      <w:r w:rsidR="009146B3">
        <w:t xml:space="preserve"> </w:t>
      </w:r>
      <w:r w:rsidR="009146B3" w:rsidRPr="009146B3">
        <w:t>(Sinaga et al., 2023)</w:t>
      </w:r>
      <w:r w:rsidRPr="000C47DB">
        <w:t>. This part uses five standard capital budgeting methods, which include Payback Period (PBP), Accounting rate of Return (ARR), Net Present Value (NPV), Profitability Index (PI), and Internal rate of Return (IRR), which systematically evaluates the financial feasibility of each project, the risk profile, and the project strategic alignment to recovery imperatives of the organization</w:t>
      </w:r>
      <w:r w:rsidR="009146B3">
        <w:t xml:space="preserve"> </w:t>
      </w:r>
      <w:r w:rsidR="009146B3" w:rsidRPr="009146B3">
        <w:t>(Rashid et al., 2018)</w:t>
      </w:r>
      <w:r w:rsidRPr="000C47DB">
        <w:t>.</w:t>
      </w:r>
    </w:p>
    <w:p w14:paraId="74D51C5A" w14:textId="77777777" w:rsidR="004734AB" w:rsidRPr="004734AB" w:rsidRDefault="004734AB" w:rsidP="00607DB7">
      <w:pPr>
        <w:pStyle w:val="Heading2"/>
        <w:spacing w:line="360" w:lineRule="auto"/>
        <w:jc w:val="both"/>
      </w:pPr>
      <w:bookmarkStart w:id="22" w:name="_Toc213234352"/>
      <w:r w:rsidRPr="004734AB">
        <w:rPr>
          <w:rFonts w:eastAsiaTheme="majorEastAsia"/>
        </w:rPr>
        <w:t>4.2 Payback Period Analysis</w:t>
      </w:r>
      <w:bookmarkEnd w:id="22"/>
    </w:p>
    <w:p w14:paraId="2EAD9CC3" w14:textId="77777777" w:rsidR="004734AB" w:rsidRPr="004734AB" w:rsidRDefault="004734AB" w:rsidP="00607DB7">
      <w:pPr>
        <w:spacing w:line="360" w:lineRule="auto"/>
      </w:pPr>
      <w:r w:rsidRPr="004734AB">
        <w:rPr>
          <w:b/>
          <w:bCs/>
        </w:rPr>
        <w:t>Table 9: Payback Period Calculations</w:t>
      </w:r>
    </w:p>
    <w:tbl>
      <w:tblPr>
        <w:tblStyle w:val="TableGrid"/>
        <w:tblW w:w="0" w:type="auto"/>
        <w:tblLook w:val="04A0" w:firstRow="1" w:lastRow="0" w:firstColumn="1" w:lastColumn="0" w:noHBand="0" w:noVBand="1"/>
      </w:tblPr>
      <w:tblGrid>
        <w:gridCol w:w="2110"/>
        <w:gridCol w:w="937"/>
        <w:gridCol w:w="937"/>
        <w:gridCol w:w="937"/>
        <w:gridCol w:w="937"/>
        <w:gridCol w:w="937"/>
        <w:gridCol w:w="937"/>
        <w:gridCol w:w="1337"/>
      </w:tblGrid>
      <w:tr w:rsidR="004734AB" w:rsidRPr="004734AB" w14:paraId="694020AB" w14:textId="77777777" w:rsidTr="004734AB">
        <w:tc>
          <w:tcPr>
            <w:tcW w:w="0" w:type="auto"/>
            <w:hideMark/>
          </w:tcPr>
          <w:p w14:paraId="5563A640" w14:textId="77777777" w:rsidR="004734AB" w:rsidRPr="004734AB" w:rsidRDefault="004734AB" w:rsidP="00607DB7">
            <w:pPr>
              <w:spacing w:line="360" w:lineRule="auto"/>
              <w:rPr>
                <w:b/>
                <w:bCs/>
              </w:rPr>
            </w:pPr>
            <w:r w:rsidRPr="004734AB">
              <w:rPr>
                <w:b/>
                <w:bCs/>
              </w:rPr>
              <w:t>Project A (£40m)</w:t>
            </w:r>
          </w:p>
        </w:tc>
        <w:tc>
          <w:tcPr>
            <w:tcW w:w="0" w:type="auto"/>
            <w:hideMark/>
          </w:tcPr>
          <w:p w14:paraId="6AEDD50A" w14:textId="77777777" w:rsidR="004734AB" w:rsidRPr="004734AB" w:rsidRDefault="004734AB" w:rsidP="00607DB7">
            <w:pPr>
              <w:spacing w:line="360" w:lineRule="auto"/>
              <w:rPr>
                <w:b/>
                <w:bCs/>
              </w:rPr>
            </w:pPr>
            <w:r w:rsidRPr="004734AB">
              <w:rPr>
                <w:b/>
                <w:bCs/>
              </w:rPr>
              <w:t>Year 0</w:t>
            </w:r>
          </w:p>
        </w:tc>
        <w:tc>
          <w:tcPr>
            <w:tcW w:w="0" w:type="auto"/>
            <w:hideMark/>
          </w:tcPr>
          <w:p w14:paraId="4112E123" w14:textId="77777777" w:rsidR="004734AB" w:rsidRPr="004734AB" w:rsidRDefault="004734AB" w:rsidP="00607DB7">
            <w:pPr>
              <w:spacing w:line="360" w:lineRule="auto"/>
              <w:rPr>
                <w:b/>
                <w:bCs/>
              </w:rPr>
            </w:pPr>
            <w:r w:rsidRPr="004734AB">
              <w:rPr>
                <w:b/>
                <w:bCs/>
              </w:rPr>
              <w:t>Year 1</w:t>
            </w:r>
          </w:p>
        </w:tc>
        <w:tc>
          <w:tcPr>
            <w:tcW w:w="0" w:type="auto"/>
            <w:hideMark/>
          </w:tcPr>
          <w:p w14:paraId="0C53C2FA" w14:textId="77777777" w:rsidR="004734AB" w:rsidRPr="004734AB" w:rsidRDefault="004734AB" w:rsidP="00607DB7">
            <w:pPr>
              <w:spacing w:line="360" w:lineRule="auto"/>
              <w:rPr>
                <w:b/>
                <w:bCs/>
              </w:rPr>
            </w:pPr>
            <w:r w:rsidRPr="004734AB">
              <w:rPr>
                <w:b/>
                <w:bCs/>
              </w:rPr>
              <w:t>Year 2</w:t>
            </w:r>
          </w:p>
        </w:tc>
        <w:tc>
          <w:tcPr>
            <w:tcW w:w="0" w:type="auto"/>
            <w:hideMark/>
          </w:tcPr>
          <w:p w14:paraId="046B9A56" w14:textId="77777777" w:rsidR="004734AB" w:rsidRPr="004734AB" w:rsidRDefault="004734AB" w:rsidP="00607DB7">
            <w:pPr>
              <w:spacing w:line="360" w:lineRule="auto"/>
              <w:rPr>
                <w:b/>
                <w:bCs/>
              </w:rPr>
            </w:pPr>
            <w:r w:rsidRPr="004734AB">
              <w:rPr>
                <w:b/>
                <w:bCs/>
              </w:rPr>
              <w:t>Year 3</w:t>
            </w:r>
          </w:p>
        </w:tc>
        <w:tc>
          <w:tcPr>
            <w:tcW w:w="0" w:type="auto"/>
            <w:hideMark/>
          </w:tcPr>
          <w:p w14:paraId="2F0C7A7C" w14:textId="77777777" w:rsidR="004734AB" w:rsidRPr="004734AB" w:rsidRDefault="004734AB" w:rsidP="00607DB7">
            <w:pPr>
              <w:spacing w:line="360" w:lineRule="auto"/>
              <w:rPr>
                <w:b/>
                <w:bCs/>
              </w:rPr>
            </w:pPr>
            <w:r w:rsidRPr="004734AB">
              <w:rPr>
                <w:b/>
                <w:bCs/>
              </w:rPr>
              <w:t>Year 4</w:t>
            </w:r>
          </w:p>
        </w:tc>
        <w:tc>
          <w:tcPr>
            <w:tcW w:w="0" w:type="auto"/>
            <w:hideMark/>
          </w:tcPr>
          <w:p w14:paraId="0CC3A517" w14:textId="77777777" w:rsidR="004734AB" w:rsidRPr="004734AB" w:rsidRDefault="004734AB" w:rsidP="00607DB7">
            <w:pPr>
              <w:spacing w:line="360" w:lineRule="auto"/>
              <w:rPr>
                <w:b/>
                <w:bCs/>
              </w:rPr>
            </w:pPr>
            <w:r w:rsidRPr="004734AB">
              <w:rPr>
                <w:b/>
                <w:bCs/>
              </w:rPr>
              <w:t>Year 5</w:t>
            </w:r>
          </w:p>
        </w:tc>
        <w:tc>
          <w:tcPr>
            <w:tcW w:w="0" w:type="auto"/>
            <w:hideMark/>
          </w:tcPr>
          <w:p w14:paraId="48A1261E" w14:textId="77777777" w:rsidR="004734AB" w:rsidRPr="004734AB" w:rsidRDefault="004734AB" w:rsidP="00607DB7">
            <w:pPr>
              <w:spacing w:line="360" w:lineRule="auto"/>
              <w:rPr>
                <w:b/>
                <w:bCs/>
              </w:rPr>
            </w:pPr>
            <w:r w:rsidRPr="004734AB">
              <w:rPr>
                <w:b/>
                <w:bCs/>
              </w:rPr>
              <w:t>PBP</w:t>
            </w:r>
          </w:p>
        </w:tc>
      </w:tr>
      <w:tr w:rsidR="004734AB" w:rsidRPr="004734AB" w14:paraId="1DC4C475" w14:textId="77777777" w:rsidTr="004734AB">
        <w:tc>
          <w:tcPr>
            <w:tcW w:w="0" w:type="auto"/>
            <w:hideMark/>
          </w:tcPr>
          <w:p w14:paraId="5C321CCE" w14:textId="77777777" w:rsidR="004734AB" w:rsidRPr="004734AB" w:rsidRDefault="004734AB" w:rsidP="00607DB7">
            <w:pPr>
              <w:spacing w:line="360" w:lineRule="auto"/>
            </w:pPr>
            <w:r w:rsidRPr="004734AB">
              <w:t>Cash Flow</w:t>
            </w:r>
          </w:p>
        </w:tc>
        <w:tc>
          <w:tcPr>
            <w:tcW w:w="0" w:type="auto"/>
            <w:hideMark/>
          </w:tcPr>
          <w:p w14:paraId="0987FF21" w14:textId="77777777" w:rsidR="004734AB" w:rsidRPr="004734AB" w:rsidRDefault="004734AB" w:rsidP="00607DB7">
            <w:pPr>
              <w:spacing w:line="360" w:lineRule="auto"/>
            </w:pPr>
            <w:r w:rsidRPr="004734AB">
              <w:t>(40)</w:t>
            </w:r>
          </w:p>
        </w:tc>
        <w:tc>
          <w:tcPr>
            <w:tcW w:w="0" w:type="auto"/>
            <w:hideMark/>
          </w:tcPr>
          <w:p w14:paraId="415344DE" w14:textId="77777777" w:rsidR="004734AB" w:rsidRPr="004734AB" w:rsidRDefault="004734AB" w:rsidP="00607DB7">
            <w:pPr>
              <w:spacing w:line="360" w:lineRule="auto"/>
            </w:pPr>
            <w:r w:rsidRPr="004734AB">
              <w:t>10</w:t>
            </w:r>
          </w:p>
        </w:tc>
        <w:tc>
          <w:tcPr>
            <w:tcW w:w="0" w:type="auto"/>
            <w:hideMark/>
          </w:tcPr>
          <w:p w14:paraId="3285D51C" w14:textId="77777777" w:rsidR="004734AB" w:rsidRPr="004734AB" w:rsidRDefault="004734AB" w:rsidP="00607DB7">
            <w:pPr>
              <w:spacing w:line="360" w:lineRule="auto"/>
            </w:pPr>
            <w:r w:rsidRPr="004734AB">
              <w:t>12</w:t>
            </w:r>
          </w:p>
        </w:tc>
        <w:tc>
          <w:tcPr>
            <w:tcW w:w="0" w:type="auto"/>
            <w:hideMark/>
          </w:tcPr>
          <w:p w14:paraId="534D728E" w14:textId="77777777" w:rsidR="004734AB" w:rsidRPr="004734AB" w:rsidRDefault="004734AB" w:rsidP="00607DB7">
            <w:pPr>
              <w:spacing w:line="360" w:lineRule="auto"/>
            </w:pPr>
            <w:r w:rsidRPr="004734AB">
              <w:t>14</w:t>
            </w:r>
          </w:p>
        </w:tc>
        <w:tc>
          <w:tcPr>
            <w:tcW w:w="0" w:type="auto"/>
            <w:hideMark/>
          </w:tcPr>
          <w:p w14:paraId="5D309431" w14:textId="77777777" w:rsidR="004734AB" w:rsidRPr="004734AB" w:rsidRDefault="004734AB" w:rsidP="00607DB7">
            <w:pPr>
              <w:spacing w:line="360" w:lineRule="auto"/>
            </w:pPr>
            <w:r w:rsidRPr="004734AB">
              <w:t>10</w:t>
            </w:r>
          </w:p>
        </w:tc>
        <w:tc>
          <w:tcPr>
            <w:tcW w:w="0" w:type="auto"/>
            <w:hideMark/>
          </w:tcPr>
          <w:p w14:paraId="2BB1F724" w14:textId="77777777" w:rsidR="004734AB" w:rsidRPr="004734AB" w:rsidRDefault="004734AB" w:rsidP="00607DB7">
            <w:pPr>
              <w:spacing w:line="360" w:lineRule="auto"/>
            </w:pPr>
            <w:r w:rsidRPr="004734AB">
              <w:t>8</w:t>
            </w:r>
          </w:p>
        </w:tc>
        <w:tc>
          <w:tcPr>
            <w:tcW w:w="0" w:type="auto"/>
            <w:hideMark/>
          </w:tcPr>
          <w:p w14:paraId="6562E3A9" w14:textId="77777777" w:rsidR="004734AB" w:rsidRPr="004734AB" w:rsidRDefault="004734AB" w:rsidP="00607DB7">
            <w:pPr>
              <w:spacing w:line="360" w:lineRule="auto"/>
            </w:pPr>
          </w:p>
        </w:tc>
      </w:tr>
      <w:tr w:rsidR="004734AB" w:rsidRPr="004734AB" w14:paraId="4B6B9A66" w14:textId="77777777" w:rsidTr="004734AB">
        <w:tc>
          <w:tcPr>
            <w:tcW w:w="0" w:type="auto"/>
            <w:hideMark/>
          </w:tcPr>
          <w:p w14:paraId="20B16BDC" w14:textId="77777777" w:rsidR="004734AB" w:rsidRPr="004734AB" w:rsidRDefault="004734AB" w:rsidP="00607DB7">
            <w:pPr>
              <w:spacing w:line="360" w:lineRule="auto"/>
            </w:pPr>
            <w:r w:rsidRPr="004734AB">
              <w:t>Cumulative</w:t>
            </w:r>
          </w:p>
        </w:tc>
        <w:tc>
          <w:tcPr>
            <w:tcW w:w="0" w:type="auto"/>
            <w:hideMark/>
          </w:tcPr>
          <w:p w14:paraId="5183A8F8" w14:textId="77777777" w:rsidR="004734AB" w:rsidRPr="004734AB" w:rsidRDefault="004734AB" w:rsidP="00607DB7">
            <w:pPr>
              <w:spacing w:line="360" w:lineRule="auto"/>
            </w:pPr>
            <w:r w:rsidRPr="004734AB">
              <w:t>(40)</w:t>
            </w:r>
          </w:p>
        </w:tc>
        <w:tc>
          <w:tcPr>
            <w:tcW w:w="0" w:type="auto"/>
            <w:hideMark/>
          </w:tcPr>
          <w:p w14:paraId="42F607F6" w14:textId="77777777" w:rsidR="004734AB" w:rsidRPr="004734AB" w:rsidRDefault="004734AB" w:rsidP="00607DB7">
            <w:pPr>
              <w:spacing w:line="360" w:lineRule="auto"/>
            </w:pPr>
            <w:r w:rsidRPr="004734AB">
              <w:t>(30)</w:t>
            </w:r>
          </w:p>
        </w:tc>
        <w:tc>
          <w:tcPr>
            <w:tcW w:w="0" w:type="auto"/>
            <w:hideMark/>
          </w:tcPr>
          <w:p w14:paraId="739C4859" w14:textId="77777777" w:rsidR="004734AB" w:rsidRPr="004734AB" w:rsidRDefault="004734AB" w:rsidP="00607DB7">
            <w:pPr>
              <w:spacing w:line="360" w:lineRule="auto"/>
            </w:pPr>
            <w:r w:rsidRPr="004734AB">
              <w:t>(18)</w:t>
            </w:r>
          </w:p>
        </w:tc>
        <w:tc>
          <w:tcPr>
            <w:tcW w:w="0" w:type="auto"/>
            <w:hideMark/>
          </w:tcPr>
          <w:p w14:paraId="4D907252" w14:textId="77777777" w:rsidR="004734AB" w:rsidRPr="004734AB" w:rsidRDefault="004734AB" w:rsidP="00607DB7">
            <w:pPr>
              <w:spacing w:line="360" w:lineRule="auto"/>
            </w:pPr>
            <w:r w:rsidRPr="004734AB">
              <w:t>(4)</w:t>
            </w:r>
          </w:p>
        </w:tc>
        <w:tc>
          <w:tcPr>
            <w:tcW w:w="0" w:type="auto"/>
            <w:hideMark/>
          </w:tcPr>
          <w:p w14:paraId="397E9486" w14:textId="77777777" w:rsidR="004734AB" w:rsidRPr="004734AB" w:rsidRDefault="004734AB" w:rsidP="00607DB7">
            <w:pPr>
              <w:spacing w:line="360" w:lineRule="auto"/>
            </w:pPr>
            <w:r w:rsidRPr="004734AB">
              <w:t>6</w:t>
            </w:r>
          </w:p>
        </w:tc>
        <w:tc>
          <w:tcPr>
            <w:tcW w:w="0" w:type="auto"/>
            <w:hideMark/>
          </w:tcPr>
          <w:p w14:paraId="48149F43" w14:textId="77777777" w:rsidR="004734AB" w:rsidRPr="004734AB" w:rsidRDefault="004734AB" w:rsidP="00607DB7">
            <w:pPr>
              <w:spacing w:line="360" w:lineRule="auto"/>
            </w:pPr>
            <w:r w:rsidRPr="004734AB">
              <w:t>14</w:t>
            </w:r>
          </w:p>
        </w:tc>
        <w:tc>
          <w:tcPr>
            <w:tcW w:w="0" w:type="auto"/>
            <w:hideMark/>
          </w:tcPr>
          <w:p w14:paraId="5A2EAB39" w14:textId="77777777" w:rsidR="004734AB" w:rsidRPr="004734AB" w:rsidRDefault="004734AB" w:rsidP="00607DB7">
            <w:pPr>
              <w:spacing w:line="360" w:lineRule="auto"/>
            </w:pPr>
            <w:r w:rsidRPr="004734AB">
              <w:t>3.29 years</w:t>
            </w:r>
          </w:p>
        </w:tc>
      </w:tr>
    </w:tbl>
    <w:p w14:paraId="7A0F1C15" w14:textId="77777777" w:rsidR="004734AB" w:rsidRPr="004734AB" w:rsidRDefault="004734AB" w:rsidP="00607DB7">
      <w:pPr>
        <w:spacing w:line="360" w:lineRule="auto"/>
      </w:pPr>
      <w:r w:rsidRPr="004734AB">
        <w:rPr>
          <w:b/>
          <w:bCs/>
        </w:rPr>
        <w:t>Calculation:</w:t>
      </w:r>
      <w:r w:rsidRPr="004734AB">
        <w:t xml:space="preserve"> After Year 3, shortfall = £4m. Year 4 generates £10m. PBP = 3 + (4/10) = 3.29 years</w:t>
      </w:r>
    </w:p>
    <w:tbl>
      <w:tblPr>
        <w:tblStyle w:val="TableGrid"/>
        <w:tblW w:w="0" w:type="auto"/>
        <w:tblLook w:val="04A0" w:firstRow="1" w:lastRow="0" w:firstColumn="1" w:lastColumn="0" w:noHBand="0" w:noVBand="1"/>
      </w:tblPr>
      <w:tblGrid>
        <w:gridCol w:w="2110"/>
        <w:gridCol w:w="937"/>
        <w:gridCol w:w="937"/>
        <w:gridCol w:w="937"/>
        <w:gridCol w:w="937"/>
        <w:gridCol w:w="937"/>
        <w:gridCol w:w="937"/>
        <w:gridCol w:w="1337"/>
      </w:tblGrid>
      <w:tr w:rsidR="004734AB" w:rsidRPr="004734AB" w14:paraId="414CF1DE" w14:textId="77777777" w:rsidTr="004734AB">
        <w:tc>
          <w:tcPr>
            <w:tcW w:w="0" w:type="auto"/>
            <w:hideMark/>
          </w:tcPr>
          <w:p w14:paraId="30B55A73" w14:textId="77777777" w:rsidR="004734AB" w:rsidRPr="004734AB" w:rsidRDefault="004734AB" w:rsidP="00607DB7">
            <w:pPr>
              <w:spacing w:line="360" w:lineRule="auto"/>
              <w:rPr>
                <w:b/>
                <w:bCs/>
              </w:rPr>
            </w:pPr>
            <w:r w:rsidRPr="004734AB">
              <w:rPr>
                <w:b/>
                <w:bCs/>
              </w:rPr>
              <w:t>Project B (£30m)</w:t>
            </w:r>
          </w:p>
        </w:tc>
        <w:tc>
          <w:tcPr>
            <w:tcW w:w="0" w:type="auto"/>
            <w:hideMark/>
          </w:tcPr>
          <w:p w14:paraId="385BBB54" w14:textId="77777777" w:rsidR="004734AB" w:rsidRPr="004734AB" w:rsidRDefault="004734AB" w:rsidP="00607DB7">
            <w:pPr>
              <w:spacing w:line="360" w:lineRule="auto"/>
              <w:rPr>
                <w:b/>
                <w:bCs/>
              </w:rPr>
            </w:pPr>
            <w:r w:rsidRPr="004734AB">
              <w:rPr>
                <w:b/>
                <w:bCs/>
              </w:rPr>
              <w:t>Year 0</w:t>
            </w:r>
          </w:p>
        </w:tc>
        <w:tc>
          <w:tcPr>
            <w:tcW w:w="0" w:type="auto"/>
            <w:hideMark/>
          </w:tcPr>
          <w:p w14:paraId="322E5F48" w14:textId="77777777" w:rsidR="004734AB" w:rsidRPr="004734AB" w:rsidRDefault="004734AB" w:rsidP="00607DB7">
            <w:pPr>
              <w:spacing w:line="360" w:lineRule="auto"/>
              <w:rPr>
                <w:b/>
                <w:bCs/>
              </w:rPr>
            </w:pPr>
            <w:r w:rsidRPr="004734AB">
              <w:rPr>
                <w:b/>
                <w:bCs/>
              </w:rPr>
              <w:t>Year 1</w:t>
            </w:r>
          </w:p>
        </w:tc>
        <w:tc>
          <w:tcPr>
            <w:tcW w:w="0" w:type="auto"/>
            <w:hideMark/>
          </w:tcPr>
          <w:p w14:paraId="380A17DC" w14:textId="77777777" w:rsidR="004734AB" w:rsidRPr="004734AB" w:rsidRDefault="004734AB" w:rsidP="00607DB7">
            <w:pPr>
              <w:spacing w:line="360" w:lineRule="auto"/>
              <w:rPr>
                <w:b/>
                <w:bCs/>
              </w:rPr>
            </w:pPr>
            <w:r w:rsidRPr="004734AB">
              <w:rPr>
                <w:b/>
                <w:bCs/>
              </w:rPr>
              <w:t>Year 2</w:t>
            </w:r>
          </w:p>
        </w:tc>
        <w:tc>
          <w:tcPr>
            <w:tcW w:w="0" w:type="auto"/>
            <w:hideMark/>
          </w:tcPr>
          <w:p w14:paraId="7642306E" w14:textId="77777777" w:rsidR="004734AB" w:rsidRPr="004734AB" w:rsidRDefault="004734AB" w:rsidP="00607DB7">
            <w:pPr>
              <w:spacing w:line="360" w:lineRule="auto"/>
              <w:rPr>
                <w:b/>
                <w:bCs/>
              </w:rPr>
            </w:pPr>
            <w:r w:rsidRPr="004734AB">
              <w:rPr>
                <w:b/>
                <w:bCs/>
              </w:rPr>
              <w:t>Year 3</w:t>
            </w:r>
          </w:p>
        </w:tc>
        <w:tc>
          <w:tcPr>
            <w:tcW w:w="0" w:type="auto"/>
            <w:hideMark/>
          </w:tcPr>
          <w:p w14:paraId="6448E02C" w14:textId="77777777" w:rsidR="004734AB" w:rsidRPr="004734AB" w:rsidRDefault="004734AB" w:rsidP="00607DB7">
            <w:pPr>
              <w:spacing w:line="360" w:lineRule="auto"/>
              <w:rPr>
                <w:b/>
                <w:bCs/>
              </w:rPr>
            </w:pPr>
            <w:r w:rsidRPr="004734AB">
              <w:rPr>
                <w:b/>
                <w:bCs/>
              </w:rPr>
              <w:t>Year 4</w:t>
            </w:r>
          </w:p>
        </w:tc>
        <w:tc>
          <w:tcPr>
            <w:tcW w:w="0" w:type="auto"/>
            <w:hideMark/>
          </w:tcPr>
          <w:p w14:paraId="5ACCEDB2" w14:textId="77777777" w:rsidR="004734AB" w:rsidRPr="004734AB" w:rsidRDefault="004734AB" w:rsidP="00607DB7">
            <w:pPr>
              <w:spacing w:line="360" w:lineRule="auto"/>
              <w:rPr>
                <w:b/>
                <w:bCs/>
              </w:rPr>
            </w:pPr>
            <w:r w:rsidRPr="004734AB">
              <w:rPr>
                <w:b/>
                <w:bCs/>
              </w:rPr>
              <w:t>Year 5</w:t>
            </w:r>
          </w:p>
        </w:tc>
        <w:tc>
          <w:tcPr>
            <w:tcW w:w="0" w:type="auto"/>
            <w:hideMark/>
          </w:tcPr>
          <w:p w14:paraId="02C7AD38" w14:textId="77777777" w:rsidR="004734AB" w:rsidRPr="004734AB" w:rsidRDefault="004734AB" w:rsidP="00607DB7">
            <w:pPr>
              <w:spacing w:line="360" w:lineRule="auto"/>
              <w:rPr>
                <w:b/>
                <w:bCs/>
              </w:rPr>
            </w:pPr>
            <w:r w:rsidRPr="004734AB">
              <w:rPr>
                <w:b/>
                <w:bCs/>
              </w:rPr>
              <w:t>PBP</w:t>
            </w:r>
          </w:p>
        </w:tc>
      </w:tr>
      <w:tr w:rsidR="004734AB" w:rsidRPr="004734AB" w14:paraId="72042943" w14:textId="77777777" w:rsidTr="004734AB">
        <w:tc>
          <w:tcPr>
            <w:tcW w:w="0" w:type="auto"/>
            <w:hideMark/>
          </w:tcPr>
          <w:p w14:paraId="3FE7B827" w14:textId="77777777" w:rsidR="004734AB" w:rsidRPr="004734AB" w:rsidRDefault="004734AB" w:rsidP="00607DB7">
            <w:pPr>
              <w:spacing w:line="360" w:lineRule="auto"/>
            </w:pPr>
            <w:r w:rsidRPr="004734AB">
              <w:t>Cash Flow</w:t>
            </w:r>
          </w:p>
        </w:tc>
        <w:tc>
          <w:tcPr>
            <w:tcW w:w="0" w:type="auto"/>
            <w:hideMark/>
          </w:tcPr>
          <w:p w14:paraId="37908D3B" w14:textId="77777777" w:rsidR="004734AB" w:rsidRPr="004734AB" w:rsidRDefault="004734AB" w:rsidP="00607DB7">
            <w:pPr>
              <w:spacing w:line="360" w:lineRule="auto"/>
            </w:pPr>
            <w:r w:rsidRPr="004734AB">
              <w:t>(30)</w:t>
            </w:r>
          </w:p>
        </w:tc>
        <w:tc>
          <w:tcPr>
            <w:tcW w:w="0" w:type="auto"/>
            <w:hideMark/>
          </w:tcPr>
          <w:p w14:paraId="3F86DAD6" w14:textId="77777777" w:rsidR="004734AB" w:rsidRPr="004734AB" w:rsidRDefault="004734AB" w:rsidP="00607DB7">
            <w:pPr>
              <w:spacing w:line="360" w:lineRule="auto"/>
            </w:pPr>
            <w:r w:rsidRPr="004734AB">
              <w:t>6</w:t>
            </w:r>
          </w:p>
        </w:tc>
        <w:tc>
          <w:tcPr>
            <w:tcW w:w="0" w:type="auto"/>
            <w:hideMark/>
          </w:tcPr>
          <w:p w14:paraId="33862BBE" w14:textId="77777777" w:rsidR="004734AB" w:rsidRPr="004734AB" w:rsidRDefault="004734AB" w:rsidP="00607DB7">
            <w:pPr>
              <w:spacing w:line="360" w:lineRule="auto"/>
            </w:pPr>
            <w:r w:rsidRPr="004734AB">
              <w:t>6</w:t>
            </w:r>
          </w:p>
        </w:tc>
        <w:tc>
          <w:tcPr>
            <w:tcW w:w="0" w:type="auto"/>
            <w:hideMark/>
          </w:tcPr>
          <w:p w14:paraId="3D48F65C" w14:textId="77777777" w:rsidR="004734AB" w:rsidRPr="004734AB" w:rsidRDefault="004734AB" w:rsidP="00607DB7">
            <w:pPr>
              <w:spacing w:line="360" w:lineRule="auto"/>
            </w:pPr>
            <w:r w:rsidRPr="004734AB">
              <w:t>6</w:t>
            </w:r>
          </w:p>
        </w:tc>
        <w:tc>
          <w:tcPr>
            <w:tcW w:w="0" w:type="auto"/>
            <w:hideMark/>
          </w:tcPr>
          <w:p w14:paraId="331FF533" w14:textId="77777777" w:rsidR="004734AB" w:rsidRPr="004734AB" w:rsidRDefault="004734AB" w:rsidP="00607DB7">
            <w:pPr>
              <w:spacing w:line="360" w:lineRule="auto"/>
            </w:pPr>
            <w:r w:rsidRPr="004734AB">
              <w:t>6</w:t>
            </w:r>
          </w:p>
        </w:tc>
        <w:tc>
          <w:tcPr>
            <w:tcW w:w="0" w:type="auto"/>
            <w:hideMark/>
          </w:tcPr>
          <w:p w14:paraId="6C0E6DD5" w14:textId="77777777" w:rsidR="004734AB" w:rsidRPr="004734AB" w:rsidRDefault="004734AB" w:rsidP="00607DB7">
            <w:pPr>
              <w:spacing w:line="360" w:lineRule="auto"/>
            </w:pPr>
            <w:r w:rsidRPr="004734AB">
              <w:t>6</w:t>
            </w:r>
          </w:p>
        </w:tc>
        <w:tc>
          <w:tcPr>
            <w:tcW w:w="0" w:type="auto"/>
            <w:hideMark/>
          </w:tcPr>
          <w:p w14:paraId="00986916" w14:textId="77777777" w:rsidR="004734AB" w:rsidRPr="004734AB" w:rsidRDefault="004734AB" w:rsidP="00607DB7">
            <w:pPr>
              <w:spacing w:line="360" w:lineRule="auto"/>
            </w:pPr>
          </w:p>
        </w:tc>
      </w:tr>
      <w:tr w:rsidR="004734AB" w:rsidRPr="004734AB" w14:paraId="1154963E" w14:textId="77777777" w:rsidTr="004734AB">
        <w:tc>
          <w:tcPr>
            <w:tcW w:w="0" w:type="auto"/>
            <w:hideMark/>
          </w:tcPr>
          <w:p w14:paraId="24AFD8FE" w14:textId="77777777" w:rsidR="004734AB" w:rsidRPr="004734AB" w:rsidRDefault="004734AB" w:rsidP="00607DB7">
            <w:pPr>
              <w:spacing w:line="360" w:lineRule="auto"/>
            </w:pPr>
            <w:r w:rsidRPr="004734AB">
              <w:t>Cumulative</w:t>
            </w:r>
          </w:p>
        </w:tc>
        <w:tc>
          <w:tcPr>
            <w:tcW w:w="0" w:type="auto"/>
            <w:hideMark/>
          </w:tcPr>
          <w:p w14:paraId="09244BA3" w14:textId="77777777" w:rsidR="004734AB" w:rsidRPr="004734AB" w:rsidRDefault="004734AB" w:rsidP="00607DB7">
            <w:pPr>
              <w:spacing w:line="360" w:lineRule="auto"/>
            </w:pPr>
            <w:r w:rsidRPr="004734AB">
              <w:t>(30)</w:t>
            </w:r>
          </w:p>
        </w:tc>
        <w:tc>
          <w:tcPr>
            <w:tcW w:w="0" w:type="auto"/>
            <w:hideMark/>
          </w:tcPr>
          <w:p w14:paraId="50766B01" w14:textId="77777777" w:rsidR="004734AB" w:rsidRPr="004734AB" w:rsidRDefault="004734AB" w:rsidP="00607DB7">
            <w:pPr>
              <w:spacing w:line="360" w:lineRule="auto"/>
            </w:pPr>
            <w:r w:rsidRPr="004734AB">
              <w:t>(24)</w:t>
            </w:r>
          </w:p>
        </w:tc>
        <w:tc>
          <w:tcPr>
            <w:tcW w:w="0" w:type="auto"/>
            <w:hideMark/>
          </w:tcPr>
          <w:p w14:paraId="69F3E771" w14:textId="77777777" w:rsidR="004734AB" w:rsidRPr="004734AB" w:rsidRDefault="004734AB" w:rsidP="00607DB7">
            <w:pPr>
              <w:spacing w:line="360" w:lineRule="auto"/>
            </w:pPr>
            <w:r w:rsidRPr="004734AB">
              <w:t>(18)</w:t>
            </w:r>
          </w:p>
        </w:tc>
        <w:tc>
          <w:tcPr>
            <w:tcW w:w="0" w:type="auto"/>
            <w:hideMark/>
          </w:tcPr>
          <w:p w14:paraId="4D02D156" w14:textId="77777777" w:rsidR="004734AB" w:rsidRPr="004734AB" w:rsidRDefault="004734AB" w:rsidP="00607DB7">
            <w:pPr>
              <w:spacing w:line="360" w:lineRule="auto"/>
            </w:pPr>
            <w:r w:rsidRPr="004734AB">
              <w:t>(12)</w:t>
            </w:r>
          </w:p>
        </w:tc>
        <w:tc>
          <w:tcPr>
            <w:tcW w:w="0" w:type="auto"/>
            <w:hideMark/>
          </w:tcPr>
          <w:p w14:paraId="0025B0AE" w14:textId="77777777" w:rsidR="004734AB" w:rsidRPr="004734AB" w:rsidRDefault="004734AB" w:rsidP="00607DB7">
            <w:pPr>
              <w:spacing w:line="360" w:lineRule="auto"/>
            </w:pPr>
            <w:r w:rsidRPr="004734AB">
              <w:t>(6)</w:t>
            </w:r>
          </w:p>
        </w:tc>
        <w:tc>
          <w:tcPr>
            <w:tcW w:w="0" w:type="auto"/>
            <w:hideMark/>
          </w:tcPr>
          <w:p w14:paraId="40F7ADEC" w14:textId="77777777" w:rsidR="004734AB" w:rsidRPr="004734AB" w:rsidRDefault="004734AB" w:rsidP="00607DB7">
            <w:pPr>
              <w:spacing w:line="360" w:lineRule="auto"/>
            </w:pPr>
            <w:r w:rsidRPr="004734AB">
              <w:t>0</w:t>
            </w:r>
          </w:p>
        </w:tc>
        <w:tc>
          <w:tcPr>
            <w:tcW w:w="0" w:type="auto"/>
            <w:hideMark/>
          </w:tcPr>
          <w:p w14:paraId="78D7FEBD" w14:textId="77777777" w:rsidR="004734AB" w:rsidRPr="004734AB" w:rsidRDefault="004734AB" w:rsidP="00607DB7">
            <w:pPr>
              <w:spacing w:line="360" w:lineRule="auto"/>
            </w:pPr>
            <w:r w:rsidRPr="004734AB">
              <w:t>5.00 years</w:t>
            </w:r>
          </w:p>
        </w:tc>
      </w:tr>
    </w:tbl>
    <w:p w14:paraId="75148C7B" w14:textId="77777777" w:rsidR="004734AB" w:rsidRPr="004734AB" w:rsidRDefault="004734AB" w:rsidP="00607DB7">
      <w:pPr>
        <w:spacing w:line="360" w:lineRule="auto"/>
      </w:pPr>
      <w:r w:rsidRPr="004734AB">
        <w:rPr>
          <w:b/>
          <w:bCs/>
        </w:rPr>
        <w:t>Calculation:</w:t>
      </w:r>
      <w:r w:rsidRPr="004734AB">
        <w:t xml:space="preserve"> Exactly breaks even at Year 5. PBP = 5.00 years</w:t>
      </w:r>
    </w:p>
    <w:tbl>
      <w:tblPr>
        <w:tblStyle w:val="TableGrid"/>
        <w:tblW w:w="0" w:type="auto"/>
        <w:tblLook w:val="04A0" w:firstRow="1" w:lastRow="0" w:firstColumn="1" w:lastColumn="0" w:noHBand="0" w:noVBand="1"/>
      </w:tblPr>
      <w:tblGrid>
        <w:gridCol w:w="2110"/>
        <w:gridCol w:w="937"/>
        <w:gridCol w:w="937"/>
        <w:gridCol w:w="937"/>
        <w:gridCol w:w="937"/>
        <w:gridCol w:w="937"/>
        <w:gridCol w:w="937"/>
        <w:gridCol w:w="1337"/>
      </w:tblGrid>
      <w:tr w:rsidR="004734AB" w:rsidRPr="004734AB" w14:paraId="7C35CF6A" w14:textId="77777777" w:rsidTr="004734AB">
        <w:tc>
          <w:tcPr>
            <w:tcW w:w="0" w:type="auto"/>
            <w:hideMark/>
          </w:tcPr>
          <w:p w14:paraId="305E4139" w14:textId="77777777" w:rsidR="004734AB" w:rsidRPr="004734AB" w:rsidRDefault="004734AB" w:rsidP="00607DB7">
            <w:pPr>
              <w:spacing w:line="360" w:lineRule="auto"/>
              <w:rPr>
                <w:b/>
                <w:bCs/>
              </w:rPr>
            </w:pPr>
            <w:r w:rsidRPr="004734AB">
              <w:rPr>
                <w:b/>
                <w:bCs/>
              </w:rPr>
              <w:t>Project C (£50m)</w:t>
            </w:r>
          </w:p>
        </w:tc>
        <w:tc>
          <w:tcPr>
            <w:tcW w:w="0" w:type="auto"/>
            <w:hideMark/>
          </w:tcPr>
          <w:p w14:paraId="2AF8E8F9" w14:textId="77777777" w:rsidR="004734AB" w:rsidRPr="004734AB" w:rsidRDefault="004734AB" w:rsidP="00607DB7">
            <w:pPr>
              <w:spacing w:line="360" w:lineRule="auto"/>
              <w:rPr>
                <w:b/>
                <w:bCs/>
              </w:rPr>
            </w:pPr>
            <w:r w:rsidRPr="004734AB">
              <w:rPr>
                <w:b/>
                <w:bCs/>
              </w:rPr>
              <w:t>Year 0</w:t>
            </w:r>
          </w:p>
        </w:tc>
        <w:tc>
          <w:tcPr>
            <w:tcW w:w="0" w:type="auto"/>
            <w:hideMark/>
          </w:tcPr>
          <w:p w14:paraId="2A0E53F4" w14:textId="77777777" w:rsidR="004734AB" w:rsidRPr="004734AB" w:rsidRDefault="004734AB" w:rsidP="00607DB7">
            <w:pPr>
              <w:spacing w:line="360" w:lineRule="auto"/>
              <w:rPr>
                <w:b/>
                <w:bCs/>
              </w:rPr>
            </w:pPr>
            <w:r w:rsidRPr="004734AB">
              <w:rPr>
                <w:b/>
                <w:bCs/>
              </w:rPr>
              <w:t>Year 1</w:t>
            </w:r>
          </w:p>
        </w:tc>
        <w:tc>
          <w:tcPr>
            <w:tcW w:w="0" w:type="auto"/>
            <w:hideMark/>
          </w:tcPr>
          <w:p w14:paraId="02B773AA" w14:textId="77777777" w:rsidR="004734AB" w:rsidRPr="004734AB" w:rsidRDefault="004734AB" w:rsidP="00607DB7">
            <w:pPr>
              <w:spacing w:line="360" w:lineRule="auto"/>
              <w:rPr>
                <w:b/>
                <w:bCs/>
              </w:rPr>
            </w:pPr>
            <w:r w:rsidRPr="004734AB">
              <w:rPr>
                <w:b/>
                <w:bCs/>
              </w:rPr>
              <w:t>Year 2</w:t>
            </w:r>
          </w:p>
        </w:tc>
        <w:tc>
          <w:tcPr>
            <w:tcW w:w="0" w:type="auto"/>
            <w:hideMark/>
          </w:tcPr>
          <w:p w14:paraId="52DCE0D4" w14:textId="77777777" w:rsidR="004734AB" w:rsidRPr="004734AB" w:rsidRDefault="004734AB" w:rsidP="00607DB7">
            <w:pPr>
              <w:spacing w:line="360" w:lineRule="auto"/>
              <w:rPr>
                <w:b/>
                <w:bCs/>
              </w:rPr>
            </w:pPr>
            <w:r w:rsidRPr="004734AB">
              <w:rPr>
                <w:b/>
                <w:bCs/>
              </w:rPr>
              <w:t>Year 3</w:t>
            </w:r>
          </w:p>
        </w:tc>
        <w:tc>
          <w:tcPr>
            <w:tcW w:w="0" w:type="auto"/>
            <w:hideMark/>
          </w:tcPr>
          <w:p w14:paraId="7EA9F4F7" w14:textId="77777777" w:rsidR="004734AB" w:rsidRPr="004734AB" w:rsidRDefault="004734AB" w:rsidP="00607DB7">
            <w:pPr>
              <w:spacing w:line="360" w:lineRule="auto"/>
              <w:rPr>
                <w:b/>
                <w:bCs/>
              </w:rPr>
            </w:pPr>
            <w:r w:rsidRPr="004734AB">
              <w:rPr>
                <w:b/>
                <w:bCs/>
              </w:rPr>
              <w:t>Year 4</w:t>
            </w:r>
          </w:p>
        </w:tc>
        <w:tc>
          <w:tcPr>
            <w:tcW w:w="0" w:type="auto"/>
            <w:hideMark/>
          </w:tcPr>
          <w:p w14:paraId="5927914E" w14:textId="77777777" w:rsidR="004734AB" w:rsidRPr="004734AB" w:rsidRDefault="004734AB" w:rsidP="00607DB7">
            <w:pPr>
              <w:spacing w:line="360" w:lineRule="auto"/>
              <w:rPr>
                <w:b/>
                <w:bCs/>
              </w:rPr>
            </w:pPr>
            <w:r w:rsidRPr="004734AB">
              <w:rPr>
                <w:b/>
                <w:bCs/>
              </w:rPr>
              <w:t>Year 5</w:t>
            </w:r>
          </w:p>
        </w:tc>
        <w:tc>
          <w:tcPr>
            <w:tcW w:w="0" w:type="auto"/>
            <w:hideMark/>
          </w:tcPr>
          <w:p w14:paraId="5DFE34A0" w14:textId="77777777" w:rsidR="004734AB" w:rsidRPr="004734AB" w:rsidRDefault="004734AB" w:rsidP="00607DB7">
            <w:pPr>
              <w:spacing w:line="360" w:lineRule="auto"/>
              <w:rPr>
                <w:b/>
                <w:bCs/>
              </w:rPr>
            </w:pPr>
            <w:r w:rsidRPr="004734AB">
              <w:rPr>
                <w:b/>
                <w:bCs/>
              </w:rPr>
              <w:t>PBP</w:t>
            </w:r>
          </w:p>
        </w:tc>
      </w:tr>
      <w:tr w:rsidR="004734AB" w:rsidRPr="004734AB" w14:paraId="53AADB30" w14:textId="77777777" w:rsidTr="004734AB">
        <w:tc>
          <w:tcPr>
            <w:tcW w:w="0" w:type="auto"/>
            <w:hideMark/>
          </w:tcPr>
          <w:p w14:paraId="376307ED" w14:textId="77777777" w:rsidR="004734AB" w:rsidRPr="004734AB" w:rsidRDefault="004734AB" w:rsidP="00607DB7">
            <w:pPr>
              <w:spacing w:line="360" w:lineRule="auto"/>
            </w:pPr>
            <w:r w:rsidRPr="004734AB">
              <w:t>Cash Flow</w:t>
            </w:r>
          </w:p>
        </w:tc>
        <w:tc>
          <w:tcPr>
            <w:tcW w:w="0" w:type="auto"/>
            <w:hideMark/>
          </w:tcPr>
          <w:p w14:paraId="6D33D0A8" w14:textId="77777777" w:rsidR="004734AB" w:rsidRPr="004734AB" w:rsidRDefault="004734AB" w:rsidP="00607DB7">
            <w:pPr>
              <w:spacing w:line="360" w:lineRule="auto"/>
            </w:pPr>
            <w:r w:rsidRPr="004734AB">
              <w:t>(50)</w:t>
            </w:r>
          </w:p>
        </w:tc>
        <w:tc>
          <w:tcPr>
            <w:tcW w:w="0" w:type="auto"/>
            <w:hideMark/>
          </w:tcPr>
          <w:p w14:paraId="77D8BAC2" w14:textId="77777777" w:rsidR="004734AB" w:rsidRPr="004734AB" w:rsidRDefault="004734AB" w:rsidP="00607DB7">
            <w:pPr>
              <w:spacing w:line="360" w:lineRule="auto"/>
            </w:pPr>
            <w:r w:rsidRPr="004734AB">
              <w:t>5</w:t>
            </w:r>
          </w:p>
        </w:tc>
        <w:tc>
          <w:tcPr>
            <w:tcW w:w="0" w:type="auto"/>
            <w:hideMark/>
          </w:tcPr>
          <w:p w14:paraId="50819CE3" w14:textId="77777777" w:rsidR="004734AB" w:rsidRPr="004734AB" w:rsidRDefault="004734AB" w:rsidP="00607DB7">
            <w:pPr>
              <w:spacing w:line="360" w:lineRule="auto"/>
            </w:pPr>
            <w:r w:rsidRPr="004734AB">
              <w:t>10</w:t>
            </w:r>
          </w:p>
        </w:tc>
        <w:tc>
          <w:tcPr>
            <w:tcW w:w="0" w:type="auto"/>
            <w:hideMark/>
          </w:tcPr>
          <w:p w14:paraId="176C8669" w14:textId="77777777" w:rsidR="004734AB" w:rsidRPr="004734AB" w:rsidRDefault="004734AB" w:rsidP="00607DB7">
            <w:pPr>
              <w:spacing w:line="360" w:lineRule="auto"/>
            </w:pPr>
            <w:r w:rsidRPr="004734AB">
              <w:t>20</w:t>
            </w:r>
          </w:p>
        </w:tc>
        <w:tc>
          <w:tcPr>
            <w:tcW w:w="0" w:type="auto"/>
            <w:hideMark/>
          </w:tcPr>
          <w:p w14:paraId="396D2ABC" w14:textId="77777777" w:rsidR="004734AB" w:rsidRPr="004734AB" w:rsidRDefault="004734AB" w:rsidP="00607DB7">
            <w:pPr>
              <w:spacing w:line="360" w:lineRule="auto"/>
            </w:pPr>
            <w:r w:rsidRPr="004734AB">
              <w:t>25</w:t>
            </w:r>
          </w:p>
        </w:tc>
        <w:tc>
          <w:tcPr>
            <w:tcW w:w="0" w:type="auto"/>
            <w:hideMark/>
          </w:tcPr>
          <w:p w14:paraId="2C0D37CE" w14:textId="77777777" w:rsidR="004734AB" w:rsidRPr="004734AB" w:rsidRDefault="004734AB" w:rsidP="00607DB7">
            <w:pPr>
              <w:spacing w:line="360" w:lineRule="auto"/>
            </w:pPr>
            <w:r w:rsidRPr="004734AB">
              <w:t>15</w:t>
            </w:r>
          </w:p>
        </w:tc>
        <w:tc>
          <w:tcPr>
            <w:tcW w:w="0" w:type="auto"/>
            <w:hideMark/>
          </w:tcPr>
          <w:p w14:paraId="12229495" w14:textId="77777777" w:rsidR="004734AB" w:rsidRPr="004734AB" w:rsidRDefault="004734AB" w:rsidP="00607DB7">
            <w:pPr>
              <w:spacing w:line="360" w:lineRule="auto"/>
            </w:pPr>
          </w:p>
        </w:tc>
      </w:tr>
      <w:tr w:rsidR="004734AB" w:rsidRPr="004734AB" w14:paraId="0AE6EA40" w14:textId="77777777" w:rsidTr="004734AB">
        <w:tc>
          <w:tcPr>
            <w:tcW w:w="0" w:type="auto"/>
            <w:hideMark/>
          </w:tcPr>
          <w:p w14:paraId="5CA7B014" w14:textId="77777777" w:rsidR="004734AB" w:rsidRPr="004734AB" w:rsidRDefault="004734AB" w:rsidP="00607DB7">
            <w:pPr>
              <w:spacing w:line="360" w:lineRule="auto"/>
            </w:pPr>
            <w:r w:rsidRPr="004734AB">
              <w:t>Cumulative</w:t>
            </w:r>
          </w:p>
        </w:tc>
        <w:tc>
          <w:tcPr>
            <w:tcW w:w="0" w:type="auto"/>
            <w:hideMark/>
          </w:tcPr>
          <w:p w14:paraId="281AE1D5" w14:textId="77777777" w:rsidR="004734AB" w:rsidRPr="004734AB" w:rsidRDefault="004734AB" w:rsidP="00607DB7">
            <w:pPr>
              <w:spacing w:line="360" w:lineRule="auto"/>
            </w:pPr>
            <w:r w:rsidRPr="004734AB">
              <w:t>(50)</w:t>
            </w:r>
          </w:p>
        </w:tc>
        <w:tc>
          <w:tcPr>
            <w:tcW w:w="0" w:type="auto"/>
            <w:hideMark/>
          </w:tcPr>
          <w:p w14:paraId="2A5677CE" w14:textId="77777777" w:rsidR="004734AB" w:rsidRPr="004734AB" w:rsidRDefault="004734AB" w:rsidP="00607DB7">
            <w:pPr>
              <w:spacing w:line="360" w:lineRule="auto"/>
            </w:pPr>
            <w:r w:rsidRPr="004734AB">
              <w:t>(45)</w:t>
            </w:r>
          </w:p>
        </w:tc>
        <w:tc>
          <w:tcPr>
            <w:tcW w:w="0" w:type="auto"/>
            <w:hideMark/>
          </w:tcPr>
          <w:p w14:paraId="523EE1FE" w14:textId="77777777" w:rsidR="004734AB" w:rsidRPr="004734AB" w:rsidRDefault="004734AB" w:rsidP="00607DB7">
            <w:pPr>
              <w:spacing w:line="360" w:lineRule="auto"/>
            </w:pPr>
            <w:r w:rsidRPr="004734AB">
              <w:t>(35)</w:t>
            </w:r>
          </w:p>
        </w:tc>
        <w:tc>
          <w:tcPr>
            <w:tcW w:w="0" w:type="auto"/>
            <w:hideMark/>
          </w:tcPr>
          <w:p w14:paraId="5170A40A" w14:textId="77777777" w:rsidR="004734AB" w:rsidRPr="004734AB" w:rsidRDefault="004734AB" w:rsidP="00607DB7">
            <w:pPr>
              <w:spacing w:line="360" w:lineRule="auto"/>
            </w:pPr>
            <w:r w:rsidRPr="004734AB">
              <w:t>(15)</w:t>
            </w:r>
          </w:p>
        </w:tc>
        <w:tc>
          <w:tcPr>
            <w:tcW w:w="0" w:type="auto"/>
            <w:hideMark/>
          </w:tcPr>
          <w:p w14:paraId="6951FA82" w14:textId="77777777" w:rsidR="004734AB" w:rsidRPr="004734AB" w:rsidRDefault="004734AB" w:rsidP="00607DB7">
            <w:pPr>
              <w:spacing w:line="360" w:lineRule="auto"/>
            </w:pPr>
            <w:r w:rsidRPr="004734AB">
              <w:t>10</w:t>
            </w:r>
          </w:p>
        </w:tc>
        <w:tc>
          <w:tcPr>
            <w:tcW w:w="0" w:type="auto"/>
            <w:hideMark/>
          </w:tcPr>
          <w:p w14:paraId="09043621" w14:textId="77777777" w:rsidR="004734AB" w:rsidRPr="004734AB" w:rsidRDefault="004734AB" w:rsidP="00607DB7">
            <w:pPr>
              <w:spacing w:line="360" w:lineRule="auto"/>
            </w:pPr>
            <w:r w:rsidRPr="004734AB">
              <w:t>25</w:t>
            </w:r>
          </w:p>
        </w:tc>
        <w:tc>
          <w:tcPr>
            <w:tcW w:w="0" w:type="auto"/>
            <w:hideMark/>
          </w:tcPr>
          <w:p w14:paraId="019D4EDB" w14:textId="77777777" w:rsidR="004734AB" w:rsidRPr="004734AB" w:rsidRDefault="004734AB" w:rsidP="00607DB7">
            <w:pPr>
              <w:spacing w:line="360" w:lineRule="auto"/>
            </w:pPr>
            <w:r w:rsidRPr="004734AB">
              <w:t>3.60 years</w:t>
            </w:r>
          </w:p>
        </w:tc>
      </w:tr>
    </w:tbl>
    <w:p w14:paraId="57B53FB0" w14:textId="77777777" w:rsidR="004734AB" w:rsidRPr="004734AB" w:rsidRDefault="004734AB" w:rsidP="00607DB7">
      <w:pPr>
        <w:spacing w:line="360" w:lineRule="auto"/>
      </w:pPr>
      <w:r w:rsidRPr="004734AB">
        <w:rPr>
          <w:b/>
          <w:bCs/>
        </w:rPr>
        <w:lastRenderedPageBreak/>
        <w:t>Calculation:</w:t>
      </w:r>
      <w:r w:rsidRPr="004734AB">
        <w:t xml:space="preserve"> After Year 3, shortfall = £15m. Year 4 generates £25m. PBP = 3 + (15/25) = 3.60 years</w:t>
      </w:r>
    </w:p>
    <w:p w14:paraId="32363EEF" w14:textId="0F7CE2E3" w:rsidR="000C47DB" w:rsidRDefault="000C47DB" w:rsidP="00607DB7">
      <w:pPr>
        <w:spacing w:line="360" w:lineRule="auto"/>
        <w:rPr>
          <w:b/>
          <w:bCs/>
          <w:iCs/>
        </w:rPr>
      </w:pPr>
      <w:r w:rsidRPr="000C47DB">
        <w:t xml:space="preserve">Project A has the lowest payback period of 3.29 years, then Project C with 3.60 years and then Project B takes the entire </w:t>
      </w:r>
      <w:r w:rsidR="00607DB7" w:rsidRPr="000C47DB">
        <w:rPr>
          <w:b/>
          <w:bCs/>
          <w:iCs/>
        </w:rPr>
        <w:t>five-year</w:t>
      </w:r>
      <w:r w:rsidRPr="000C47DB">
        <w:t xml:space="preserve"> capital payback period. In the case of </w:t>
      </w:r>
      <w:r w:rsidR="00607DB7" w:rsidRPr="000C47DB">
        <w:rPr>
          <w:b/>
          <w:bCs/>
          <w:iCs/>
        </w:rPr>
        <w:t>General</w:t>
      </w:r>
      <w:r w:rsidRPr="000C47DB">
        <w:t xml:space="preserve"> Electronics where the company is in dire </w:t>
      </w:r>
      <w:r w:rsidR="00607DB7" w:rsidRPr="000C47DB">
        <w:t>liquidity</w:t>
      </w:r>
      <w:r w:rsidRPr="000C47DB">
        <w:t xml:space="preserve"> and in need of immediate cash to service the debt and finance the operations, the minimal payback periods can give the company </w:t>
      </w:r>
      <w:r w:rsidR="00607DB7" w:rsidRPr="000C47DB">
        <w:rPr>
          <w:b/>
          <w:bCs/>
          <w:iCs/>
        </w:rPr>
        <w:t>significant</w:t>
      </w:r>
      <w:r w:rsidRPr="000C47DB">
        <w:t xml:space="preserve"> exposure to the risk of investments. Projects A and C will recede capital over reasonable periods and Project B has a long payback that will result in unacceptable pressure on cash flows. Nevertheless, the payback period process does not recognize time value of money, cash flows past the payback as well as overall profitability of the project, requiring additional analysis to use discounted cash flow methods to examine investments comprehensively</w:t>
      </w:r>
      <w:r w:rsidR="009146B3">
        <w:t xml:space="preserve"> </w:t>
      </w:r>
      <w:r w:rsidR="009146B3" w:rsidRPr="009146B3">
        <w:t>(Sinaga et al., 2023)</w:t>
      </w:r>
      <w:r w:rsidRPr="000C47DB">
        <w:t>.</w:t>
      </w:r>
    </w:p>
    <w:p w14:paraId="7B76600C" w14:textId="268AB45E" w:rsidR="004734AB" w:rsidRPr="004734AB" w:rsidRDefault="004734AB" w:rsidP="00607DB7">
      <w:pPr>
        <w:pStyle w:val="Heading2"/>
        <w:spacing w:line="360" w:lineRule="auto"/>
        <w:jc w:val="both"/>
      </w:pPr>
      <w:bookmarkStart w:id="23" w:name="_Toc213234353"/>
      <w:r w:rsidRPr="004734AB">
        <w:rPr>
          <w:rFonts w:eastAsiaTheme="majorEastAsia"/>
        </w:rPr>
        <w:t>4.3 Accounting Rate of Return Analysis</w:t>
      </w:r>
      <w:bookmarkEnd w:id="23"/>
    </w:p>
    <w:p w14:paraId="074F963D" w14:textId="77777777" w:rsidR="004734AB" w:rsidRPr="004734AB" w:rsidRDefault="004734AB" w:rsidP="00607DB7">
      <w:pPr>
        <w:spacing w:line="360" w:lineRule="auto"/>
      </w:pPr>
      <w:r w:rsidRPr="004734AB">
        <w:rPr>
          <w:b/>
          <w:bCs/>
        </w:rPr>
        <w:t>Table 10: Accounting Rate of Return Calculations</w:t>
      </w:r>
    </w:p>
    <w:p w14:paraId="43DCE90F" w14:textId="3336263B" w:rsidR="004734AB" w:rsidRDefault="004734AB" w:rsidP="00607DB7">
      <w:pPr>
        <w:spacing w:line="360" w:lineRule="auto"/>
        <w:rPr>
          <w:b/>
          <w:bCs/>
        </w:rPr>
      </w:pPr>
      <w:r w:rsidRPr="004734AB">
        <w:rPr>
          <w:noProof/>
        </w:rPr>
        <w:drawing>
          <wp:inline distT="0" distB="0" distL="0" distR="0" wp14:anchorId="10A749F2" wp14:editId="54EA150B">
            <wp:extent cx="4851400" cy="2400300"/>
            <wp:effectExtent l="0" t="0" r="6350" b="0"/>
            <wp:docPr id="46366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1400" cy="2400300"/>
                    </a:xfrm>
                    <a:prstGeom prst="rect">
                      <a:avLst/>
                    </a:prstGeom>
                    <a:noFill/>
                    <a:ln>
                      <a:noFill/>
                    </a:ln>
                  </pic:spPr>
                </pic:pic>
              </a:graphicData>
            </a:graphic>
          </wp:inline>
        </w:drawing>
      </w:r>
    </w:p>
    <w:p w14:paraId="10956AC3" w14:textId="01C37E9C" w:rsidR="004734AB" w:rsidRPr="004734AB" w:rsidRDefault="004734AB" w:rsidP="00607DB7">
      <w:pPr>
        <w:spacing w:line="360" w:lineRule="auto"/>
      </w:pPr>
      <w:r w:rsidRPr="004734AB">
        <w:rPr>
          <w:b/>
          <w:bCs/>
        </w:rPr>
        <w:t>Formula:</w:t>
      </w:r>
      <w:r w:rsidRPr="004734AB">
        <w:t xml:space="preserve"> ARR = (Average Annual Profit / Initial Investment) × 100</w:t>
      </w:r>
    </w:p>
    <w:p w14:paraId="4F2D700A" w14:textId="51A83705" w:rsidR="004734AB" w:rsidRPr="004734AB" w:rsidRDefault="000C47DB" w:rsidP="00607DB7">
      <w:pPr>
        <w:spacing w:line="360" w:lineRule="auto"/>
      </w:pPr>
      <w:r w:rsidRPr="000C47DB">
        <w:t xml:space="preserve">The accounting returns on Project C are the highest (10) as it equals the required discount rate in the company and then Project A shows the highest accounting returns of 7, and Project B makes zero accounting returns after depreciation. Such ARR values should be put in perspective of the </w:t>
      </w:r>
      <w:r w:rsidR="00607DB7" w:rsidRPr="000C47DB">
        <w:t>history</w:t>
      </w:r>
      <w:r w:rsidRPr="000C47DB">
        <w:t xml:space="preserve"> of the General Electronics Return on Capital Employed, </w:t>
      </w:r>
      <w:r w:rsidRPr="000C47DB">
        <w:lastRenderedPageBreak/>
        <w:t>which has been at 11.18% (2020) on average before crashing into negative figures. The 10 percent return on project C is close to the historical performance rates, which shows that there is a possibility of creating value</w:t>
      </w:r>
      <w:r w:rsidR="009146B3">
        <w:t xml:space="preserve"> </w:t>
      </w:r>
      <w:r w:rsidR="009146B3" w:rsidRPr="009146B3">
        <w:t>(Sinaga et al., 2023)</w:t>
      </w:r>
      <w:r w:rsidRPr="000C47DB">
        <w:t>.</w:t>
      </w:r>
    </w:p>
    <w:p w14:paraId="1D300820" w14:textId="77777777" w:rsidR="004734AB" w:rsidRPr="004734AB" w:rsidRDefault="004734AB" w:rsidP="00607DB7">
      <w:pPr>
        <w:pStyle w:val="Heading2"/>
        <w:spacing w:line="360" w:lineRule="auto"/>
        <w:jc w:val="both"/>
      </w:pPr>
      <w:bookmarkStart w:id="24" w:name="_Toc213234354"/>
      <w:r w:rsidRPr="004734AB">
        <w:rPr>
          <w:rFonts w:eastAsiaTheme="majorEastAsia"/>
        </w:rPr>
        <w:t>4.4 Net Present Value Analysis</w:t>
      </w:r>
      <w:bookmarkEnd w:id="24"/>
    </w:p>
    <w:p w14:paraId="56B47AF5" w14:textId="77777777" w:rsidR="004734AB" w:rsidRPr="004734AB" w:rsidRDefault="004734AB" w:rsidP="00607DB7">
      <w:pPr>
        <w:spacing w:line="360" w:lineRule="auto"/>
      </w:pPr>
      <w:r w:rsidRPr="004734AB">
        <w:rPr>
          <w:b/>
          <w:bCs/>
        </w:rPr>
        <w:t>Table 11: Net Present Value Calculations (Discount Rate 10%)</w:t>
      </w:r>
    </w:p>
    <w:p w14:paraId="28B0E673" w14:textId="6FDA0BF6" w:rsidR="004734AB" w:rsidRPr="004734AB" w:rsidRDefault="007767D1" w:rsidP="00607DB7">
      <w:pPr>
        <w:spacing w:line="360" w:lineRule="auto"/>
        <w:rPr>
          <w:vanish/>
        </w:rPr>
      </w:pPr>
      <w:r w:rsidRPr="007767D1">
        <w:rPr>
          <w:noProof/>
        </w:rPr>
        <w:drawing>
          <wp:inline distT="0" distB="0" distL="0" distR="0" wp14:anchorId="43AAECC0" wp14:editId="638506A0">
            <wp:extent cx="5943600" cy="2790825"/>
            <wp:effectExtent l="0" t="0" r="0" b="9525"/>
            <wp:docPr id="870949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90825"/>
                    </a:xfrm>
                    <a:prstGeom prst="rect">
                      <a:avLst/>
                    </a:prstGeom>
                    <a:noFill/>
                    <a:ln>
                      <a:noFill/>
                    </a:ln>
                  </pic:spPr>
                </pic:pic>
              </a:graphicData>
            </a:graphic>
          </wp:inline>
        </w:drawing>
      </w:r>
    </w:p>
    <w:p w14:paraId="1333C2F4" w14:textId="77777777" w:rsidR="004734AB" w:rsidRPr="004734AB" w:rsidRDefault="004734AB" w:rsidP="00607DB7">
      <w:pPr>
        <w:spacing w:line="360" w:lineRule="auto"/>
        <w:rPr>
          <w:vanish/>
        </w:rPr>
      </w:pPr>
    </w:p>
    <w:p w14:paraId="0887F3D5" w14:textId="77777777" w:rsidR="007767D1" w:rsidRDefault="007767D1" w:rsidP="00607DB7">
      <w:pPr>
        <w:spacing w:line="360" w:lineRule="auto"/>
      </w:pPr>
    </w:p>
    <w:p w14:paraId="0D55A042" w14:textId="24D0C43B" w:rsidR="004734AB" w:rsidRPr="004734AB" w:rsidRDefault="000C47DB" w:rsidP="00607DB7">
      <w:pPr>
        <w:spacing w:line="360" w:lineRule="auto"/>
      </w:pPr>
      <w:r w:rsidRPr="000C47DB">
        <w:t>Analysis of Net Present Value shows that Project C creates the greatest shareholder value of 8.5% of value above initial investment at a value of £4.23 million. Project A generates low positive NPV of 1.31 million (3.3 per cent value creation) whereas Project B annihilates value at negative NPV of 7.25 million. NPV is the theoretically most optimal capital budget plan that includes the time value of money, all the cash flows over the project life, and a direct indication of absolute wealth creation</w:t>
      </w:r>
      <w:r w:rsidR="009146B3">
        <w:t xml:space="preserve"> </w:t>
      </w:r>
      <w:r w:rsidR="009146B3" w:rsidRPr="009146B3">
        <w:t>(Dai et al., 2022)</w:t>
      </w:r>
      <w:r w:rsidRPr="000C47DB">
        <w:t>. In the case of General Electronics that needs value creation after a shareholder wealth annihilation exceeding the previous 122 million pounds, NPV maximization would be the most crucial. The contribution of project C to the firm that is NPV of 4.23 million is small in comparison to the losses incurred by the organization, but it is a significant reversal of positive trend that shows the ability to create value once again, which is important to ensure restoration of confidence and establish long-term viability in the organization</w:t>
      </w:r>
      <w:r w:rsidR="009146B3">
        <w:t xml:space="preserve"> </w:t>
      </w:r>
      <w:r w:rsidR="009146B3" w:rsidRPr="009146B3">
        <w:t>(Rashid et al., 2018)</w:t>
      </w:r>
      <w:r w:rsidRPr="000C47DB">
        <w:t>.</w:t>
      </w:r>
    </w:p>
    <w:p w14:paraId="28F1C11F" w14:textId="77777777" w:rsidR="004734AB" w:rsidRPr="004734AB" w:rsidRDefault="004734AB" w:rsidP="00607DB7">
      <w:pPr>
        <w:pStyle w:val="Heading2"/>
        <w:spacing w:line="360" w:lineRule="auto"/>
        <w:jc w:val="both"/>
      </w:pPr>
      <w:bookmarkStart w:id="25" w:name="_Toc213234355"/>
      <w:r w:rsidRPr="004734AB">
        <w:rPr>
          <w:rFonts w:eastAsiaTheme="majorEastAsia"/>
        </w:rPr>
        <w:lastRenderedPageBreak/>
        <w:t>4.5 Profitability Index Analysis</w:t>
      </w:r>
      <w:bookmarkEnd w:id="25"/>
    </w:p>
    <w:p w14:paraId="5D8A7E21" w14:textId="77777777" w:rsidR="004734AB" w:rsidRPr="004734AB" w:rsidRDefault="004734AB" w:rsidP="00607DB7">
      <w:pPr>
        <w:spacing w:line="360" w:lineRule="auto"/>
      </w:pPr>
      <w:r w:rsidRPr="004734AB">
        <w:rPr>
          <w:b/>
          <w:bCs/>
        </w:rPr>
        <w:t>Table 12: Profitability Index Calculations</w:t>
      </w:r>
    </w:p>
    <w:tbl>
      <w:tblPr>
        <w:tblW w:w="9360" w:type="dxa"/>
        <w:tblLook w:val="04A0" w:firstRow="1" w:lastRow="0" w:firstColumn="1" w:lastColumn="0" w:noHBand="0" w:noVBand="1"/>
      </w:tblPr>
      <w:tblGrid>
        <w:gridCol w:w="1637"/>
        <w:gridCol w:w="2574"/>
        <w:gridCol w:w="2489"/>
        <w:gridCol w:w="2660"/>
      </w:tblGrid>
      <w:tr w:rsidR="007767D1" w:rsidRPr="007767D1" w14:paraId="1B396491" w14:textId="77777777" w:rsidTr="007767D1">
        <w:trPr>
          <w:trHeight w:val="290"/>
        </w:trPr>
        <w:tc>
          <w:tcPr>
            <w:tcW w:w="2068" w:type="dxa"/>
            <w:tcBorders>
              <w:top w:val="nil"/>
              <w:left w:val="nil"/>
              <w:bottom w:val="single" w:sz="12" w:space="0" w:color="FFFFFF"/>
              <w:right w:val="single" w:sz="4" w:space="0" w:color="FFFFFF"/>
            </w:tcBorders>
            <w:shd w:val="clear" w:color="E97132" w:fill="E97132"/>
            <w:noWrap/>
            <w:vAlign w:val="bottom"/>
            <w:hideMark/>
          </w:tcPr>
          <w:p w14:paraId="0B73CA42"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Metric</w:t>
            </w:r>
          </w:p>
        </w:tc>
        <w:tc>
          <w:tcPr>
            <w:tcW w:w="2430" w:type="dxa"/>
            <w:tcBorders>
              <w:top w:val="nil"/>
              <w:left w:val="single" w:sz="4" w:space="0" w:color="FFFFFF"/>
              <w:bottom w:val="single" w:sz="12" w:space="0" w:color="FFFFFF"/>
              <w:right w:val="single" w:sz="4" w:space="0" w:color="FFFFFF"/>
            </w:tcBorders>
            <w:shd w:val="clear" w:color="E97132" w:fill="E97132"/>
            <w:noWrap/>
            <w:vAlign w:val="bottom"/>
            <w:hideMark/>
          </w:tcPr>
          <w:p w14:paraId="742302F7"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A</w:t>
            </w:r>
          </w:p>
        </w:tc>
        <w:tc>
          <w:tcPr>
            <w:tcW w:w="2344" w:type="dxa"/>
            <w:tcBorders>
              <w:top w:val="nil"/>
              <w:left w:val="single" w:sz="4" w:space="0" w:color="FFFFFF"/>
              <w:bottom w:val="single" w:sz="12" w:space="0" w:color="FFFFFF"/>
              <w:right w:val="single" w:sz="4" w:space="0" w:color="FFFFFF"/>
            </w:tcBorders>
            <w:shd w:val="clear" w:color="E97132" w:fill="E97132"/>
            <w:noWrap/>
            <w:vAlign w:val="bottom"/>
            <w:hideMark/>
          </w:tcPr>
          <w:p w14:paraId="7E35B862"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B</w:t>
            </w:r>
          </w:p>
        </w:tc>
        <w:tc>
          <w:tcPr>
            <w:tcW w:w="2518" w:type="dxa"/>
            <w:tcBorders>
              <w:top w:val="nil"/>
              <w:left w:val="single" w:sz="4" w:space="0" w:color="FFFFFF"/>
              <w:bottom w:val="single" w:sz="12" w:space="0" w:color="FFFFFF"/>
              <w:right w:val="nil"/>
            </w:tcBorders>
            <w:shd w:val="clear" w:color="E97132" w:fill="E97132"/>
            <w:noWrap/>
            <w:vAlign w:val="bottom"/>
            <w:hideMark/>
          </w:tcPr>
          <w:p w14:paraId="6DEF9523"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C</w:t>
            </w:r>
          </w:p>
        </w:tc>
      </w:tr>
      <w:tr w:rsidR="007767D1" w:rsidRPr="007767D1" w14:paraId="200C4114" w14:textId="77777777" w:rsidTr="007767D1">
        <w:trPr>
          <w:trHeight w:val="1160"/>
        </w:trPr>
        <w:tc>
          <w:tcPr>
            <w:tcW w:w="2068" w:type="dxa"/>
            <w:tcBorders>
              <w:top w:val="single" w:sz="4" w:space="0" w:color="FFFFFF"/>
              <w:left w:val="nil"/>
              <w:bottom w:val="single" w:sz="4" w:space="0" w:color="FFFFFF"/>
              <w:right w:val="single" w:sz="4" w:space="0" w:color="FFFFFF"/>
            </w:tcBorders>
            <w:shd w:val="clear" w:color="F7C7AC" w:fill="F7C7AC"/>
            <w:noWrap/>
            <w:vAlign w:val="bottom"/>
            <w:hideMark/>
          </w:tcPr>
          <w:p w14:paraId="03D3C41B"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PV of Cash Inflows</w:t>
            </w:r>
          </w:p>
        </w:tc>
        <w:tc>
          <w:tcPr>
            <w:tcW w:w="2430" w:type="dxa"/>
            <w:tcBorders>
              <w:top w:val="single" w:sz="4" w:space="0" w:color="FFFFFF"/>
              <w:left w:val="single" w:sz="4" w:space="0" w:color="FFFFFF"/>
              <w:bottom w:val="single" w:sz="4" w:space="0" w:color="FFFFFF"/>
              <w:right w:val="single" w:sz="4" w:space="0" w:color="FFFFFF"/>
            </w:tcBorders>
            <w:shd w:val="clear" w:color="F7C7AC" w:fill="F7C7AC"/>
            <w:vAlign w:val="bottom"/>
            <w:hideMark/>
          </w:tcPr>
          <w:p w14:paraId="6E16E07A"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£9.09+£9.91+£10.51+£6.83+£4.97 = £41.31m</w:t>
            </w:r>
          </w:p>
        </w:tc>
        <w:tc>
          <w:tcPr>
            <w:tcW w:w="2344" w:type="dxa"/>
            <w:tcBorders>
              <w:top w:val="single" w:sz="4" w:space="0" w:color="FFFFFF"/>
              <w:left w:val="single" w:sz="4" w:space="0" w:color="FFFFFF"/>
              <w:bottom w:val="single" w:sz="4" w:space="0" w:color="FFFFFF"/>
              <w:right w:val="single" w:sz="4" w:space="0" w:color="FFFFFF"/>
            </w:tcBorders>
            <w:shd w:val="clear" w:color="F7C7AC" w:fill="F7C7AC"/>
            <w:vAlign w:val="bottom"/>
            <w:hideMark/>
          </w:tcPr>
          <w:p w14:paraId="7EAE89A6"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£5.45+£4.96+£4.51+£4.10+£3.73 = £22.75m</w:t>
            </w:r>
          </w:p>
        </w:tc>
        <w:tc>
          <w:tcPr>
            <w:tcW w:w="2518" w:type="dxa"/>
            <w:tcBorders>
              <w:top w:val="single" w:sz="4" w:space="0" w:color="FFFFFF"/>
              <w:left w:val="single" w:sz="4" w:space="0" w:color="FFFFFF"/>
              <w:bottom w:val="single" w:sz="4" w:space="0" w:color="FFFFFF"/>
              <w:right w:val="nil"/>
            </w:tcBorders>
            <w:shd w:val="clear" w:color="F7C7AC" w:fill="F7C7AC"/>
            <w:vAlign w:val="bottom"/>
            <w:hideMark/>
          </w:tcPr>
          <w:p w14:paraId="08E3A3B6"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£4.55+£8.26+£15.02+£17.08+£9.32 = £54.23m</w:t>
            </w:r>
          </w:p>
        </w:tc>
      </w:tr>
      <w:tr w:rsidR="007767D1" w:rsidRPr="007767D1" w14:paraId="53861137" w14:textId="77777777" w:rsidTr="007767D1">
        <w:trPr>
          <w:trHeight w:val="290"/>
        </w:trPr>
        <w:tc>
          <w:tcPr>
            <w:tcW w:w="2068" w:type="dxa"/>
            <w:tcBorders>
              <w:top w:val="single" w:sz="4" w:space="0" w:color="FFFFFF"/>
              <w:left w:val="nil"/>
              <w:bottom w:val="single" w:sz="4" w:space="0" w:color="FFFFFF"/>
              <w:right w:val="single" w:sz="4" w:space="0" w:color="FFFFFF"/>
            </w:tcBorders>
            <w:shd w:val="clear" w:color="FBE2D5" w:fill="FBE2D5"/>
            <w:noWrap/>
            <w:vAlign w:val="bottom"/>
            <w:hideMark/>
          </w:tcPr>
          <w:p w14:paraId="11296C71"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Initial Investment</w:t>
            </w:r>
          </w:p>
        </w:tc>
        <w:tc>
          <w:tcPr>
            <w:tcW w:w="2430" w:type="dxa"/>
            <w:tcBorders>
              <w:top w:val="single" w:sz="4" w:space="0" w:color="FFFFFF"/>
              <w:left w:val="single" w:sz="4" w:space="0" w:color="FFFFFF"/>
              <w:bottom w:val="single" w:sz="4" w:space="0" w:color="FFFFFF"/>
              <w:right w:val="single" w:sz="4" w:space="0" w:color="FFFFFF"/>
            </w:tcBorders>
            <w:shd w:val="clear" w:color="FBE2D5" w:fill="FBE2D5"/>
            <w:vAlign w:val="bottom"/>
            <w:hideMark/>
          </w:tcPr>
          <w:p w14:paraId="7D31EC29"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£40.00m</w:t>
            </w:r>
          </w:p>
        </w:tc>
        <w:tc>
          <w:tcPr>
            <w:tcW w:w="2344" w:type="dxa"/>
            <w:tcBorders>
              <w:top w:val="single" w:sz="4" w:space="0" w:color="FFFFFF"/>
              <w:left w:val="single" w:sz="4" w:space="0" w:color="FFFFFF"/>
              <w:bottom w:val="single" w:sz="4" w:space="0" w:color="FFFFFF"/>
              <w:right w:val="single" w:sz="4" w:space="0" w:color="FFFFFF"/>
            </w:tcBorders>
            <w:shd w:val="clear" w:color="FBE2D5" w:fill="FBE2D5"/>
            <w:vAlign w:val="bottom"/>
            <w:hideMark/>
          </w:tcPr>
          <w:p w14:paraId="7F3DDB2D"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£30.00m</w:t>
            </w:r>
          </w:p>
        </w:tc>
        <w:tc>
          <w:tcPr>
            <w:tcW w:w="2518" w:type="dxa"/>
            <w:tcBorders>
              <w:top w:val="single" w:sz="4" w:space="0" w:color="FFFFFF"/>
              <w:left w:val="single" w:sz="4" w:space="0" w:color="FFFFFF"/>
              <w:bottom w:val="single" w:sz="4" w:space="0" w:color="FFFFFF"/>
              <w:right w:val="nil"/>
            </w:tcBorders>
            <w:shd w:val="clear" w:color="FBE2D5" w:fill="FBE2D5"/>
            <w:vAlign w:val="bottom"/>
            <w:hideMark/>
          </w:tcPr>
          <w:p w14:paraId="030E37FA"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£50.00m</w:t>
            </w:r>
          </w:p>
        </w:tc>
      </w:tr>
      <w:tr w:rsidR="007767D1" w:rsidRPr="007767D1" w14:paraId="030E6FB1" w14:textId="77777777" w:rsidTr="007767D1">
        <w:trPr>
          <w:trHeight w:val="580"/>
        </w:trPr>
        <w:tc>
          <w:tcPr>
            <w:tcW w:w="2068" w:type="dxa"/>
            <w:tcBorders>
              <w:top w:val="single" w:sz="4" w:space="0" w:color="FFFFFF"/>
              <w:left w:val="nil"/>
              <w:bottom w:val="nil"/>
              <w:right w:val="single" w:sz="4" w:space="0" w:color="FFFFFF"/>
            </w:tcBorders>
            <w:shd w:val="clear" w:color="F7C7AC" w:fill="F7C7AC"/>
            <w:noWrap/>
            <w:vAlign w:val="bottom"/>
            <w:hideMark/>
          </w:tcPr>
          <w:p w14:paraId="594F48F1"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PI</w:t>
            </w:r>
          </w:p>
        </w:tc>
        <w:tc>
          <w:tcPr>
            <w:tcW w:w="2430" w:type="dxa"/>
            <w:tcBorders>
              <w:top w:val="single" w:sz="4" w:space="0" w:color="FFFFFF"/>
              <w:left w:val="single" w:sz="4" w:space="0" w:color="FFFFFF"/>
              <w:bottom w:val="nil"/>
              <w:right w:val="single" w:sz="4" w:space="0" w:color="FFFFFF"/>
            </w:tcBorders>
            <w:shd w:val="clear" w:color="F7C7AC" w:fill="F7C7AC"/>
            <w:vAlign w:val="bottom"/>
            <w:hideMark/>
          </w:tcPr>
          <w:p w14:paraId="51AE2DDA"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£41.31m/£40.00m = 1.033</w:t>
            </w:r>
          </w:p>
        </w:tc>
        <w:tc>
          <w:tcPr>
            <w:tcW w:w="2344" w:type="dxa"/>
            <w:tcBorders>
              <w:top w:val="single" w:sz="4" w:space="0" w:color="FFFFFF"/>
              <w:left w:val="single" w:sz="4" w:space="0" w:color="FFFFFF"/>
              <w:bottom w:val="nil"/>
              <w:right w:val="single" w:sz="4" w:space="0" w:color="FFFFFF"/>
            </w:tcBorders>
            <w:shd w:val="clear" w:color="F7C7AC" w:fill="F7C7AC"/>
            <w:vAlign w:val="bottom"/>
            <w:hideMark/>
          </w:tcPr>
          <w:p w14:paraId="2221D80B"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£22.75m/£30.00m = 0.758</w:t>
            </w:r>
          </w:p>
        </w:tc>
        <w:tc>
          <w:tcPr>
            <w:tcW w:w="2518" w:type="dxa"/>
            <w:tcBorders>
              <w:top w:val="single" w:sz="4" w:space="0" w:color="FFFFFF"/>
              <w:left w:val="single" w:sz="4" w:space="0" w:color="FFFFFF"/>
              <w:bottom w:val="nil"/>
              <w:right w:val="nil"/>
            </w:tcBorders>
            <w:shd w:val="clear" w:color="F7C7AC" w:fill="F7C7AC"/>
            <w:vAlign w:val="bottom"/>
            <w:hideMark/>
          </w:tcPr>
          <w:p w14:paraId="0769DB4B"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£54.23m/£50.00m = 1.085</w:t>
            </w:r>
          </w:p>
        </w:tc>
      </w:tr>
    </w:tbl>
    <w:p w14:paraId="126C782E" w14:textId="6D6B7D61" w:rsidR="004734AB" w:rsidRPr="004734AB" w:rsidRDefault="004734AB" w:rsidP="00607DB7">
      <w:pPr>
        <w:spacing w:line="360" w:lineRule="auto"/>
      </w:pPr>
      <w:r w:rsidRPr="004734AB">
        <w:rPr>
          <w:b/>
          <w:bCs/>
        </w:rPr>
        <w:t>Formula:</w:t>
      </w:r>
      <w:r w:rsidRPr="004734AB">
        <w:t xml:space="preserve"> PI = Present Value of Cash Inflows / Initial Investment</w:t>
      </w:r>
    </w:p>
    <w:p w14:paraId="664B2D6A" w14:textId="69EBCCD3" w:rsidR="004734AB" w:rsidRPr="004734AB" w:rsidRDefault="000C47DB" w:rsidP="00607DB7">
      <w:pPr>
        <w:spacing w:line="360" w:lineRule="auto"/>
      </w:pPr>
      <w:r w:rsidRPr="000C47DB">
        <w:t>Profitability Index provides an analysis of value creation per pound invested which is especially useful when capitals are rationed. Project C has the best PI of 1.085 and consequently, it has the best capital efficiency of producing a present value of 1.085 on a 1.00 investment. As one can see, Project A generates 1.033 slightly higher than breakeven whereas Project B is generating 0.758, which shows the destruction of value. Projects that have PI greater than 1.00 generate shareholder value and should be accepted whereas projects with PI less than 1.00 destroy value and they should be rejected. PI ranking would be helpful in maximizing the aggregate creation of value given severe capital rationing which constrains total investment to half of that in the absence of capital rationing, to the case where the maximum investment is restricted to £60 million</w:t>
      </w:r>
      <w:r w:rsidR="009146B3">
        <w:t xml:space="preserve"> </w:t>
      </w:r>
      <w:r w:rsidR="009146B3" w:rsidRPr="009146B3">
        <w:t>(Dai et al., 2022)</w:t>
      </w:r>
      <w:r w:rsidRPr="000C47DB">
        <w:t>.</w:t>
      </w:r>
    </w:p>
    <w:p w14:paraId="6D1A17E4" w14:textId="77777777" w:rsidR="004734AB" w:rsidRPr="004734AB" w:rsidRDefault="004734AB" w:rsidP="00607DB7">
      <w:pPr>
        <w:pStyle w:val="Heading2"/>
        <w:spacing w:line="360" w:lineRule="auto"/>
        <w:jc w:val="both"/>
      </w:pPr>
      <w:bookmarkStart w:id="26" w:name="_Toc213234356"/>
      <w:r w:rsidRPr="004734AB">
        <w:rPr>
          <w:rFonts w:eastAsiaTheme="majorEastAsia"/>
        </w:rPr>
        <w:t>4.6 Internal Rate of Return Analysis</w:t>
      </w:r>
      <w:bookmarkEnd w:id="26"/>
    </w:p>
    <w:p w14:paraId="1D13849C" w14:textId="77777777" w:rsidR="004734AB" w:rsidRPr="004734AB" w:rsidRDefault="004734AB" w:rsidP="00607DB7">
      <w:pPr>
        <w:spacing w:line="360" w:lineRule="auto"/>
      </w:pPr>
      <w:r w:rsidRPr="004734AB">
        <w:rPr>
          <w:b/>
          <w:bCs/>
        </w:rPr>
        <w:t>Table 13: Internal Rate of Return Summary</w:t>
      </w:r>
    </w:p>
    <w:p w14:paraId="046F30E1" w14:textId="640D2DBE" w:rsidR="007767D1" w:rsidRDefault="007767D1" w:rsidP="00607DB7">
      <w:pPr>
        <w:spacing w:line="360" w:lineRule="auto"/>
        <w:rPr>
          <w:b/>
          <w:bCs/>
        </w:rPr>
      </w:pPr>
      <w:r w:rsidRPr="007767D1">
        <w:rPr>
          <w:noProof/>
        </w:rPr>
        <w:lastRenderedPageBreak/>
        <w:drawing>
          <wp:inline distT="0" distB="0" distL="0" distR="0" wp14:anchorId="76020289" wp14:editId="49DAA588">
            <wp:extent cx="4184650" cy="2032000"/>
            <wp:effectExtent l="0" t="0" r="6350" b="6350"/>
            <wp:docPr id="8882806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4650" cy="2032000"/>
                    </a:xfrm>
                    <a:prstGeom prst="rect">
                      <a:avLst/>
                    </a:prstGeom>
                    <a:noFill/>
                    <a:ln>
                      <a:noFill/>
                    </a:ln>
                  </pic:spPr>
                </pic:pic>
              </a:graphicData>
            </a:graphic>
          </wp:inline>
        </w:drawing>
      </w:r>
    </w:p>
    <w:p w14:paraId="38086D78" w14:textId="71EF4D23" w:rsidR="004734AB" w:rsidRPr="004734AB" w:rsidRDefault="004734AB" w:rsidP="00607DB7">
      <w:pPr>
        <w:spacing w:line="360" w:lineRule="auto"/>
      </w:pPr>
      <w:r w:rsidRPr="004734AB">
        <w:rPr>
          <w:b/>
          <w:bCs/>
        </w:rPr>
        <w:t>Decision Rule:</w:t>
      </w:r>
      <w:r w:rsidRPr="004734AB">
        <w:t xml:space="preserve"> Accept projects where IRR &gt; Required Rate (10%)</w:t>
      </w:r>
    </w:p>
    <w:p w14:paraId="365C59D4" w14:textId="2AA0F2E4" w:rsidR="004734AB" w:rsidRPr="004734AB" w:rsidRDefault="00607DB7" w:rsidP="00607DB7">
      <w:pPr>
        <w:spacing w:line="360" w:lineRule="auto"/>
      </w:pPr>
      <w:r w:rsidRPr="00607DB7">
        <w:t>IRR is the discount rate at which the NPV is zero, which shows the project break-even rate. Project C has the highest IRR of 12.4 larger than the required minimum of 10% by 240 basis points, which indicates the project has a large margin of above-minimal acceptable level. Project A is projected to produce 11.8% IRR which is slightly above requirements by 180 basis points</w:t>
      </w:r>
      <w:r w:rsidR="009146B3">
        <w:t xml:space="preserve"> </w:t>
      </w:r>
      <w:r w:rsidR="009146B3" w:rsidRPr="009146B3">
        <w:t>(Lohmann and Baksh, 1993)</w:t>
      </w:r>
      <w:r w:rsidRPr="00607DB7">
        <w:t>. Project B would yield only 0% IRR, which was incredibly low compared to the minimum indicators. The projects A and C pass the hurdle rates and thus should be accepted considering the IRR conditions whereas B has to be rejected. The higher IRR of project C means that it will be more profitable compared to capital invested in the project and will have more cushion against the errors in estimation, fluctuation in discount rates or negative occurrences during operations</w:t>
      </w:r>
      <w:r w:rsidR="009146B3">
        <w:t xml:space="preserve"> </w:t>
      </w:r>
      <w:r w:rsidR="009146B3" w:rsidRPr="009146B3">
        <w:t>(Lohmann and Baksh, 1993)</w:t>
      </w:r>
      <w:r w:rsidRPr="00607DB7">
        <w:t>.</w:t>
      </w:r>
    </w:p>
    <w:p w14:paraId="0FEEED90" w14:textId="77777777" w:rsidR="004734AB" w:rsidRPr="004734AB" w:rsidRDefault="004734AB" w:rsidP="00607DB7">
      <w:pPr>
        <w:pStyle w:val="Heading2"/>
        <w:spacing w:line="360" w:lineRule="auto"/>
        <w:jc w:val="both"/>
      </w:pPr>
      <w:bookmarkStart w:id="27" w:name="_Toc213234357"/>
      <w:r w:rsidRPr="004734AB">
        <w:rPr>
          <w:rFonts w:eastAsiaTheme="majorEastAsia"/>
        </w:rPr>
        <w:t>4.7 Capital Rationing Decision and Portfolio Selection</w:t>
      </w:r>
      <w:bookmarkEnd w:id="27"/>
    </w:p>
    <w:p w14:paraId="5C1C7518" w14:textId="77777777" w:rsidR="004734AB" w:rsidRPr="004734AB" w:rsidRDefault="004734AB" w:rsidP="00607DB7">
      <w:pPr>
        <w:spacing w:line="360" w:lineRule="auto"/>
      </w:pPr>
      <w:r w:rsidRPr="004734AB">
        <w:rPr>
          <w:b/>
          <w:bCs/>
        </w:rPr>
        <w:t>Table 14: Comparative Investment Decision Matrix</w:t>
      </w:r>
    </w:p>
    <w:tbl>
      <w:tblPr>
        <w:tblW w:w="0" w:type="auto"/>
        <w:tblLook w:val="04A0" w:firstRow="1" w:lastRow="0" w:firstColumn="1" w:lastColumn="0" w:noHBand="0" w:noVBand="1"/>
      </w:tblPr>
      <w:tblGrid>
        <w:gridCol w:w="1812"/>
        <w:gridCol w:w="1120"/>
        <w:gridCol w:w="1120"/>
        <w:gridCol w:w="1120"/>
        <w:gridCol w:w="2401"/>
      </w:tblGrid>
      <w:tr w:rsidR="007767D1" w:rsidRPr="007767D1" w14:paraId="50B62EB1" w14:textId="77777777" w:rsidTr="007767D1">
        <w:trPr>
          <w:trHeight w:val="290"/>
        </w:trPr>
        <w:tc>
          <w:tcPr>
            <w:tcW w:w="0" w:type="auto"/>
            <w:tcBorders>
              <w:top w:val="single" w:sz="4" w:space="0" w:color="61CBF3"/>
              <w:left w:val="single" w:sz="4" w:space="0" w:color="61CBF3"/>
              <w:bottom w:val="single" w:sz="4" w:space="0" w:color="61CBF3"/>
              <w:right w:val="nil"/>
            </w:tcBorders>
            <w:shd w:val="clear" w:color="0F9ED5" w:fill="0F9ED5"/>
            <w:noWrap/>
            <w:vAlign w:val="bottom"/>
            <w:hideMark/>
          </w:tcPr>
          <w:p w14:paraId="3684C8DA"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Criterion</w:t>
            </w:r>
          </w:p>
        </w:tc>
        <w:tc>
          <w:tcPr>
            <w:tcW w:w="0" w:type="auto"/>
            <w:tcBorders>
              <w:top w:val="single" w:sz="4" w:space="0" w:color="61CBF3"/>
              <w:left w:val="nil"/>
              <w:bottom w:val="single" w:sz="4" w:space="0" w:color="61CBF3"/>
              <w:right w:val="nil"/>
            </w:tcBorders>
            <w:shd w:val="clear" w:color="0F9ED5" w:fill="0F9ED5"/>
            <w:noWrap/>
            <w:vAlign w:val="bottom"/>
            <w:hideMark/>
          </w:tcPr>
          <w:p w14:paraId="1F1A13C9"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A</w:t>
            </w:r>
          </w:p>
        </w:tc>
        <w:tc>
          <w:tcPr>
            <w:tcW w:w="0" w:type="auto"/>
            <w:tcBorders>
              <w:top w:val="single" w:sz="4" w:space="0" w:color="61CBF3"/>
              <w:left w:val="nil"/>
              <w:bottom w:val="single" w:sz="4" w:space="0" w:color="61CBF3"/>
              <w:right w:val="nil"/>
            </w:tcBorders>
            <w:shd w:val="clear" w:color="0F9ED5" w:fill="0F9ED5"/>
            <w:noWrap/>
            <w:vAlign w:val="bottom"/>
            <w:hideMark/>
          </w:tcPr>
          <w:p w14:paraId="4675CF86"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B</w:t>
            </w:r>
          </w:p>
        </w:tc>
        <w:tc>
          <w:tcPr>
            <w:tcW w:w="0" w:type="auto"/>
            <w:tcBorders>
              <w:top w:val="single" w:sz="4" w:space="0" w:color="61CBF3"/>
              <w:left w:val="nil"/>
              <w:bottom w:val="single" w:sz="4" w:space="0" w:color="61CBF3"/>
              <w:right w:val="nil"/>
            </w:tcBorders>
            <w:shd w:val="clear" w:color="0F9ED5" w:fill="0F9ED5"/>
            <w:noWrap/>
            <w:vAlign w:val="bottom"/>
            <w:hideMark/>
          </w:tcPr>
          <w:p w14:paraId="30A728CA"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Project C</w:t>
            </w:r>
          </w:p>
        </w:tc>
        <w:tc>
          <w:tcPr>
            <w:tcW w:w="0" w:type="auto"/>
            <w:tcBorders>
              <w:top w:val="single" w:sz="4" w:space="0" w:color="61CBF3"/>
              <w:left w:val="nil"/>
              <w:bottom w:val="single" w:sz="4" w:space="0" w:color="61CBF3"/>
              <w:right w:val="single" w:sz="4" w:space="0" w:color="61CBF3"/>
            </w:tcBorders>
            <w:shd w:val="clear" w:color="0F9ED5" w:fill="0F9ED5"/>
            <w:noWrap/>
            <w:vAlign w:val="bottom"/>
            <w:hideMark/>
          </w:tcPr>
          <w:p w14:paraId="17D49072" w14:textId="77777777" w:rsidR="007767D1" w:rsidRPr="007767D1" w:rsidRDefault="007767D1" w:rsidP="00607DB7">
            <w:pPr>
              <w:spacing w:after="0" w:line="360" w:lineRule="auto"/>
              <w:rPr>
                <w:rFonts w:ascii="Aptos Narrow" w:eastAsia="Times New Roman" w:hAnsi="Aptos Narrow"/>
                <w:b/>
                <w:bCs/>
                <w:color w:val="FFFFFF"/>
                <w:sz w:val="22"/>
              </w:rPr>
            </w:pPr>
            <w:r w:rsidRPr="007767D1">
              <w:rPr>
                <w:rFonts w:ascii="Aptos Narrow" w:eastAsia="Times New Roman" w:hAnsi="Aptos Narrow"/>
                <w:b/>
                <w:bCs/>
                <w:color w:val="FFFFFF"/>
                <w:sz w:val="22"/>
              </w:rPr>
              <w:t>Decision Rule</w:t>
            </w:r>
          </w:p>
        </w:tc>
      </w:tr>
      <w:tr w:rsidR="007767D1" w:rsidRPr="007767D1" w14:paraId="08DF2376" w14:textId="77777777" w:rsidTr="007767D1">
        <w:trPr>
          <w:trHeight w:val="290"/>
        </w:trPr>
        <w:tc>
          <w:tcPr>
            <w:tcW w:w="0" w:type="auto"/>
            <w:tcBorders>
              <w:top w:val="single" w:sz="4" w:space="0" w:color="61CBF3"/>
              <w:left w:val="single" w:sz="4" w:space="0" w:color="61CBF3"/>
              <w:bottom w:val="single" w:sz="4" w:space="0" w:color="61CBF3"/>
              <w:right w:val="nil"/>
            </w:tcBorders>
            <w:shd w:val="clear" w:color="CAEDFB" w:fill="CAEDFB"/>
            <w:noWrap/>
            <w:vAlign w:val="bottom"/>
            <w:hideMark/>
          </w:tcPr>
          <w:p w14:paraId="782A2EDD"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Initial Investment</w:t>
            </w:r>
          </w:p>
        </w:tc>
        <w:tc>
          <w:tcPr>
            <w:tcW w:w="0" w:type="auto"/>
            <w:tcBorders>
              <w:top w:val="single" w:sz="4" w:space="0" w:color="61CBF3"/>
              <w:left w:val="nil"/>
              <w:bottom w:val="single" w:sz="4" w:space="0" w:color="61CBF3"/>
              <w:right w:val="nil"/>
            </w:tcBorders>
            <w:shd w:val="clear" w:color="CAEDFB" w:fill="CAEDFB"/>
            <w:noWrap/>
            <w:vAlign w:val="bottom"/>
            <w:hideMark/>
          </w:tcPr>
          <w:p w14:paraId="0554CA14"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£40m</w:t>
            </w:r>
          </w:p>
        </w:tc>
        <w:tc>
          <w:tcPr>
            <w:tcW w:w="0" w:type="auto"/>
            <w:tcBorders>
              <w:top w:val="single" w:sz="4" w:space="0" w:color="61CBF3"/>
              <w:left w:val="nil"/>
              <w:bottom w:val="single" w:sz="4" w:space="0" w:color="61CBF3"/>
              <w:right w:val="nil"/>
            </w:tcBorders>
            <w:shd w:val="clear" w:color="CAEDFB" w:fill="CAEDFB"/>
            <w:noWrap/>
            <w:vAlign w:val="bottom"/>
            <w:hideMark/>
          </w:tcPr>
          <w:p w14:paraId="20D9030F"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£30m</w:t>
            </w:r>
          </w:p>
        </w:tc>
        <w:tc>
          <w:tcPr>
            <w:tcW w:w="0" w:type="auto"/>
            <w:tcBorders>
              <w:top w:val="single" w:sz="4" w:space="0" w:color="61CBF3"/>
              <w:left w:val="nil"/>
              <w:bottom w:val="single" w:sz="4" w:space="0" w:color="61CBF3"/>
              <w:right w:val="nil"/>
            </w:tcBorders>
            <w:shd w:val="clear" w:color="CAEDFB" w:fill="CAEDFB"/>
            <w:noWrap/>
            <w:vAlign w:val="bottom"/>
            <w:hideMark/>
          </w:tcPr>
          <w:p w14:paraId="40572D37"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£50m</w:t>
            </w:r>
          </w:p>
        </w:tc>
        <w:tc>
          <w:tcPr>
            <w:tcW w:w="0" w:type="auto"/>
            <w:tcBorders>
              <w:top w:val="single" w:sz="4" w:space="0" w:color="61CBF3"/>
              <w:left w:val="nil"/>
              <w:bottom w:val="single" w:sz="4" w:space="0" w:color="61CBF3"/>
              <w:right w:val="single" w:sz="4" w:space="0" w:color="61CBF3"/>
            </w:tcBorders>
            <w:shd w:val="clear" w:color="CAEDFB" w:fill="CAEDFB"/>
            <w:noWrap/>
            <w:vAlign w:val="bottom"/>
            <w:hideMark/>
          </w:tcPr>
          <w:p w14:paraId="6B6E7DDB"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Within £60m constraint</w:t>
            </w:r>
          </w:p>
        </w:tc>
      </w:tr>
      <w:tr w:rsidR="007767D1" w:rsidRPr="007767D1" w14:paraId="55162566" w14:textId="77777777" w:rsidTr="007767D1">
        <w:trPr>
          <w:trHeight w:val="290"/>
        </w:trPr>
        <w:tc>
          <w:tcPr>
            <w:tcW w:w="0" w:type="auto"/>
            <w:tcBorders>
              <w:top w:val="single" w:sz="4" w:space="0" w:color="61CBF3"/>
              <w:left w:val="single" w:sz="4" w:space="0" w:color="61CBF3"/>
              <w:bottom w:val="single" w:sz="4" w:space="0" w:color="61CBF3"/>
              <w:right w:val="nil"/>
            </w:tcBorders>
            <w:noWrap/>
            <w:vAlign w:val="bottom"/>
            <w:hideMark/>
          </w:tcPr>
          <w:p w14:paraId="736024BB"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Payback Period</w:t>
            </w:r>
          </w:p>
        </w:tc>
        <w:tc>
          <w:tcPr>
            <w:tcW w:w="0" w:type="auto"/>
            <w:tcBorders>
              <w:top w:val="single" w:sz="4" w:space="0" w:color="61CBF3"/>
              <w:left w:val="nil"/>
              <w:bottom w:val="single" w:sz="4" w:space="0" w:color="61CBF3"/>
              <w:right w:val="nil"/>
            </w:tcBorders>
            <w:noWrap/>
            <w:vAlign w:val="bottom"/>
            <w:hideMark/>
          </w:tcPr>
          <w:p w14:paraId="4A6E02FC"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3.29 years</w:t>
            </w:r>
          </w:p>
        </w:tc>
        <w:tc>
          <w:tcPr>
            <w:tcW w:w="0" w:type="auto"/>
            <w:tcBorders>
              <w:top w:val="single" w:sz="4" w:space="0" w:color="61CBF3"/>
              <w:left w:val="nil"/>
              <w:bottom w:val="single" w:sz="4" w:space="0" w:color="61CBF3"/>
              <w:right w:val="nil"/>
            </w:tcBorders>
            <w:noWrap/>
            <w:vAlign w:val="bottom"/>
            <w:hideMark/>
          </w:tcPr>
          <w:p w14:paraId="79754A7F"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5.00 years</w:t>
            </w:r>
          </w:p>
        </w:tc>
        <w:tc>
          <w:tcPr>
            <w:tcW w:w="0" w:type="auto"/>
            <w:tcBorders>
              <w:top w:val="single" w:sz="4" w:space="0" w:color="61CBF3"/>
              <w:left w:val="nil"/>
              <w:bottom w:val="single" w:sz="4" w:space="0" w:color="61CBF3"/>
              <w:right w:val="nil"/>
            </w:tcBorders>
            <w:noWrap/>
            <w:vAlign w:val="bottom"/>
            <w:hideMark/>
          </w:tcPr>
          <w:p w14:paraId="23B7D8E2"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3.60 years</w:t>
            </w:r>
          </w:p>
        </w:tc>
        <w:tc>
          <w:tcPr>
            <w:tcW w:w="0" w:type="auto"/>
            <w:tcBorders>
              <w:top w:val="single" w:sz="4" w:space="0" w:color="61CBF3"/>
              <w:left w:val="nil"/>
              <w:bottom w:val="single" w:sz="4" w:space="0" w:color="61CBF3"/>
              <w:right w:val="single" w:sz="4" w:space="0" w:color="61CBF3"/>
            </w:tcBorders>
            <w:noWrap/>
            <w:vAlign w:val="bottom"/>
            <w:hideMark/>
          </w:tcPr>
          <w:p w14:paraId="5F081B8F"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Shorter preferred</w:t>
            </w:r>
          </w:p>
        </w:tc>
      </w:tr>
      <w:tr w:rsidR="007767D1" w:rsidRPr="007767D1" w14:paraId="7D3FC016" w14:textId="77777777" w:rsidTr="007767D1">
        <w:trPr>
          <w:trHeight w:val="290"/>
        </w:trPr>
        <w:tc>
          <w:tcPr>
            <w:tcW w:w="0" w:type="auto"/>
            <w:tcBorders>
              <w:top w:val="single" w:sz="4" w:space="0" w:color="61CBF3"/>
              <w:left w:val="single" w:sz="4" w:space="0" w:color="61CBF3"/>
              <w:bottom w:val="single" w:sz="4" w:space="0" w:color="61CBF3"/>
              <w:right w:val="nil"/>
            </w:tcBorders>
            <w:shd w:val="clear" w:color="CAEDFB" w:fill="CAEDFB"/>
            <w:noWrap/>
            <w:vAlign w:val="bottom"/>
            <w:hideMark/>
          </w:tcPr>
          <w:p w14:paraId="4DA59BD6"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ARR</w:t>
            </w:r>
          </w:p>
        </w:tc>
        <w:tc>
          <w:tcPr>
            <w:tcW w:w="0" w:type="auto"/>
            <w:tcBorders>
              <w:top w:val="single" w:sz="4" w:space="0" w:color="61CBF3"/>
              <w:left w:val="nil"/>
              <w:bottom w:val="single" w:sz="4" w:space="0" w:color="61CBF3"/>
              <w:right w:val="nil"/>
            </w:tcBorders>
            <w:shd w:val="clear" w:color="CAEDFB" w:fill="CAEDFB"/>
            <w:noWrap/>
            <w:vAlign w:val="bottom"/>
            <w:hideMark/>
          </w:tcPr>
          <w:p w14:paraId="65583C27"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7.00%</w:t>
            </w:r>
          </w:p>
        </w:tc>
        <w:tc>
          <w:tcPr>
            <w:tcW w:w="0" w:type="auto"/>
            <w:tcBorders>
              <w:top w:val="single" w:sz="4" w:space="0" w:color="61CBF3"/>
              <w:left w:val="nil"/>
              <w:bottom w:val="single" w:sz="4" w:space="0" w:color="61CBF3"/>
              <w:right w:val="nil"/>
            </w:tcBorders>
            <w:shd w:val="clear" w:color="CAEDFB" w:fill="CAEDFB"/>
            <w:noWrap/>
            <w:vAlign w:val="bottom"/>
            <w:hideMark/>
          </w:tcPr>
          <w:p w14:paraId="05089517"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0%</w:t>
            </w:r>
          </w:p>
        </w:tc>
        <w:tc>
          <w:tcPr>
            <w:tcW w:w="0" w:type="auto"/>
            <w:tcBorders>
              <w:top w:val="single" w:sz="4" w:space="0" w:color="61CBF3"/>
              <w:left w:val="nil"/>
              <w:bottom w:val="single" w:sz="4" w:space="0" w:color="61CBF3"/>
              <w:right w:val="nil"/>
            </w:tcBorders>
            <w:shd w:val="clear" w:color="CAEDFB" w:fill="CAEDFB"/>
            <w:noWrap/>
            <w:vAlign w:val="bottom"/>
            <w:hideMark/>
          </w:tcPr>
          <w:p w14:paraId="354C3C91"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10.00%</w:t>
            </w:r>
          </w:p>
        </w:tc>
        <w:tc>
          <w:tcPr>
            <w:tcW w:w="0" w:type="auto"/>
            <w:tcBorders>
              <w:top w:val="single" w:sz="4" w:space="0" w:color="61CBF3"/>
              <w:left w:val="nil"/>
              <w:bottom w:val="single" w:sz="4" w:space="0" w:color="61CBF3"/>
              <w:right w:val="single" w:sz="4" w:space="0" w:color="61CBF3"/>
            </w:tcBorders>
            <w:shd w:val="clear" w:color="CAEDFB" w:fill="CAEDFB"/>
            <w:noWrap/>
            <w:vAlign w:val="bottom"/>
            <w:hideMark/>
          </w:tcPr>
          <w:p w14:paraId="48BC5CC5"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Higher preferred</w:t>
            </w:r>
          </w:p>
        </w:tc>
      </w:tr>
      <w:tr w:rsidR="007767D1" w:rsidRPr="007767D1" w14:paraId="36BDE573" w14:textId="77777777" w:rsidTr="007767D1">
        <w:trPr>
          <w:trHeight w:val="290"/>
        </w:trPr>
        <w:tc>
          <w:tcPr>
            <w:tcW w:w="0" w:type="auto"/>
            <w:tcBorders>
              <w:top w:val="single" w:sz="4" w:space="0" w:color="61CBF3"/>
              <w:left w:val="single" w:sz="4" w:space="0" w:color="61CBF3"/>
              <w:bottom w:val="single" w:sz="4" w:space="0" w:color="61CBF3"/>
              <w:right w:val="nil"/>
            </w:tcBorders>
            <w:noWrap/>
            <w:vAlign w:val="bottom"/>
            <w:hideMark/>
          </w:tcPr>
          <w:p w14:paraId="11B919FC"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NPV</w:t>
            </w:r>
          </w:p>
        </w:tc>
        <w:tc>
          <w:tcPr>
            <w:tcW w:w="0" w:type="auto"/>
            <w:tcBorders>
              <w:top w:val="single" w:sz="4" w:space="0" w:color="61CBF3"/>
              <w:left w:val="nil"/>
              <w:bottom w:val="single" w:sz="4" w:space="0" w:color="61CBF3"/>
              <w:right w:val="nil"/>
            </w:tcBorders>
            <w:noWrap/>
            <w:vAlign w:val="bottom"/>
            <w:hideMark/>
          </w:tcPr>
          <w:p w14:paraId="0526941E"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£1.31m</w:t>
            </w:r>
          </w:p>
        </w:tc>
        <w:tc>
          <w:tcPr>
            <w:tcW w:w="0" w:type="auto"/>
            <w:tcBorders>
              <w:top w:val="single" w:sz="4" w:space="0" w:color="61CBF3"/>
              <w:left w:val="nil"/>
              <w:bottom w:val="single" w:sz="4" w:space="0" w:color="61CBF3"/>
              <w:right w:val="nil"/>
            </w:tcBorders>
            <w:noWrap/>
            <w:vAlign w:val="bottom"/>
            <w:hideMark/>
          </w:tcPr>
          <w:p w14:paraId="340D05E3"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-£7.25m</w:t>
            </w:r>
          </w:p>
        </w:tc>
        <w:tc>
          <w:tcPr>
            <w:tcW w:w="0" w:type="auto"/>
            <w:tcBorders>
              <w:top w:val="single" w:sz="4" w:space="0" w:color="61CBF3"/>
              <w:left w:val="nil"/>
              <w:bottom w:val="single" w:sz="4" w:space="0" w:color="61CBF3"/>
              <w:right w:val="nil"/>
            </w:tcBorders>
            <w:noWrap/>
            <w:vAlign w:val="bottom"/>
            <w:hideMark/>
          </w:tcPr>
          <w:p w14:paraId="72A797C6"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£4.23m</w:t>
            </w:r>
          </w:p>
        </w:tc>
        <w:tc>
          <w:tcPr>
            <w:tcW w:w="0" w:type="auto"/>
            <w:tcBorders>
              <w:top w:val="single" w:sz="4" w:space="0" w:color="61CBF3"/>
              <w:left w:val="nil"/>
              <w:bottom w:val="single" w:sz="4" w:space="0" w:color="61CBF3"/>
              <w:right w:val="single" w:sz="4" w:space="0" w:color="61CBF3"/>
            </w:tcBorders>
            <w:noWrap/>
            <w:vAlign w:val="bottom"/>
            <w:hideMark/>
          </w:tcPr>
          <w:p w14:paraId="22767D9E"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Positive/Higher preferred</w:t>
            </w:r>
          </w:p>
        </w:tc>
      </w:tr>
      <w:tr w:rsidR="007767D1" w:rsidRPr="007767D1" w14:paraId="0795F7F7" w14:textId="77777777" w:rsidTr="007767D1">
        <w:trPr>
          <w:trHeight w:val="290"/>
        </w:trPr>
        <w:tc>
          <w:tcPr>
            <w:tcW w:w="0" w:type="auto"/>
            <w:tcBorders>
              <w:top w:val="single" w:sz="4" w:space="0" w:color="61CBF3"/>
              <w:left w:val="single" w:sz="4" w:space="0" w:color="61CBF3"/>
              <w:bottom w:val="single" w:sz="4" w:space="0" w:color="61CBF3"/>
              <w:right w:val="nil"/>
            </w:tcBorders>
            <w:shd w:val="clear" w:color="CAEDFB" w:fill="CAEDFB"/>
            <w:noWrap/>
            <w:vAlign w:val="bottom"/>
            <w:hideMark/>
          </w:tcPr>
          <w:p w14:paraId="2E183875"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PI</w:t>
            </w:r>
          </w:p>
        </w:tc>
        <w:tc>
          <w:tcPr>
            <w:tcW w:w="0" w:type="auto"/>
            <w:tcBorders>
              <w:top w:val="single" w:sz="4" w:space="0" w:color="61CBF3"/>
              <w:left w:val="nil"/>
              <w:bottom w:val="single" w:sz="4" w:space="0" w:color="61CBF3"/>
              <w:right w:val="nil"/>
            </w:tcBorders>
            <w:shd w:val="clear" w:color="CAEDFB" w:fill="CAEDFB"/>
            <w:noWrap/>
            <w:vAlign w:val="bottom"/>
            <w:hideMark/>
          </w:tcPr>
          <w:p w14:paraId="723AA583"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1.033</w:t>
            </w:r>
          </w:p>
        </w:tc>
        <w:tc>
          <w:tcPr>
            <w:tcW w:w="0" w:type="auto"/>
            <w:tcBorders>
              <w:top w:val="single" w:sz="4" w:space="0" w:color="61CBF3"/>
              <w:left w:val="nil"/>
              <w:bottom w:val="single" w:sz="4" w:space="0" w:color="61CBF3"/>
              <w:right w:val="nil"/>
            </w:tcBorders>
            <w:shd w:val="clear" w:color="CAEDFB" w:fill="CAEDFB"/>
            <w:noWrap/>
            <w:vAlign w:val="bottom"/>
            <w:hideMark/>
          </w:tcPr>
          <w:p w14:paraId="4EEC7798"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0.758</w:t>
            </w:r>
          </w:p>
        </w:tc>
        <w:tc>
          <w:tcPr>
            <w:tcW w:w="0" w:type="auto"/>
            <w:tcBorders>
              <w:top w:val="single" w:sz="4" w:space="0" w:color="61CBF3"/>
              <w:left w:val="nil"/>
              <w:bottom w:val="single" w:sz="4" w:space="0" w:color="61CBF3"/>
              <w:right w:val="nil"/>
            </w:tcBorders>
            <w:shd w:val="clear" w:color="CAEDFB" w:fill="CAEDFB"/>
            <w:noWrap/>
            <w:vAlign w:val="bottom"/>
            <w:hideMark/>
          </w:tcPr>
          <w:p w14:paraId="60B4D65D"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1.085</w:t>
            </w:r>
          </w:p>
        </w:tc>
        <w:tc>
          <w:tcPr>
            <w:tcW w:w="0" w:type="auto"/>
            <w:tcBorders>
              <w:top w:val="single" w:sz="4" w:space="0" w:color="61CBF3"/>
              <w:left w:val="nil"/>
              <w:bottom w:val="single" w:sz="4" w:space="0" w:color="61CBF3"/>
              <w:right w:val="single" w:sz="4" w:space="0" w:color="61CBF3"/>
            </w:tcBorders>
            <w:shd w:val="clear" w:color="CAEDFB" w:fill="CAEDFB"/>
            <w:noWrap/>
            <w:vAlign w:val="bottom"/>
            <w:hideMark/>
          </w:tcPr>
          <w:p w14:paraId="149086F4"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&gt;1.0/Higher preferred</w:t>
            </w:r>
          </w:p>
        </w:tc>
      </w:tr>
      <w:tr w:rsidR="007767D1" w:rsidRPr="007767D1" w14:paraId="70189938" w14:textId="77777777" w:rsidTr="007767D1">
        <w:trPr>
          <w:trHeight w:val="290"/>
        </w:trPr>
        <w:tc>
          <w:tcPr>
            <w:tcW w:w="0" w:type="auto"/>
            <w:tcBorders>
              <w:top w:val="single" w:sz="4" w:space="0" w:color="61CBF3"/>
              <w:left w:val="single" w:sz="4" w:space="0" w:color="61CBF3"/>
              <w:bottom w:val="single" w:sz="4" w:space="0" w:color="61CBF3"/>
              <w:right w:val="nil"/>
            </w:tcBorders>
            <w:noWrap/>
            <w:vAlign w:val="bottom"/>
            <w:hideMark/>
          </w:tcPr>
          <w:p w14:paraId="1F56707C"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t>IRR</w:t>
            </w:r>
          </w:p>
        </w:tc>
        <w:tc>
          <w:tcPr>
            <w:tcW w:w="0" w:type="auto"/>
            <w:tcBorders>
              <w:top w:val="single" w:sz="4" w:space="0" w:color="61CBF3"/>
              <w:left w:val="nil"/>
              <w:bottom w:val="single" w:sz="4" w:space="0" w:color="61CBF3"/>
              <w:right w:val="nil"/>
            </w:tcBorders>
            <w:noWrap/>
            <w:vAlign w:val="bottom"/>
            <w:hideMark/>
          </w:tcPr>
          <w:p w14:paraId="52260FE6"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11.80%</w:t>
            </w:r>
          </w:p>
        </w:tc>
        <w:tc>
          <w:tcPr>
            <w:tcW w:w="0" w:type="auto"/>
            <w:tcBorders>
              <w:top w:val="single" w:sz="4" w:space="0" w:color="61CBF3"/>
              <w:left w:val="nil"/>
              <w:bottom w:val="single" w:sz="4" w:space="0" w:color="61CBF3"/>
              <w:right w:val="nil"/>
            </w:tcBorders>
            <w:noWrap/>
            <w:vAlign w:val="bottom"/>
            <w:hideMark/>
          </w:tcPr>
          <w:p w14:paraId="193CD601"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0%</w:t>
            </w:r>
          </w:p>
        </w:tc>
        <w:tc>
          <w:tcPr>
            <w:tcW w:w="0" w:type="auto"/>
            <w:tcBorders>
              <w:top w:val="single" w:sz="4" w:space="0" w:color="61CBF3"/>
              <w:left w:val="nil"/>
              <w:bottom w:val="single" w:sz="4" w:space="0" w:color="61CBF3"/>
              <w:right w:val="nil"/>
            </w:tcBorders>
            <w:noWrap/>
            <w:vAlign w:val="bottom"/>
            <w:hideMark/>
          </w:tcPr>
          <w:p w14:paraId="4DEAA9F9"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12.40%</w:t>
            </w:r>
          </w:p>
        </w:tc>
        <w:tc>
          <w:tcPr>
            <w:tcW w:w="0" w:type="auto"/>
            <w:tcBorders>
              <w:top w:val="single" w:sz="4" w:space="0" w:color="61CBF3"/>
              <w:left w:val="nil"/>
              <w:bottom w:val="single" w:sz="4" w:space="0" w:color="61CBF3"/>
              <w:right w:val="single" w:sz="4" w:space="0" w:color="61CBF3"/>
            </w:tcBorders>
            <w:noWrap/>
            <w:vAlign w:val="bottom"/>
            <w:hideMark/>
          </w:tcPr>
          <w:p w14:paraId="3E87857B"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&gt;10%/Higher preferred</w:t>
            </w:r>
          </w:p>
        </w:tc>
      </w:tr>
      <w:tr w:rsidR="007767D1" w:rsidRPr="007767D1" w14:paraId="3816658D" w14:textId="77777777" w:rsidTr="007767D1">
        <w:trPr>
          <w:trHeight w:val="290"/>
        </w:trPr>
        <w:tc>
          <w:tcPr>
            <w:tcW w:w="0" w:type="auto"/>
            <w:tcBorders>
              <w:top w:val="single" w:sz="4" w:space="0" w:color="61CBF3"/>
              <w:left w:val="single" w:sz="4" w:space="0" w:color="61CBF3"/>
              <w:bottom w:val="single" w:sz="4" w:space="0" w:color="61CBF3"/>
              <w:right w:val="nil"/>
            </w:tcBorders>
            <w:shd w:val="clear" w:color="CAEDFB" w:fill="CAEDFB"/>
            <w:noWrap/>
            <w:vAlign w:val="bottom"/>
            <w:hideMark/>
          </w:tcPr>
          <w:p w14:paraId="7ABAFBDE" w14:textId="77777777" w:rsidR="007767D1" w:rsidRPr="007767D1" w:rsidRDefault="007767D1" w:rsidP="00607DB7">
            <w:pPr>
              <w:spacing w:after="0" w:line="360" w:lineRule="auto"/>
              <w:rPr>
                <w:rFonts w:ascii="Aptos Narrow" w:eastAsia="Times New Roman" w:hAnsi="Aptos Narrow"/>
                <w:b/>
                <w:bCs/>
                <w:color w:val="000000"/>
                <w:sz w:val="22"/>
              </w:rPr>
            </w:pPr>
            <w:r w:rsidRPr="007767D1">
              <w:rPr>
                <w:rFonts w:ascii="Aptos Narrow" w:eastAsia="Times New Roman" w:hAnsi="Aptos Narrow"/>
                <w:b/>
                <w:bCs/>
                <w:color w:val="000000"/>
                <w:sz w:val="22"/>
              </w:rPr>
              <w:lastRenderedPageBreak/>
              <w:t>Ranking</w:t>
            </w:r>
          </w:p>
        </w:tc>
        <w:tc>
          <w:tcPr>
            <w:tcW w:w="0" w:type="auto"/>
            <w:tcBorders>
              <w:top w:val="single" w:sz="4" w:space="0" w:color="61CBF3"/>
              <w:left w:val="nil"/>
              <w:bottom w:val="single" w:sz="4" w:space="0" w:color="61CBF3"/>
              <w:right w:val="nil"/>
            </w:tcBorders>
            <w:shd w:val="clear" w:color="CAEDFB" w:fill="CAEDFB"/>
            <w:noWrap/>
            <w:vAlign w:val="bottom"/>
            <w:hideMark/>
          </w:tcPr>
          <w:p w14:paraId="725D5DAB"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2nd</w:t>
            </w:r>
          </w:p>
        </w:tc>
        <w:tc>
          <w:tcPr>
            <w:tcW w:w="0" w:type="auto"/>
            <w:tcBorders>
              <w:top w:val="single" w:sz="4" w:space="0" w:color="61CBF3"/>
              <w:left w:val="nil"/>
              <w:bottom w:val="single" w:sz="4" w:space="0" w:color="61CBF3"/>
              <w:right w:val="nil"/>
            </w:tcBorders>
            <w:shd w:val="clear" w:color="CAEDFB" w:fill="CAEDFB"/>
            <w:noWrap/>
            <w:vAlign w:val="bottom"/>
            <w:hideMark/>
          </w:tcPr>
          <w:p w14:paraId="02DF6A3A"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3rd</w:t>
            </w:r>
          </w:p>
        </w:tc>
        <w:tc>
          <w:tcPr>
            <w:tcW w:w="0" w:type="auto"/>
            <w:tcBorders>
              <w:top w:val="single" w:sz="4" w:space="0" w:color="61CBF3"/>
              <w:left w:val="nil"/>
              <w:bottom w:val="single" w:sz="4" w:space="0" w:color="61CBF3"/>
              <w:right w:val="nil"/>
            </w:tcBorders>
            <w:shd w:val="clear" w:color="CAEDFB" w:fill="CAEDFB"/>
            <w:noWrap/>
            <w:vAlign w:val="bottom"/>
            <w:hideMark/>
          </w:tcPr>
          <w:p w14:paraId="4FFAE559" w14:textId="77777777" w:rsidR="007767D1" w:rsidRPr="007767D1" w:rsidRDefault="007767D1" w:rsidP="00607DB7">
            <w:pPr>
              <w:spacing w:after="0" w:line="360" w:lineRule="auto"/>
              <w:rPr>
                <w:rFonts w:ascii="Aptos Narrow" w:eastAsia="Times New Roman" w:hAnsi="Aptos Narrow"/>
                <w:color w:val="000000"/>
                <w:sz w:val="22"/>
              </w:rPr>
            </w:pPr>
            <w:r w:rsidRPr="007767D1">
              <w:rPr>
                <w:rFonts w:ascii="Aptos Narrow" w:eastAsia="Times New Roman" w:hAnsi="Aptos Narrow"/>
                <w:color w:val="000000"/>
                <w:sz w:val="22"/>
              </w:rPr>
              <w:t>1st</w:t>
            </w:r>
          </w:p>
        </w:tc>
        <w:tc>
          <w:tcPr>
            <w:tcW w:w="0" w:type="auto"/>
            <w:tcBorders>
              <w:top w:val="single" w:sz="4" w:space="0" w:color="61CBF3"/>
              <w:left w:val="nil"/>
              <w:bottom w:val="single" w:sz="4" w:space="0" w:color="61CBF3"/>
              <w:right w:val="single" w:sz="4" w:space="0" w:color="61CBF3"/>
            </w:tcBorders>
            <w:shd w:val="clear" w:color="CAEDFB" w:fill="CAEDFB"/>
            <w:noWrap/>
            <w:vAlign w:val="bottom"/>
            <w:hideMark/>
          </w:tcPr>
          <w:p w14:paraId="673D5C9A" w14:textId="77777777" w:rsidR="007767D1" w:rsidRPr="007767D1" w:rsidRDefault="007767D1" w:rsidP="00607DB7">
            <w:pPr>
              <w:spacing w:after="0" w:line="360" w:lineRule="auto"/>
              <w:rPr>
                <w:rFonts w:ascii="Aptos Narrow" w:eastAsia="Times New Roman" w:hAnsi="Aptos Narrow"/>
                <w:color w:val="000000"/>
                <w:sz w:val="22"/>
              </w:rPr>
            </w:pPr>
          </w:p>
        </w:tc>
      </w:tr>
    </w:tbl>
    <w:p w14:paraId="353A9CED" w14:textId="41B38AF2" w:rsidR="004734AB" w:rsidRPr="004734AB" w:rsidRDefault="00607DB7" w:rsidP="00607DB7">
      <w:pPr>
        <w:spacing w:line="360" w:lineRule="auto"/>
      </w:pPr>
      <w:r w:rsidRPr="00607DB7">
        <w:t>In the situation involving capital rationing: total investment is limited to £60 million to choose the best project combination that maximizes the aggregate shareholder value, General Electronics will have to choose the best combination of projects. Project C is decidedly better in any evaluation criterion as it tops in NPV (£4.23m), PI (1.085), ARR (10%), and IRR (12.4%) whereas it shows acceptable payback period (3.60 years). Project C will need investment of £50 million; this will result in a capacity of 10 million that is unutilized. But there are no fractional investment opportunities of the project and Project B annihilates the value that should be discarded anyway. The best decision is to commit only in Project C which shall result in a net present value of 4.23 million and the IRR of 12.4% and leave the remaining 10 million to uncommitted money instead of committing to subpar projects. Alternative consideration relates to Projects A and B of 70v70 million being above constraints or 1x is Project A that only produces 1.31 million NPV and that is significantly lower than the value created by Project C</w:t>
      </w:r>
      <w:r w:rsidR="009146B3">
        <w:t xml:space="preserve"> </w:t>
      </w:r>
      <w:r w:rsidR="009146B3" w:rsidRPr="009146B3">
        <w:t>(Lohmann and Baksh, 1993)</w:t>
      </w:r>
      <w:r w:rsidRPr="00607DB7">
        <w:t>.</w:t>
      </w:r>
    </w:p>
    <w:p w14:paraId="24A2F88E" w14:textId="77777777" w:rsidR="004734AB" w:rsidRPr="004734AB" w:rsidRDefault="004734AB" w:rsidP="00607DB7">
      <w:pPr>
        <w:pStyle w:val="Heading2"/>
        <w:spacing w:line="360" w:lineRule="auto"/>
        <w:jc w:val="both"/>
      </w:pPr>
      <w:bookmarkStart w:id="28" w:name="_Toc213234358"/>
      <w:r w:rsidRPr="004734AB">
        <w:rPr>
          <w:rFonts w:eastAsiaTheme="majorEastAsia"/>
        </w:rPr>
        <w:t>4.8 Risk Assessment and Strategic Recommendation</w:t>
      </w:r>
      <w:bookmarkEnd w:id="28"/>
    </w:p>
    <w:p w14:paraId="11F15691" w14:textId="0EFFCF9A" w:rsidR="00607DB7" w:rsidRDefault="00607DB7" w:rsidP="00607DB7">
      <w:pPr>
        <w:spacing w:line="360" w:lineRule="auto"/>
      </w:pPr>
      <w:r w:rsidRPr="00607DB7">
        <w:t>The nature of project risks needs to be assessed in a systematic way bearing in mind the weak financial position of General Electronics. Project C has the greatest ratio of cash flow volatility whereby the inflows per year are between £5-25 million (coefficients of variation 0.52) with 67 percent of cash generated during Years 3-4</w:t>
      </w:r>
      <w:r w:rsidR="009146B3">
        <w:t xml:space="preserve"> </w:t>
      </w:r>
      <w:r w:rsidR="009146B3" w:rsidRPr="009146B3">
        <w:t>(Campello et al., 2011)</w:t>
      </w:r>
      <w:r w:rsidRPr="00607DB7">
        <w:t>. This is the profile that is loaded on the backend which poses execution risk when there are operational disruptions that postpone the realization of revenues. Project A exhibits moderate volatility (range of 8-14 million, CV 0.23) with higher balancing of temporal distribution lessening timing risk. Project B presents the least volatility with constant annual flows of 6m of 6m of money but it yields negative returns. Since General Electronics is in a tight liquidity position (current ratio 1.53, quick ratio 1.03), the company needs quick cash flow to serve its purposes of debt servicing as well as current working capital</w:t>
      </w:r>
      <w:r w:rsidR="009146B3">
        <w:t xml:space="preserve"> </w:t>
      </w:r>
      <w:r w:rsidR="009146B3" w:rsidRPr="009146B3">
        <w:t>(Campello et al., 2011)</w:t>
      </w:r>
      <w:r w:rsidRPr="00607DB7">
        <w:t>.</w:t>
      </w:r>
    </w:p>
    <w:p w14:paraId="1B262BDE" w14:textId="2866EDE0" w:rsidR="004734AB" w:rsidRDefault="00607DB7" w:rsidP="00607DB7">
      <w:pPr>
        <w:spacing w:line="360" w:lineRule="auto"/>
      </w:pPr>
      <w:r w:rsidRPr="00607DB7">
        <w:rPr>
          <w:b/>
          <w:bCs/>
        </w:rPr>
        <w:t>Recommendation:</w:t>
      </w:r>
      <w:r w:rsidRPr="00607DB7">
        <w:t xml:space="preserve"> Project C should be accepted only with investment of 50 million and will yield 4.23 million NPV, will have 12.4 percent IRR which is the best capital allocation when dealing with extreme constraints and taking into consideration the occurrence of </w:t>
      </w:r>
      <w:r w:rsidRPr="00607DB7">
        <w:lastRenderedPageBreak/>
        <w:t>executions risks requires strict project management, milestones and contingency planning is necessary in ensuring a realization of the projected cash flow to support organizational recovery goals</w:t>
      </w:r>
      <w:r w:rsidR="009146B3">
        <w:t xml:space="preserve"> </w:t>
      </w:r>
      <w:r w:rsidR="009146B3" w:rsidRPr="009146B3">
        <w:t>(Campello et al., 2011)</w:t>
      </w:r>
      <w:r w:rsidRPr="00607DB7">
        <w:t>.</w:t>
      </w:r>
    </w:p>
    <w:p w14:paraId="15BEF759" w14:textId="21F56D9A" w:rsidR="004734AB" w:rsidRPr="004734AB" w:rsidRDefault="004734AB" w:rsidP="00607DB7">
      <w:pPr>
        <w:pStyle w:val="Heading1"/>
      </w:pPr>
      <w:bookmarkStart w:id="29" w:name="_Toc213234359"/>
      <w:r w:rsidRPr="004734AB">
        <w:t>Conclusion</w:t>
      </w:r>
      <w:bookmarkEnd w:id="29"/>
      <w:r w:rsidRPr="004734AB">
        <w:t xml:space="preserve"> </w:t>
      </w:r>
    </w:p>
    <w:p w14:paraId="3832E57A" w14:textId="77777777" w:rsidR="00607DB7" w:rsidRDefault="00607DB7" w:rsidP="00607DB7">
      <w:pPr>
        <w:spacing w:line="360" w:lineRule="auto"/>
      </w:pPr>
      <w:r>
        <w:t>General Electronics is in dire financial straits that need urgent all-round intervention. The monetary health review discloses disastrous profitability decline, as operating losses have hit extremely high levels of -85.3 million (2023) and the Altman Z-Score of the firm is on the edge of the distress zone at the 2.39 levels. Liquidity ratios are slightly satisfactory, but the long working cycle of 121 days and decreasing working capital of 147.3 to 84.2 million hamper operations to an extreme level.</w:t>
      </w:r>
    </w:p>
    <w:p w14:paraId="139A56AF" w14:textId="77777777" w:rsidR="00607DB7" w:rsidRDefault="00607DB7" w:rsidP="00607DB7">
      <w:pPr>
        <w:spacing w:line="360" w:lineRule="auto"/>
      </w:pPr>
      <w:r>
        <w:t xml:space="preserve">Optimal use of strategic working capital, including inventory reduction, acceleration of receivables and management of payables, can release a cash amount of between £30-35 million cash which will significantly ease the liquidity burden in the short run. The suggested gradual restructuring plan with combined targeted divestiture (providing the company with proceeds of between 35-40 million pounds), then the injection of equity of 50 million pounds and strategic alliances is the best solution to provide the most appropriate channel to balance short-term liquidity requirements and </w:t>
      </w:r>
      <w:proofErr w:type="gramStart"/>
      <w:r>
        <w:t>long term</w:t>
      </w:r>
      <w:proofErr w:type="gramEnd"/>
      <w:r>
        <w:t xml:space="preserve"> capital structure reinstatement and the ethical responsibility to the stakeholders.</w:t>
      </w:r>
    </w:p>
    <w:p w14:paraId="63469566" w14:textId="5AF69CEE" w:rsidR="004734AB" w:rsidRPr="004734AB" w:rsidRDefault="00607DB7" w:rsidP="00607DB7">
      <w:pPr>
        <w:spacing w:line="360" w:lineRule="auto"/>
      </w:pPr>
      <w:r>
        <w:t>Investment appraisal proves the superiority of Project C, generating 12.4% C IRR and 4.23M NPV which are essential value creation reversal. General Electronics can have a good recovery path through successful practice of these combined recommendations, which are working capital reforms to release cash, a strategic restructuring to strengthen its balance sheet, and disciplined capital investment in value-creating projects.</w:t>
      </w:r>
    </w:p>
    <w:p w14:paraId="3E099D37" w14:textId="06CC0EBB" w:rsidR="009146B3" w:rsidRDefault="009146B3">
      <w:pPr>
        <w:spacing w:after="160" w:line="278" w:lineRule="auto"/>
        <w:jc w:val="left"/>
      </w:pPr>
      <w:r>
        <w:br w:type="page"/>
      </w:r>
    </w:p>
    <w:p w14:paraId="5D5DCFDC" w14:textId="6A0B3619" w:rsidR="00826521" w:rsidRDefault="009146B3" w:rsidP="009146B3">
      <w:pPr>
        <w:pStyle w:val="Heading1"/>
      </w:pPr>
      <w:bookmarkStart w:id="30" w:name="_Toc213234360"/>
      <w:r>
        <w:lastRenderedPageBreak/>
        <w:t>References</w:t>
      </w:r>
      <w:bookmarkEnd w:id="30"/>
      <w:r>
        <w:t xml:space="preserve"> </w:t>
      </w:r>
    </w:p>
    <w:p w14:paraId="5A3FBF3E" w14:textId="78289E7D" w:rsidR="009146B3" w:rsidRPr="009146B3" w:rsidRDefault="009146B3" w:rsidP="009146B3">
      <w:pPr>
        <w:spacing w:line="360" w:lineRule="auto"/>
      </w:pPr>
      <w:r w:rsidRPr="009146B3">
        <w:t xml:space="preserve">Altman, E.I. (2018). Applications of Distress Prediction Models: What Have We Learned After 50 Years from the Z-Score Models? </w:t>
      </w:r>
      <w:r w:rsidRPr="009146B3">
        <w:rPr>
          <w:i/>
          <w:iCs/>
        </w:rPr>
        <w:t>International Journal of Financial Studies</w:t>
      </w:r>
      <w:r w:rsidRPr="009146B3">
        <w:t xml:space="preserve">, 6(3), p.70. </w:t>
      </w:r>
      <w:proofErr w:type="spellStart"/>
      <w:r w:rsidRPr="009146B3">
        <w:t>doi</w:t>
      </w:r>
      <w:proofErr w:type="spellEnd"/>
      <w:r w:rsidRPr="009146B3">
        <w:t>:</w:t>
      </w:r>
      <w:r>
        <w:t xml:space="preserve"> </w:t>
      </w:r>
      <w:hyperlink r:id="rId17" w:history="1">
        <w:r w:rsidRPr="009146B3">
          <w:rPr>
            <w:rStyle w:val="Hyperlink"/>
          </w:rPr>
          <w:t>https://doi.org/10.3390/ijfs6030070</w:t>
        </w:r>
      </w:hyperlink>
      <w:r w:rsidRPr="009146B3">
        <w:t>.</w:t>
      </w:r>
      <w:r>
        <w:t xml:space="preserve"> </w:t>
      </w:r>
    </w:p>
    <w:p w14:paraId="5A98A050" w14:textId="2768984A" w:rsidR="009146B3" w:rsidRPr="009146B3" w:rsidRDefault="009146B3" w:rsidP="009146B3">
      <w:pPr>
        <w:spacing w:line="360" w:lineRule="auto"/>
      </w:pPr>
      <w:proofErr w:type="spellStart"/>
      <w:r w:rsidRPr="009146B3">
        <w:t>Arhinful</w:t>
      </w:r>
      <w:proofErr w:type="spellEnd"/>
      <w:r w:rsidRPr="009146B3">
        <w:t xml:space="preserve">, R. and Radmehr, M. (2023). The Impact of Financial Leverage on the Financial Performance of the Firms Listed on the Tokyo Stock Exchange. </w:t>
      </w:r>
      <w:r w:rsidRPr="009146B3">
        <w:rPr>
          <w:i/>
          <w:iCs/>
        </w:rPr>
        <w:t>SAGE Open</w:t>
      </w:r>
      <w:r w:rsidRPr="009146B3">
        <w:t xml:space="preserve">, [online] 13(4). </w:t>
      </w:r>
      <w:proofErr w:type="spellStart"/>
      <w:r w:rsidRPr="009146B3">
        <w:t>doi</w:t>
      </w:r>
      <w:proofErr w:type="spellEnd"/>
      <w:r w:rsidRPr="009146B3">
        <w:t>:</w:t>
      </w:r>
      <w:r>
        <w:t xml:space="preserve"> </w:t>
      </w:r>
      <w:hyperlink r:id="rId18" w:history="1">
        <w:r w:rsidRPr="009146B3">
          <w:rPr>
            <w:rStyle w:val="Hyperlink"/>
          </w:rPr>
          <w:t>https://doi.org/10.1177/21582440231204099</w:t>
        </w:r>
      </w:hyperlink>
      <w:r w:rsidRPr="009146B3">
        <w:t>.</w:t>
      </w:r>
      <w:r>
        <w:t xml:space="preserve"> </w:t>
      </w:r>
    </w:p>
    <w:p w14:paraId="2C4B0165" w14:textId="778D4435" w:rsidR="009146B3" w:rsidRPr="009146B3" w:rsidRDefault="009146B3" w:rsidP="009146B3">
      <w:pPr>
        <w:spacing w:line="360" w:lineRule="auto"/>
      </w:pPr>
      <w:proofErr w:type="spellStart"/>
      <w:r w:rsidRPr="009146B3">
        <w:t>Asonuma</w:t>
      </w:r>
      <w:proofErr w:type="spellEnd"/>
      <w:r w:rsidRPr="009146B3">
        <w:t xml:space="preserve">, T., </w:t>
      </w:r>
      <w:proofErr w:type="spellStart"/>
      <w:r w:rsidRPr="009146B3">
        <w:t>Chamon</w:t>
      </w:r>
      <w:proofErr w:type="spellEnd"/>
      <w:r w:rsidRPr="009146B3">
        <w:t xml:space="preserve">, M., </w:t>
      </w:r>
      <w:proofErr w:type="spellStart"/>
      <w:r w:rsidRPr="009146B3">
        <w:t>Erce</w:t>
      </w:r>
      <w:proofErr w:type="spellEnd"/>
      <w:r w:rsidRPr="009146B3">
        <w:t xml:space="preserve">, A. and SASAHARA, A. (2024). Costs of Sovereign Debt Crises: Restructuring Strategies and Bank Intermediation. </w:t>
      </w:r>
      <w:r w:rsidRPr="009146B3">
        <w:rPr>
          <w:i/>
          <w:iCs/>
        </w:rPr>
        <w:t>SSRN Electronic Journal</w:t>
      </w:r>
      <w:r w:rsidRPr="009146B3">
        <w:t xml:space="preserve">. [online] </w:t>
      </w:r>
      <w:proofErr w:type="spellStart"/>
      <w:r w:rsidRPr="009146B3">
        <w:t>doi</w:t>
      </w:r>
      <w:proofErr w:type="spellEnd"/>
      <w:r w:rsidRPr="009146B3">
        <w:t>:</w:t>
      </w:r>
      <w:r>
        <w:t xml:space="preserve"> </w:t>
      </w:r>
      <w:hyperlink r:id="rId19" w:history="1">
        <w:r w:rsidRPr="009146B3">
          <w:rPr>
            <w:rStyle w:val="Hyperlink"/>
          </w:rPr>
          <w:t>https://doi.org/10.2139/ssrn.4795074</w:t>
        </w:r>
      </w:hyperlink>
      <w:r w:rsidRPr="009146B3">
        <w:t>.</w:t>
      </w:r>
      <w:r>
        <w:t xml:space="preserve"> </w:t>
      </w:r>
    </w:p>
    <w:p w14:paraId="54813B7C" w14:textId="0070A6ED" w:rsidR="009146B3" w:rsidRPr="009146B3" w:rsidRDefault="009146B3" w:rsidP="009146B3">
      <w:pPr>
        <w:spacing w:line="360" w:lineRule="auto"/>
      </w:pPr>
      <w:r w:rsidRPr="009146B3">
        <w:t xml:space="preserve">Campello, M., Giambona, E., Graham, J.R. and Harvey, C.R. (2011). Liquidity Management and Corporate Investment During a Financial Crisis. </w:t>
      </w:r>
      <w:r w:rsidRPr="009146B3">
        <w:rPr>
          <w:i/>
          <w:iCs/>
        </w:rPr>
        <w:t>Review of Financial Studies</w:t>
      </w:r>
      <w:r w:rsidRPr="009146B3">
        <w:t xml:space="preserve">, 24(6), pp.1944–1979. </w:t>
      </w:r>
      <w:proofErr w:type="spellStart"/>
      <w:r w:rsidRPr="009146B3">
        <w:t>doi</w:t>
      </w:r>
      <w:proofErr w:type="spellEnd"/>
      <w:r w:rsidRPr="009146B3">
        <w:t>:</w:t>
      </w:r>
      <w:r>
        <w:t xml:space="preserve"> </w:t>
      </w:r>
      <w:hyperlink r:id="rId20" w:history="1">
        <w:r w:rsidRPr="009146B3">
          <w:rPr>
            <w:rStyle w:val="Hyperlink"/>
          </w:rPr>
          <w:t>https://doi.org/10.1093/rfs/hhq131</w:t>
        </w:r>
      </w:hyperlink>
      <w:r w:rsidRPr="009146B3">
        <w:t>.</w:t>
      </w:r>
      <w:r>
        <w:t xml:space="preserve"> </w:t>
      </w:r>
    </w:p>
    <w:p w14:paraId="7CD3DBEF" w14:textId="57C267B3" w:rsidR="009146B3" w:rsidRPr="009146B3" w:rsidRDefault="009146B3" w:rsidP="009146B3">
      <w:pPr>
        <w:spacing w:line="360" w:lineRule="auto"/>
      </w:pPr>
      <w:r w:rsidRPr="009146B3">
        <w:t xml:space="preserve">Chen, X., Liang, X. and Wu, H. (2023). Cross-Border Mergers and Acquisitions and CSR Performance: Evidence from China. </w:t>
      </w:r>
      <w:r w:rsidRPr="009146B3">
        <w:rPr>
          <w:i/>
          <w:iCs/>
        </w:rPr>
        <w:t>Journal of Business Ethics</w:t>
      </w:r>
      <w:r w:rsidRPr="009146B3">
        <w:t xml:space="preserve">, [online] 183(1), pp.255–288. </w:t>
      </w:r>
      <w:proofErr w:type="spellStart"/>
      <w:r>
        <w:t>doi</w:t>
      </w:r>
      <w:proofErr w:type="spellEnd"/>
      <w:r w:rsidRPr="009146B3">
        <w:t xml:space="preserve">: </w:t>
      </w:r>
      <w:hyperlink r:id="rId21" w:history="1">
        <w:r w:rsidRPr="009146B3">
          <w:rPr>
            <w:rStyle w:val="Hyperlink"/>
          </w:rPr>
          <w:t>https://ideas.repec.org/a/kap/jbuset/v183y2023i1d10.1007_s10551-021-05025-6.html</w:t>
        </w:r>
      </w:hyperlink>
      <w:r w:rsidRPr="009146B3">
        <w:t>.</w:t>
      </w:r>
      <w:r>
        <w:t xml:space="preserve"> </w:t>
      </w:r>
    </w:p>
    <w:p w14:paraId="66A9627F" w14:textId="139CD9F3" w:rsidR="009146B3" w:rsidRPr="009146B3" w:rsidRDefault="009146B3" w:rsidP="009146B3">
      <w:pPr>
        <w:spacing w:line="360" w:lineRule="auto"/>
      </w:pPr>
      <w:r w:rsidRPr="009146B3">
        <w:t xml:space="preserve">Dai, H., Li, N., Wang, Y. and Zhao, X. (2022). </w:t>
      </w:r>
      <w:r w:rsidRPr="009146B3">
        <w:rPr>
          <w:i/>
          <w:iCs/>
        </w:rPr>
        <w:t>The Analysis of Three Main Investment Criteria: NPV IRR and Payback Period</w:t>
      </w:r>
      <w:r w:rsidRPr="009146B3">
        <w:t xml:space="preserve">. [online] Advances in Economics, Business and Management Research. </w:t>
      </w:r>
      <w:proofErr w:type="spellStart"/>
      <w:r w:rsidRPr="009146B3">
        <w:t>doi</w:t>
      </w:r>
      <w:proofErr w:type="spellEnd"/>
      <w:r w:rsidRPr="009146B3">
        <w:t>:</w:t>
      </w:r>
      <w:r>
        <w:t xml:space="preserve"> </w:t>
      </w:r>
      <w:hyperlink r:id="rId22" w:history="1">
        <w:r w:rsidRPr="009146B3">
          <w:rPr>
            <w:rStyle w:val="Hyperlink"/>
          </w:rPr>
          <w:t>https://doi.org/10.2991/aebmr.k.220307.028</w:t>
        </w:r>
      </w:hyperlink>
      <w:r w:rsidRPr="009146B3">
        <w:t>.</w:t>
      </w:r>
      <w:r>
        <w:t xml:space="preserve"> </w:t>
      </w:r>
    </w:p>
    <w:p w14:paraId="0B3499F3" w14:textId="63937743" w:rsidR="009146B3" w:rsidRPr="009146B3" w:rsidRDefault="009146B3" w:rsidP="009146B3">
      <w:pPr>
        <w:spacing w:line="360" w:lineRule="auto"/>
      </w:pPr>
      <w:r w:rsidRPr="009146B3">
        <w:t xml:space="preserve">Fadillah, I.R., Nadiyah, N., </w:t>
      </w:r>
      <w:proofErr w:type="spellStart"/>
      <w:r w:rsidRPr="009146B3">
        <w:t>Rohmah</w:t>
      </w:r>
      <w:proofErr w:type="spellEnd"/>
      <w:r w:rsidRPr="009146B3">
        <w:t xml:space="preserve">, L., Haryadi, D. and Wahyudi, W. (2024). Profitability ratio analysis to assess the financial performance. </w:t>
      </w:r>
      <w:r w:rsidRPr="009146B3">
        <w:rPr>
          <w:i/>
          <w:iCs/>
        </w:rPr>
        <w:t>International Journal of Applied Finance and Business Studies</w:t>
      </w:r>
      <w:r w:rsidRPr="009146B3">
        <w:t xml:space="preserve">, [online] 11(4), pp.964–969. </w:t>
      </w:r>
      <w:proofErr w:type="spellStart"/>
      <w:r w:rsidRPr="009146B3">
        <w:t>doi</w:t>
      </w:r>
      <w:proofErr w:type="spellEnd"/>
      <w:r w:rsidRPr="009146B3">
        <w:t>:</w:t>
      </w:r>
      <w:r>
        <w:t xml:space="preserve"> </w:t>
      </w:r>
      <w:hyperlink r:id="rId23" w:history="1">
        <w:r w:rsidRPr="009146B3">
          <w:rPr>
            <w:rStyle w:val="Hyperlink"/>
          </w:rPr>
          <w:t>https://doi.org/10.35335/ijafibs.v11i4.243</w:t>
        </w:r>
      </w:hyperlink>
      <w:r w:rsidRPr="009146B3">
        <w:t>.</w:t>
      </w:r>
      <w:r>
        <w:t xml:space="preserve"> </w:t>
      </w:r>
    </w:p>
    <w:p w14:paraId="7C02C3C2" w14:textId="5F46FB91" w:rsidR="009146B3" w:rsidRPr="009146B3" w:rsidRDefault="009146B3" w:rsidP="009146B3">
      <w:pPr>
        <w:spacing w:line="360" w:lineRule="auto"/>
      </w:pPr>
      <w:r w:rsidRPr="009146B3">
        <w:t xml:space="preserve">Fang, Y. (2024). Investigating the Impact of Business, Financial, and Debt Restructuring on Enterprises. </w:t>
      </w:r>
      <w:r w:rsidRPr="009146B3">
        <w:rPr>
          <w:i/>
          <w:iCs/>
        </w:rPr>
        <w:t>Advances in Economics, Management and Political Sciences</w:t>
      </w:r>
      <w:r w:rsidRPr="009146B3">
        <w:t xml:space="preserve">, [online] 71, pp.292–298. </w:t>
      </w:r>
      <w:proofErr w:type="spellStart"/>
      <w:r w:rsidRPr="009146B3">
        <w:t>doi</w:t>
      </w:r>
      <w:proofErr w:type="spellEnd"/>
      <w:r w:rsidRPr="009146B3">
        <w:t>:</w:t>
      </w:r>
      <w:r>
        <w:t xml:space="preserve"> </w:t>
      </w:r>
      <w:hyperlink r:id="rId24" w:history="1">
        <w:r w:rsidRPr="009146B3">
          <w:rPr>
            <w:rStyle w:val="Hyperlink"/>
          </w:rPr>
          <w:t>https://doi.org/10.54254/2754-1169/71/20241527</w:t>
        </w:r>
      </w:hyperlink>
      <w:r w:rsidRPr="009146B3">
        <w:t>.</w:t>
      </w:r>
      <w:r>
        <w:t xml:space="preserve"> </w:t>
      </w:r>
    </w:p>
    <w:p w14:paraId="111CEA6E" w14:textId="4A06F7BC" w:rsidR="009146B3" w:rsidRPr="009146B3" w:rsidRDefault="009146B3" w:rsidP="009146B3">
      <w:pPr>
        <w:spacing w:line="360" w:lineRule="auto"/>
      </w:pPr>
      <w:r w:rsidRPr="009146B3">
        <w:lastRenderedPageBreak/>
        <w:t xml:space="preserve">Hempel, S., Li, Y. and Tibay, S. (2024). Firms’ financing choice between short-term and long-term debts: Are they substitutes? </w:t>
      </w:r>
      <w:r w:rsidRPr="009146B3">
        <w:rPr>
          <w:i/>
          <w:iCs/>
        </w:rPr>
        <w:t>www.federalreserve.gov</w:t>
      </w:r>
      <w:r w:rsidRPr="009146B3">
        <w:t xml:space="preserve">. [online] </w:t>
      </w:r>
      <w:proofErr w:type="spellStart"/>
      <w:r>
        <w:t>doi</w:t>
      </w:r>
      <w:proofErr w:type="spellEnd"/>
      <w:r w:rsidRPr="009146B3">
        <w:t xml:space="preserve">: </w:t>
      </w:r>
      <w:hyperlink r:id="rId25" w:history="1">
        <w:r w:rsidRPr="009146B3">
          <w:rPr>
            <w:rStyle w:val="Hyperlink"/>
          </w:rPr>
          <w:t>https://www.federalreserve.gov/econres/notes/feds-notes/firms-financing-choice-between-short-term-and-long-term-debts-are-they-substitutes-20240503.html</w:t>
        </w:r>
      </w:hyperlink>
      <w:r w:rsidRPr="009146B3">
        <w:t>.</w:t>
      </w:r>
      <w:r>
        <w:t xml:space="preserve"> </w:t>
      </w:r>
    </w:p>
    <w:p w14:paraId="1D5A48AB" w14:textId="5F4A435C" w:rsidR="009146B3" w:rsidRPr="009146B3" w:rsidRDefault="009146B3" w:rsidP="009146B3">
      <w:pPr>
        <w:spacing w:line="360" w:lineRule="auto"/>
      </w:pPr>
      <w:r w:rsidRPr="009146B3">
        <w:t xml:space="preserve">Kinyua, F. and Kihara, A. (2021). INFLUENCE OF ORGANIZATION RESTRUCTURING ON PERFORMANCE OF SELECTED MEDIA FIRMS IN KENYA. </w:t>
      </w:r>
      <w:r w:rsidRPr="009146B3">
        <w:rPr>
          <w:i/>
          <w:iCs/>
        </w:rPr>
        <w:t>Journal of Business and Strategic Management</w:t>
      </w:r>
      <w:r w:rsidRPr="009146B3">
        <w:t xml:space="preserve">, 6(3), pp.82–101. </w:t>
      </w:r>
      <w:proofErr w:type="spellStart"/>
      <w:r w:rsidRPr="009146B3">
        <w:t>doi</w:t>
      </w:r>
      <w:proofErr w:type="spellEnd"/>
      <w:r w:rsidRPr="009146B3">
        <w:t>:</w:t>
      </w:r>
      <w:r>
        <w:t xml:space="preserve"> </w:t>
      </w:r>
      <w:hyperlink r:id="rId26" w:history="1">
        <w:r w:rsidRPr="009146B3">
          <w:rPr>
            <w:rStyle w:val="Hyperlink"/>
          </w:rPr>
          <w:t>https://doi.org/10.47941/jbsm.714</w:t>
        </w:r>
      </w:hyperlink>
      <w:r w:rsidRPr="009146B3">
        <w:t>.</w:t>
      </w:r>
      <w:r>
        <w:t xml:space="preserve"> </w:t>
      </w:r>
    </w:p>
    <w:p w14:paraId="2BA27F45" w14:textId="166FC0AD" w:rsidR="009146B3" w:rsidRPr="009146B3" w:rsidRDefault="009146B3" w:rsidP="009146B3">
      <w:pPr>
        <w:spacing w:line="360" w:lineRule="auto"/>
      </w:pPr>
      <w:proofErr w:type="spellStart"/>
      <w:r w:rsidRPr="009146B3">
        <w:t>Kontuš</w:t>
      </w:r>
      <w:proofErr w:type="spellEnd"/>
      <w:r w:rsidRPr="009146B3">
        <w:t xml:space="preserve">, E., </w:t>
      </w:r>
      <w:proofErr w:type="spellStart"/>
      <w:r w:rsidRPr="009146B3">
        <w:t>Šorić</w:t>
      </w:r>
      <w:proofErr w:type="spellEnd"/>
      <w:r w:rsidRPr="009146B3">
        <w:t xml:space="preserve">, K. and </w:t>
      </w:r>
      <w:proofErr w:type="spellStart"/>
      <w:r w:rsidRPr="009146B3">
        <w:t>Šarlija</w:t>
      </w:r>
      <w:proofErr w:type="spellEnd"/>
      <w:r w:rsidRPr="009146B3">
        <w:t xml:space="preserve">, N. (2022). Capital structure optimization: a model of optimal capital structure from the aspect of capital cost and corporate value. </w:t>
      </w:r>
      <w:r w:rsidRPr="009146B3">
        <w:rPr>
          <w:i/>
          <w:iCs/>
        </w:rPr>
        <w:t>Economic Research-</w:t>
      </w:r>
      <w:proofErr w:type="spellStart"/>
      <w:r w:rsidRPr="009146B3">
        <w:rPr>
          <w:i/>
          <w:iCs/>
        </w:rPr>
        <w:t>Ekonomska</w:t>
      </w:r>
      <w:proofErr w:type="spellEnd"/>
      <w:r w:rsidRPr="009146B3">
        <w:rPr>
          <w:i/>
          <w:iCs/>
        </w:rPr>
        <w:t xml:space="preserve"> </w:t>
      </w:r>
      <w:proofErr w:type="spellStart"/>
      <w:r w:rsidRPr="009146B3">
        <w:rPr>
          <w:i/>
          <w:iCs/>
        </w:rPr>
        <w:t>Istraživanja</w:t>
      </w:r>
      <w:proofErr w:type="spellEnd"/>
      <w:r w:rsidRPr="009146B3">
        <w:t xml:space="preserve">, [online] 36(2), pp.1–20. </w:t>
      </w:r>
      <w:proofErr w:type="spellStart"/>
      <w:r w:rsidRPr="009146B3">
        <w:t>doi</w:t>
      </w:r>
      <w:proofErr w:type="spellEnd"/>
      <w:r w:rsidRPr="009146B3">
        <w:t>:</w:t>
      </w:r>
      <w:r>
        <w:t xml:space="preserve"> </w:t>
      </w:r>
      <w:hyperlink r:id="rId27" w:history="1">
        <w:r w:rsidRPr="009146B3">
          <w:rPr>
            <w:rStyle w:val="Hyperlink"/>
          </w:rPr>
          <w:t>https://doi.org/10.1080/1331677x.2022.2147565</w:t>
        </w:r>
      </w:hyperlink>
      <w:r w:rsidRPr="009146B3">
        <w:t>.</w:t>
      </w:r>
      <w:r>
        <w:t xml:space="preserve"> </w:t>
      </w:r>
    </w:p>
    <w:p w14:paraId="13F947EB" w14:textId="62AA5244" w:rsidR="009146B3" w:rsidRPr="009146B3" w:rsidRDefault="009146B3" w:rsidP="009146B3">
      <w:pPr>
        <w:spacing w:line="360" w:lineRule="auto"/>
      </w:pPr>
      <w:r w:rsidRPr="009146B3">
        <w:t xml:space="preserve">Li, K. (2023). Liquidity ratios and corporate failures. </w:t>
      </w:r>
      <w:r w:rsidRPr="009146B3">
        <w:rPr>
          <w:i/>
          <w:iCs/>
        </w:rPr>
        <w:t>Accounting and finance</w:t>
      </w:r>
      <w:r w:rsidRPr="009146B3">
        <w:t xml:space="preserve">, [online] 64(1). </w:t>
      </w:r>
      <w:proofErr w:type="spellStart"/>
      <w:r>
        <w:t>doi</w:t>
      </w:r>
      <w:proofErr w:type="spellEnd"/>
      <w:r w:rsidRPr="009146B3">
        <w:t xml:space="preserve">: </w:t>
      </w:r>
      <w:hyperlink r:id="rId28" w:history="1">
        <w:r w:rsidRPr="009146B3">
          <w:rPr>
            <w:rStyle w:val="Hyperlink"/>
          </w:rPr>
          <w:t>https://onlinelibrary.wiley.com/doi/full/10.1111/acfi.13174</w:t>
        </w:r>
      </w:hyperlink>
      <w:r w:rsidRPr="009146B3">
        <w:t>.</w:t>
      </w:r>
      <w:r>
        <w:t xml:space="preserve"> </w:t>
      </w:r>
    </w:p>
    <w:p w14:paraId="5D48D1A5" w14:textId="0661A054" w:rsidR="009146B3" w:rsidRPr="009146B3" w:rsidRDefault="009146B3" w:rsidP="009146B3">
      <w:pPr>
        <w:spacing w:line="360" w:lineRule="auto"/>
      </w:pPr>
      <w:r w:rsidRPr="009146B3">
        <w:t xml:space="preserve">Lohmann, J.R. and Baksh, SHARIFFN.N. (1993). THE </w:t>
      </w:r>
      <w:proofErr w:type="gramStart"/>
      <w:r w:rsidRPr="009146B3">
        <w:t>IRR,NPV</w:t>
      </w:r>
      <w:proofErr w:type="gramEnd"/>
      <w:r w:rsidRPr="009146B3">
        <w:t xml:space="preserve"> AND PAYBACK PERIOD AND THEIR RELATIVE PERFORMANCE IN COMMON CAPITIAL BUDGETING DECISION PROCEDURES FOR DEALING WITH RISK. </w:t>
      </w:r>
      <w:r w:rsidRPr="009146B3">
        <w:rPr>
          <w:i/>
          <w:iCs/>
        </w:rPr>
        <w:t>The Engineering Economist</w:t>
      </w:r>
      <w:r w:rsidRPr="009146B3">
        <w:t xml:space="preserve">, [online] 39(1), pp.17–47. </w:t>
      </w:r>
      <w:proofErr w:type="spellStart"/>
      <w:r w:rsidRPr="009146B3">
        <w:t>doi</w:t>
      </w:r>
      <w:proofErr w:type="spellEnd"/>
      <w:r w:rsidRPr="009146B3">
        <w:t>:</w:t>
      </w:r>
      <w:r>
        <w:t xml:space="preserve"> </w:t>
      </w:r>
      <w:hyperlink r:id="rId29" w:history="1">
        <w:r w:rsidRPr="009146B3">
          <w:rPr>
            <w:rStyle w:val="Hyperlink"/>
          </w:rPr>
          <w:t>https://doi.org/10.1080/00137919308903111</w:t>
        </w:r>
      </w:hyperlink>
      <w:r w:rsidRPr="009146B3">
        <w:t>.</w:t>
      </w:r>
      <w:r>
        <w:t xml:space="preserve"> </w:t>
      </w:r>
    </w:p>
    <w:p w14:paraId="4D9F8786" w14:textId="16830F23" w:rsidR="009146B3" w:rsidRPr="009146B3" w:rsidRDefault="009146B3" w:rsidP="009146B3">
      <w:pPr>
        <w:spacing w:line="360" w:lineRule="auto"/>
      </w:pPr>
      <w:r w:rsidRPr="009146B3">
        <w:t xml:space="preserve">Mengstie, B., </w:t>
      </w:r>
      <w:proofErr w:type="spellStart"/>
      <w:r w:rsidRPr="009146B3">
        <w:t>Mosisa</w:t>
      </w:r>
      <w:proofErr w:type="spellEnd"/>
      <w:r w:rsidRPr="009146B3">
        <w:t xml:space="preserve">, T. and </w:t>
      </w:r>
      <w:proofErr w:type="spellStart"/>
      <w:r w:rsidRPr="009146B3">
        <w:t>Mosisa</w:t>
      </w:r>
      <w:proofErr w:type="spellEnd"/>
      <w:r w:rsidRPr="009146B3">
        <w:t xml:space="preserve">, T. (2024). Impact of working capital management on profitability of private commercial banks in Ethiopia. </w:t>
      </w:r>
      <w:r w:rsidRPr="009146B3">
        <w:rPr>
          <w:i/>
          <w:iCs/>
        </w:rPr>
        <w:t>Journal of innovation and entrepreneurship</w:t>
      </w:r>
      <w:r w:rsidRPr="009146B3">
        <w:t xml:space="preserve">, 13(1). </w:t>
      </w:r>
      <w:proofErr w:type="spellStart"/>
      <w:r w:rsidRPr="009146B3">
        <w:t>doi</w:t>
      </w:r>
      <w:proofErr w:type="spellEnd"/>
      <w:r w:rsidRPr="009146B3">
        <w:t>:</w:t>
      </w:r>
      <w:r>
        <w:t xml:space="preserve"> </w:t>
      </w:r>
      <w:hyperlink r:id="rId30" w:history="1">
        <w:r w:rsidRPr="009146B3">
          <w:rPr>
            <w:rStyle w:val="Hyperlink"/>
          </w:rPr>
          <w:t>https://doi.org/10.1186/s13731-024-00379-3</w:t>
        </w:r>
      </w:hyperlink>
      <w:r w:rsidRPr="009146B3">
        <w:t>.</w:t>
      </w:r>
      <w:r>
        <w:t xml:space="preserve"> </w:t>
      </w:r>
    </w:p>
    <w:p w14:paraId="7C1EFEAF" w14:textId="6F440CA9" w:rsidR="009146B3" w:rsidRPr="009146B3" w:rsidRDefault="009146B3" w:rsidP="009146B3">
      <w:pPr>
        <w:spacing w:line="360" w:lineRule="auto"/>
      </w:pPr>
      <w:r w:rsidRPr="009146B3">
        <w:t xml:space="preserve">Rashid, N., Ismail, W.N.S.W., Rahman, M.S.A. and </w:t>
      </w:r>
      <w:proofErr w:type="spellStart"/>
      <w:r w:rsidRPr="009146B3">
        <w:t>Afthanorhan</w:t>
      </w:r>
      <w:proofErr w:type="spellEnd"/>
      <w:r w:rsidRPr="009146B3">
        <w:t xml:space="preserve">, A. (2018). Conceptual Analysis on Performance Measurement Used in SMEs Research: The Effectiveness of Firm’s Overall Performance. </w:t>
      </w:r>
      <w:r w:rsidRPr="009146B3">
        <w:rPr>
          <w:i/>
          <w:iCs/>
        </w:rPr>
        <w:t>International Journal of Academic Research in Business and Social Sciences</w:t>
      </w:r>
      <w:r w:rsidRPr="009146B3">
        <w:t xml:space="preserve">, 8(11). </w:t>
      </w:r>
      <w:proofErr w:type="spellStart"/>
      <w:r w:rsidRPr="009146B3">
        <w:t>doi</w:t>
      </w:r>
      <w:proofErr w:type="spellEnd"/>
      <w:r w:rsidRPr="009146B3">
        <w:t>:</w:t>
      </w:r>
      <w:r>
        <w:t xml:space="preserve"> </w:t>
      </w:r>
      <w:hyperlink r:id="rId31" w:history="1">
        <w:r w:rsidRPr="009146B3">
          <w:rPr>
            <w:rStyle w:val="Hyperlink"/>
          </w:rPr>
          <w:t>https://doi.org/10.6007/ijarbss/v8-i11/5199</w:t>
        </w:r>
      </w:hyperlink>
      <w:r w:rsidRPr="009146B3">
        <w:t>.</w:t>
      </w:r>
      <w:r>
        <w:t xml:space="preserve"> </w:t>
      </w:r>
    </w:p>
    <w:p w14:paraId="4C1D8C10" w14:textId="38A9D33B" w:rsidR="009146B3" w:rsidRPr="009146B3" w:rsidRDefault="009146B3" w:rsidP="009146B3">
      <w:pPr>
        <w:spacing w:line="360" w:lineRule="auto"/>
      </w:pPr>
      <w:r w:rsidRPr="009146B3">
        <w:t xml:space="preserve">Schweizer, L. and Nienhaus, A. (2017). Corporate distress and turnaround: integrating the literature and directing future research. </w:t>
      </w:r>
      <w:r w:rsidRPr="009146B3">
        <w:rPr>
          <w:i/>
          <w:iCs/>
        </w:rPr>
        <w:t>Business Research</w:t>
      </w:r>
      <w:r w:rsidRPr="009146B3">
        <w:t xml:space="preserve">, 10(1), pp.3–47. </w:t>
      </w:r>
      <w:proofErr w:type="spellStart"/>
      <w:r w:rsidRPr="009146B3">
        <w:t>doi</w:t>
      </w:r>
      <w:proofErr w:type="spellEnd"/>
      <w:r w:rsidRPr="009146B3">
        <w:t>:</w:t>
      </w:r>
      <w:r>
        <w:t xml:space="preserve"> </w:t>
      </w:r>
      <w:hyperlink r:id="rId32" w:history="1">
        <w:r w:rsidRPr="009146B3">
          <w:rPr>
            <w:rStyle w:val="Hyperlink"/>
          </w:rPr>
          <w:t>https://doi.org/10.1007/s40685-016-0041-8</w:t>
        </w:r>
      </w:hyperlink>
      <w:r w:rsidRPr="009146B3">
        <w:t>.</w:t>
      </w:r>
      <w:r>
        <w:t xml:space="preserve"> </w:t>
      </w:r>
    </w:p>
    <w:p w14:paraId="249331D5" w14:textId="1226065A" w:rsidR="009146B3" w:rsidRPr="009146B3" w:rsidRDefault="009146B3" w:rsidP="009146B3">
      <w:pPr>
        <w:spacing w:line="360" w:lineRule="auto"/>
      </w:pPr>
      <w:r w:rsidRPr="009146B3">
        <w:lastRenderedPageBreak/>
        <w:t xml:space="preserve">Sinaga, A., Mediatrix, M., </w:t>
      </w:r>
      <w:proofErr w:type="spellStart"/>
      <w:r w:rsidRPr="009146B3">
        <w:t>Hutasuhut</w:t>
      </w:r>
      <w:proofErr w:type="spellEnd"/>
      <w:r w:rsidRPr="009146B3">
        <w:t xml:space="preserve">, N.A.A., Zahara, T., Amanda, N.A., Fitri, A. and Muhammad, N. (2023). Comparison of capital budgeting methods: NPV, IRR, PAYBACK PERIOD. </w:t>
      </w:r>
      <w:r w:rsidRPr="009146B3">
        <w:rPr>
          <w:i/>
          <w:iCs/>
        </w:rPr>
        <w:t xml:space="preserve">World Journal </w:t>
      </w:r>
      <w:proofErr w:type="gramStart"/>
      <w:r w:rsidRPr="009146B3">
        <w:rPr>
          <w:i/>
          <w:iCs/>
        </w:rPr>
        <w:t>Of</w:t>
      </w:r>
      <w:proofErr w:type="gramEnd"/>
      <w:r w:rsidRPr="009146B3">
        <w:rPr>
          <w:i/>
          <w:iCs/>
        </w:rPr>
        <w:t xml:space="preserve"> Advanced Research and Reviews</w:t>
      </w:r>
      <w:r w:rsidRPr="009146B3">
        <w:t xml:space="preserve">, 19(2), pp.1078–1081. </w:t>
      </w:r>
      <w:proofErr w:type="spellStart"/>
      <w:r w:rsidRPr="009146B3">
        <w:t>doi</w:t>
      </w:r>
      <w:proofErr w:type="spellEnd"/>
      <w:r w:rsidRPr="009146B3">
        <w:t>:</w:t>
      </w:r>
      <w:r>
        <w:t xml:space="preserve"> </w:t>
      </w:r>
      <w:hyperlink r:id="rId33" w:history="1">
        <w:r w:rsidRPr="009146B3">
          <w:rPr>
            <w:rStyle w:val="Hyperlink"/>
          </w:rPr>
          <w:t>https://doi.org/10.30574/wjarr.2023.19.2.1483</w:t>
        </w:r>
      </w:hyperlink>
      <w:r w:rsidRPr="009146B3">
        <w:t>.</w:t>
      </w:r>
      <w:r>
        <w:t xml:space="preserve"> </w:t>
      </w:r>
    </w:p>
    <w:p w14:paraId="3DEB810F" w14:textId="5609888A" w:rsidR="009146B3" w:rsidRPr="009146B3" w:rsidRDefault="009146B3" w:rsidP="009146B3">
      <w:pPr>
        <w:spacing w:line="360" w:lineRule="auto"/>
      </w:pPr>
      <w:r w:rsidRPr="009146B3">
        <w:t xml:space="preserve">Tang, P., Liu, X., Hong, Y. and Yang, S. (2022). Moving beyond economic criteria: Exploring the social impact of green innovation from the stakeholder management perspective. </w:t>
      </w:r>
      <w:r w:rsidRPr="009146B3">
        <w:rPr>
          <w:i/>
          <w:iCs/>
        </w:rPr>
        <w:t>Corporate Social Responsibility and Environmental Management</w:t>
      </w:r>
      <w:r w:rsidRPr="009146B3">
        <w:t xml:space="preserve">. </w:t>
      </w:r>
      <w:proofErr w:type="spellStart"/>
      <w:r w:rsidRPr="009146B3">
        <w:t>doi</w:t>
      </w:r>
      <w:proofErr w:type="spellEnd"/>
      <w:r w:rsidRPr="009146B3">
        <w:t>:</w:t>
      </w:r>
      <w:r>
        <w:t xml:space="preserve"> </w:t>
      </w:r>
      <w:hyperlink r:id="rId34" w:history="1">
        <w:r w:rsidRPr="009146B3">
          <w:rPr>
            <w:rStyle w:val="Hyperlink"/>
          </w:rPr>
          <w:t>https://doi.org/10.1002/csr.2401</w:t>
        </w:r>
      </w:hyperlink>
      <w:r w:rsidRPr="009146B3">
        <w:t>.</w:t>
      </w:r>
      <w:r>
        <w:t xml:space="preserve"> </w:t>
      </w:r>
    </w:p>
    <w:p w14:paraId="0EC2FDA2" w14:textId="5EF23318" w:rsidR="009146B3" w:rsidRPr="009146B3" w:rsidRDefault="009146B3" w:rsidP="009146B3">
      <w:pPr>
        <w:spacing w:line="360" w:lineRule="auto"/>
      </w:pPr>
      <w:r w:rsidRPr="009146B3">
        <w:t xml:space="preserve">Umar, M.A. (2023). Corporate Restructuring. </w:t>
      </w:r>
      <w:r w:rsidRPr="009146B3">
        <w:rPr>
          <w:i/>
          <w:iCs/>
        </w:rPr>
        <w:t>International Journal of Strategic Decision Sciences</w:t>
      </w:r>
      <w:r w:rsidRPr="009146B3">
        <w:t xml:space="preserve">, [online] 14(1), pp.1–11. </w:t>
      </w:r>
      <w:proofErr w:type="spellStart"/>
      <w:r w:rsidRPr="009146B3">
        <w:t>doi</w:t>
      </w:r>
      <w:proofErr w:type="spellEnd"/>
      <w:r w:rsidRPr="009146B3">
        <w:t>:</w:t>
      </w:r>
      <w:r>
        <w:t xml:space="preserve"> </w:t>
      </w:r>
      <w:hyperlink r:id="rId35" w:history="1">
        <w:r w:rsidRPr="009146B3">
          <w:rPr>
            <w:rStyle w:val="Hyperlink"/>
          </w:rPr>
          <w:t>https://doi.org/10.4018/ijsds.319974</w:t>
        </w:r>
      </w:hyperlink>
      <w:r w:rsidRPr="009146B3">
        <w:t>.</w:t>
      </w:r>
      <w:r>
        <w:t xml:space="preserve"> </w:t>
      </w:r>
    </w:p>
    <w:p w14:paraId="6988F9E1" w14:textId="0FB08DCB" w:rsidR="009146B3" w:rsidRPr="009146B3" w:rsidRDefault="009146B3" w:rsidP="009146B3">
      <w:pPr>
        <w:spacing w:line="360" w:lineRule="auto"/>
      </w:pPr>
      <w:r w:rsidRPr="009146B3">
        <w:t xml:space="preserve">Xuan, T., Thu, T. and Nguyen, C.V. (2025). The impact of working capital management on the financial performance of listed enterprises: </w:t>
      </w:r>
      <w:proofErr w:type="gramStart"/>
      <w:r w:rsidRPr="009146B3">
        <w:t>an empirical evidence</w:t>
      </w:r>
      <w:proofErr w:type="gramEnd"/>
      <w:r w:rsidRPr="009146B3">
        <w:t xml:space="preserve"> from Vietnam. </w:t>
      </w:r>
      <w:r w:rsidRPr="009146B3">
        <w:rPr>
          <w:i/>
          <w:iCs/>
        </w:rPr>
        <w:t>Cogent Business &amp; Management</w:t>
      </w:r>
      <w:r w:rsidRPr="009146B3">
        <w:t xml:space="preserve">, [online] 12(1). </w:t>
      </w:r>
      <w:proofErr w:type="spellStart"/>
      <w:r w:rsidRPr="009146B3">
        <w:t>doi</w:t>
      </w:r>
      <w:proofErr w:type="spellEnd"/>
      <w:r w:rsidRPr="009146B3">
        <w:t>:</w:t>
      </w:r>
      <w:r>
        <w:t xml:space="preserve"> </w:t>
      </w:r>
      <w:hyperlink r:id="rId36" w:history="1">
        <w:r w:rsidRPr="009146B3">
          <w:rPr>
            <w:rStyle w:val="Hyperlink"/>
          </w:rPr>
          <w:t>https://doi.org/10.1080/23311975.2025.2473033</w:t>
        </w:r>
      </w:hyperlink>
      <w:r w:rsidRPr="009146B3">
        <w:t>.</w:t>
      </w:r>
      <w:r>
        <w:t xml:space="preserve"> </w:t>
      </w:r>
    </w:p>
    <w:p w14:paraId="46E71843" w14:textId="41D94ED2" w:rsidR="009146B3" w:rsidRPr="009146B3" w:rsidRDefault="009146B3" w:rsidP="009146B3">
      <w:pPr>
        <w:spacing w:line="360" w:lineRule="auto"/>
      </w:pPr>
      <w:r w:rsidRPr="009146B3">
        <w:t xml:space="preserve">Zeidan, R. and </w:t>
      </w:r>
      <w:proofErr w:type="spellStart"/>
      <w:r w:rsidRPr="009146B3">
        <w:t>Shapir</w:t>
      </w:r>
      <w:proofErr w:type="spellEnd"/>
      <w:r w:rsidRPr="009146B3">
        <w:t xml:space="preserve">, O.M. (2017). Cash conversion cycle and value-enhancing operations: Theory and evidence for a free lunch. </w:t>
      </w:r>
      <w:r w:rsidRPr="009146B3">
        <w:rPr>
          <w:i/>
          <w:iCs/>
        </w:rPr>
        <w:t>Journal of Corporate Finance</w:t>
      </w:r>
      <w:r w:rsidRPr="009146B3">
        <w:t xml:space="preserve">, [online] 45, pp.203–219. </w:t>
      </w:r>
      <w:proofErr w:type="spellStart"/>
      <w:r w:rsidRPr="009146B3">
        <w:t>doi</w:t>
      </w:r>
      <w:proofErr w:type="spellEnd"/>
      <w:r w:rsidRPr="009146B3">
        <w:t>:</w:t>
      </w:r>
      <w:r>
        <w:t xml:space="preserve"> </w:t>
      </w:r>
      <w:hyperlink r:id="rId37" w:history="1">
        <w:r w:rsidRPr="009146B3">
          <w:rPr>
            <w:rStyle w:val="Hyperlink"/>
          </w:rPr>
          <w:t>https://doi.org/10.1016/j.jcorpfin.2017.04.014</w:t>
        </w:r>
      </w:hyperlink>
      <w:r w:rsidRPr="009146B3">
        <w:t>.</w:t>
      </w:r>
      <w:r>
        <w:t xml:space="preserve"> </w:t>
      </w:r>
    </w:p>
    <w:p w14:paraId="3BCBBDE3" w14:textId="53FD2C07" w:rsidR="009146B3" w:rsidRDefault="009146B3">
      <w:pPr>
        <w:spacing w:after="160" w:line="278" w:lineRule="auto"/>
        <w:jc w:val="left"/>
      </w:pPr>
      <w:r>
        <w:br w:type="page"/>
      </w:r>
    </w:p>
    <w:p w14:paraId="328EEC80" w14:textId="3A99DA22" w:rsidR="009146B3" w:rsidRDefault="009146B3" w:rsidP="009146B3">
      <w:pPr>
        <w:pStyle w:val="Heading1"/>
      </w:pPr>
      <w:bookmarkStart w:id="31" w:name="_Toc213234361"/>
      <w:r>
        <w:lastRenderedPageBreak/>
        <w:t>Appendix</w:t>
      </w:r>
      <w:bookmarkEnd w:id="31"/>
    </w:p>
    <w:p w14:paraId="5979DB04" w14:textId="0D2EC133" w:rsidR="009146B3" w:rsidRDefault="009146B3" w:rsidP="009146B3">
      <w:r w:rsidRPr="009146B3">
        <w:rPr>
          <w:noProof/>
        </w:rPr>
        <w:drawing>
          <wp:inline distT="0" distB="0" distL="0" distR="0" wp14:anchorId="382BFB9B" wp14:editId="1312CCA9">
            <wp:extent cx="5943600" cy="2709545"/>
            <wp:effectExtent l="0" t="0" r="0" b="0"/>
            <wp:docPr id="906716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709545"/>
                    </a:xfrm>
                    <a:prstGeom prst="rect">
                      <a:avLst/>
                    </a:prstGeom>
                    <a:noFill/>
                    <a:ln>
                      <a:noFill/>
                    </a:ln>
                  </pic:spPr>
                </pic:pic>
              </a:graphicData>
            </a:graphic>
          </wp:inline>
        </w:drawing>
      </w:r>
    </w:p>
    <w:p w14:paraId="2BFE4E26" w14:textId="2E7D5FC1" w:rsidR="009146B3" w:rsidRDefault="009146B3" w:rsidP="009146B3">
      <w:r w:rsidRPr="009146B3">
        <w:rPr>
          <w:noProof/>
        </w:rPr>
        <w:drawing>
          <wp:inline distT="0" distB="0" distL="0" distR="0" wp14:anchorId="14966124" wp14:editId="2FB2E649">
            <wp:extent cx="5943600" cy="2145665"/>
            <wp:effectExtent l="0" t="0" r="0" b="6985"/>
            <wp:docPr id="297856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2145665"/>
                    </a:xfrm>
                    <a:prstGeom prst="rect">
                      <a:avLst/>
                    </a:prstGeom>
                    <a:noFill/>
                    <a:ln>
                      <a:noFill/>
                    </a:ln>
                  </pic:spPr>
                </pic:pic>
              </a:graphicData>
            </a:graphic>
          </wp:inline>
        </w:drawing>
      </w:r>
    </w:p>
    <w:p w14:paraId="18032102" w14:textId="5476269D" w:rsidR="009146B3" w:rsidRDefault="009146B3" w:rsidP="009146B3">
      <w:r w:rsidRPr="009146B3">
        <w:rPr>
          <w:noProof/>
        </w:rPr>
        <w:lastRenderedPageBreak/>
        <w:drawing>
          <wp:inline distT="0" distB="0" distL="0" distR="0" wp14:anchorId="00DA9E11" wp14:editId="5294AC80">
            <wp:extent cx="5943600" cy="2999740"/>
            <wp:effectExtent l="0" t="0" r="0" b="0"/>
            <wp:docPr id="18665496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2999740"/>
                    </a:xfrm>
                    <a:prstGeom prst="rect">
                      <a:avLst/>
                    </a:prstGeom>
                    <a:noFill/>
                    <a:ln>
                      <a:noFill/>
                    </a:ln>
                  </pic:spPr>
                </pic:pic>
              </a:graphicData>
            </a:graphic>
          </wp:inline>
        </w:drawing>
      </w:r>
    </w:p>
    <w:p w14:paraId="25BD829B" w14:textId="5D4FE4FC" w:rsidR="009146B3" w:rsidRDefault="009146B3" w:rsidP="009146B3">
      <w:r w:rsidRPr="009146B3">
        <w:rPr>
          <w:noProof/>
        </w:rPr>
        <w:drawing>
          <wp:inline distT="0" distB="0" distL="0" distR="0" wp14:anchorId="5B1AFB02" wp14:editId="6C36D6C1">
            <wp:extent cx="5943600" cy="4784725"/>
            <wp:effectExtent l="0" t="0" r="0" b="0"/>
            <wp:docPr id="12712678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4784725"/>
                    </a:xfrm>
                    <a:prstGeom prst="rect">
                      <a:avLst/>
                    </a:prstGeom>
                    <a:noFill/>
                    <a:ln>
                      <a:noFill/>
                    </a:ln>
                  </pic:spPr>
                </pic:pic>
              </a:graphicData>
            </a:graphic>
          </wp:inline>
        </w:drawing>
      </w:r>
    </w:p>
    <w:p w14:paraId="4BC757F3" w14:textId="6B9BA610" w:rsidR="009146B3" w:rsidRPr="009146B3" w:rsidRDefault="009146B3" w:rsidP="009146B3">
      <w:r w:rsidRPr="009146B3">
        <w:rPr>
          <w:noProof/>
        </w:rPr>
        <w:lastRenderedPageBreak/>
        <w:drawing>
          <wp:inline distT="0" distB="0" distL="0" distR="0" wp14:anchorId="7D2ABDB7" wp14:editId="42E5BE8E">
            <wp:extent cx="5943600" cy="5506720"/>
            <wp:effectExtent l="0" t="0" r="0" b="0"/>
            <wp:docPr id="2026062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5506720"/>
                    </a:xfrm>
                    <a:prstGeom prst="rect">
                      <a:avLst/>
                    </a:prstGeom>
                    <a:noFill/>
                    <a:ln>
                      <a:noFill/>
                    </a:ln>
                  </pic:spPr>
                </pic:pic>
              </a:graphicData>
            </a:graphic>
          </wp:inline>
        </w:drawing>
      </w:r>
    </w:p>
    <w:sectPr w:rsidR="009146B3" w:rsidRPr="009146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C7"/>
    <w:rsid w:val="00011A07"/>
    <w:rsid w:val="00011B35"/>
    <w:rsid w:val="00074792"/>
    <w:rsid w:val="000B4D09"/>
    <w:rsid w:val="000C47DB"/>
    <w:rsid w:val="0010279B"/>
    <w:rsid w:val="00167FC0"/>
    <w:rsid w:val="00171E1F"/>
    <w:rsid w:val="001837C9"/>
    <w:rsid w:val="001A0FE1"/>
    <w:rsid w:val="001C2581"/>
    <w:rsid w:val="001D552A"/>
    <w:rsid w:val="001E5B83"/>
    <w:rsid w:val="002731C7"/>
    <w:rsid w:val="00303211"/>
    <w:rsid w:val="00324A0E"/>
    <w:rsid w:val="00364749"/>
    <w:rsid w:val="003729DA"/>
    <w:rsid w:val="003D7CD9"/>
    <w:rsid w:val="003E0D73"/>
    <w:rsid w:val="00455004"/>
    <w:rsid w:val="004734AB"/>
    <w:rsid w:val="00476D3C"/>
    <w:rsid w:val="0056088D"/>
    <w:rsid w:val="005933E8"/>
    <w:rsid w:val="005B4557"/>
    <w:rsid w:val="00607DB7"/>
    <w:rsid w:val="00656EB0"/>
    <w:rsid w:val="006E4E71"/>
    <w:rsid w:val="007767D1"/>
    <w:rsid w:val="00823D53"/>
    <w:rsid w:val="00826521"/>
    <w:rsid w:val="009146B3"/>
    <w:rsid w:val="009954DB"/>
    <w:rsid w:val="009A512D"/>
    <w:rsid w:val="00A03586"/>
    <w:rsid w:val="00A961E7"/>
    <w:rsid w:val="00B0072A"/>
    <w:rsid w:val="00B7726B"/>
    <w:rsid w:val="00BA4C5B"/>
    <w:rsid w:val="00BB18D8"/>
    <w:rsid w:val="00C62378"/>
    <w:rsid w:val="00C63A82"/>
    <w:rsid w:val="00D07745"/>
    <w:rsid w:val="00D35075"/>
    <w:rsid w:val="00DC763C"/>
    <w:rsid w:val="00DD6A45"/>
    <w:rsid w:val="00E316D4"/>
    <w:rsid w:val="00E50182"/>
    <w:rsid w:val="00E70890"/>
    <w:rsid w:val="00EC6B62"/>
    <w:rsid w:val="00ED18F4"/>
    <w:rsid w:val="00F769E9"/>
    <w:rsid w:val="00FA4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4A78"/>
  <w15:chartTrackingRefBased/>
  <w15:docId w15:val="{14AD959A-9E31-41EE-B9A4-A8C8FF38F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63C"/>
    <w:pPr>
      <w:spacing w:after="200" w:line="276" w:lineRule="auto"/>
      <w:jc w:val="both"/>
    </w:pPr>
    <w:rPr>
      <w:rFonts w:ascii="Arial" w:hAnsi="Arial" w:cs="Times New Roman"/>
      <w:kern w:val="0"/>
      <w:szCs w:val="22"/>
      <w14:ligatures w14:val="none"/>
    </w:rPr>
  </w:style>
  <w:style w:type="paragraph" w:styleId="Heading1">
    <w:name w:val="heading 1"/>
    <w:basedOn w:val="Normal"/>
    <w:next w:val="Normal"/>
    <w:link w:val="Heading1Char"/>
    <w:uiPriority w:val="9"/>
    <w:qFormat/>
    <w:rsid w:val="001837C9"/>
    <w:pPr>
      <w:keepNext/>
      <w:keepLines/>
      <w:spacing w:before="360" w:after="80" w:line="360" w:lineRule="auto"/>
      <w:outlineLvl w:val="0"/>
    </w:pPr>
    <w:rPr>
      <w:rFonts w:eastAsiaTheme="majorEastAsia" w:cstheme="majorBidi"/>
      <w:b/>
      <w:kern w:val="2"/>
      <w:szCs w:val="40"/>
      <w14:ligatures w14:val="standardContextual"/>
    </w:rPr>
  </w:style>
  <w:style w:type="paragraph" w:styleId="Heading2">
    <w:name w:val="heading 2"/>
    <w:basedOn w:val="Normal"/>
    <w:next w:val="Normal"/>
    <w:link w:val="Heading2Char"/>
    <w:uiPriority w:val="9"/>
    <w:unhideWhenUsed/>
    <w:qFormat/>
    <w:rsid w:val="00BA4C5B"/>
    <w:pPr>
      <w:keepNext/>
      <w:spacing w:before="240" w:after="60"/>
      <w:jc w:val="left"/>
      <w:outlineLvl w:val="1"/>
    </w:pPr>
    <w:rPr>
      <w:rFonts w:eastAsia="Times New Roman" w:cstheme="minorBidi"/>
      <w:b/>
      <w:bCs/>
      <w:iCs/>
      <w:kern w:val="2"/>
      <w:szCs w:val="28"/>
      <w14:ligatures w14:val="standardContextual"/>
    </w:rPr>
  </w:style>
  <w:style w:type="paragraph" w:styleId="Heading3">
    <w:name w:val="heading 3"/>
    <w:basedOn w:val="Normal"/>
    <w:next w:val="Normal"/>
    <w:link w:val="Heading3Char"/>
    <w:uiPriority w:val="9"/>
    <w:semiHidden/>
    <w:unhideWhenUsed/>
    <w:qFormat/>
    <w:rsid w:val="001A0FE1"/>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2731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731C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731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31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31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31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7C9"/>
    <w:rPr>
      <w:rFonts w:ascii="Times New Roman" w:eastAsiaTheme="majorEastAsia" w:hAnsi="Times New Roman" w:cstheme="majorBidi"/>
      <w:b/>
      <w:szCs w:val="40"/>
    </w:rPr>
  </w:style>
  <w:style w:type="character" w:customStyle="1" w:styleId="Heading2Char">
    <w:name w:val="Heading 2 Char"/>
    <w:link w:val="Heading2"/>
    <w:uiPriority w:val="9"/>
    <w:rsid w:val="00BA4C5B"/>
    <w:rPr>
      <w:rFonts w:ascii="Times New Roman" w:eastAsia="Times New Roman" w:hAnsi="Times New Roman"/>
      <w:b/>
      <w:bCs/>
      <w:iCs/>
      <w:szCs w:val="28"/>
    </w:rPr>
  </w:style>
  <w:style w:type="character" w:customStyle="1" w:styleId="Heading3Char">
    <w:name w:val="Heading 3 Char"/>
    <w:basedOn w:val="DefaultParagraphFont"/>
    <w:link w:val="Heading3"/>
    <w:uiPriority w:val="9"/>
    <w:semiHidden/>
    <w:rsid w:val="001A0FE1"/>
    <w:rPr>
      <w:rFonts w:ascii="Times New Roman" w:eastAsiaTheme="majorEastAsia" w:hAnsi="Times New Roman" w:cstheme="majorBidi"/>
      <w:b/>
      <w:color w:val="000000" w:themeColor="text1"/>
    </w:rPr>
  </w:style>
  <w:style w:type="character" w:customStyle="1" w:styleId="Heading4Char">
    <w:name w:val="Heading 4 Char"/>
    <w:basedOn w:val="DefaultParagraphFont"/>
    <w:link w:val="Heading4"/>
    <w:uiPriority w:val="9"/>
    <w:semiHidden/>
    <w:rsid w:val="002731C7"/>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2731C7"/>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2731C7"/>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2731C7"/>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2731C7"/>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2731C7"/>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273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1C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731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1C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731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31C7"/>
    <w:rPr>
      <w:rFonts w:ascii="Times New Roman" w:hAnsi="Times New Roman" w:cs="Times New Roman"/>
      <w:i/>
      <w:iCs/>
      <w:color w:val="404040" w:themeColor="text1" w:themeTint="BF"/>
      <w:kern w:val="0"/>
      <w:szCs w:val="22"/>
      <w14:ligatures w14:val="none"/>
    </w:rPr>
  </w:style>
  <w:style w:type="paragraph" w:styleId="ListParagraph">
    <w:name w:val="List Paragraph"/>
    <w:basedOn w:val="Normal"/>
    <w:uiPriority w:val="34"/>
    <w:qFormat/>
    <w:rsid w:val="002731C7"/>
    <w:pPr>
      <w:ind w:left="720"/>
      <w:contextualSpacing/>
    </w:pPr>
  </w:style>
  <w:style w:type="character" w:styleId="IntenseEmphasis">
    <w:name w:val="Intense Emphasis"/>
    <w:basedOn w:val="DefaultParagraphFont"/>
    <w:uiPriority w:val="21"/>
    <w:qFormat/>
    <w:rsid w:val="002731C7"/>
    <w:rPr>
      <w:i/>
      <w:iCs/>
      <w:color w:val="2F5496" w:themeColor="accent1" w:themeShade="BF"/>
    </w:rPr>
  </w:style>
  <w:style w:type="paragraph" w:styleId="IntenseQuote">
    <w:name w:val="Intense Quote"/>
    <w:basedOn w:val="Normal"/>
    <w:next w:val="Normal"/>
    <w:link w:val="IntenseQuoteChar"/>
    <w:uiPriority w:val="30"/>
    <w:qFormat/>
    <w:rsid w:val="002731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31C7"/>
    <w:rPr>
      <w:rFonts w:ascii="Times New Roman" w:hAnsi="Times New Roman" w:cs="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2731C7"/>
    <w:rPr>
      <w:b/>
      <w:bCs/>
      <w:smallCaps/>
      <w:color w:val="2F5496" w:themeColor="accent1" w:themeShade="BF"/>
      <w:spacing w:val="5"/>
    </w:rPr>
  </w:style>
  <w:style w:type="table" w:styleId="TableGrid">
    <w:name w:val="Table Grid"/>
    <w:basedOn w:val="TableNormal"/>
    <w:uiPriority w:val="39"/>
    <w:rsid w:val="00273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71E1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9146B3"/>
    <w:rPr>
      <w:color w:val="0563C1" w:themeColor="hyperlink"/>
      <w:u w:val="single"/>
    </w:rPr>
  </w:style>
  <w:style w:type="character" w:styleId="UnresolvedMention">
    <w:name w:val="Unresolved Mention"/>
    <w:basedOn w:val="DefaultParagraphFont"/>
    <w:uiPriority w:val="99"/>
    <w:semiHidden/>
    <w:unhideWhenUsed/>
    <w:rsid w:val="009146B3"/>
    <w:rPr>
      <w:color w:val="605E5C"/>
      <w:shd w:val="clear" w:color="auto" w:fill="E1DFDD"/>
    </w:rPr>
  </w:style>
  <w:style w:type="paragraph" w:styleId="TOCHeading">
    <w:name w:val="TOC Heading"/>
    <w:basedOn w:val="Heading1"/>
    <w:next w:val="Normal"/>
    <w:uiPriority w:val="39"/>
    <w:unhideWhenUsed/>
    <w:qFormat/>
    <w:rsid w:val="00DC763C"/>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C763C"/>
    <w:pPr>
      <w:spacing w:after="100"/>
    </w:pPr>
  </w:style>
  <w:style w:type="paragraph" w:styleId="TOC2">
    <w:name w:val="toc 2"/>
    <w:basedOn w:val="Normal"/>
    <w:next w:val="Normal"/>
    <w:autoRedefine/>
    <w:uiPriority w:val="39"/>
    <w:unhideWhenUsed/>
    <w:rsid w:val="00DC763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doi.org/10.1177/21582440231204099" TargetMode="External"/><Relationship Id="rId26" Type="http://schemas.openxmlformats.org/officeDocument/2006/relationships/hyperlink" Target="https://doi.org/10.47941/jbsm.714" TargetMode="External"/><Relationship Id="rId39" Type="http://schemas.openxmlformats.org/officeDocument/2006/relationships/image" Target="media/image14.emf"/><Relationship Id="rId21" Type="http://schemas.openxmlformats.org/officeDocument/2006/relationships/hyperlink" Target="https://ideas.repec.org/a/kap/jbuset/v183y2023i1d10.1007_s10551-021-05025-6.html" TargetMode="External"/><Relationship Id="rId34" Type="http://schemas.openxmlformats.org/officeDocument/2006/relationships/hyperlink" Target="https://doi.org/10.1002/csr.2401" TargetMode="External"/><Relationship Id="rId42" Type="http://schemas.openxmlformats.org/officeDocument/2006/relationships/image" Target="media/image17.emf"/><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hyperlink" Target="https://doi.org/10.1093/rfs/hhq131" TargetMode="External"/><Relationship Id="rId29" Type="http://schemas.openxmlformats.org/officeDocument/2006/relationships/hyperlink" Target="https://doi.org/10.1080/00137919308903111" TargetMode="External"/><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hyperlink" Target="https://doi.org/10.54254/2754-1169/71/20241527" TargetMode="External"/><Relationship Id="rId32" Type="http://schemas.openxmlformats.org/officeDocument/2006/relationships/hyperlink" Target="https://doi.org/10.1007/s40685-016-0041-8" TargetMode="External"/><Relationship Id="rId37" Type="http://schemas.openxmlformats.org/officeDocument/2006/relationships/hyperlink" Target="https://doi.org/10.1016/j.jcorpfin.2017.04.014" TargetMode="External"/><Relationship Id="rId40" Type="http://schemas.openxmlformats.org/officeDocument/2006/relationships/image" Target="media/image15.emf"/><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hyperlink" Target="https://doi.org/10.35335/ijafibs.v11i4.243" TargetMode="External"/><Relationship Id="rId28" Type="http://schemas.openxmlformats.org/officeDocument/2006/relationships/hyperlink" Target="https://onlinelibrary.wiley.com/doi/full/10.1111/acfi.13174" TargetMode="External"/><Relationship Id="rId36" Type="http://schemas.openxmlformats.org/officeDocument/2006/relationships/hyperlink" Target="https://doi.org/10.1080/23311975.2025.2473033" TargetMode="External"/><Relationship Id="rId10" Type="http://schemas.openxmlformats.org/officeDocument/2006/relationships/image" Target="media/image6.emf"/><Relationship Id="rId19" Type="http://schemas.openxmlformats.org/officeDocument/2006/relationships/hyperlink" Target="https://doi.org/10.2139/ssrn.4795074" TargetMode="External"/><Relationship Id="rId31" Type="http://schemas.openxmlformats.org/officeDocument/2006/relationships/hyperlink" Target="https://doi.org/10.6007/ijarbss/v8-i11/5199"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hyperlink" Target="https://doi.org/10.2991/aebmr.k.220307.028" TargetMode="External"/><Relationship Id="rId27" Type="http://schemas.openxmlformats.org/officeDocument/2006/relationships/hyperlink" Target="https://doi.org/10.1080/1331677x.2022.2147565" TargetMode="External"/><Relationship Id="rId30" Type="http://schemas.openxmlformats.org/officeDocument/2006/relationships/hyperlink" Target="https://doi.org/10.1186/s13731-024-00379-3" TargetMode="External"/><Relationship Id="rId35" Type="http://schemas.openxmlformats.org/officeDocument/2006/relationships/hyperlink" Target="https://doi.org/10.4018/ijsds.319974" TargetMode="External"/><Relationship Id="rId43" Type="http://schemas.openxmlformats.org/officeDocument/2006/relationships/fontTable" Target="fontTable.xml"/><Relationship Id="rId8" Type="http://schemas.openxmlformats.org/officeDocument/2006/relationships/image" Target="media/image4.emf"/><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hyperlink" Target="https://doi.org/10.3390/ijfs6030070" TargetMode="External"/><Relationship Id="rId25" Type="http://schemas.openxmlformats.org/officeDocument/2006/relationships/hyperlink" Target="https://www.federalreserve.gov/econres/notes/feds-notes/firms-financing-choice-between-short-term-and-long-term-debts-are-they-substitutes-20240503.html" TargetMode="External"/><Relationship Id="rId33" Type="http://schemas.openxmlformats.org/officeDocument/2006/relationships/hyperlink" Target="https://doi.org/10.30574/wjarr.2023.19.2.1483" TargetMode="External"/><Relationship Id="rId38"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7C5EF-6ADB-47B4-8D6D-ECCB9CE97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31</Pages>
  <Words>7074</Words>
  <Characters>40326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Hilali</dc:creator>
  <cp:keywords/>
  <dc:description/>
  <cp:lastModifiedBy>Maruf Hilali</cp:lastModifiedBy>
  <cp:revision>10</cp:revision>
  <dcterms:created xsi:type="dcterms:W3CDTF">2025-11-04T09:08:00Z</dcterms:created>
  <dcterms:modified xsi:type="dcterms:W3CDTF">2025-12-18T11:19:00Z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e142795e-2464-4c9a-b4cc-e056d335a25f</vt:lpwstr>
  </property>
</Properties>
</file>