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1DCCB" w14:textId="53CF9244" w:rsidR="00505288" w:rsidRPr="00505288" w:rsidRDefault="00505288" w:rsidP="00505288">
      <w:pPr>
        <w:rPr>
          <w:rFonts w:ascii="Calibri" w:hAnsi="Calibri" w:cs="Calibri"/>
          <w:sz w:val="20"/>
          <w:szCs w:val="20"/>
          <w:u w:val="single"/>
        </w:rPr>
      </w:pPr>
      <w:r w:rsidRPr="00505288">
        <w:rPr>
          <w:rFonts w:ascii="Calibri" w:hAnsi="Calibri" w:cs="Calibri"/>
          <w:sz w:val="20"/>
          <w:szCs w:val="20"/>
          <w:u w:val="single"/>
        </w:rPr>
        <w:t>Abstract</w:t>
      </w:r>
    </w:p>
    <w:p w14:paraId="16408682" w14:textId="321FB57A" w:rsidR="00505288" w:rsidRPr="00505288" w:rsidRDefault="004F5983" w:rsidP="00505288">
      <w:pPr>
        <w:rPr>
          <w:rFonts w:ascii="Calibri" w:hAnsi="Calibri" w:cs="Calibri"/>
          <w:sz w:val="20"/>
          <w:szCs w:val="20"/>
        </w:rPr>
      </w:pPr>
      <w:r w:rsidRPr="00505288">
        <w:rPr>
          <w:rFonts w:ascii="Calibri" w:hAnsi="Calibri" w:cs="Calibri"/>
          <w:sz w:val="20"/>
          <w:szCs w:val="20"/>
        </w:rPr>
        <w:t xml:space="preserve">Originating at Karnak circa </w:t>
      </w:r>
      <w:r w:rsidR="00706C36" w:rsidRPr="00505288">
        <w:rPr>
          <w:rFonts w:ascii="Calibri" w:hAnsi="Calibri" w:cs="Calibri"/>
          <w:sz w:val="20"/>
          <w:szCs w:val="20"/>
        </w:rPr>
        <w:t>1355BC</w:t>
      </w:r>
      <w:r w:rsidRPr="00505288">
        <w:rPr>
          <w:rFonts w:ascii="Calibri" w:hAnsi="Calibri" w:cs="Calibri"/>
          <w:sz w:val="20"/>
          <w:szCs w:val="20"/>
        </w:rPr>
        <w:t xml:space="preserve">, the topic of Amarna art generally refers to the artistic style that identified the reign of Amenhotep IV, also known as Akhenaten - ‘Amun is </w:t>
      </w:r>
      <w:r w:rsidR="00693403" w:rsidRPr="00505288">
        <w:rPr>
          <w:rFonts w:ascii="Calibri" w:hAnsi="Calibri" w:cs="Calibri"/>
          <w:sz w:val="20"/>
          <w:szCs w:val="20"/>
        </w:rPr>
        <w:t>satisfied</w:t>
      </w:r>
      <w:r w:rsidRPr="00505288">
        <w:rPr>
          <w:rFonts w:ascii="Calibri" w:hAnsi="Calibri" w:cs="Calibri"/>
          <w:sz w:val="20"/>
          <w:szCs w:val="20"/>
        </w:rPr>
        <w:t>’.</w:t>
      </w:r>
      <w:r w:rsidR="00706C36" w:rsidRPr="00505288">
        <w:rPr>
          <w:rFonts w:ascii="Calibri" w:hAnsi="Calibri" w:cs="Calibri"/>
          <w:sz w:val="20"/>
          <w:szCs w:val="20"/>
        </w:rPr>
        <w:t xml:space="preserve"> The art style was developed primarily at the site of </w:t>
      </w:r>
      <w:r w:rsidR="00711BB7" w:rsidRPr="00505288">
        <w:rPr>
          <w:rFonts w:ascii="Calibri" w:hAnsi="Calibri" w:cs="Calibri"/>
          <w:sz w:val="20"/>
          <w:szCs w:val="20"/>
        </w:rPr>
        <w:t xml:space="preserve">Tell </w:t>
      </w:r>
      <w:proofErr w:type="spellStart"/>
      <w:r w:rsidR="00706C36" w:rsidRPr="00505288">
        <w:rPr>
          <w:rFonts w:ascii="Calibri" w:hAnsi="Calibri" w:cs="Calibri"/>
          <w:sz w:val="20"/>
          <w:szCs w:val="20"/>
        </w:rPr>
        <w:t>el</w:t>
      </w:r>
      <w:proofErr w:type="spellEnd"/>
      <w:r w:rsidR="00706C36" w:rsidRPr="00505288">
        <w:rPr>
          <w:rFonts w:ascii="Calibri" w:hAnsi="Calibri" w:cs="Calibri"/>
          <w:sz w:val="20"/>
          <w:szCs w:val="20"/>
        </w:rPr>
        <w:t xml:space="preserve">-Amarna, where Akhenaten would build his new capital in the fifth year of his tumultuous reign. It was during the Regnal Year 5 that the pharaoh would declare </w:t>
      </w:r>
      <w:r w:rsidR="00711BB7" w:rsidRPr="00505288">
        <w:rPr>
          <w:rFonts w:ascii="Calibri" w:hAnsi="Calibri" w:cs="Calibri"/>
          <w:sz w:val="20"/>
          <w:szCs w:val="20"/>
        </w:rPr>
        <w:t xml:space="preserve">that </w:t>
      </w:r>
      <w:r w:rsidR="00706C36" w:rsidRPr="00505288">
        <w:rPr>
          <w:rFonts w:ascii="Calibri" w:hAnsi="Calibri" w:cs="Calibri"/>
          <w:sz w:val="20"/>
          <w:szCs w:val="20"/>
        </w:rPr>
        <w:t xml:space="preserve">Aten, </w:t>
      </w:r>
      <w:r w:rsidR="00693403" w:rsidRPr="00505288">
        <w:rPr>
          <w:rFonts w:ascii="Calibri" w:hAnsi="Calibri" w:cs="Calibri"/>
          <w:sz w:val="20"/>
          <w:szCs w:val="20"/>
        </w:rPr>
        <w:t>the physical manifestation of the sun disk would be the monolatrous deity of the Egyptian state.</w:t>
      </w:r>
      <w:r w:rsidR="00693403" w:rsidRPr="00505288">
        <w:rPr>
          <w:rStyle w:val="FootnoteReference"/>
          <w:rFonts w:ascii="Calibri" w:hAnsi="Calibri" w:cs="Calibri"/>
          <w:sz w:val="20"/>
          <w:szCs w:val="20"/>
        </w:rPr>
        <w:footnoteReference w:id="1"/>
      </w:r>
      <w:r w:rsidR="00711BB7" w:rsidRPr="00505288">
        <w:rPr>
          <w:rFonts w:ascii="Calibri" w:hAnsi="Calibri" w:cs="Calibri"/>
          <w:sz w:val="20"/>
          <w:szCs w:val="20"/>
        </w:rPr>
        <w:t xml:space="preserve"> This radical decision changed the face of Egypt for over the 30 years of Akhenaten’s reign. This period of massive change </w:t>
      </w:r>
      <w:r w:rsidR="00956AAE" w:rsidRPr="00505288">
        <w:rPr>
          <w:rFonts w:ascii="Calibri" w:hAnsi="Calibri" w:cs="Calibri"/>
          <w:sz w:val="20"/>
          <w:szCs w:val="20"/>
        </w:rPr>
        <w:t>ultimately led to its art style departing from the traditional Egyptian artistic conventions in which the human form was portrayed in a static and idealised form. It now featured more expressive representations, specifically of the pharaonic family</w:t>
      </w:r>
      <w:r w:rsidR="00505288" w:rsidRPr="00505288">
        <w:rPr>
          <w:rFonts w:ascii="Calibri" w:hAnsi="Calibri" w:cs="Calibri"/>
          <w:sz w:val="20"/>
          <w:szCs w:val="20"/>
        </w:rPr>
        <w:t xml:space="preserve"> and other elites,</w:t>
      </w:r>
      <w:r w:rsidR="00956AAE" w:rsidRPr="00505288">
        <w:rPr>
          <w:rFonts w:ascii="Calibri" w:hAnsi="Calibri" w:cs="Calibri"/>
          <w:sz w:val="20"/>
          <w:szCs w:val="20"/>
        </w:rPr>
        <w:t xml:space="preserve"> putting them into a more realistic lens. It is through this shift in artistic styles that Akhenaten’s religious views, and ultimately the concept of monolatry is highlighted.</w:t>
      </w:r>
      <w:r w:rsidR="008A3F8B" w:rsidRPr="00505288">
        <w:rPr>
          <w:rStyle w:val="FootnoteReference"/>
          <w:rFonts w:ascii="Calibri" w:hAnsi="Calibri" w:cs="Calibri"/>
          <w:sz w:val="20"/>
          <w:szCs w:val="20"/>
        </w:rPr>
        <w:footnoteReference w:id="2"/>
      </w:r>
      <w:r w:rsidR="00505288" w:rsidRPr="00505288">
        <w:rPr>
          <w:rFonts w:ascii="Calibri" w:hAnsi="Calibri" w:cs="Calibri"/>
          <w:sz w:val="20"/>
          <w:szCs w:val="20"/>
        </w:rPr>
        <w:t xml:space="preserve"> </w:t>
      </w:r>
    </w:p>
    <w:p w14:paraId="6F50869A" w14:textId="38E85388" w:rsidR="00BD78C7" w:rsidRPr="00505288" w:rsidRDefault="00505288">
      <w:pPr>
        <w:rPr>
          <w:rFonts w:ascii="Calibri" w:hAnsi="Calibri" w:cs="Calibri"/>
          <w:sz w:val="20"/>
          <w:szCs w:val="20"/>
        </w:rPr>
      </w:pPr>
      <w:r w:rsidRPr="00505288">
        <w:rPr>
          <w:rFonts w:ascii="Calibri" w:hAnsi="Calibri" w:cs="Calibri"/>
          <w:sz w:val="20"/>
          <w:szCs w:val="20"/>
        </w:rPr>
        <w:t xml:space="preserve">Ian Shaw states that ‘towards the end of the reign of Amenhotep III the cult of many gods as well as that </w:t>
      </w:r>
      <w:r w:rsidR="000226B8">
        <w:rPr>
          <w:rFonts w:ascii="Calibri" w:hAnsi="Calibri" w:cs="Calibri"/>
          <w:sz w:val="20"/>
          <w:szCs w:val="20"/>
        </w:rPr>
        <w:t>o</w:t>
      </w:r>
      <w:r w:rsidRPr="00505288">
        <w:rPr>
          <w:rFonts w:ascii="Calibri" w:hAnsi="Calibri" w:cs="Calibri"/>
          <w:sz w:val="20"/>
          <w:szCs w:val="20"/>
        </w:rPr>
        <w:t>f his own defied self were increasingly solarized.’</w:t>
      </w:r>
      <w:r w:rsidRPr="00505288">
        <w:rPr>
          <w:rStyle w:val="FootnoteReference"/>
          <w:rFonts w:ascii="Calibri" w:hAnsi="Calibri" w:cs="Calibri"/>
          <w:sz w:val="20"/>
          <w:szCs w:val="20"/>
        </w:rPr>
        <w:footnoteReference w:id="3"/>
      </w:r>
      <w:r w:rsidRPr="00505288">
        <w:rPr>
          <w:rFonts w:ascii="Calibri" w:hAnsi="Calibri" w:cs="Calibri"/>
          <w:sz w:val="20"/>
          <w:szCs w:val="20"/>
        </w:rPr>
        <w:t xml:space="preserve"> We can see that Akhenaten’s father had already began the process of moving Egypt to a more solar based pantheon, giving Akhenaten </w:t>
      </w:r>
      <w:r w:rsidR="000226B8" w:rsidRPr="00505288">
        <w:rPr>
          <w:rFonts w:ascii="Calibri" w:hAnsi="Calibri" w:cs="Calibri"/>
          <w:sz w:val="20"/>
          <w:szCs w:val="20"/>
        </w:rPr>
        <w:t>the</w:t>
      </w:r>
      <w:r w:rsidR="000226B8">
        <w:rPr>
          <w:rFonts w:ascii="Calibri" w:hAnsi="Calibri" w:cs="Calibri"/>
          <w:sz w:val="20"/>
          <w:szCs w:val="20"/>
        </w:rPr>
        <w:t xml:space="preserve"> opportunity</w:t>
      </w:r>
      <w:r w:rsidRPr="00505288">
        <w:rPr>
          <w:rFonts w:ascii="Calibri" w:hAnsi="Calibri" w:cs="Calibri"/>
          <w:sz w:val="20"/>
          <w:szCs w:val="20"/>
        </w:rPr>
        <w:t xml:space="preserve"> </w:t>
      </w:r>
      <w:r w:rsidR="000226B8">
        <w:rPr>
          <w:rFonts w:ascii="Calibri" w:hAnsi="Calibri" w:cs="Calibri"/>
          <w:sz w:val="20"/>
          <w:szCs w:val="20"/>
        </w:rPr>
        <w:t xml:space="preserve">to </w:t>
      </w:r>
      <w:r w:rsidRPr="00505288">
        <w:rPr>
          <w:rFonts w:ascii="Calibri" w:hAnsi="Calibri" w:cs="Calibri"/>
          <w:sz w:val="20"/>
          <w:szCs w:val="20"/>
        </w:rPr>
        <w:t>push a radical shift in the countries religious spheres when he eventually took the pharaonic title</w:t>
      </w:r>
      <w:r w:rsidRPr="00505288">
        <w:rPr>
          <w:rFonts w:ascii="Calibri" w:hAnsi="Calibri" w:cs="Calibri"/>
          <w:sz w:val="20"/>
          <w:szCs w:val="20"/>
        </w:rPr>
        <w:t>. Egyptian solar religion ha</w:t>
      </w:r>
      <w:r w:rsidR="000226B8">
        <w:rPr>
          <w:rFonts w:ascii="Calibri" w:hAnsi="Calibri" w:cs="Calibri"/>
          <w:sz w:val="20"/>
          <w:szCs w:val="20"/>
        </w:rPr>
        <w:t>d</w:t>
      </w:r>
      <w:r w:rsidRPr="00505288">
        <w:rPr>
          <w:rFonts w:ascii="Calibri" w:hAnsi="Calibri" w:cs="Calibri"/>
          <w:sz w:val="20"/>
          <w:szCs w:val="20"/>
        </w:rPr>
        <w:t xml:space="preserve"> always existed throughout Egyptian history through </w:t>
      </w:r>
      <w:r w:rsidR="000226B8">
        <w:rPr>
          <w:rFonts w:ascii="Calibri" w:hAnsi="Calibri" w:cs="Calibri"/>
          <w:sz w:val="20"/>
          <w:szCs w:val="20"/>
        </w:rPr>
        <w:t>a</w:t>
      </w:r>
      <w:r w:rsidRPr="00505288">
        <w:rPr>
          <w:rFonts w:ascii="Calibri" w:hAnsi="Calibri" w:cs="Calibri"/>
          <w:sz w:val="20"/>
          <w:szCs w:val="20"/>
        </w:rPr>
        <w:t xml:space="preserve"> plethora of gods and goddesses, however Akhenaten’s final push saw Aten as the primary deity, ‘upsetting the solar cycle…of the triad of created space: heaven, earth and the Underworld.’</w:t>
      </w:r>
      <w:r w:rsidRPr="00505288">
        <w:rPr>
          <w:rStyle w:val="FootnoteReference"/>
          <w:rFonts w:ascii="Calibri" w:hAnsi="Calibri" w:cs="Calibri"/>
          <w:sz w:val="20"/>
          <w:szCs w:val="20"/>
        </w:rPr>
        <w:footnoteReference w:id="4"/>
      </w:r>
    </w:p>
    <w:p w14:paraId="37028936" w14:textId="0F18C8E3" w:rsidR="00304784" w:rsidRPr="00505288" w:rsidRDefault="00885BE2">
      <w:pPr>
        <w:rPr>
          <w:rFonts w:ascii="Calibri" w:hAnsi="Calibri" w:cs="Calibri"/>
          <w:sz w:val="20"/>
          <w:szCs w:val="20"/>
        </w:rPr>
      </w:pPr>
      <w:r w:rsidRPr="00505288">
        <w:rPr>
          <w:rFonts w:ascii="Calibri" w:hAnsi="Calibri" w:cs="Calibri"/>
          <w:sz w:val="20"/>
          <w:szCs w:val="20"/>
        </w:rPr>
        <w:t>The obvious sensuality and sheer aesthetic of Amarna art is</w:t>
      </w:r>
      <w:r w:rsidR="000226B8">
        <w:rPr>
          <w:rFonts w:ascii="Calibri" w:hAnsi="Calibri" w:cs="Calibri"/>
          <w:sz w:val="20"/>
          <w:szCs w:val="20"/>
        </w:rPr>
        <w:t xml:space="preserve"> another clear style which separates</w:t>
      </w:r>
      <w:r w:rsidRPr="00505288">
        <w:rPr>
          <w:rFonts w:ascii="Calibri" w:hAnsi="Calibri" w:cs="Calibri"/>
          <w:sz w:val="20"/>
          <w:szCs w:val="20"/>
        </w:rPr>
        <w:t xml:space="preserve"> itself from the original traditional styles pre-Akhenaten. Examples of this can be seen in grand archaeological find</w:t>
      </w:r>
      <w:r w:rsidR="00304784" w:rsidRPr="00505288">
        <w:rPr>
          <w:rFonts w:ascii="Calibri" w:hAnsi="Calibri" w:cs="Calibri"/>
          <w:sz w:val="20"/>
          <w:szCs w:val="20"/>
        </w:rPr>
        <w:t>s</w:t>
      </w:r>
      <w:r w:rsidRPr="00505288">
        <w:rPr>
          <w:rFonts w:ascii="Calibri" w:hAnsi="Calibri" w:cs="Calibri"/>
          <w:sz w:val="20"/>
          <w:szCs w:val="20"/>
        </w:rPr>
        <w:t xml:space="preserve"> such as the beautiful Nefertiti bust, the Family Altar and The Head of a Princess.</w:t>
      </w:r>
      <w:r w:rsidR="00304784" w:rsidRPr="00505288">
        <w:rPr>
          <w:rStyle w:val="FootnoteReference"/>
          <w:rFonts w:ascii="Calibri" w:hAnsi="Calibri" w:cs="Calibri"/>
          <w:sz w:val="20"/>
          <w:szCs w:val="20"/>
        </w:rPr>
        <w:footnoteReference w:id="5"/>
      </w:r>
      <w:r w:rsidRPr="00505288">
        <w:rPr>
          <w:rFonts w:ascii="Calibri" w:hAnsi="Calibri" w:cs="Calibri"/>
          <w:sz w:val="20"/>
          <w:szCs w:val="20"/>
        </w:rPr>
        <w:t xml:space="preserve"> However, this art style</w:t>
      </w:r>
      <w:r w:rsidR="00304784" w:rsidRPr="00505288">
        <w:rPr>
          <w:rFonts w:ascii="Calibri" w:hAnsi="Calibri" w:cs="Calibri"/>
          <w:sz w:val="20"/>
          <w:szCs w:val="20"/>
        </w:rPr>
        <w:t xml:space="preserve"> boats its monolatrous illustrations through </w:t>
      </w:r>
      <w:r w:rsidRPr="00505288">
        <w:rPr>
          <w:rFonts w:ascii="Calibri" w:hAnsi="Calibri" w:cs="Calibri"/>
          <w:sz w:val="20"/>
          <w:szCs w:val="20"/>
        </w:rPr>
        <w:t>even the smallest of</w:t>
      </w:r>
      <w:r w:rsidR="00304784" w:rsidRPr="00505288">
        <w:rPr>
          <w:rFonts w:ascii="Calibri" w:hAnsi="Calibri" w:cs="Calibri"/>
          <w:sz w:val="20"/>
          <w:szCs w:val="20"/>
        </w:rPr>
        <w:t xml:space="preserve"> finds. Stelas depicting Akhenaten making an offering to the Aten and the three cartouches of Akhenaten and the Aten show how radical </w:t>
      </w:r>
      <w:r w:rsidR="000226B8">
        <w:rPr>
          <w:rFonts w:ascii="Calibri" w:hAnsi="Calibri" w:cs="Calibri"/>
          <w:sz w:val="20"/>
          <w:szCs w:val="20"/>
        </w:rPr>
        <w:t xml:space="preserve">and widespread </w:t>
      </w:r>
      <w:r w:rsidR="00304784" w:rsidRPr="00505288">
        <w:rPr>
          <w:rFonts w:ascii="Calibri" w:hAnsi="Calibri" w:cs="Calibri"/>
          <w:sz w:val="20"/>
          <w:szCs w:val="20"/>
        </w:rPr>
        <w:t>this religious shift was at the time.</w:t>
      </w:r>
      <w:r w:rsidR="00304784" w:rsidRPr="00505288">
        <w:rPr>
          <w:rStyle w:val="FootnoteReference"/>
          <w:rFonts w:ascii="Calibri" w:hAnsi="Calibri" w:cs="Calibri"/>
          <w:sz w:val="20"/>
          <w:szCs w:val="20"/>
        </w:rPr>
        <w:footnoteReference w:id="6"/>
      </w:r>
      <w:r w:rsidR="00304784" w:rsidRPr="00505288">
        <w:rPr>
          <w:rFonts w:ascii="Calibri" w:hAnsi="Calibri" w:cs="Calibri"/>
          <w:sz w:val="20"/>
          <w:szCs w:val="20"/>
        </w:rPr>
        <w:t xml:space="preserve"> </w:t>
      </w:r>
    </w:p>
    <w:p w14:paraId="22C93F0C" w14:textId="073C72B4" w:rsidR="008A3F8B" w:rsidRDefault="00304784">
      <w:pPr>
        <w:rPr>
          <w:rFonts w:ascii="Calibri" w:hAnsi="Calibri" w:cs="Calibri"/>
          <w:sz w:val="20"/>
          <w:szCs w:val="20"/>
        </w:rPr>
      </w:pPr>
      <w:r w:rsidRPr="00505288">
        <w:rPr>
          <w:rFonts w:ascii="Calibri" w:hAnsi="Calibri" w:cs="Calibri"/>
          <w:sz w:val="20"/>
          <w:szCs w:val="20"/>
        </w:rPr>
        <w:t>This research project will</w:t>
      </w:r>
      <w:r w:rsidR="00D42F6C" w:rsidRPr="00505288">
        <w:rPr>
          <w:rFonts w:ascii="Calibri" w:hAnsi="Calibri" w:cs="Calibri"/>
          <w:sz w:val="20"/>
          <w:szCs w:val="20"/>
        </w:rPr>
        <w:t xml:space="preserve"> aim to showcase the Amarna art style, and its clear monolatrous themes throughout the rocky historical period. I will be using a wide range of art and archaeological findings</w:t>
      </w:r>
      <w:r w:rsidR="00EC6900" w:rsidRPr="00505288">
        <w:rPr>
          <w:rFonts w:ascii="Calibri" w:hAnsi="Calibri" w:cs="Calibri"/>
          <w:sz w:val="20"/>
          <w:szCs w:val="20"/>
        </w:rPr>
        <w:t xml:space="preserve"> to support my points, along with other scholarly material</w:t>
      </w:r>
      <w:r w:rsidR="00505288" w:rsidRPr="00505288">
        <w:rPr>
          <w:rFonts w:ascii="Calibri" w:hAnsi="Calibri" w:cs="Calibri"/>
          <w:sz w:val="20"/>
          <w:szCs w:val="20"/>
        </w:rPr>
        <w:t>s. I hope to make clear that through the near 30 years of the Amarna period, this small period in the countries history ma</w:t>
      </w:r>
      <w:r w:rsidR="000226B8">
        <w:rPr>
          <w:rFonts w:ascii="Calibri" w:hAnsi="Calibri" w:cs="Calibri"/>
          <w:sz w:val="20"/>
          <w:szCs w:val="20"/>
        </w:rPr>
        <w:t>de</w:t>
      </w:r>
      <w:r w:rsidR="00505288" w:rsidRPr="00505288">
        <w:rPr>
          <w:rFonts w:ascii="Calibri" w:hAnsi="Calibri" w:cs="Calibri"/>
          <w:sz w:val="20"/>
          <w:szCs w:val="20"/>
        </w:rPr>
        <w:t xml:space="preserve"> the biggest difference in its future until the end of the pharaonic rule and the ultimate beginning of the Roman era.</w:t>
      </w:r>
    </w:p>
    <w:p w14:paraId="61F3F59D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31758D7B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6B7EA441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128141F3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3D77255E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45E86BE1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31514EFF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7DDDA884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205C972E" w14:textId="77777777" w:rsidR="00E441EB" w:rsidRDefault="00E441EB">
      <w:pPr>
        <w:rPr>
          <w:rFonts w:ascii="Calibri" w:hAnsi="Calibri" w:cs="Calibri"/>
          <w:sz w:val="20"/>
          <w:szCs w:val="20"/>
        </w:rPr>
      </w:pPr>
    </w:p>
    <w:p w14:paraId="4A0C0649" w14:textId="07D2DF84" w:rsidR="00E441EB" w:rsidRPr="00E441EB" w:rsidRDefault="00E441EB">
      <w:pPr>
        <w:rPr>
          <w:rFonts w:ascii="Calibri" w:hAnsi="Calibri" w:cs="Calibri"/>
          <w:sz w:val="20"/>
          <w:szCs w:val="20"/>
          <w:u w:val="single"/>
        </w:rPr>
      </w:pPr>
      <w:r w:rsidRPr="00E441EB">
        <w:rPr>
          <w:rFonts w:ascii="Calibri" w:hAnsi="Calibri" w:cs="Calibri"/>
          <w:sz w:val="20"/>
          <w:szCs w:val="20"/>
          <w:u w:val="single"/>
        </w:rPr>
        <w:lastRenderedPageBreak/>
        <w:t>Bibliography</w:t>
      </w:r>
    </w:p>
    <w:p w14:paraId="7DFE0102" w14:textId="6E4F6196" w:rsidR="00E441EB" w:rsidRPr="00E441EB" w:rsidRDefault="00E441EB">
      <w:pPr>
        <w:rPr>
          <w:rFonts w:ascii="Calibri" w:hAnsi="Calibri" w:cs="Calibri"/>
          <w:sz w:val="20"/>
          <w:szCs w:val="20"/>
        </w:rPr>
      </w:pPr>
      <w:r w:rsidRPr="00E441EB">
        <w:rPr>
          <w:rFonts w:ascii="Calibri" w:hAnsi="Calibri" w:cs="Calibri"/>
          <w:sz w:val="20"/>
          <w:szCs w:val="20"/>
        </w:rPr>
        <w:t xml:space="preserve">Darnell, John, Darnell, Colleen, </w:t>
      </w:r>
      <w:r w:rsidRPr="00E441EB">
        <w:rPr>
          <w:rFonts w:ascii="Calibri" w:hAnsi="Calibri" w:cs="Calibri"/>
          <w:i/>
          <w:iCs/>
          <w:sz w:val="20"/>
          <w:szCs w:val="20"/>
        </w:rPr>
        <w:t>Egypt’s Golden Couple, When Akhenaten and Nefertiti were Gods on Earth</w:t>
      </w:r>
      <w:r w:rsidRPr="00E441EB">
        <w:rPr>
          <w:rFonts w:ascii="Calibri" w:hAnsi="Calibri" w:cs="Calibri"/>
          <w:i/>
          <w:iCs/>
          <w:sz w:val="20"/>
          <w:szCs w:val="20"/>
        </w:rPr>
        <w:t xml:space="preserve">, </w:t>
      </w:r>
      <w:r w:rsidRPr="00E441EB">
        <w:rPr>
          <w:rFonts w:ascii="Calibri" w:hAnsi="Calibri" w:cs="Calibri"/>
          <w:sz w:val="20"/>
          <w:szCs w:val="20"/>
        </w:rPr>
        <w:t>(The History Press, 2022)</w:t>
      </w:r>
    </w:p>
    <w:p w14:paraId="2F6FCD59" w14:textId="57D13788" w:rsidR="00E441EB" w:rsidRPr="00E441EB" w:rsidRDefault="00E441EB">
      <w:pPr>
        <w:rPr>
          <w:rFonts w:ascii="Calibri" w:hAnsi="Calibri" w:cs="Calibri"/>
          <w:i/>
          <w:iCs/>
          <w:sz w:val="20"/>
          <w:szCs w:val="20"/>
        </w:rPr>
      </w:pPr>
      <w:r w:rsidRPr="00E441EB">
        <w:rPr>
          <w:rFonts w:ascii="Calibri" w:hAnsi="Calibri" w:cs="Calibri"/>
          <w:sz w:val="20"/>
          <w:szCs w:val="20"/>
        </w:rPr>
        <w:t>Seyfried, Friederike,</w:t>
      </w:r>
      <w:r w:rsidRPr="00E441EB">
        <w:rPr>
          <w:rFonts w:ascii="Calibri" w:hAnsi="Calibri" w:cs="Calibri"/>
          <w:i/>
          <w:iCs/>
          <w:sz w:val="20"/>
          <w:szCs w:val="20"/>
        </w:rPr>
        <w:t xml:space="preserve"> </w:t>
      </w:r>
      <w:r w:rsidRPr="00E441EB">
        <w:rPr>
          <w:rFonts w:ascii="Calibri" w:hAnsi="Calibri" w:cs="Calibri"/>
          <w:i/>
          <w:iCs/>
          <w:sz w:val="20"/>
          <w:szCs w:val="20"/>
        </w:rPr>
        <w:t>In the Light of Amarna, 100 Years of the Nefertiti Discovery</w:t>
      </w:r>
      <w:r w:rsidRPr="00E441EB">
        <w:rPr>
          <w:rFonts w:ascii="Calibri" w:hAnsi="Calibri" w:cs="Calibri"/>
          <w:i/>
          <w:iCs/>
          <w:sz w:val="20"/>
          <w:szCs w:val="20"/>
        </w:rPr>
        <w:t>, (Michael Imhof Verlag, 2012)</w:t>
      </w:r>
    </w:p>
    <w:p w14:paraId="56374727" w14:textId="3876181B" w:rsidR="00E441EB" w:rsidRPr="00E441EB" w:rsidRDefault="00E441EB">
      <w:pPr>
        <w:rPr>
          <w:rFonts w:ascii="Calibri" w:hAnsi="Calibri" w:cs="Calibri"/>
          <w:sz w:val="20"/>
          <w:szCs w:val="20"/>
        </w:rPr>
      </w:pPr>
      <w:r w:rsidRPr="00E441EB">
        <w:rPr>
          <w:rFonts w:ascii="Calibri" w:hAnsi="Calibri" w:cs="Calibri"/>
          <w:sz w:val="20"/>
          <w:szCs w:val="20"/>
        </w:rPr>
        <w:t>Shaw, Ian</w:t>
      </w:r>
      <w:r w:rsidRPr="00E441EB">
        <w:rPr>
          <w:rFonts w:ascii="Calibri" w:hAnsi="Calibri" w:cs="Calibri"/>
          <w:i/>
          <w:iCs/>
          <w:sz w:val="20"/>
          <w:szCs w:val="20"/>
        </w:rPr>
        <w:t>,</w:t>
      </w:r>
      <w:r w:rsidRPr="00E441EB">
        <w:rPr>
          <w:rFonts w:ascii="Calibri" w:hAnsi="Calibri" w:cs="Calibri"/>
          <w:i/>
          <w:iCs/>
          <w:sz w:val="20"/>
          <w:szCs w:val="20"/>
        </w:rPr>
        <w:t xml:space="preserve"> The Oxford History of Ancient Egypt</w:t>
      </w:r>
      <w:r w:rsidRPr="00E441EB">
        <w:rPr>
          <w:rFonts w:ascii="Calibri" w:hAnsi="Calibri" w:cs="Calibri"/>
          <w:sz w:val="20"/>
          <w:szCs w:val="20"/>
        </w:rPr>
        <w:t>, (Oxford University Press, 2000)</w:t>
      </w:r>
    </w:p>
    <w:p w14:paraId="5D3F2BEB" w14:textId="547131EE" w:rsidR="00E441EB" w:rsidRPr="00E441EB" w:rsidRDefault="00E441EB">
      <w:pPr>
        <w:rPr>
          <w:rFonts w:ascii="Arial" w:hAnsi="Arial" w:cs="Arial"/>
          <w:color w:val="0F1111"/>
          <w:sz w:val="20"/>
          <w:szCs w:val="20"/>
          <w:shd w:val="clear" w:color="auto" w:fill="FFFFFF"/>
        </w:rPr>
      </w:pPr>
      <w:r w:rsidRPr="00E441EB">
        <w:rPr>
          <w:rFonts w:ascii="Calibri" w:hAnsi="Calibri" w:cs="Calibri"/>
          <w:sz w:val="20"/>
          <w:szCs w:val="20"/>
        </w:rPr>
        <w:t xml:space="preserve">Stevens, Anna, </w:t>
      </w:r>
      <w:r w:rsidRPr="00E441EB">
        <w:rPr>
          <w:rFonts w:ascii="Calibri" w:hAnsi="Calibri" w:cs="Calibri"/>
          <w:i/>
          <w:iCs/>
          <w:sz w:val="20"/>
          <w:szCs w:val="20"/>
        </w:rPr>
        <w:t>Amarna: A Guide to the Ancient City of Akhenaten</w:t>
      </w:r>
      <w:r w:rsidRPr="00E441EB">
        <w:rPr>
          <w:rFonts w:ascii="Calibri" w:hAnsi="Calibri" w:cs="Calibri"/>
          <w:sz w:val="20"/>
          <w:szCs w:val="20"/>
        </w:rPr>
        <w:t>, (</w:t>
      </w:r>
      <w:r w:rsidRPr="00E441EB">
        <w:rPr>
          <w:rFonts w:ascii="Arial" w:hAnsi="Arial" w:cs="Arial"/>
          <w:color w:val="0F1111"/>
          <w:sz w:val="20"/>
          <w:szCs w:val="20"/>
          <w:shd w:val="clear" w:color="auto" w:fill="FFFFFF"/>
        </w:rPr>
        <w:t>The American University in Cairo Press</w:t>
      </w:r>
      <w:r w:rsidRPr="00E441EB">
        <w:rPr>
          <w:rFonts w:ascii="Arial" w:hAnsi="Arial" w:cs="Arial"/>
          <w:color w:val="0F1111"/>
          <w:sz w:val="20"/>
          <w:szCs w:val="20"/>
          <w:shd w:val="clear" w:color="auto" w:fill="FFFFFF"/>
        </w:rPr>
        <w:t>, Illustrated Edition, 2020)</w:t>
      </w:r>
    </w:p>
    <w:p w14:paraId="6FBC58DE" w14:textId="5F008958" w:rsidR="00E441EB" w:rsidRPr="00E441EB" w:rsidRDefault="00E441EB">
      <w:pPr>
        <w:rPr>
          <w:rFonts w:ascii="Calibri" w:hAnsi="Calibri" w:cs="Calibri"/>
          <w:sz w:val="20"/>
          <w:szCs w:val="20"/>
        </w:rPr>
      </w:pPr>
      <w:r w:rsidRPr="00E441EB">
        <w:rPr>
          <w:rFonts w:ascii="Arial" w:hAnsi="Arial" w:cs="Arial"/>
          <w:color w:val="0F1111"/>
          <w:sz w:val="20"/>
          <w:szCs w:val="20"/>
          <w:shd w:val="clear" w:color="auto" w:fill="FFFFFF"/>
        </w:rPr>
        <w:t xml:space="preserve">Wilkinson, Richard H., </w:t>
      </w:r>
      <w:r w:rsidRPr="00E441EB">
        <w:rPr>
          <w:rFonts w:ascii="Calibri" w:hAnsi="Calibri" w:cs="Calibri"/>
          <w:i/>
          <w:iCs/>
          <w:sz w:val="20"/>
          <w:szCs w:val="20"/>
        </w:rPr>
        <w:t>The Complete Gods and Goddesses of Ancient Egypt</w:t>
      </w:r>
      <w:r w:rsidRPr="00E441EB">
        <w:rPr>
          <w:rFonts w:ascii="Calibri" w:hAnsi="Calibri" w:cs="Calibri"/>
          <w:sz w:val="20"/>
          <w:szCs w:val="20"/>
        </w:rPr>
        <w:t>, (Thames &amp; Hudson LTD, 2017)</w:t>
      </w:r>
    </w:p>
    <w:sectPr w:rsidR="00E441EB" w:rsidRPr="00E441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1551D5" w14:textId="77777777" w:rsidR="00781FA2" w:rsidRDefault="00781FA2" w:rsidP="00693403">
      <w:pPr>
        <w:spacing w:after="0" w:line="240" w:lineRule="auto"/>
      </w:pPr>
      <w:r>
        <w:separator/>
      </w:r>
    </w:p>
  </w:endnote>
  <w:endnote w:type="continuationSeparator" w:id="0">
    <w:p w14:paraId="4E4E0700" w14:textId="77777777" w:rsidR="00781FA2" w:rsidRDefault="00781FA2" w:rsidP="00693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4CE73" w14:textId="77777777" w:rsidR="00781FA2" w:rsidRDefault="00781FA2" w:rsidP="00693403">
      <w:pPr>
        <w:spacing w:after="0" w:line="240" w:lineRule="auto"/>
      </w:pPr>
      <w:r>
        <w:separator/>
      </w:r>
    </w:p>
  </w:footnote>
  <w:footnote w:type="continuationSeparator" w:id="0">
    <w:p w14:paraId="39654087" w14:textId="77777777" w:rsidR="00781FA2" w:rsidRDefault="00781FA2" w:rsidP="00693403">
      <w:pPr>
        <w:spacing w:after="0" w:line="240" w:lineRule="auto"/>
      </w:pPr>
      <w:r>
        <w:continuationSeparator/>
      </w:r>
    </w:p>
  </w:footnote>
  <w:footnote w:id="1">
    <w:p w14:paraId="4BCB9CD6" w14:textId="64CE17C8" w:rsidR="00693403" w:rsidRPr="00505288" w:rsidRDefault="00693403">
      <w:pPr>
        <w:pStyle w:val="FootnoteText"/>
        <w:rPr>
          <w:rFonts w:ascii="Calibri" w:hAnsi="Calibri" w:cs="Calibri"/>
          <w:sz w:val="18"/>
          <w:szCs w:val="18"/>
        </w:rPr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Richard H. Wilkinson, </w:t>
      </w:r>
      <w:r w:rsidRPr="00505288">
        <w:rPr>
          <w:rFonts w:ascii="Calibri" w:hAnsi="Calibri" w:cs="Calibri"/>
          <w:i/>
          <w:iCs/>
          <w:sz w:val="18"/>
          <w:szCs w:val="18"/>
        </w:rPr>
        <w:t>The Complete Gods and Goddesses of Ancient Egypt</w:t>
      </w:r>
      <w:r w:rsidRPr="00505288">
        <w:rPr>
          <w:rFonts w:ascii="Calibri" w:hAnsi="Calibri" w:cs="Calibri"/>
          <w:sz w:val="18"/>
          <w:szCs w:val="18"/>
        </w:rPr>
        <w:t xml:space="preserve">, </w:t>
      </w:r>
      <w:r w:rsidR="008A3F8B" w:rsidRPr="00505288">
        <w:rPr>
          <w:rFonts w:ascii="Calibri" w:hAnsi="Calibri" w:cs="Calibri"/>
          <w:sz w:val="18"/>
          <w:szCs w:val="18"/>
        </w:rPr>
        <w:t xml:space="preserve">2017, </w:t>
      </w:r>
      <w:r w:rsidRPr="00505288">
        <w:rPr>
          <w:rFonts w:ascii="Calibri" w:hAnsi="Calibri" w:cs="Calibri"/>
          <w:sz w:val="18"/>
          <w:szCs w:val="18"/>
        </w:rPr>
        <w:t>p.236</w:t>
      </w:r>
    </w:p>
  </w:footnote>
  <w:footnote w:id="2">
    <w:p w14:paraId="7DA4DCD2" w14:textId="123DDFF6" w:rsidR="008A3F8B" w:rsidRPr="00505288" w:rsidRDefault="008A3F8B">
      <w:pPr>
        <w:pStyle w:val="FootnoteText"/>
        <w:rPr>
          <w:rFonts w:ascii="Calibri" w:hAnsi="Calibri" w:cs="Calibri"/>
          <w:sz w:val="18"/>
          <w:szCs w:val="18"/>
        </w:rPr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Anna Stevens, Amarna: A Guide to the Ancient City of Akhenaten, 2020, p.18-19</w:t>
      </w:r>
    </w:p>
  </w:footnote>
  <w:footnote w:id="3">
    <w:p w14:paraId="443D3299" w14:textId="77777777" w:rsidR="00505288" w:rsidRPr="00505288" w:rsidRDefault="00505288" w:rsidP="00505288">
      <w:pPr>
        <w:pStyle w:val="FootnoteText"/>
        <w:rPr>
          <w:rFonts w:ascii="Calibri" w:hAnsi="Calibri" w:cs="Calibri"/>
          <w:sz w:val="18"/>
          <w:szCs w:val="18"/>
        </w:rPr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Ian Shaw</w:t>
      </w:r>
      <w:r w:rsidRPr="00E441EB">
        <w:rPr>
          <w:rFonts w:ascii="Calibri" w:hAnsi="Calibri" w:cs="Calibri"/>
          <w:i/>
          <w:iCs/>
          <w:sz w:val="18"/>
          <w:szCs w:val="18"/>
        </w:rPr>
        <w:t>, The Oxford History of Ancient Egypt</w:t>
      </w:r>
      <w:r w:rsidRPr="00505288">
        <w:rPr>
          <w:rFonts w:ascii="Calibri" w:hAnsi="Calibri" w:cs="Calibri"/>
          <w:sz w:val="18"/>
          <w:szCs w:val="18"/>
        </w:rPr>
        <w:t>, 2000, p.266</w:t>
      </w:r>
    </w:p>
  </w:footnote>
  <w:footnote w:id="4">
    <w:p w14:paraId="0B2161DD" w14:textId="7D065ED7" w:rsidR="00505288" w:rsidRPr="00505288" w:rsidRDefault="00505288">
      <w:pPr>
        <w:pStyle w:val="FootnoteText"/>
        <w:rPr>
          <w:rFonts w:ascii="Calibri" w:hAnsi="Calibri" w:cs="Calibri"/>
          <w:sz w:val="18"/>
          <w:szCs w:val="18"/>
        </w:rPr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John Darnell, Colleen Darnell, </w:t>
      </w:r>
      <w:r w:rsidRPr="00E441EB">
        <w:rPr>
          <w:rFonts w:ascii="Calibri" w:hAnsi="Calibri" w:cs="Calibri"/>
          <w:i/>
          <w:iCs/>
          <w:sz w:val="18"/>
          <w:szCs w:val="18"/>
        </w:rPr>
        <w:t>Egypt’s Golden Couple, When Akhenaten and Nefertiti were Gods on Earth</w:t>
      </w:r>
      <w:r w:rsidRPr="00505288">
        <w:rPr>
          <w:rFonts w:ascii="Calibri" w:hAnsi="Calibri" w:cs="Calibri"/>
          <w:sz w:val="18"/>
          <w:szCs w:val="18"/>
        </w:rPr>
        <w:t>, 2022, p.28-29</w:t>
      </w:r>
    </w:p>
  </w:footnote>
  <w:footnote w:id="5">
    <w:p w14:paraId="5E8F1710" w14:textId="1491FBED" w:rsidR="00304784" w:rsidRPr="00505288" w:rsidRDefault="00304784">
      <w:pPr>
        <w:pStyle w:val="FootnoteText"/>
        <w:rPr>
          <w:rFonts w:ascii="Calibri" w:hAnsi="Calibri" w:cs="Calibri"/>
          <w:sz w:val="18"/>
          <w:szCs w:val="18"/>
        </w:rPr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Friederike Seyfried, </w:t>
      </w:r>
      <w:r w:rsidRPr="00505288">
        <w:rPr>
          <w:rFonts w:ascii="Calibri" w:hAnsi="Calibri" w:cs="Calibri"/>
          <w:i/>
          <w:iCs/>
          <w:sz w:val="18"/>
          <w:szCs w:val="18"/>
        </w:rPr>
        <w:t>In the Light of Amarna, 100 Years of the Nefertiti Discovery</w:t>
      </w:r>
      <w:r w:rsidRPr="00505288">
        <w:rPr>
          <w:rFonts w:ascii="Calibri" w:hAnsi="Calibri" w:cs="Calibri"/>
          <w:sz w:val="18"/>
          <w:szCs w:val="18"/>
        </w:rPr>
        <w:t>, 2012, p.192, 336, 349</w:t>
      </w:r>
    </w:p>
  </w:footnote>
  <w:footnote w:id="6">
    <w:p w14:paraId="70907F5E" w14:textId="02681BEF" w:rsidR="00304784" w:rsidRDefault="00304784">
      <w:pPr>
        <w:pStyle w:val="FootnoteText"/>
      </w:pPr>
      <w:r w:rsidRPr="00505288">
        <w:rPr>
          <w:rStyle w:val="FootnoteReference"/>
          <w:rFonts w:ascii="Calibri" w:hAnsi="Calibri" w:cs="Calibri"/>
          <w:sz w:val="18"/>
          <w:szCs w:val="18"/>
        </w:rPr>
        <w:footnoteRef/>
      </w:r>
      <w:r w:rsidRPr="00505288">
        <w:rPr>
          <w:rFonts w:ascii="Calibri" w:hAnsi="Calibri" w:cs="Calibri"/>
          <w:sz w:val="18"/>
          <w:szCs w:val="18"/>
        </w:rPr>
        <w:t xml:space="preserve"> ibid, p.226, 238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983"/>
    <w:rsid w:val="000226B8"/>
    <w:rsid w:val="0022414A"/>
    <w:rsid w:val="00304784"/>
    <w:rsid w:val="00477932"/>
    <w:rsid w:val="004F5983"/>
    <w:rsid w:val="00505288"/>
    <w:rsid w:val="00693403"/>
    <w:rsid w:val="00706C36"/>
    <w:rsid w:val="00711BB7"/>
    <w:rsid w:val="00781FA2"/>
    <w:rsid w:val="00885BE2"/>
    <w:rsid w:val="008A3F8B"/>
    <w:rsid w:val="00946077"/>
    <w:rsid w:val="00956AAE"/>
    <w:rsid w:val="00A240C9"/>
    <w:rsid w:val="00B462BE"/>
    <w:rsid w:val="00BD78C7"/>
    <w:rsid w:val="00D42F6C"/>
    <w:rsid w:val="00E441EB"/>
    <w:rsid w:val="00EC6900"/>
    <w:rsid w:val="00EF7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539E3"/>
  <w15:chartTrackingRefBased/>
  <w15:docId w15:val="{B20CB532-042C-4882-BD6E-52C48381B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9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59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59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59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59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59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59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59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59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9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59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59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59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59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59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59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59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59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59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59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59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59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59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59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59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59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59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59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5983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9340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9340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9340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0F750F-39B3-479A-A150-EBF33AA3CE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1725</TotalTime>
  <Pages>2</Pages>
  <Words>557</Words>
  <Characters>2871</Characters>
  <Application>Microsoft Office Word</Application>
  <DocSecurity>0</DocSecurity>
  <Lines>35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Rayer (2122233)</dc:creator>
  <cp:keywords/>
  <dc:description/>
  <cp:lastModifiedBy>Sam Rayer (2122233)</cp:lastModifiedBy>
  <cp:revision>4</cp:revision>
  <dcterms:created xsi:type="dcterms:W3CDTF">2024-02-24T15:32:00Z</dcterms:created>
  <dcterms:modified xsi:type="dcterms:W3CDTF">2024-02-25T20:17:00Z</dcterms:modified>
</cp:coreProperties>
</file>