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147149" w14:textId="2DDFCE05" w:rsidR="00B42936" w:rsidRPr="00B42936" w:rsidRDefault="00B42936" w:rsidP="00B42936">
      <w:pPr>
        <w:rPr>
          <w:rFonts w:ascii="Arial" w:hAnsi="Arial" w:cs="Arial"/>
          <w:sz w:val="24"/>
        </w:rPr>
      </w:pPr>
      <w:r w:rsidRPr="00B42936">
        <w:rPr>
          <w:rFonts w:ascii="Arial" w:hAnsi="Arial" w:cs="Arial"/>
          <w:noProof/>
        </w:rPr>
        <w:drawing>
          <wp:anchor distT="0" distB="0" distL="114300" distR="114300" simplePos="0" relativeHeight="251659264" behindDoc="0" locked="0" layoutInCell="1" allowOverlap="1" wp14:anchorId="0267EDA4" wp14:editId="36D8952E">
            <wp:simplePos x="0" y="0"/>
            <wp:positionH relativeFrom="margin">
              <wp:align>center</wp:align>
            </wp:positionH>
            <wp:positionV relativeFrom="paragraph">
              <wp:posOffset>76200</wp:posOffset>
            </wp:positionV>
            <wp:extent cx="4160520" cy="1955800"/>
            <wp:effectExtent l="0" t="0" r="0" b="6350"/>
            <wp:wrapSquare wrapText="bothSides"/>
            <wp:docPr id="202528332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B42936">
        <w:rPr>
          <w:rFonts w:ascii="Arial" w:hAnsi="Arial" w:cs="Arial"/>
          <w:sz w:val="24"/>
        </w:rPr>
        <w:br w:type="textWrapping" w:clear="all"/>
      </w:r>
    </w:p>
    <w:p w14:paraId="734AED03" w14:textId="77777777" w:rsidR="00B42936" w:rsidRPr="00B42936" w:rsidRDefault="00B42936" w:rsidP="00B42936">
      <w:pPr>
        <w:jc w:val="center"/>
        <w:rPr>
          <w:rFonts w:ascii="Arial" w:hAnsi="Arial" w:cs="Arial"/>
          <w:sz w:val="24"/>
        </w:rPr>
      </w:pPr>
      <w:r w:rsidRPr="00B42936">
        <w:rPr>
          <w:rFonts w:ascii="Arial" w:hAnsi="Arial" w:cs="Arial"/>
          <w:sz w:val="24"/>
        </w:rPr>
        <w:t>Title of report: Assessment 1</w:t>
      </w:r>
    </w:p>
    <w:p w14:paraId="1C7387B9" w14:textId="77777777" w:rsidR="00B42936" w:rsidRPr="00B42936" w:rsidRDefault="00B42936" w:rsidP="00B42936">
      <w:pPr>
        <w:pStyle w:val="Default"/>
        <w:spacing w:line="360" w:lineRule="auto"/>
        <w:jc w:val="center"/>
      </w:pPr>
    </w:p>
    <w:p w14:paraId="172A92F6" w14:textId="77777777" w:rsidR="00B42936" w:rsidRPr="00B42936" w:rsidRDefault="00B42936" w:rsidP="00B42936">
      <w:pPr>
        <w:pStyle w:val="Default"/>
        <w:spacing w:line="360" w:lineRule="auto"/>
        <w:jc w:val="center"/>
      </w:pPr>
      <w:r w:rsidRPr="00B42936">
        <w:t>Course: BA Business Management</w:t>
      </w:r>
    </w:p>
    <w:p w14:paraId="5754972C" w14:textId="77777777" w:rsidR="00B42936" w:rsidRPr="00B42936" w:rsidRDefault="00B42936" w:rsidP="00B42936">
      <w:pPr>
        <w:pStyle w:val="Default"/>
        <w:spacing w:line="360" w:lineRule="auto"/>
        <w:jc w:val="center"/>
      </w:pPr>
    </w:p>
    <w:p w14:paraId="6338487A" w14:textId="77777777" w:rsidR="00B42936" w:rsidRPr="00B42936" w:rsidRDefault="00B42936" w:rsidP="00B42936">
      <w:pPr>
        <w:pStyle w:val="Default"/>
        <w:spacing w:line="360" w:lineRule="auto"/>
        <w:jc w:val="center"/>
      </w:pPr>
      <w:r w:rsidRPr="00B42936">
        <w:t>Module name: International Financial Management</w:t>
      </w:r>
    </w:p>
    <w:p w14:paraId="014153D4" w14:textId="77777777" w:rsidR="00B42936" w:rsidRPr="00B42936" w:rsidRDefault="00B42936" w:rsidP="00B42936">
      <w:pPr>
        <w:pStyle w:val="Default"/>
        <w:spacing w:line="360" w:lineRule="auto"/>
        <w:jc w:val="center"/>
      </w:pPr>
    </w:p>
    <w:p w14:paraId="4239A7E2" w14:textId="77777777" w:rsidR="00B42936" w:rsidRPr="00B42936" w:rsidRDefault="00B42936" w:rsidP="00B42936">
      <w:pPr>
        <w:pStyle w:val="Default"/>
        <w:spacing w:line="360" w:lineRule="auto"/>
        <w:jc w:val="center"/>
      </w:pPr>
      <w:r w:rsidRPr="00B42936">
        <w:t>Module Code: LCBB6002</w:t>
      </w:r>
    </w:p>
    <w:p w14:paraId="38EA67F6" w14:textId="77777777" w:rsidR="00B42936" w:rsidRPr="00B42936" w:rsidRDefault="00B42936" w:rsidP="00B42936">
      <w:pPr>
        <w:pStyle w:val="Default"/>
        <w:spacing w:line="360" w:lineRule="auto"/>
        <w:jc w:val="center"/>
      </w:pPr>
    </w:p>
    <w:p w14:paraId="13A32C06" w14:textId="77777777" w:rsidR="00B42936" w:rsidRPr="00B42936" w:rsidRDefault="00B42936" w:rsidP="00B42936">
      <w:pPr>
        <w:pStyle w:val="Default"/>
        <w:spacing w:line="360" w:lineRule="auto"/>
        <w:jc w:val="center"/>
      </w:pPr>
      <w:r w:rsidRPr="00B42936">
        <w:t>Lecturer name: Ms Zainab Atta</w:t>
      </w:r>
    </w:p>
    <w:p w14:paraId="75DCABFB" w14:textId="77777777" w:rsidR="00B42936" w:rsidRPr="00B42936" w:rsidRDefault="00B42936" w:rsidP="00B42936">
      <w:pPr>
        <w:pStyle w:val="Default"/>
        <w:spacing w:line="360" w:lineRule="auto"/>
      </w:pPr>
    </w:p>
    <w:p w14:paraId="2DBEB92A" w14:textId="77777777" w:rsidR="00B42936" w:rsidRPr="00B42936" w:rsidRDefault="00B42936" w:rsidP="00B42936">
      <w:pPr>
        <w:pStyle w:val="Default"/>
        <w:spacing w:line="360" w:lineRule="auto"/>
        <w:jc w:val="center"/>
      </w:pPr>
      <w:r w:rsidRPr="00B42936">
        <w:t>Student name: Krasimir Iliev</w:t>
      </w:r>
    </w:p>
    <w:p w14:paraId="08D25934" w14:textId="77777777" w:rsidR="00B42936" w:rsidRPr="00B42936" w:rsidRDefault="00B42936" w:rsidP="00B42936">
      <w:pPr>
        <w:pStyle w:val="Default"/>
        <w:spacing w:line="360" w:lineRule="auto"/>
        <w:jc w:val="center"/>
      </w:pPr>
    </w:p>
    <w:p w14:paraId="08B4C44F" w14:textId="77777777" w:rsidR="00B42936" w:rsidRPr="00B42936" w:rsidRDefault="00B42936" w:rsidP="00B42936">
      <w:pPr>
        <w:pStyle w:val="Default"/>
        <w:spacing w:line="360" w:lineRule="auto"/>
        <w:jc w:val="center"/>
      </w:pPr>
      <w:r w:rsidRPr="00B42936">
        <w:t>Student ID: 2123464</w:t>
      </w:r>
    </w:p>
    <w:p w14:paraId="19DBC8D1" w14:textId="77777777" w:rsidR="00B42936" w:rsidRPr="00B42936" w:rsidRDefault="00B42936" w:rsidP="00B42936">
      <w:pPr>
        <w:pStyle w:val="Default"/>
        <w:spacing w:line="360" w:lineRule="auto"/>
        <w:jc w:val="center"/>
      </w:pPr>
    </w:p>
    <w:p w14:paraId="1FB3C3A8" w14:textId="77777777" w:rsidR="00B42936" w:rsidRDefault="00B42936" w:rsidP="00B42936">
      <w:pPr>
        <w:pStyle w:val="Default"/>
        <w:spacing w:line="360" w:lineRule="auto"/>
        <w:jc w:val="center"/>
      </w:pPr>
      <w:r w:rsidRPr="00B42936">
        <w:t>Submission Date: 02/04/2024</w:t>
      </w:r>
    </w:p>
    <w:p w14:paraId="5D430A6D" w14:textId="77777777" w:rsidR="00B56437" w:rsidRPr="00B42936" w:rsidRDefault="00B56437" w:rsidP="00B56437">
      <w:pPr>
        <w:pStyle w:val="TOCHeading"/>
        <w:spacing w:line="360" w:lineRule="auto"/>
        <w:jc w:val="both"/>
        <w:rPr>
          <w:rFonts w:ascii="Arial" w:eastAsiaTheme="minorHAnsi" w:hAnsi="Arial" w:cs="Arial"/>
          <w:b w:val="0"/>
          <w:bCs w:val="0"/>
          <w:color w:val="auto"/>
          <w:sz w:val="24"/>
          <w:szCs w:val="24"/>
        </w:rPr>
      </w:pPr>
    </w:p>
    <w:p w14:paraId="6FF3D974" w14:textId="77777777" w:rsidR="00B56437" w:rsidRPr="00B42936" w:rsidRDefault="00B56437" w:rsidP="00B56437">
      <w:pPr>
        <w:pStyle w:val="TOCHeading"/>
        <w:spacing w:line="360" w:lineRule="auto"/>
        <w:jc w:val="both"/>
        <w:rPr>
          <w:rFonts w:ascii="Arial" w:eastAsiaTheme="minorHAnsi" w:hAnsi="Arial" w:cs="Arial"/>
          <w:b w:val="0"/>
          <w:bCs w:val="0"/>
          <w:color w:val="auto"/>
          <w:sz w:val="24"/>
          <w:szCs w:val="24"/>
        </w:rPr>
      </w:pPr>
    </w:p>
    <w:sdt>
      <w:sdtPr>
        <w:rPr>
          <w:rFonts w:ascii="Arial" w:eastAsiaTheme="minorHAnsi" w:hAnsi="Arial" w:cs="Arial"/>
          <w:b w:val="0"/>
          <w:bCs w:val="0"/>
          <w:color w:val="auto"/>
          <w:sz w:val="24"/>
          <w:szCs w:val="24"/>
        </w:rPr>
        <w:id w:val="3954065"/>
        <w:docPartObj>
          <w:docPartGallery w:val="Table of Contents"/>
          <w:docPartUnique/>
        </w:docPartObj>
      </w:sdtPr>
      <w:sdtContent>
        <w:p w14:paraId="78EA1985" w14:textId="77777777" w:rsidR="00B56437" w:rsidRPr="00F779DB" w:rsidRDefault="00B56437" w:rsidP="00B56437">
          <w:pPr>
            <w:pStyle w:val="TOCHeading"/>
            <w:spacing w:line="360" w:lineRule="auto"/>
            <w:jc w:val="both"/>
            <w:rPr>
              <w:rFonts w:ascii="Arial" w:hAnsi="Arial" w:cs="Arial"/>
              <w:b w:val="0"/>
              <w:bCs w:val="0"/>
              <w:color w:val="auto"/>
              <w:sz w:val="24"/>
              <w:szCs w:val="24"/>
            </w:rPr>
          </w:pPr>
          <w:r w:rsidRPr="00F779DB">
            <w:rPr>
              <w:rFonts w:ascii="Arial" w:hAnsi="Arial" w:cs="Arial"/>
              <w:b w:val="0"/>
              <w:bCs w:val="0"/>
              <w:color w:val="auto"/>
              <w:sz w:val="24"/>
              <w:szCs w:val="24"/>
            </w:rPr>
            <w:t>Table of Contents</w:t>
          </w:r>
        </w:p>
        <w:p w14:paraId="16D0CB8E" w14:textId="7F6B611C" w:rsidR="00F779DB" w:rsidRPr="00F779DB" w:rsidRDefault="00B56437">
          <w:pPr>
            <w:pStyle w:val="TOC1"/>
            <w:tabs>
              <w:tab w:val="right" w:leader="dot" w:pos="9350"/>
            </w:tabs>
            <w:rPr>
              <w:rFonts w:ascii="Arial" w:eastAsiaTheme="minorEastAsia" w:hAnsi="Arial" w:cs="Arial"/>
              <w:noProof/>
              <w:kern w:val="2"/>
              <w:sz w:val="24"/>
              <w:szCs w:val="24"/>
              <w14:ligatures w14:val="standardContextual"/>
            </w:rPr>
          </w:pPr>
          <w:r w:rsidRPr="00F779DB">
            <w:rPr>
              <w:rFonts w:ascii="Arial" w:hAnsi="Arial" w:cs="Arial"/>
              <w:sz w:val="24"/>
              <w:szCs w:val="24"/>
            </w:rPr>
            <w:fldChar w:fldCharType="begin"/>
          </w:r>
          <w:r w:rsidRPr="00F779DB">
            <w:rPr>
              <w:rFonts w:ascii="Arial" w:hAnsi="Arial" w:cs="Arial"/>
              <w:sz w:val="24"/>
              <w:szCs w:val="24"/>
            </w:rPr>
            <w:instrText xml:space="preserve"> TOC \o "1-3" \h \z \u </w:instrText>
          </w:r>
          <w:r w:rsidRPr="00F779DB">
            <w:rPr>
              <w:rFonts w:ascii="Arial" w:hAnsi="Arial" w:cs="Arial"/>
              <w:sz w:val="24"/>
              <w:szCs w:val="24"/>
            </w:rPr>
            <w:fldChar w:fldCharType="separate"/>
          </w:r>
          <w:hyperlink w:anchor="_Toc162446849" w:history="1">
            <w:r w:rsidR="00F779DB" w:rsidRPr="00F779DB">
              <w:rPr>
                <w:rStyle w:val="Hyperlink"/>
                <w:rFonts w:ascii="Arial" w:hAnsi="Arial" w:cs="Arial"/>
                <w:noProof/>
                <w:sz w:val="24"/>
                <w:szCs w:val="24"/>
              </w:rPr>
              <w:t>Introduction</w:t>
            </w:r>
            <w:r w:rsidR="00F779DB" w:rsidRPr="00F779DB">
              <w:rPr>
                <w:rFonts w:ascii="Arial" w:hAnsi="Arial" w:cs="Arial"/>
                <w:noProof/>
                <w:webHidden/>
                <w:sz w:val="24"/>
                <w:szCs w:val="24"/>
              </w:rPr>
              <w:tab/>
            </w:r>
            <w:r w:rsidR="00F779DB" w:rsidRPr="00F779DB">
              <w:rPr>
                <w:rFonts w:ascii="Arial" w:hAnsi="Arial" w:cs="Arial"/>
                <w:noProof/>
                <w:webHidden/>
                <w:sz w:val="24"/>
                <w:szCs w:val="24"/>
              </w:rPr>
              <w:fldChar w:fldCharType="begin"/>
            </w:r>
            <w:r w:rsidR="00F779DB" w:rsidRPr="00F779DB">
              <w:rPr>
                <w:rFonts w:ascii="Arial" w:hAnsi="Arial" w:cs="Arial"/>
                <w:noProof/>
                <w:webHidden/>
                <w:sz w:val="24"/>
                <w:szCs w:val="24"/>
              </w:rPr>
              <w:instrText xml:space="preserve"> PAGEREF _Toc162446849 \h </w:instrText>
            </w:r>
            <w:r w:rsidR="00F779DB" w:rsidRPr="00F779DB">
              <w:rPr>
                <w:rFonts w:ascii="Arial" w:hAnsi="Arial" w:cs="Arial"/>
                <w:noProof/>
                <w:webHidden/>
                <w:sz w:val="24"/>
                <w:szCs w:val="24"/>
              </w:rPr>
            </w:r>
            <w:r w:rsidR="00F779DB" w:rsidRPr="00F779DB">
              <w:rPr>
                <w:rFonts w:ascii="Arial" w:hAnsi="Arial" w:cs="Arial"/>
                <w:noProof/>
                <w:webHidden/>
                <w:sz w:val="24"/>
                <w:szCs w:val="24"/>
              </w:rPr>
              <w:fldChar w:fldCharType="separate"/>
            </w:r>
            <w:r w:rsidR="00F779DB">
              <w:rPr>
                <w:rFonts w:ascii="Arial" w:hAnsi="Arial" w:cs="Arial"/>
                <w:noProof/>
                <w:webHidden/>
                <w:sz w:val="24"/>
                <w:szCs w:val="24"/>
              </w:rPr>
              <w:t>3</w:t>
            </w:r>
            <w:r w:rsidR="00F779DB" w:rsidRPr="00F779DB">
              <w:rPr>
                <w:rFonts w:ascii="Arial" w:hAnsi="Arial" w:cs="Arial"/>
                <w:noProof/>
                <w:webHidden/>
                <w:sz w:val="24"/>
                <w:szCs w:val="24"/>
              </w:rPr>
              <w:fldChar w:fldCharType="end"/>
            </w:r>
          </w:hyperlink>
        </w:p>
        <w:p w14:paraId="631DB9DF" w14:textId="2EC3C6D9"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0" w:history="1">
            <w:r w:rsidRPr="00F779DB">
              <w:rPr>
                <w:rStyle w:val="Hyperlink"/>
                <w:rFonts w:ascii="Arial" w:hAnsi="Arial" w:cs="Arial"/>
                <w:noProof/>
                <w:sz w:val="24"/>
                <w:szCs w:val="24"/>
              </w:rPr>
              <w:t>Understanding Financial Risk</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_Toc162446850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3</w:t>
            </w:r>
            <w:r w:rsidRPr="00F779DB">
              <w:rPr>
                <w:rFonts w:ascii="Arial" w:hAnsi="Arial" w:cs="Arial"/>
                <w:noProof/>
                <w:webHidden/>
                <w:sz w:val="24"/>
                <w:szCs w:val="24"/>
              </w:rPr>
              <w:fldChar w:fldCharType="end"/>
            </w:r>
          </w:hyperlink>
        </w:p>
        <w:p w14:paraId="067099D0" w14:textId="2EBFB395"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1" w:history="1">
            <w:r w:rsidRPr="00F779DB">
              <w:rPr>
                <w:rStyle w:val="Hyperlink"/>
                <w:rFonts w:ascii="Arial" w:hAnsi="Arial" w:cs="Arial"/>
                <w:noProof/>
                <w:sz w:val="24"/>
                <w:szCs w:val="24"/>
              </w:rPr>
              <w:t>Strategies for managing foreign risks</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_Toc162446851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4</w:t>
            </w:r>
            <w:r w:rsidRPr="00F779DB">
              <w:rPr>
                <w:rFonts w:ascii="Arial" w:hAnsi="Arial" w:cs="Arial"/>
                <w:noProof/>
                <w:webHidden/>
                <w:sz w:val="24"/>
                <w:szCs w:val="24"/>
              </w:rPr>
              <w:fldChar w:fldCharType="end"/>
            </w:r>
          </w:hyperlink>
        </w:p>
        <w:p w14:paraId="28C96AAD" w14:textId="78D8F9AF" w:rsidR="00F779DB" w:rsidRPr="00F779DB" w:rsidRDefault="00F779DB">
          <w:pPr>
            <w:pStyle w:val="TOC2"/>
            <w:tabs>
              <w:tab w:val="right" w:leader="dot" w:pos="9350"/>
            </w:tabs>
            <w:rPr>
              <w:rFonts w:ascii="Arial" w:eastAsiaTheme="minorEastAsia" w:hAnsi="Arial" w:cs="Arial"/>
              <w:noProof/>
              <w:kern w:val="2"/>
              <w:sz w:val="24"/>
              <w:szCs w:val="24"/>
              <w14:ligatures w14:val="standardContextual"/>
            </w:rPr>
          </w:pPr>
          <w:hyperlink w:anchor="_Toc162446852" w:history="1">
            <w:r w:rsidRPr="00F779DB">
              <w:rPr>
                <w:rStyle w:val="Hyperlink"/>
                <w:rFonts w:ascii="Arial" w:hAnsi="Arial" w:cs="Arial"/>
                <w:noProof/>
                <w:sz w:val="24"/>
                <w:szCs w:val="24"/>
              </w:rPr>
              <w:t>Financial Hedging</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_Toc162446852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4</w:t>
            </w:r>
            <w:r w:rsidRPr="00F779DB">
              <w:rPr>
                <w:rFonts w:ascii="Arial" w:hAnsi="Arial" w:cs="Arial"/>
                <w:noProof/>
                <w:webHidden/>
                <w:sz w:val="24"/>
                <w:szCs w:val="24"/>
              </w:rPr>
              <w:fldChar w:fldCharType="end"/>
            </w:r>
          </w:hyperlink>
        </w:p>
        <w:p w14:paraId="520E2578" w14:textId="03C08432" w:rsidR="00F779DB" w:rsidRPr="00F779DB" w:rsidRDefault="00F779DB">
          <w:pPr>
            <w:pStyle w:val="TOC2"/>
            <w:tabs>
              <w:tab w:val="right" w:leader="dot" w:pos="9350"/>
            </w:tabs>
            <w:rPr>
              <w:rFonts w:ascii="Arial" w:eastAsiaTheme="minorEastAsia" w:hAnsi="Arial" w:cs="Arial"/>
              <w:noProof/>
              <w:kern w:val="2"/>
              <w:sz w:val="24"/>
              <w:szCs w:val="24"/>
              <w14:ligatures w14:val="standardContextual"/>
            </w:rPr>
          </w:pPr>
          <w:hyperlink w:anchor="_Toc162446853" w:history="1">
            <w:r w:rsidRPr="00F779DB">
              <w:rPr>
                <w:rStyle w:val="Hyperlink"/>
                <w:rFonts w:ascii="Arial" w:hAnsi="Arial" w:cs="Arial"/>
                <w:noProof/>
                <w:sz w:val="24"/>
                <w:szCs w:val="24"/>
              </w:rPr>
              <w:t>Operational Strategies</w:t>
            </w:r>
            <w:r w:rsidRPr="00F779DB">
              <w:rPr>
                <w:rFonts w:ascii="Arial" w:hAnsi="Arial" w:cs="Arial"/>
                <w:noProof/>
                <w:webHidden/>
                <w:sz w:val="24"/>
                <w:szCs w:val="24"/>
              </w:rPr>
              <w:tab/>
            </w:r>
            <w:r>
              <w:rPr>
                <w:rFonts w:ascii="Arial" w:hAnsi="Arial" w:cs="Arial"/>
                <w:noProof/>
                <w:webHidden/>
                <w:sz w:val="24"/>
                <w:szCs w:val="24"/>
              </w:rPr>
              <w:t>5</w:t>
            </w:r>
          </w:hyperlink>
        </w:p>
        <w:p w14:paraId="03C05666" w14:textId="23B7BDFA"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4" w:history="1">
            <w:r w:rsidRPr="00F779DB">
              <w:rPr>
                <w:rStyle w:val="Hyperlink"/>
                <w:rFonts w:ascii="Arial" w:hAnsi="Arial" w:cs="Arial"/>
                <w:noProof/>
                <w:sz w:val="24"/>
                <w:szCs w:val="24"/>
              </w:rPr>
              <w:t>Strategies approaches</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_Toc162446854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5</w:t>
            </w:r>
            <w:r w:rsidRPr="00F779DB">
              <w:rPr>
                <w:rFonts w:ascii="Arial" w:hAnsi="Arial" w:cs="Arial"/>
                <w:noProof/>
                <w:webHidden/>
                <w:sz w:val="24"/>
                <w:szCs w:val="24"/>
              </w:rPr>
              <w:fldChar w:fldCharType="end"/>
            </w:r>
          </w:hyperlink>
        </w:p>
        <w:p w14:paraId="04BF2674" w14:textId="252E6734"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5" w:history="1">
            <w:r w:rsidRPr="00F779DB">
              <w:rPr>
                <w:rStyle w:val="Hyperlink"/>
                <w:rFonts w:ascii="Arial" w:hAnsi="Arial" w:cs="Arial"/>
                <w:noProof/>
                <w:sz w:val="24"/>
                <w:szCs w:val="24"/>
              </w:rPr>
              <w:t>Foreign exchange rates</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_Toc162446855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6</w:t>
            </w:r>
            <w:r w:rsidRPr="00F779DB">
              <w:rPr>
                <w:rFonts w:ascii="Arial" w:hAnsi="Arial" w:cs="Arial"/>
                <w:noProof/>
                <w:webHidden/>
                <w:sz w:val="24"/>
                <w:szCs w:val="24"/>
              </w:rPr>
              <w:fldChar w:fldCharType="end"/>
            </w:r>
          </w:hyperlink>
        </w:p>
        <w:p w14:paraId="3432E7BD" w14:textId="4B7ACD23"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6" w:history="1">
            <w:r w:rsidRPr="00F779DB">
              <w:rPr>
                <w:rStyle w:val="Hyperlink"/>
                <w:rFonts w:ascii="Arial" w:hAnsi="Arial" w:cs="Arial"/>
                <w:noProof/>
                <w:sz w:val="24"/>
                <w:szCs w:val="24"/>
              </w:rPr>
              <w:t>Conclusion</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_Toc162446856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7</w:t>
            </w:r>
            <w:r w:rsidRPr="00F779DB">
              <w:rPr>
                <w:rFonts w:ascii="Arial" w:hAnsi="Arial" w:cs="Arial"/>
                <w:noProof/>
                <w:webHidden/>
                <w:sz w:val="24"/>
                <w:szCs w:val="24"/>
              </w:rPr>
              <w:fldChar w:fldCharType="end"/>
            </w:r>
          </w:hyperlink>
        </w:p>
        <w:p w14:paraId="1FF10EF6" w14:textId="7E230A7F" w:rsidR="00F779DB" w:rsidRPr="00F779DB" w:rsidRDefault="00F779DB">
          <w:pPr>
            <w:pStyle w:val="TOC1"/>
            <w:tabs>
              <w:tab w:val="right" w:leader="dot" w:pos="9350"/>
            </w:tabs>
            <w:rPr>
              <w:rFonts w:ascii="Arial" w:eastAsiaTheme="minorEastAsia" w:hAnsi="Arial" w:cs="Arial"/>
              <w:noProof/>
              <w:kern w:val="2"/>
              <w:sz w:val="24"/>
              <w:szCs w:val="24"/>
              <w14:ligatures w14:val="standardContextual"/>
            </w:rPr>
          </w:pPr>
          <w:hyperlink w:anchor="_Toc162446857" w:history="1">
            <w:r w:rsidRPr="00F779DB">
              <w:rPr>
                <w:rStyle w:val="Hyperlink"/>
                <w:rFonts w:ascii="Arial" w:hAnsi="Arial" w:cs="Arial"/>
                <w:noProof/>
                <w:sz w:val="24"/>
                <w:szCs w:val="24"/>
              </w:rPr>
              <w:t>References</w:t>
            </w:r>
            <w:r w:rsidRPr="00F779DB">
              <w:rPr>
                <w:rFonts w:ascii="Arial" w:hAnsi="Arial" w:cs="Arial"/>
                <w:noProof/>
                <w:webHidden/>
                <w:sz w:val="24"/>
                <w:szCs w:val="24"/>
              </w:rPr>
              <w:tab/>
            </w:r>
            <w:r w:rsidRPr="00F779DB">
              <w:rPr>
                <w:rFonts w:ascii="Arial" w:hAnsi="Arial" w:cs="Arial"/>
                <w:noProof/>
                <w:webHidden/>
                <w:sz w:val="24"/>
                <w:szCs w:val="24"/>
              </w:rPr>
              <w:fldChar w:fldCharType="begin"/>
            </w:r>
            <w:r w:rsidRPr="00F779DB">
              <w:rPr>
                <w:rFonts w:ascii="Arial" w:hAnsi="Arial" w:cs="Arial"/>
                <w:noProof/>
                <w:webHidden/>
                <w:sz w:val="24"/>
                <w:szCs w:val="24"/>
              </w:rPr>
              <w:instrText xml:space="preserve"> PAGEREF _Toc162446857 \h </w:instrText>
            </w:r>
            <w:r w:rsidRPr="00F779DB">
              <w:rPr>
                <w:rFonts w:ascii="Arial" w:hAnsi="Arial" w:cs="Arial"/>
                <w:noProof/>
                <w:webHidden/>
                <w:sz w:val="24"/>
                <w:szCs w:val="24"/>
              </w:rPr>
            </w:r>
            <w:r w:rsidRPr="00F779DB">
              <w:rPr>
                <w:rFonts w:ascii="Arial" w:hAnsi="Arial" w:cs="Arial"/>
                <w:noProof/>
                <w:webHidden/>
                <w:sz w:val="24"/>
                <w:szCs w:val="24"/>
              </w:rPr>
              <w:fldChar w:fldCharType="separate"/>
            </w:r>
            <w:r>
              <w:rPr>
                <w:rFonts w:ascii="Arial" w:hAnsi="Arial" w:cs="Arial"/>
                <w:noProof/>
                <w:webHidden/>
                <w:sz w:val="24"/>
                <w:szCs w:val="24"/>
              </w:rPr>
              <w:t>8</w:t>
            </w:r>
            <w:r w:rsidRPr="00F779DB">
              <w:rPr>
                <w:rFonts w:ascii="Arial" w:hAnsi="Arial" w:cs="Arial"/>
                <w:noProof/>
                <w:webHidden/>
                <w:sz w:val="24"/>
                <w:szCs w:val="24"/>
              </w:rPr>
              <w:fldChar w:fldCharType="end"/>
            </w:r>
          </w:hyperlink>
        </w:p>
        <w:p w14:paraId="55E0D7C2" w14:textId="7DD7A9E9" w:rsidR="00B56437" w:rsidRPr="00B42936" w:rsidRDefault="00B56437" w:rsidP="00B56437">
          <w:pPr>
            <w:spacing w:line="360" w:lineRule="auto"/>
            <w:jc w:val="both"/>
            <w:rPr>
              <w:rFonts w:ascii="Arial" w:hAnsi="Arial" w:cs="Arial"/>
              <w:sz w:val="24"/>
              <w:szCs w:val="24"/>
            </w:rPr>
          </w:pPr>
          <w:r w:rsidRPr="00F779DB">
            <w:rPr>
              <w:rFonts w:ascii="Arial" w:hAnsi="Arial" w:cs="Arial"/>
              <w:sz w:val="24"/>
              <w:szCs w:val="24"/>
            </w:rPr>
            <w:fldChar w:fldCharType="end"/>
          </w:r>
        </w:p>
      </w:sdtContent>
    </w:sdt>
    <w:p w14:paraId="62D9ACE7" w14:textId="1297A78F" w:rsidR="00B56437" w:rsidRDefault="00B56437" w:rsidP="00B56437">
      <w:pPr>
        <w:spacing w:line="360" w:lineRule="auto"/>
        <w:jc w:val="both"/>
        <w:rPr>
          <w:rFonts w:ascii="Arial" w:hAnsi="Arial" w:cs="Arial"/>
          <w:b/>
          <w:sz w:val="24"/>
          <w:szCs w:val="24"/>
        </w:rPr>
      </w:pPr>
    </w:p>
    <w:p w14:paraId="155CCD14" w14:textId="77777777" w:rsidR="00F779DB" w:rsidRDefault="00F779DB" w:rsidP="00B56437">
      <w:pPr>
        <w:spacing w:line="360" w:lineRule="auto"/>
        <w:jc w:val="both"/>
        <w:rPr>
          <w:rFonts w:ascii="Arial" w:hAnsi="Arial" w:cs="Arial"/>
          <w:b/>
          <w:sz w:val="24"/>
          <w:szCs w:val="24"/>
        </w:rPr>
      </w:pPr>
    </w:p>
    <w:p w14:paraId="31FF69AA" w14:textId="77777777" w:rsidR="00B56437" w:rsidRDefault="00B56437" w:rsidP="00B56437">
      <w:pPr>
        <w:spacing w:line="360" w:lineRule="auto"/>
        <w:jc w:val="both"/>
        <w:rPr>
          <w:rFonts w:ascii="Arial" w:hAnsi="Arial" w:cs="Arial"/>
          <w:b/>
          <w:sz w:val="24"/>
          <w:szCs w:val="24"/>
        </w:rPr>
      </w:pPr>
    </w:p>
    <w:p w14:paraId="4FD269E0" w14:textId="77777777" w:rsidR="00B56437" w:rsidRDefault="00B56437" w:rsidP="00B56437">
      <w:pPr>
        <w:spacing w:line="360" w:lineRule="auto"/>
        <w:jc w:val="both"/>
        <w:rPr>
          <w:rFonts w:ascii="Arial" w:hAnsi="Arial" w:cs="Arial"/>
          <w:b/>
          <w:sz w:val="24"/>
          <w:szCs w:val="24"/>
        </w:rPr>
      </w:pPr>
    </w:p>
    <w:p w14:paraId="00A908F3" w14:textId="77777777" w:rsidR="00B56437" w:rsidRDefault="00B56437" w:rsidP="00B56437">
      <w:pPr>
        <w:spacing w:line="360" w:lineRule="auto"/>
        <w:jc w:val="both"/>
        <w:rPr>
          <w:rFonts w:ascii="Arial" w:hAnsi="Arial" w:cs="Arial"/>
          <w:b/>
          <w:sz w:val="24"/>
          <w:szCs w:val="24"/>
        </w:rPr>
      </w:pPr>
    </w:p>
    <w:p w14:paraId="21916BD5" w14:textId="77777777" w:rsidR="00B56437" w:rsidRDefault="00B56437" w:rsidP="00B56437">
      <w:pPr>
        <w:spacing w:line="360" w:lineRule="auto"/>
        <w:jc w:val="both"/>
        <w:rPr>
          <w:rFonts w:ascii="Arial" w:hAnsi="Arial" w:cs="Arial"/>
          <w:b/>
          <w:sz w:val="24"/>
          <w:szCs w:val="24"/>
        </w:rPr>
      </w:pPr>
    </w:p>
    <w:p w14:paraId="617A1022" w14:textId="77777777" w:rsidR="00B56437" w:rsidRDefault="00B56437" w:rsidP="00B56437">
      <w:pPr>
        <w:spacing w:line="360" w:lineRule="auto"/>
        <w:jc w:val="both"/>
        <w:rPr>
          <w:rFonts w:ascii="Arial" w:hAnsi="Arial" w:cs="Arial"/>
          <w:b/>
          <w:sz w:val="24"/>
          <w:szCs w:val="24"/>
        </w:rPr>
      </w:pPr>
    </w:p>
    <w:p w14:paraId="10DEF2A6" w14:textId="77777777" w:rsidR="00B56437" w:rsidRDefault="00B56437" w:rsidP="00B56437">
      <w:pPr>
        <w:spacing w:line="360" w:lineRule="auto"/>
        <w:jc w:val="both"/>
        <w:rPr>
          <w:rFonts w:ascii="Arial" w:hAnsi="Arial" w:cs="Arial"/>
          <w:b/>
          <w:sz w:val="24"/>
          <w:szCs w:val="24"/>
        </w:rPr>
      </w:pPr>
    </w:p>
    <w:p w14:paraId="75304719" w14:textId="77777777" w:rsidR="00B56437" w:rsidRPr="00B56437" w:rsidRDefault="00B56437" w:rsidP="00B56437">
      <w:pPr>
        <w:spacing w:line="360" w:lineRule="auto"/>
        <w:jc w:val="both"/>
        <w:rPr>
          <w:rFonts w:ascii="Arial" w:hAnsi="Arial" w:cs="Arial"/>
          <w:b/>
          <w:sz w:val="24"/>
          <w:szCs w:val="24"/>
        </w:rPr>
      </w:pPr>
    </w:p>
    <w:p w14:paraId="650599DB" w14:textId="121E3CA2" w:rsidR="00B42936" w:rsidRPr="00B42936" w:rsidRDefault="00B42936" w:rsidP="00B42936">
      <w:pPr>
        <w:pStyle w:val="Heading1"/>
        <w:spacing w:line="360" w:lineRule="auto"/>
        <w:jc w:val="both"/>
        <w:rPr>
          <w:rFonts w:ascii="Arial" w:hAnsi="Arial" w:cs="Arial"/>
          <w:b/>
          <w:bCs/>
          <w:color w:val="auto"/>
          <w:sz w:val="24"/>
          <w:szCs w:val="24"/>
        </w:rPr>
      </w:pPr>
      <w:bookmarkStart w:id="0" w:name="_Toc162446849"/>
      <w:r w:rsidRPr="00B42936">
        <w:rPr>
          <w:rFonts w:ascii="Arial" w:hAnsi="Arial" w:cs="Arial"/>
          <w:b/>
          <w:bCs/>
          <w:color w:val="auto"/>
          <w:sz w:val="24"/>
          <w:szCs w:val="24"/>
        </w:rPr>
        <w:lastRenderedPageBreak/>
        <w:t>Introduction</w:t>
      </w:r>
      <w:bookmarkEnd w:id="0"/>
    </w:p>
    <w:p w14:paraId="22EC4665"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The current state of the business financial system is crucial in shaping the future of many businesses in an efficient and effective manner. Multinational corporations (MNCs) enter the market to grasp emerging problems and challenges while offering effective and efficient administration of foreign exchange rates. This study will describe the strategies that MNCS has devised and implemented to counter the obstacles, with a particular emphasis on the efficient and successful estimation of the theoretical framework.  Also, this statement will illustrate the models which are employed for estimating the results of the learning through various methods of finance and foreign business. This report will illustrate the financial structure and capital structure of the organization efficiently. In addition, the financial risks increases due to several operation of the organization in several nations, and thus this report will outline the management of the fiscal risk of the MNCs efficiently.</w:t>
      </w:r>
    </w:p>
    <w:p w14:paraId="5D555061" w14:textId="5AC81926" w:rsidR="00B42936" w:rsidRPr="00B42936" w:rsidRDefault="00B42936" w:rsidP="00B42936">
      <w:pPr>
        <w:pStyle w:val="Heading1"/>
        <w:spacing w:line="360" w:lineRule="auto"/>
        <w:jc w:val="both"/>
        <w:rPr>
          <w:rFonts w:ascii="Arial" w:hAnsi="Arial" w:cs="Arial"/>
          <w:b/>
          <w:bCs/>
          <w:color w:val="auto"/>
          <w:sz w:val="24"/>
          <w:szCs w:val="24"/>
        </w:rPr>
      </w:pPr>
      <w:bookmarkStart w:id="1" w:name="_Toc162446850"/>
      <w:r w:rsidRPr="00B42936">
        <w:rPr>
          <w:rFonts w:ascii="Arial" w:hAnsi="Arial" w:cs="Arial"/>
          <w:b/>
          <w:bCs/>
          <w:color w:val="auto"/>
          <w:sz w:val="24"/>
          <w:szCs w:val="24"/>
        </w:rPr>
        <w:t>Understanding Financial Risk</w:t>
      </w:r>
      <w:bookmarkEnd w:id="1"/>
    </w:p>
    <w:p w14:paraId="2CF98237"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Foreign exchange also known as currency risk or forex risk, primarily illustrates the potential monetary risk or hazard that arises from adverse activities in the exchange rates of multinational corporations. Furthermore, it has been observed that the organization primarily addresses the three significant categories of risk that are outlined below:</w:t>
      </w:r>
    </w:p>
    <w:p w14:paraId="7B053DCF"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Transaction Exposure:</w:t>
      </w:r>
      <w:r w:rsidRPr="00B42936">
        <w:rPr>
          <w:rFonts w:ascii="Arial" w:hAnsi="Arial" w:cs="Arial"/>
          <w:sz w:val="24"/>
          <w:szCs w:val="24"/>
        </w:rPr>
        <w:t xml:space="preserve"> This mostly acquires while international businesses have several contractual and currency flows in various countries, and perversely the differences in the switch rate can formulate impact on the worth of the financial cash flow </w:t>
      </w:r>
      <w:proofErr w:type="gramStart"/>
      <w:r w:rsidRPr="00B42936">
        <w:rPr>
          <w:rFonts w:ascii="Arial" w:hAnsi="Arial" w:cs="Arial"/>
          <w:sz w:val="24"/>
          <w:szCs w:val="24"/>
        </w:rPr>
        <w:t>and also</w:t>
      </w:r>
      <w:proofErr w:type="gramEnd"/>
      <w:r w:rsidRPr="00B42936">
        <w:rPr>
          <w:rFonts w:ascii="Arial" w:hAnsi="Arial" w:cs="Arial"/>
          <w:sz w:val="24"/>
          <w:szCs w:val="24"/>
        </w:rPr>
        <w:t xml:space="preserve"> on the additional money flows </w:t>
      </w:r>
      <w:r w:rsidRPr="00B42936">
        <w:rPr>
          <w:rFonts w:ascii="Arial" w:hAnsi="Arial" w:cs="Arial"/>
          <w:sz w:val="24"/>
          <w:szCs w:val="24"/>
          <w:shd w:val="clear" w:color="auto" w:fill="FFFFFF"/>
        </w:rPr>
        <w:t>(Salomao and Varela, 2022)</w:t>
      </w:r>
      <w:r w:rsidRPr="00B42936">
        <w:rPr>
          <w:rFonts w:ascii="Arial" w:hAnsi="Arial" w:cs="Arial"/>
          <w:sz w:val="24"/>
          <w:szCs w:val="24"/>
        </w:rPr>
        <w:t>.</w:t>
      </w:r>
    </w:p>
    <w:p w14:paraId="1321397E"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 xml:space="preserve">Translation Exposure: </w:t>
      </w:r>
      <w:r w:rsidRPr="00B42936">
        <w:rPr>
          <w:rFonts w:ascii="Arial" w:hAnsi="Arial" w:cs="Arial"/>
          <w:sz w:val="24"/>
          <w:szCs w:val="24"/>
        </w:rPr>
        <w:t>The risk that multinational corporations (MNCs) face due to exchange rate fluctuations that affect the assessment of their unfamiliar currency assets, revenues, liability, and operating cost when they are translate into the reporting exchange for fiscal reporting purposes is referred to as accounting exposure.</w:t>
      </w:r>
    </w:p>
    <w:p w14:paraId="7CA76405"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Economic Exposure:</w:t>
      </w:r>
      <w:r w:rsidRPr="00B42936">
        <w:rPr>
          <w:rFonts w:ascii="Arial" w:hAnsi="Arial" w:cs="Arial"/>
          <w:sz w:val="24"/>
          <w:szCs w:val="24"/>
        </w:rPr>
        <w:t xml:space="preserve"> It is known as the operating exposures, because of changes in the exchange rates affecting the cash value and flows of their future operating competitive </w:t>
      </w:r>
      <w:r w:rsidRPr="00B42936">
        <w:rPr>
          <w:rFonts w:ascii="Arial" w:hAnsi="Arial" w:cs="Arial"/>
          <w:sz w:val="24"/>
          <w:szCs w:val="24"/>
        </w:rPr>
        <w:lastRenderedPageBreak/>
        <w:t xml:space="preserve">position, cash flows and firm value. Unlike the translation exposure, which impacts the valuation of the existing liabilities and assets, and financial exposure pertains to the outcome of exchange rate fluctuations on the market competitiveness and future cash flows </w:t>
      </w:r>
      <w:r w:rsidRPr="00B42936">
        <w:rPr>
          <w:rFonts w:ascii="Arial" w:hAnsi="Arial" w:cs="Arial"/>
          <w:sz w:val="24"/>
          <w:szCs w:val="24"/>
          <w:shd w:val="clear" w:color="auto" w:fill="FFFFFF"/>
        </w:rPr>
        <w:t>(Fragouli and Nicolaidou, 2020)</w:t>
      </w:r>
      <w:r w:rsidRPr="00B42936">
        <w:rPr>
          <w:rFonts w:ascii="Arial" w:hAnsi="Arial" w:cs="Arial"/>
          <w:sz w:val="24"/>
          <w:szCs w:val="24"/>
        </w:rPr>
        <w:t>.</w:t>
      </w:r>
    </w:p>
    <w:p w14:paraId="3CB51E6F" w14:textId="77777777" w:rsidR="00B42936" w:rsidRPr="00B42936" w:rsidRDefault="00B42936" w:rsidP="00B42936">
      <w:pPr>
        <w:pStyle w:val="Heading1"/>
        <w:spacing w:line="360" w:lineRule="auto"/>
        <w:jc w:val="both"/>
        <w:rPr>
          <w:rFonts w:ascii="Arial" w:hAnsi="Arial" w:cs="Arial"/>
          <w:b/>
          <w:bCs/>
          <w:color w:val="auto"/>
          <w:sz w:val="24"/>
          <w:szCs w:val="24"/>
        </w:rPr>
      </w:pPr>
      <w:bookmarkStart w:id="2" w:name="_Toc162446851"/>
      <w:r w:rsidRPr="00B42936">
        <w:rPr>
          <w:rFonts w:ascii="Arial" w:hAnsi="Arial" w:cs="Arial"/>
          <w:b/>
          <w:bCs/>
          <w:color w:val="auto"/>
          <w:sz w:val="24"/>
          <w:szCs w:val="24"/>
        </w:rPr>
        <w:t>Strategies for managing foreign risks</w:t>
      </w:r>
      <w:bookmarkEnd w:id="2"/>
    </w:p>
    <w:p w14:paraId="0B5D63AA"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Managing foreign exchange risks includes using several strategies to alleviate the impact of the currency fluctuations on fiscal performance, business operations and the cash flows. The follows are described below:</w:t>
      </w:r>
    </w:p>
    <w:p w14:paraId="18C53459" w14:textId="77777777" w:rsidR="00B42936" w:rsidRPr="00B42936" w:rsidRDefault="00B42936" w:rsidP="00B42936">
      <w:pPr>
        <w:pStyle w:val="Heading2"/>
        <w:spacing w:line="360" w:lineRule="auto"/>
        <w:jc w:val="both"/>
        <w:rPr>
          <w:rFonts w:ascii="Arial" w:hAnsi="Arial" w:cs="Arial"/>
          <w:b/>
          <w:bCs/>
          <w:color w:val="auto"/>
          <w:sz w:val="24"/>
          <w:szCs w:val="24"/>
        </w:rPr>
      </w:pPr>
      <w:bookmarkStart w:id="3" w:name="_Toc162446852"/>
      <w:r w:rsidRPr="00B42936">
        <w:rPr>
          <w:rFonts w:ascii="Arial" w:hAnsi="Arial" w:cs="Arial"/>
          <w:b/>
          <w:bCs/>
          <w:color w:val="auto"/>
          <w:sz w:val="24"/>
          <w:szCs w:val="24"/>
        </w:rPr>
        <w:t>Financial Hedging</w:t>
      </w:r>
      <w:bookmarkEnd w:id="3"/>
    </w:p>
    <w:p w14:paraId="6075E7A9"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 xml:space="preserve">Forward Contracts: </w:t>
      </w:r>
      <w:r w:rsidRPr="00B42936">
        <w:rPr>
          <w:rFonts w:ascii="Arial" w:hAnsi="Arial" w:cs="Arial"/>
          <w:sz w:val="24"/>
          <w:szCs w:val="24"/>
        </w:rPr>
        <w:t xml:space="preserve">A forward contract is the bond between the two parties to trade a specific amount of money at a fixed exchange rate on the future date, and this facilitates the business to lock in a particular exchange rate, and thus hedging against the poor currency movements </w:t>
      </w:r>
      <w:r w:rsidRPr="00B42936">
        <w:rPr>
          <w:rFonts w:ascii="Arial" w:hAnsi="Arial" w:cs="Arial"/>
          <w:sz w:val="24"/>
          <w:szCs w:val="24"/>
          <w:shd w:val="clear" w:color="auto" w:fill="FFFFFF"/>
        </w:rPr>
        <w:t>(Dang et al., 2020)</w:t>
      </w:r>
      <w:r w:rsidRPr="00B42936">
        <w:rPr>
          <w:rFonts w:ascii="Arial" w:hAnsi="Arial" w:cs="Arial"/>
          <w:sz w:val="24"/>
          <w:szCs w:val="24"/>
        </w:rPr>
        <w:t xml:space="preserve">. </w:t>
      </w:r>
    </w:p>
    <w:p w14:paraId="26453A7A"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Future contracts:</w:t>
      </w:r>
      <w:r w:rsidRPr="00B42936">
        <w:rPr>
          <w:rFonts w:ascii="Arial" w:hAnsi="Arial" w:cs="Arial"/>
          <w:sz w:val="24"/>
          <w:szCs w:val="24"/>
        </w:rPr>
        <w:t xml:space="preserve"> This are related to forward the contracts but are operated on the exchanges with standardized terms, and making them easily tradable and more liquid, and also provide the same purpose as the forward contracts in hedging against the financial risks.</w:t>
      </w:r>
    </w:p>
    <w:p w14:paraId="48E12C5E"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Options contracts:</w:t>
      </w:r>
      <w:r w:rsidRPr="00B42936">
        <w:rPr>
          <w:rFonts w:ascii="Arial" w:hAnsi="Arial" w:cs="Arial"/>
          <w:sz w:val="24"/>
          <w:szCs w:val="24"/>
        </w:rPr>
        <w:t xml:space="preserve"> This provides the possessor the correct but not the compulsion to buy or sell a particular amount of money at fixed prices in the stipulated time. This facilitates suppleness to enclose against the adverse currency movements while promoting from the positive ones </w:t>
      </w:r>
      <w:r w:rsidRPr="00B42936">
        <w:rPr>
          <w:rFonts w:ascii="Arial" w:hAnsi="Arial" w:cs="Arial"/>
          <w:sz w:val="24"/>
          <w:szCs w:val="24"/>
          <w:shd w:val="clear" w:color="auto" w:fill="FFFFFF"/>
        </w:rPr>
        <w:t>(Cespa et al., 2022)</w:t>
      </w:r>
      <w:r w:rsidRPr="00B42936">
        <w:rPr>
          <w:rFonts w:ascii="Arial" w:hAnsi="Arial" w:cs="Arial"/>
          <w:sz w:val="24"/>
          <w:szCs w:val="24"/>
        </w:rPr>
        <w:t>.</w:t>
      </w:r>
    </w:p>
    <w:p w14:paraId="016FE805"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Currency swaps:</w:t>
      </w:r>
      <w:r w:rsidRPr="00B42936">
        <w:rPr>
          <w:rFonts w:ascii="Arial" w:hAnsi="Arial" w:cs="Arial"/>
          <w:sz w:val="24"/>
          <w:szCs w:val="24"/>
        </w:rPr>
        <w:t xml:space="preserve"> This include exchanging cash flows denominated in various monetary for a fixed period, and this facilitates to enclose against the monetary risk which is associated with the investments and debt obligations by successfully transforming one currency into the another one.</w:t>
      </w:r>
    </w:p>
    <w:p w14:paraId="3D24C170"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lastRenderedPageBreak/>
        <w:t>Money market hedge:</w:t>
      </w:r>
      <w:r w:rsidRPr="00B42936">
        <w:rPr>
          <w:rFonts w:ascii="Arial" w:hAnsi="Arial" w:cs="Arial"/>
          <w:sz w:val="24"/>
          <w:szCs w:val="24"/>
        </w:rPr>
        <w:t xml:space="preserve"> This includes lending or borrowing in different currencies to match the currency outflows and inflows, and thus enclosing against the currency risk, and this strategy is mainly helpful for short-term enclosing needs </w:t>
      </w:r>
      <w:r w:rsidRPr="00B42936">
        <w:rPr>
          <w:rFonts w:ascii="Arial" w:hAnsi="Arial" w:cs="Arial"/>
          <w:sz w:val="24"/>
          <w:szCs w:val="24"/>
          <w:shd w:val="clear" w:color="auto" w:fill="FFFFFF"/>
        </w:rPr>
        <w:t>(Cavusgil et al., 2020)</w:t>
      </w:r>
      <w:r w:rsidRPr="00B42936">
        <w:rPr>
          <w:rFonts w:ascii="Arial" w:hAnsi="Arial" w:cs="Arial"/>
          <w:sz w:val="24"/>
          <w:szCs w:val="24"/>
        </w:rPr>
        <w:t>.</w:t>
      </w:r>
    </w:p>
    <w:p w14:paraId="461DB350" w14:textId="77777777" w:rsidR="00B42936" w:rsidRPr="00B42936" w:rsidRDefault="00B42936" w:rsidP="00B42936">
      <w:pPr>
        <w:pStyle w:val="Heading2"/>
        <w:spacing w:line="360" w:lineRule="auto"/>
        <w:jc w:val="both"/>
        <w:rPr>
          <w:rFonts w:ascii="Arial" w:hAnsi="Arial" w:cs="Arial"/>
          <w:b/>
          <w:bCs/>
          <w:color w:val="auto"/>
          <w:sz w:val="24"/>
          <w:szCs w:val="24"/>
        </w:rPr>
      </w:pPr>
      <w:bookmarkStart w:id="4" w:name="_Toc162446853"/>
      <w:r w:rsidRPr="00B42936">
        <w:rPr>
          <w:rFonts w:ascii="Arial" w:hAnsi="Arial" w:cs="Arial"/>
          <w:b/>
          <w:bCs/>
          <w:color w:val="auto"/>
          <w:sz w:val="24"/>
          <w:szCs w:val="24"/>
        </w:rPr>
        <w:t>Operational Strategies</w:t>
      </w:r>
      <w:bookmarkEnd w:id="4"/>
    </w:p>
    <w:p w14:paraId="7C74F041"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Natural hedging:</w:t>
      </w:r>
      <w:r w:rsidRPr="00B42936">
        <w:rPr>
          <w:rFonts w:ascii="Arial" w:hAnsi="Arial" w:cs="Arial"/>
          <w:sz w:val="24"/>
          <w:szCs w:val="24"/>
        </w:rPr>
        <w:t xml:space="preserve"> This includes structuring operations in a way that the inherent currency exposures are counteract by matching the currency outflows and inflows, and by supporting the currency of the revenues with that of expenses, or by differentiating the revenue streams across the various currency zones, and business can naturally enclose their currency risk without the need for the fiscal instruments </w:t>
      </w:r>
      <w:r w:rsidRPr="00B42936">
        <w:rPr>
          <w:rFonts w:ascii="Arial" w:hAnsi="Arial" w:cs="Arial"/>
          <w:sz w:val="24"/>
          <w:szCs w:val="24"/>
          <w:shd w:val="clear" w:color="auto" w:fill="FFFFFF"/>
        </w:rPr>
        <w:t>(Bernoth and Herwartz, 2021)</w:t>
      </w:r>
      <w:r w:rsidRPr="00B42936">
        <w:rPr>
          <w:rFonts w:ascii="Arial" w:hAnsi="Arial" w:cs="Arial"/>
          <w:sz w:val="24"/>
          <w:szCs w:val="24"/>
        </w:rPr>
        <w:t>.</w:t>
      </w:r>
    </w:p>
    <w:p w14:paraId="2D31F8E8"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Netting:</w:t>
      </w:r>
      <w:r w:rsidRPr="00B42936">
        <w:rPr>
          <w:rFonts w:ascii="Arial" w:hAnsi="Arial" w:cs="Arial"/>
          <w:sz w:val="24"/>
          <w:szCs w:val="24"/>
        </w:rPr>
        <w:t xml:space="preserve"> It includes consolidating the payables and receivables denominated in various currencies and also offsetting them to lessen the exposure to the currency risk, and by aggregating the transaction across the transactions and subsidiaries, the business can efficiently lessen the need for the external enclosing and lower transaction costs.</w:t>
      </w:r>
    </w:p>
    <w:p w14:paraId="7126A988"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Leading and Lagging:</w:t>
      </w:r>
      <w:r w:rsidRPr="00B42936">
        <w:rPr>
          <w:rFonts w:ascii="Arial" w:hAnsi="Arial" w:cs="Arial"/>
          <w:sz w:val="24"/>
          <w:szCs w:val="24"/>
        </w:rPr>
        <w:t xml:space="preserve"> This includes the deliberately timing payments and the receipts in expectation of future currency movements, and leading includes accelerating receipts and payments in currencies expected to appreciate, while lagging includes delaying the receipts or payments in currencies supposed to depreciate, and thus alleviating the currency risk </w:t>
      </w:r>
      <w:r w:rsidRPr="00B42936">
        <w:rPr>
          <w:rFonts w:ascii="Arial" w:hAnsi="Arial" w:cs="Arial"/>
          <w:sz w:val="24"/>
          <w:szCs w:val="24"/>
          <w:shd w:val="clear" w:color="auto" w:fill="FFFFFF"/>
        </w:rPr>
        <w:t>(Akomea-Frimpong et al., 2021)</w:t>
      </w:r>
      <w:r w:rsidRPr="00B42936">
        <w:rPr>
          <w:rFonts w:ascii="Arial" w:hAnsi="Arial" w:cs="Arial"/>
          <w:sz w:val="24"/>
          <w:szCs w:val="24"/>
        </w:rPr>
        <w:t>.</w:t>
      </w:r>
    </w:p>
    <w:p w14:paraId="7342AAA8"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Pricing Strategy adjustments:</w:t>
      </w:r>
      <w:r w:rsidRPr="00B42936">
        <w:rPr>
          <w:rFonts w:ascii="Arial" w:hAnsi="Arial" w:cs="Arial"/>
          <w:sz w:val="24"/>
          <w:szCs w:val="24"/>
        </w:rPr>
        <w:t xml:space="preserve"> This includes flexibly adjusting the product prices in answer to the money exchange to uphold the competitiveness and defend the profit limits. The business may decrease or increase prices in international market to offset the affect the currency movements on the revenues and costs.</w:t>
      </w:r>
    </w:p>
    <w:p w14:paraId="5F99F0BB" w14:textId="77777777" w:rsidR="00B42936" w:rsidRPr="00B42936" w:rsidRDefault="00B42936" w:rsidP="00B42936">
      <w:pPr>
        <w:pStyle w:val="Heading1"/>
        <w:spacing w:line="360" w:lineRule="auto"/>
        <w:jc w:val="both"/>
        <w:rPr>
          <w:rFonts w:ascii="Arial" w:hAnsi="Arial" w:cs="Arial"/>
          <w:b/>
          <w:bCs/>
          <w:color w:val="auto"/>
          <w:sz w:val="24"/>
          <w:szCs w:val="24"/>
        </w:rPr>
      </w:pPr>
      <w:bookmarkStart w:id="5" w:name="_Toc162446854"/>
      <w:r w:rsidRPr="00B42936">
        <w:rPr>
          <w:rFonts w:ascii="Arial" w:hAnsi="Arial" w:cs="Arial"/>
          <w:b/>
          <w:bCs/>
          <w:color w:val="auto"/>
          <w:sz w:val="24"/>
          <w:szCs w:val="24"/>
        </w:rPr>
        <w:t>Strategies approaches</w:t>
      </w:r>
      <w:bookmarkEnd w:id="5"/>
    </w:p>
    <w:p w14:paraId="2FB51FF5"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b/>
          <w:sz w:val="24"/>
          <w:szCs w:val="24"/>
        </w:rPr>
        <w:t xml:space="preserve">Strategic Planning: </w:t>
      </w:r>
      <w:r w:rsidRPr="00B42936">
        <w:rPr>
          <w:rFonts w:ascii="Arial" w:hAnsi="Arial" w:cs="Arial"/>
          <w:sz w:val="24"/>
          <w:szCs w:val="24"/>
        </w:rPr>
        <w:t>To reduce reliance on a single currency, an international business can implement strategy such as developing and differentiating their geographic area. They can also enter the market with fixed exchange rates and even currencies, which will effectively mitigate their risk (Cespa et al., 2022).</w:t>
      </w:r>
    </w:p>
    <w:p w14:paraId="5297D4AB"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lastRenderedPageBreak/>
        <w:t xml:space="preserve">Comparing centralized versus decentralized treasury administration, this multinational corporation has determined whether it can sustain its forex risks and offers </w:t>
      </w:r>
      <w:proofErr w:type="gramStart"/>
      <w:r w:rsidRPr="00B42936">
        <w:rPr>
          <w:rFonts w:ascii="Arial" w:hAnsi="Arial" w:cs="Arial"/>
          <w:sz w:val="24"/>
          <w:szCs w:val="24"/>
        </w:rPr>
        <w:t>all of</w:t>
      </w:r>
      <w:proofErr w:type="gramEnd"/>
      <w:r w:rsidRPr="00B42936">
        <w:rPr>
          <w:rFonts w:ascii="Arial" w:hAnsi="Arial" w:cs="Arial"/>
          <w:sz w:val="24"/>
          <w:szCs w:val="24"/>
        </w:rPr>
        <w:t xml:space="preserve"> its subsidiaries the means to maintain and manage their exposure. Centralized management can assist the business in reaching economies of scale and effectively managing risk. Consequently, the decentralized approach, on the other hand, might assist the organization in quickly responding to local situations.</w:t>
      </w:r>
    </w:p>
    <w:p w14:paraId="25C675B8"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b/>
          <w:sz w:val="24"/>
          <w:szCs w:val="24"/>
        </w:rPr>
        <w:t xml:space="preserve">Effective use of imitative for speculation: </w:t>
      </w:r>
      <w:r w:rsidRPr="00B42936">
        <w:rPr>
          <w:rFonts w:ascii="Arial" w:hAnsi="Arial" w:cs="Arial"/>
          <w:sz w:val="24"/>
          <w:szCs w:val="24"/>
        </w:rPr>
        <w:t>According to Cavusgil et al. (2020), the company can effectively use imitation for the assumption and major goals of the multinational company by using enclosing approaches. This approach primarily involves forex assumption and achieving from variable exchange rates, so it is not appropriate and risky for the MNCs to sustain the risk-averse business. This indicates that the approach is ineffective in confronting the company with the danger-reluctant.</w:t>
      </w:r>
    </w:p>
    <w:p w14:paraId="499EE644" w14:textId="77777777" w:rsidR="00B42936" w:rsidRPr="00B42936" w:rsidRDefault="00B42936" w:rsidP="00B42936">
      <w:pPr>
        <w:pStyle w:val="Heading1"/>
        <w:spacing w:line="360" w:lineRule="auto"/>
        <w:jc w:val="both"/>
        <w:rPr>
          <w:rFonts w:ascii="Arial" w:hAnsi="Arial" w:cs="Arial"/>
          <w:b/>
          <w:bCs/>
          <w:color w:val="auto"/>
          <w:sz w:val="24"/>
          <w:szCs w:val="24"/>
        </w:rPr>
      </w:pPr>
      <w:bookmarkStart w:id="6" w:name="_Toc162446855"/>
      <w:r w:rsidRPr="00B42936">
        <w:rPr>
          <w:rFonts w:ascii="Arial" w:hAnsi="Arial" w:cs="Arial"/>
          <w:b/>
          <w:bCs/>
          <w:color w:val="auto"/>
          <w:sz w:val="24"/>
          <w:szCs w:val="24"/>
        </w:rPr>
        <w:t>Foreign exchange rates</w:t>
      </w:r>
      <w:bookmarkEnd w:id="6"/>
    </w:p>
    <w:p w14:paraId="6FF4910C"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sz w:val="24"/>
          <w:szCs w:val="24"/>
        </w:rPr>
        <w:t xml:space="preserve">Foreign exchange strategies includes a huge range of approaches intends at maximizing fiscal outcomes and alleviating risks in the currency markets, and these strategies influence several methods, which includes trading techniques, like swing trading, day trading, and trend following, that are modified to a particular risk tolerances and objectives. Effective execution of such strategies needs a deep understanding of the international fiscal events, and interest rate gap, and the capability to implement to the developing market situation </w:t>
      </w:r>
      <w:r w:rsidRPr="00B42936">
        <w:rPr>
          <w:rFonts w:ascii="Arial" w:hAnsi="Arial" w:cs="Arial"/>
          <w:sz w:val="24"/>
          <w:szCs w:val="24"/>
          <w:shd w:val="clear" w:color="auto" w:fill="FFFFFF"/>
        </w:rPr>
        <w:t>(Bernoth and Herwartz, 2021)</w:t>
      </w:r>
      <w:r w:rsidRPr="00B42936">
        <w:rPr>
          <w:rFonts w:ascii="Arial" w:hAnsi="Arial" w:cs="Arial"/>
          <w:sz w:val="24"/>
          <w:szCs w:val="24"/>
        </w:rPr>
        <w:t>.</w:t>
      </w:r>
    </w:p>
    <w:p w14:paraId="146D6B1B" w14:textId="2AA84B26"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Economic hedging strategies play an important role in managing the currency risk for MNCs, and forward options and contracts are commonly employed to secure the exchange rates,</w:t>
      </w:r>
      <w:r w:rsidR="004D5E90">
        <w:rPr>
          <w:rFonts w:ascii="Arial" w:hAnsi="Arial" w:cs="Arial"/>
          <w:sz w:val="24"/>
          <w:szCs w:val="24"/>
        </w:rPr>
        <w:t xml:space="preserve"> </w:t>
      </w:r>
      <w:r w:rsidRPr="00B42936">
        <w:rPr>
          <w:rFonts w:ascii="Arial" w:hAnsi="Arial" w:cs="Arial"/>
          <w:sz w:val="24"/>
          <w:szCs w:val="24"/>
        </w:rPr>
        <w:t>and facilitating certainty and lessening ambiguity in transactions including multiple currencies. The money market and the currency swaps encloses further and helps in offsetting and hedging the risks which is associated with fluctuations of the currency during the economic transactions.</w:t>
      </w:r>
    </w:p>
    <w:p w14:paraId="44B29418" w14:textId="77777777" w:rsidR="00B42936" w:rsidRPr="00B42936" w:rsidRDefault="00B42936" w:rsidP="00B42936">
      <w:pPr>
        <w:spacing w:line="360" w:lineRule="auto"/>
        <w:jc w:val="both"/>
        <w:rPr>
          <w:rFonts w:ascii="Arial" w:hAnsi="Arial" w:cs="Arial"/>
          <w:sz w:val="24"/>
          <w:szCs w:val="24"/>
          <w:shd w:val="clear" w:color="auto" w:fill="FFFFFF"/>
        </w:rPr>
      </w:pPr>
      <w:r w:rsidRPr="00B42936">
        <w:rPr>
          <w:rFonts w:ascii="Arial" w:hAnsi="Arial" w:cs="Arial"/>
          <w:sz w:val="24"/>
          <w:szCs w:val="24"/>
        </w:rPr>
        <w:t xml:space="preserve">Operational strategies are important to currency risk management, and leading, netting, diversification and lagging payments are among the operational strategies used to naturally enclose against the currency risk. While lagging and leading payments aid to </w:t>
      </w:r>
      <w:r w:rsidRPr="00B42936">
        <w:rPr>
          <w:rFonts w:ascii="Arial" w:hAnsi="Arial" w:cs="Arial"/>
          <w:sz w:val="24"/>
          <w:szCs w:val="24"/>
        </w:rPr>
        <w:lastRenderedPageBreak/>
        <w:t xml:space="preserve">strategically time transactions on the basis of currency expectations, and operating in various markets spread threats, as increases in one currency can offset the losses in another </w:t>
      </w:r>
      <w:r w:rsidRPr="00B42936">
        <w:rPr>
          <w:rFonts w:ascii="Arial" w:hAnsi="Arial" w:cs="Arial"/>
          <w:sz w:val="24"/>
          <w:szCs w:val="24"/>
          <w:shd w:val="clear" w:color="auto" w:fill="FFFFFF"/>
        </w:rPr>
        <w:t>(Akomea-Frimpong et al., 2021)</w:t>
      </w:r>
      <w:r w:rsidRPr="00B42936">
        <w:rPr>
          <w:rFonts w:ascii="Arial" w:hAnsi="Arial" w:cs="Arial"/>
          <w:sz w:val="24"/>
          <w:szCs w:val="24"/>
        </w:rPr>
        <w:t>.</w:t>
      </w:r>
    </w:p>
    <w:p w14:paraId="11E839C8"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 xml:space="preserve">Hence, foreign exchange strategies include </w:t>
      </w:r>
      <w:proofErr w:type="gramStart"/>
      <w:r w:rsidRPr="00B42936">
        <w:rPr>
          <w:rFonts w:ascii="Arial" w:hAnsi="Arial" w:cs="Arial"/>
          <w:sz w:val="24"/>
          <w:szCs w:val="24"/>
        </w:rPr>
        <w:t>a</w:t>
      </w:r>
      <w:proofErr w:type="gramEnd"/>
      <w:r w:rsidRPr="00B42936">
        <w:rPr>
          <w:rFonts w:ascii="Arial" w:hAnsi="Arial" w:cs="Arial"/>
          <w:sz w:val="24"/>
          <w:szCs w:val="24"/>
        </w:rPr>
        <w:t xml:space="preserve"> inclusive approach to navigating the currency markets, and </w:t>
      </w:r>
      <w:proofErr w:type="gramStart"/>
      <w:r w:rsidRPr="00B42936">
        <w:rPr>
          <w:rFonts w:ascii="Arial" w:hAnsi="Arial" w:cs="Arial"/>
          <w:sz w:val="24"/>
          <w:szCs w:val="24"/>
        </w:rPr>
        <w:t>including</w:t>
      </w:r>
      <w:proofErr w:type="gramEnd"/>
      <w:r w:rsidRPr="00B42936">
        <w:rPr>
          <w:rFonts w:ascii="Arial" w:hAnsi="Arial" w:cs="Arial"/>
          <w:sz w:val="24"/>
          <w:szCs w:val="24"/>
        </w:rPr>
        <w:t xml:space="preserve"> both operational and financial tactics. Such strategies intend to maximize fiscal outcomes while successfully managing and alleviating the currency related threats inherent in the foreign business operations.</w:t>
      </w:r>
    </w:p>
    <w:p w14:paraId="14FD7810" w14:textId="77777777" w:rsidR="00B42936" w:rsidRPr="004D5E90" w:rsidRDefault="00B42936" w:rsidP="00B42936">
      <w:pPr>
        <w:pStyle w:val="Heading1"/>
        <w:spacing w:line="360" w:lineRule="auto"/>
        <w:jc w:val="both"/>
        <w:rPr>
          <w:rFonts w:ascii="Arial" w:hAnsi="Arial" w:cs="Arial"/>
          <w:b/>
          <w:bCs/>
          <w:color w:val="auto"/>
          <w:sz w:val="24"/>
          <w:szCs w:val="24"/>
        </w:rPr>
      </w:pPr>
      <w:bookmarkStart w:id="7" w:name="_Toc162446856"/>
      <w:r w:rsidRPr="004D5E90">
        <w:rPr>
          <w:rFonts w:ascii="Arial" w:hAnsi="Arial" w:cs="Arial"/>
          <w:b/>
          <w:bCs/>
          <w:color w:val="auto"/>
          <w:sz w:val="24"/>
          <w:szCs w:val="24"/>
        </w:rPr>
        <w:t>Conclusion</w:t>
      </w:r>
      <w:bookmarkEnd w:id="7"/>
    </w:p>
    <w:p w14:paraId="5AF3BF73"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t>This report outlined the plans which are followed and developed by the MNCS to contradict the challenges and also will focus on the estimation of the theoretical structure efficiently and effectively. Foreign exchange strategies includes a huge range of approaches intends at maximizing fiscal outcomes and alleviating risks in the currency markets, and these strategies influence several methods, which includes trading techniques, like swing trading, day trading, and trend following, that are modified to a particular risk tolerances and objectives.</w:t>
      </w:r>
    </w:p>
    <w:p w14:paraId="54047D1C" w14:textId="77777777" w:rsidR="00B42936" w:rsidRPr="00B42936" w:rsidRDefault="00B42936" w:rsidP="00B42936">
      <w:pPr>
        <w:spacing w:line="360" w:lineRule="auto"/>
        <w:jc w:val="both"/>
        <w:rPr>
          <w:rFonts w:ascii="Arial" w:hAnsi="Arial" w:cs="Arial"/>
          <w:sz w:val="24"/>
          <w:szCs w:val="24"/>
        </w:rPr>
      </w:pPr>
      <w:r w:rsidRPr="00B42936">
        <w:rPr>
          <w:rFonts w:ascii="Arial" w:hAnsi="Arial" w:cs="Arial"/>
          <w:sz w:val="24"/>
          <w:szCs w:val="24"/>
        </w:rPr>
        <w:br w:type="page"/>
      </w:r>
    </w:p>
    <w:p w14:paraId="69939E98" w14:textId="77777777" w:rsidR="00B42936" w:rsidRDefault="00B42936" w:rsidP="00B42936">
      <w:pPr>
        <w:pStyle w:val="Heading1"/>
        <w:spacing w:line="360" w:lineRule="auto"/>
        <w:jc w:val="center"/>
        <w:rPr>
          <w:rFonts w:ascii="Arial" w:hAnsi="Arial" w:cs="Arial"/>
          <w:b/>
          <w:bCs/>
          <w:color w:val="auto"/>
          <w:sz w:val="24"/>
          <w:szCs w:val="24"/>
        </w:rPr>
      </w:pPr>
      <w:bookmarkStart w:id="8" w:name="_Toc160102715"/>
      <w:bookmarkStart w:id="9" w:name="_Toc162446857"/>
      <w:r>
        <w:rPr>
          <w:rFonts w:ascii="Arial" w:hAnsi="Arial" w:cs="Arial"/>
          <w:b/>
          <w:bCs/>
          <w:color w:val="auto"/>
          <w:sz w:val="24"/>
          <w:szCs w:val="24"/>
        </w:rPr>
        <w:lastRenderedPageBreak/>
        <w:t>References</w:t>
      </w:r>
      <w:bookmarkEnd w:id="8"/>
      <w:bookmarkEnd w:id="9"/>
    </w:p>
    <w:p w14:paraId="5F3824F4" w14:textId="77777777" w:rsidR="00B42936" w:rsidRDefault="00B42936" w:rsidP="00B42936"/>
    <w:p w14:paraId="07EE8886"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Akomea-Frimpong, I., Jin, X. and Osei-Kyei, R., 2021. A holistic review of research studies on financial risk management in public–private partnership projects. </w:t>
      </w:r>
      <w:r>
        <w:rPr>
          <w:rFonts w:ascii="Arial" w:hAnsi="Arial" w:cs="Arial"/>
          <w:i/>
          <w:iCs/>
          <w:sz w:val="24"/>
          <w:szCs w:val="24"/>
          <w:shd w:val="clear" w:color="auto" w:fill="FFFFFF"/>
        </w:rPr>
        <w:t>Engineering, construction and architectural management</w:t>
      </w:r>
      <w:r>
        <w:rPr>
          <w:rFonts w:ascii="Arial" w:hAnsi="Arial" w:cs="Arial"/>
          <w:sz w:val="24"/>
          <w:szCs w:val="24"/>
          <w:shd w:val="clear" w:color="auto" w:fill="FFFFFF"/>
        </w:rPr>
        <w:t>, </w:t>
      </w:r>
      <w:r>
        <w:rPr>
          <w:rFonts w:ascii="Arial" w:hAnsi="Arial" w:cs="Arial"/>
          <w:i/>
          <w:iCs/>
          <w:sz w:val="24"/>
          <w:szCs w:val="24"/>
          <w:shd w:val="clear" w:color="auto" w:fill="FFFFFF"/>
        </w:rPr>
        <w:t>28</w:t>
      </w:r>
      <w:r>
        <w:rPr>
          <w:rFonts w:ascii="Arial" w:hAnsi="Arial" w:cs="Arial"/>
          <w:sz w:val="24"/>
          <w:szCs w:val="24"/>
          <w:shd w:val="clear" w:color="auto" w:fill="FFFFFF"/>
        </w:rPr>
        <w:t xml:space="preserve">(9), pp.2549-2569.         </w:t>
      </w:r>
    </w:p>
    <w:p w14:paraId="64F83506"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Bernoth, K. and Herwartz, H., 2021. Exchange rates, foreign currency exposure and sovereign risk. </w:t>
      </w:r>
      <w:r>
        <w:rPr>
          <w:rFonts w:ascii="Arial" w:hAnsi="Arial" w:cs="Arial"/>
          <w:i/>
          <w:iCs/>
          <w:sz w:val="24"/>
          <w:szCs w:val="24"/>
          <w:shd w:val="clear" w:color="auto" w:fill="FFFFFF"/>
        </w:rPr>
        <w:t>Journal of International Money and Finance</w:t>
      </w:r>
      <w:r>
        <w:rPr>
          <w:rFonts w:ascii="Arial" w:hAnsi="Arial" w:cs="Arial"/>
          <w:sz w:val="24"/>
          <w:szCs w:val="24"/>
          <w:shd w:val="clear" w:color="auto" w:fill="FFFFFF"/>
        </w:rPr>
        <w:t>, </w:t>
      </w:r>
      <w:r>
        <w:rPr>
          <w:rFonts w:ascii="Arial" w:hAnsi="Arial" w:cs="Arial"/>
          <w:i/>
          <w:iCs/>
          <w:sz w:val="24"/>
          <w:szCs w:val="24"/>
          <w:shd w:val="clear" w:color="auto" w:fill="FFFFFF"/>
        </w:rPr>
        <w:t>117</w:t>
      </w:r>
      <w:r>
        <w:rPr>
          <w:rFonts w:ascii="Arial" w:hAnsi="Arial" w:cs="Arial"/>
          <w:sz w:val="24"/>
          <w:szCs w:val="24"/>
          <w:shd w:val="clear" w:color="auto" w:fill="FFFFFF"/>
        </w:rPr>
        <w:t xml:space="preserve">, p.102454.            </w:t>
      </w:r>
    </w:p>
    <w:p w14:paraId="211717CD"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Cavusgil, S.T., Deligonul, S., Ghauri, P.N., Bamiatzi, V., Park, B.I. and Mellahi, K., 2020. Risk in international business and its mitigation. </w:t>
      </w:r>
      <w:r>
        <w:rPr>
          <w:rFonts w:ascii="Arial" w:hAnsi="Arial" w:cs="Arial"/>
          <w:i/>
          <w:iCs/>
          <w:sz w:val="24"/>
          <w:szCs w:val="24"/>
          <w:shd w:val="clear" w:color="auto" w:fill="FFFFFF"/>
        </w:rPr>
        <w:t>Journal of World Business</w:t>
      </w:r>
      <w:r>
        <w:rPr>
          <w:rFonts w:ascii="Arial" w:hAnsi="Arial" w:cs="Arial"/>
          <w:sz w:val="24"/>
          <w:szCs w:val="24"/>
          <w:shd w:val="clear" w:color="auto" w:fill="FFFFFF"/>
        </w:rPr>
        <w:t>, </w:t>
      </w:r>
      <w:r>
        <w:rPr>
          <w:rFonts w:ascii="Arial" w:hAnsi="Arial" w:cs="Arial"/>
          <w:i/>
          <w:iCs/>
          <w:sz w:val="24"/>
          <w:szCs w:val="24"/>
          <w:shd w:val="clear" w:color="auto" w:fill="FFFFFF"/>
        </w:rPr>
        <w:t>55</w:t>
      </w:r>
      <w:r>
        <w:rPr>
          <w:rFonts w:ascii="Arial" w:hAnsi="Arial" w:cs="Arial"/>
          <w:sz w:val="24"/>
          <w:szCs w:val="24"/>
          <w:shd w:val="clear" w:color="auto" w:fill="FFFFFF"/>
        </w:rPr>
        <w:t xml:space="preserve">(2), p.101078.          </w:t>
      </w:r>
    </w:p>
    <w:p w14:paraId="0DF8C72D"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Cespa, G., Gargano, A., Riddiough, S.J. and Sarno, L., 2022. Foreign exchange volume. </w:t>
      </w:r>
      <w:r>
        <w:rPr>
          <w:rFonts w:ascii="Arial" w:hAnsi="Arial" w:cs="Arial"/>
          <w:i/>
          <w:iCs/>
          <w:sz w:val="24"/>
          <w:szCs w:val="24"/>
          <w:shd w:val="clear" w:color="auto" w:fill="FFFFFF"/>
        </w:rPr>
        <w:t>The Review of Financial Studies</w:t>
      </w:r>
      <w:r>
        <w:rPr>
          <w:rFonts w:ascii="Arial" w:hAnsi="Arial" w:cs="Arial"/>
          <w:sz w:val="24"/>
          <w:szCs w:val="24"/>
          <w:shd w:val="clear" w:color="auto" w:fill="FFFFFF"/>
        </w:rPr>
        <w:t>, </w:t>
      </w:r>
      <w:r>
        <w:rPr>
          <w:rFonts w:ascii="Arial" w:hAnsi="Arial" w:cs="Arial"/>
          <w:i/>
          <w:iCs/>
          <w:sz w:val="24"/>
          <w:szCs w:val="24"/>
          <w:shd w:val="clear" w:color="auto" w:fill="FFFFFF"/>
        </w:rPr>
        <w:t>35</w:t>
      </w:r>
      <w:r>
        <w:rPr>
          <w:rFonts w:ascii="Arial" w:hAnsi="Arial" w:cs="Arial"/>
          <w:sz w:val="24"/>
          <w:szCs w:val="24"/>
          <w:shd w:val="clear" w:color="auto" w:fill="FFFFFF"/>
        </w:rPr>
        <w:t xml:space="preserve">(5), pp.2386-2427.         </w:t>
      </w:r>
    </w:p>
    <w:p w14:paraId="1BFDC990"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Dang, Q.T., Jasovska, P. and Rammal, H.G., 2020. International business-government relations: The risk management strategies of MNEs in emerging economies. </w:t>
      </w:r>
      <w:r>
        <w:rPr>
          <w:rFonts w:ascii="Arial" w:hAnsi="Arial" w:cs="Arial"/>
          <w:i/>
          <w:iCs/>
          <w:sz w:val="24"/>
          <w:szCs w:val="24"/>
          <w:shd w:val="clear" w:color="auto" w:fill="FFFFFF"/>
        </w:rPr>
        <w:t>Journal of World Business</w:t>
      </w:r>
      <w:r>
        <w:rPr>
          <w:rFonts w:ascii="Arial" w:hAnsi="Arial" w:cs="Arial"/>
          <w:sz w:val="24"/>
          <w:szCs w:val="24"/>
          <w:shd w:val="clear" w:color="auto" w:fill="FFFFFF"/>
        </w:rPr>
        <w:t>, </w:t>
      </w:r>
      <w:r>
        <w:rPr>
          <w:rFonts w:ascii="Arial" w:hAnsi="Arial" w:cs="Arial"/>
          <w:i/>
          <w:iCs/>
          <w:sz w:val="24"/>
          <w:szCs w:val="24"/>
          <w:shd w:val="clear" w:color="auto" w:fill="FFFFFF"/>
        </w:rPr>
        <w:t>55</w:t>
      </w:r>
      <w:r>
        <w:rPr>
          <w:rFonts w:ascii="Arial" w:hAnsi="Arial" w:cs="Arial"/>
          <w:sz w:val="24"/>
          <w:szCs w:val="24"/>
          <w:shd w:val="clear" w:color="auto" w:fill="FFFFFF"/>
        </w:rPr>
        <w:t xml:space="preserve">(1), p.101042.          </w:t>
      </w:r>
    </w:p>
    <w:p w14:paraId="722A6656" w14:textId="77777777" w:rsid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Fragouli, E. and Nicolaidou, Z., 2020. Risk management of multinational companies (MNCs) in rising economies. </w:t>
      </w:r>
      <w:r>
        <w:rPr>
          <w:rFonts w:ascii="Arial" w:hAnsi="Arial" w:cs="Arial"/>
          <w:i/>
          <w:iCs/>
          <w:sz w:val="24"/>
          <w:szCs w:val="24"/>
          <w:shd w:val="clear" w:color="auto" w:fill="FFFFFF"/>
        </w:rPr>
        <w:t>International journal of information, business and management</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 xml:space="preserve">(4), pp.238-268.         </w:t>
      </w:r>
    </w:p>
    <w:p w14:paraId="37BAB243" w14:textId="4FACADDE" w:rsidR="00664E8A" w:rsidRPr="00B42936" w:rsidRDefault="00B42936" w:rsidP="00B42936">
      <w:pPr>
        <w:spacing w:line="360" w:lineRule="auto"/>
        <w:ind w:left="720" w:hanging="720"/>
        <w:jc w:val="both"/>
        <w:rPr>
          <w:rFonts w:ascii="Arial" w:hAnsi="Arial" w:cs="Arial"/>
          <w:sz w:val="24"/>
          <w:szCs w:val="24"/>
          <w:shd w:val="clear" w:color="auto" w:fill="FFFFFF"/>
        </w:rPr>
      </w:pPr>
      <w:r>
        <w:rPr>
          <w:rFonts w:ascii="Arial" w:hAnsi="Arial" w:cs="Arial"/>
          <w:sz w:val="24"/>
          <w:szCs w:val="24"/>
          <w:shd w:val="clear" w:color="auto" w:fill="FFFFFF"/>
        </w:rPr>
        <w:t>Salomao, J. and Varela, L., 2022. Exchange rate exposure and firm dynamics. </w:t>
      </w:r>
      <w:r>
        <w:rPr>
          <w:rFonts w:ascii="Arial" w:hAnsi="Arial" w:cs="Arial"/>
          <w:i/>
          <w:iCs/>
          <w:sz w:val="24"/>
          <w:szCs w:val="24"/>
          <w:shd w:val="clear" w:color="auto" w:fill="FFFFFF"/>
        </w:rPr>
        <w:t>The Review of Economic Studies</w:t>
      </w:r>
      <w:r>
        <w:rPr>
          <w:rFonts w:ascii="Arial" w:hAnsi="Arial" w:cs="Arial"/>
          <w:sz w:val="24"/>
          <w:szCs w:val="24"/>
          <w:shd w:val="clear" w:color="auto" w:fill="FFFFFF"/>
        </w:rPr>
        <w:t>, </w:t>
      </w:r>
      <w:r>
        <w:rPr>
          <w:rFonts w:ascii="Arial" w:hAnsi="Arial" w:cs="Arial"/>
          <w:i/>
          <w:iCs/>
          <w:sz w:val="24"/>
          <w:szCs w:val="24"/>
          <w:shd w:val="clear" w:color="auto" w:fill="FFFFFF"/>
        </w:rPr>
        <w:t>89</w:t>
      </w:r>
      <w:r>
        <w:rPr>
          <w:rFonts w:ascii="Arial" w:hAnsi="Arial" w:cs="Arial"/>
          <w:sz w:val="24"/>
          <w:szCs w:val="24"/>
          <w:shd w:val="clear" w:color="auto" w:fill="FFFFFF"/>
        </w:rPr>
        <w:t>(1), pp.481-514.</w:t>
      </w:r>
    </w:p>
    <w:sectPr w:rsidR="00664E8A" w:rsidRPr="00B42936" w:rsidSect="00A5496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C4877" w14:textId="77777777" w:rsidR="00A54969" w:rsidRDefault="00A54969" w:rsidP="00F404E6">
      <w:pPr>
        <w:spacing w:after="0" w:line="240" w:lineRule="auto"/>
      </w:pPr>
      <w:r>
        <w:separator/>
      </w:r>
    </w:p>
  </w:endnote>
  <w:endnote w:type="continuationSeparator" w:id="0">
    <w:p w14:paraId="08D4AACD" w14:textId="77777777" w:rsidR="00A54969" w:rsidRDefault="00A54969" w:rsidP="00F40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1666343"/>
      <w:docPartObj>
        <w:docPartGallery w:val="Page Numbers (Bottom of Page)"/>
        <w:docPartUnique/>
      </w:docPartObj>
    </w:sdtPr>
    <w:sdtEndPr>
      <w:rPr>
        <w:noProof/>
      </w:rPr>
    </w:sdtEndPr>
    <w:sdtContent>
      <w:p w14:paraId="2E284C8D" w14:textId="32A2BB69" w:rsidR="00B42936" w:rsidRDefault="00B42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892C01" w14:textId="77777777" w:rsidR="00F939E9" w:rsidRDefault="00F93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E1C21" w14:textId="77777777" w:rsidR="00A54969" w:rsidRDefault="00A54969" w:rsidP="00F404E6">
      <w:pPr>
        <w:spacing w:after="0" w:line="240" w:lineRule="auto"/>
      </w:pPr>
      <w:r>
        <w:separator/>
      </w:r>
    </w:p>
  </w:footnote>
  <w:footnote w:type="continuationSeparator" w:id="0">
    <w:p w14:paraId="21C86166" w14:textId="77777777" w:rsidR="00A54969" w:rsidRDefault="00A54969" w:rsidP="00F404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44F36" w14:textId="200FD951" w:rsidR="00B42936" w:rsidRPr="00B42936" w:rsidRDefault="00B42936">
    <w:pPr>
      <w:pStyle w:val="Header"/>
      <w:rPr>
        <w:rFonts w:ascii="Arial" w:hAnsi="Arial" w:cs="Arial"/>
        <w:sz w:val="24"/>
        <w:szCs w:val="24"/>
      </w:rPr>
    </w:pPr>
    <w:r>
      <w:rPr>
        <w:rFonts w:ascii="Arial" w:hAnsi="Arial" w:cs="Arial"/>
        <w:sz w:val="24"/>
        <w:szCs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830"/>
    <w:rsid w:val="00066301"/>
    <w:rsid w:val="000D0E00"/>
    <w:rsid w:val="000F52BB"/>
    <w:rsid w:val="00120D98"/>
    <w:rsid w:val="001735FF"/>
    <w:rsid w:val="00195F76"/>
    <w:rsid w:val="001E0A60"/>
    <w:rsid w:val="00336830"/>
    <w:rsid w:val="00385D24"/>
    <w:rsid w:val="003F697E"/>
    <w:rsid w:val="00491A98"/>
    <w:rsid w:val="004D5E90"/>
    <w:rsid w:val="00502B5D"/>
    <w:rsid w:val="00664E8A"/>
    <w:rsid w:val="007425ED"/>
    <w:rsid w:val="007B296A"/>
    <w:rsid w:val="00805C3E"/>
    <w:rsid w:val="00841226"/>
    <w:rsid w:val="00852436"/>
    <w:rsid w:val="00A54969"/>
    <w:rsid w:val="00A6762D"/>
    <w:rsid w:val="00AA5D20"/>
    <w:rsid w:val="00B42936"/>
    <w:rsid w:val="00B56437"/>
    <w:rsid w:val="00B9684F"/>
    <w:rsid w:val="00E30AFC"/>
    <w:rsid w:val="00F404E6"/>
    <w:rsid w:val="00F779DB"/>
    <w:rsid w:val="00F939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DDF09"/>
  <w15:chartTrackingRefBased/>
  <w15:docId w15:val="{CE138EA2-3B78-4ABF-9A87-4D3FA55FA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4E6"/>
    <w:pPr>
      <w:spacing w:after="200" w:line="276" w:lineRule="auto"/>
    </w:pPr>
    <w:rPr>
      <w:kern w:val="0"/>
      <w14:ligatures w14:val="none"/>
    </w:rPr>
  </w:style>
  <w:style w:type="paragraph" w:styleId="Heading1">
    <w:name w:val="heading 1"/>
    <w:basedOn w:val="Normal"/>
    <w:next w:val="Normal"/>
    <w:link w:val="Heading1Char"/>
    <w:uiPriority w:val="9"/>
    <w:qFormat/>
    <w:rsid w:val="00336830"/>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336830"/>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36830"/>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36830"/>
    <w:pPr>
      <w:keepNext/>
      <w:keepLines/>
      <w:spacing w:before="80" w:after="40" w:line="259" w:lineRule="auto"/>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336830"/>
    <w:pPr>
      <w:keepNext/>
      <w:keepLines/>
      <w:spacing w:before="80" w:after="40" w:line="259" w:lineRule="auto"/>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336830"/>
    <w:pPr>
      <w:keepNext/>
      <w:keepLines/>
      <w:spacing w:before="40" w:after="0" w:line="259"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336830"/>
    <w:pPr>
      <w:keepNext/>
      <w:keepLines/>
      <w:spacing w:before="40" w:after="0" w:line="259"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336830"/>
    <w:pPr>
      <w:keepNext/>
      <w:keepLines/>
      <w:spacing w:after="0" w:line="259"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336830"/>
    <w:pPr>
      <w:keepNext/>
      <w:keepLines/>
      <w:spacing w:after="0" w:line="259"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8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68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8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8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8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8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8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8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830"/>
    <w:rPr>
      <w:rFonts w:eastAsiaTheme="majorEastAsia" w:cstheme="majorBidi"/>
      <w:color w:val="272727" w:themeColor="text1" w:themeTint="D8"/>
    </w:rPr>
  </w:style>
  <w:style w:type="paragraph" w:styleId="Title">
    <w:name w:val="Title"/>
    <w:basedOn w:val="Normal"/>
    <w:next w:val="Normal"/>
    <w:link w:val="TitleChar"/>
    <w:uiPriority w:val="10"/>
    <w:qFormat/>
    <w:rsid w:val="00336830"/>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368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830"/>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368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830"/>
    <w:pPr>
      <w:spacing w:before="160" w:after="160" w:line="259"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336830"/>
    <w:rPr>
      <w:i/>
      <w:iCs/>
      <w:color w:val="404040" w:themeColor="text1" w:themeTint="BF"/>
    </w:rPr>
  </w:style>
  <w:style w:type="paragraph" w:styleId="ListParagraph">
    <w:name w:val="List Paragraph"/>
    <w:basedOn w:val="Normal"/>
    <w:uiPriority w:val="34"/>
    <w:qFormat/>
    <w:rsid w:val="00336830"/>
    <w:pPr>
      <w:spacing w:after="160" w:line="259" w:lineRule="auto"/>
      <w:ind w:left="720"/>
      <w:contextualSpacing/>
    </w:pPr>
    <w:rPr>
      <w:kern w:val="2"/>
      <w14:ligatures w14:val="standardContextual"/>
    </w:rPr>
  </w:style>
  <w:style w:type="character" w:styleId="IntenseEmphasis">
    <w:name w:val="Intense Emphasis"/>
    <w:basedOn w:val="DefaultParagraphFont"/>
    <w:uiPriority w:val="21"/>
    <w:qFormat/>
    <w:rsid w:val="00336830"/>
    <w:rPr>
      <w:i/>
      <w:iCs/>
      <w:color w:val="0F4761" w:themeColor="accent1" w:themeShade="BF"/>
    </w:rPr>
  </w:style>
  <w:style w:type="paragraph" w:styleId="IntenseQuote">
    <w:name w:val="Intense Quote"/>
    <w:basedOn w:val="Normal"/>
    <w:next w:val="Normal"/>
    <w:link w:val="IntenseQuoteChar"/>
    <w:uiPriority w:val="30"/>
    <w:qFormat/>
    <w:rsid w:val="00336830"/>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336830"/>
    <w:rPr>
      <w:i/>
      <w:iCs/>
      <w:color w:val="0F4761" w:themeColor="accent1" w:themeShade="BF"/>
    </w:rPr>
  </w:style>
  <w:style w:type="character" w:styleId="IntenseReference">
    <w:name w:val="Intense Reference"/>
    <w:basedOn w:val="DefaultParagraphFont"/>
    <w:uiPriority w:val="32"/>
    <w:qFormat/>
    <w:rsid w:val="00336830"/>
    <w:rPr>
      <w:b/>
      <w:bCs/>
      <w:smallCaps/>
      <w:color w:val="0F4761" w:themeColor="accent1" w:themeShade="BF"/>
      <w:spacing w:val="5"/>
    </w:rPr>
  </w:style>
  <w:style w:type="paragraph" w:styleId="Footer">
    <w:name w:val="footer"/>
    <w:basedOn w:val="Normal"/>
    <w:link w:val="FooterChar"/>
    <w:uiPriority w:val="99"/>
    <w:unhideWhenUsed/>
    <w:rsid w:val="00F404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4E6"/>
    <w:rPr>
      <w:kern w:val="0"/>
      <w14:ligatures w14:val="none"/>
    </w:rPr>
  </w:style>
  <w:style w:type="paragraph" w:styleId="TOCHeading">
    <w:name w:val="TOC Heading"/>
    <w:basedOn w:val="Heading1"/>
    <w:next w:val="Normal"/>
    <w:uiPriority w:val="39"/>
    <w:semiHidden/>
    <w:unhideWhenUsed/>
    <w:qFormat/>
    <w:rsid w:val="00F404E6"/>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F404E6"/>
    <w:pPr>
      <w:spacing w:after="100"/>
    </w:pPr>
  </w:style>
  <w:style w:type="paragraph" w:styleId="TOC2">
    <w:name w:val="toc 2"/>
    <w:basedOn w:val="Normal"/>
    <w:next w:val="Normal"/>
    <w:autoRedefine/>
    <w:uiPriority w:val="39"/>
    <w:unhideWhenUsed/>
    <w:rsid w:val="00F404E6"/>
    <w:pPr>
      <w:spacing w:after="100"/>
      <w:ind w:left="220"/>
    </w:pPr>
  </w:style>
  <w:style w:type="character" w:styleId="Hyperlink">
    <w:name w:val="Hyperlink"/>
    <w:basedOn w:val="DefaultParagraphFont"/>
    <w:uiPriority w:val="99"/>
    <w:unhideWhenUsed/>
    <w:rsid w:val="00F404E6"/>
    <w:rPr>
      <w:color w:val="467886" w:themeColor="hyperlink"/>
      <w:u w:val="single"/>
    </w:rPr>
  </w:style>
  <w:style w:type="paragraph" w:styleId="Header">
    <w:name w:val="header"/>
    <w:basedOn w:val="Normal"/>
    <w:link w:val="HeaderChar"/>
    <w:uiPriority w:val="99"/>
    <w:unhideWhenUsed/>
    <w:rsid w:val="00F404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4E6"/>
    <w:rPr>
      <w:kern w:val="0"/>
      <w14:ligatures w14:val="none"/>
    </w:rPr>
  </w:style>
  <w:style w:type="paragraph" w:customStyle="1" w:styleId="Default">
    <w:name w:val="Default"/>
    <w:rsid w:val="00F404E6"/>
    <w:pPr>
      <w:autoSpaceDE w:val="0"/>
      <w:autoSpaceDN w:val="0"/>
      <w:adjustRightInd w:val="0"/>
      <w:spacing w:after="0" w:line="240" w:lineRule="auto"/>
    </w:pPr>
    <w:rPr>
      <w:rFonts w:ascii="Arial"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16771">
      <w:bodyDiv w:val="1"/>
      <w:marLeft w:val="0"/>
      <w:marRight w:val="0"/>
      <w:marTop w:val="0"/>
      <w:marBottom w:val="0"/>
      <w:divBdr>
        <w:top w:val="none" w:sz="0" w:space="0" w:color="auto"/>
        <w:left w:val="none" w:sz="0" w:space="0" w:color="auto"/>
        <w:bottom w:val="none" w:sz="0" w:space="0" w:color="auto"/>
        <w:right w:val="none" w:sz="0" w:space="0" w:color="auto"/>
      </w:divBdr>
    </w:div>
    <w:div w:id="1802193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996EA-4BFD-461B-879E-22B9B3A24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8</Pages>
  <Words>1765</Words>
  <Characters>10063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15</cp:revision>
  <dcterms:created xsi:type="dcterms:W3CDTF">2024-03-02T19:01:00Z</dcterms:created>
  <dcterms:modified xsi:type="dcterms:W3CDTF">2024-03-27T15:51:00Z</dcterms:modified>
</cp:coreProperties>
</file>