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CF5955" w14:textId="62E90334" w:rsidR="00321663" w:rsidRPr="0062381E" w:rsidRDefault="00471E3C" w:rsidP="0062381E">
      <w:pPr>
        <w:jc w:val="center"/>
        <w:rPr>
          <w:b/>
          <w:u w:val="single"/>
        </w:rPr>
      </w:pPr>
      <w:r w:rsidRPr="0062381E">
        <w:rPr>
          <w:b/>
          <w:u w:val="single"/>
        </w:rPr>
        <w:t xml:space="preserve">Assessment </w:t>
      </w:r>
      <w:r w:rsidR="000444B0" w:rsidRPr="0062381E">
        <w:rPr>
          <w:b/>
          <w:u w:val="single"/>
        </w:rPr>
        <w:t>2: -</w:t>
      </w:r>
      <w:r w:rsidRPr="0062381E">
        <w:rPr>
          <w:b/>
          <w:u w:val="single"/>
        </w:rPr>
        <w:t xml:space="preserve"> Critically analyse the role and functions of supervision in promoting effective youth work practice.</w:t>
      </w:r>
    </w:p>
    <w:p w14:paraId="2D7E56CE" w14:textId="546A2704" w:rsidR="00471E3C" w:rsidRPr="0062381E" w:rsidRDefault="00471E3C">
      <w:pPr>
        <w:rPr>
          <w:u w:val="single"/>
        </w:rPr>
      </w:pPr>
      <w:r w:rsidRPr="0062381E">
        <w:rPr>
          <w:u w:val="single"/>
        </w:rPr>
        <w:t>Introduction</w:t>
      </w:r>
    </w:p>
    <w:p w14:paraId="1B9B9DAA" w14:textId="011050D1" w:rsidR="00471E3C" w:rsidRDefault="00471E3C">
      <w:r>
        <w:t xml:space="preserve">Supervision can be described as a way of supporting, developing and motivating staff </w:t>
      </w:r>
      <w:sdt>
        <w:sdtPr>
          <w:id w:val="-1312552603"/>
          <w:citation/>
        </w:sdtPr>
        <w:sdtEndPr/>
        <w:sdtContent>
          <w:r>
            <w:fldChar w:fldCharType="begin"/>
          </w:r>
          <w:r w:rsidR="00FB0C96">
            <w:instrText xml:space="preserve">CITATION Adv03 \l 2057 </w:instrText>
          </w:r>
          <w:r>
            <w:fldChar w:fldCharType="separate"/>
          </w:r>
          <w:r w:rsidR="0088300C" w:rsidRPr="0088300C">
            <w:rPr>
              <w:noProof/>
            </w:rPr>
            <w:t>(Advisory, Concilation and Arbitration Service (ACAS), 2003)</w:t>
          </w:r>
          <w:r>
            <w:fldChar w:fldCharType="end"/>
          </w:r>
        </w:sdtContent>
      </w:sdt>
      <w:r>
        <w:t xml:space="preserve">.  The ACAS definition of supervision maybe seen as a humanistic view of what the role of </w:t>
      </w:r>
      <w:r w:rsidR="00FB0C96">
        <w:t>supervision</w:t>
      </w:r>
      <w:r>
        <w:t xml:space="preserve"> is. Supervision</w:t>
      </w:r>
      <w:r w:rsidR="00FB0C96">
        <w:t xml:space="preserve"> can also be viewed to have a managerial role, for example to check on the productivity and progress of staff </w:t>
      </w:r>
      <w:sdt>
        <w:sdtPr>
          <w:id w:val="1559899485"/>
          <w:citation/>
        </w:sdtPr>
        <w:sdtEndPr/>
        <w:sdtContent>
          <w:r w:rsidR="00FB0C96">
            <w:fldChar w:fldCharType="begin"/>
          </w:r>
          <w:r w:rsidR="00FB0C96">
            <w:instrText xml:space="preserve"> CITATION Lym07 \l 2057 </w:instrText>
          </w:r>
          <w:r w:rsidR="00FB0C96">
            <w:fldChar w:fldCharType="separate"/>
          </w:r>
          <w:r w:rsidR="0088300C" w:rsidRPr="0088300C">
            <w:rPr>
              <w:noProof/>
            </w:rPr>
            <w:t>(Lymbery &amp; Postle, 2007)</w:t>
          </w:r>
          <w:r w:rsidR="00FB0C96">
            <w:fldChar w:fldCharType="end"/>
          </w:r>
        </w:sdtContent>
      </w:sdt>
      <w:r w:rsidR="00FB0C96">
        <w:t>. This essay will critically analyse both the role and functions of supervision and how this can promote effective practice in youth work.</w:t>
      </w:r>
    </w:p>
    <w:p w14:paraId="1F249E8D" w14:textId="6D25BE65" w:rsidR="00FB0C96" w:rsidRDefault="00FB0C96">
      <w:r>
        <w:t xml:space="preserve">The first section will explore the role of supervision by looking at what the purpose of it is and how </w:t>
      </w:r>
      <w:r w:rsidR="000444B0">
        <w:t>this impact</w:t>
      </w:r>
      <w:r>
        <w:t xml:space="preserve"> on youth work practice.  Following on from this the functions will be discussed.  The functions of </w:t>
      </w:r>
      <w:r w:rsidR="003744CE">
        <w:t>supervision</w:t>
      </w:r>
      <w:r>
        <w:t xml:space="preserve"> to be looked at are – the educational function of supervision, the </w:t>
      </w:r>
      <w:r w:rsidR="003744CE">
        <w:t>administrative</w:t>
      </w:r>
      <w:r>
        <w:t xml:space="preserve"> function and the support function</w:t>
      </w:r>
      <w:r w:rsidR="003744CE">
        <w:t xml:space="preserve"> </w:t>
      </w:r>
      <w:sdt>
        <w:sdtPr>
          <w:id w:val="-1681662176"/>
          <w:citation/>
        </w:sdtPr>
        <w:sdtEndPr/>
        <w:sdtContent>
          <w:r w:rsidR="003744CE">
            <w:fldChar w:fldCharType="begin"/>
          </w:r>
          <w:r w:rsidR="003744CE">
            <w:instrText xml:space="preserve"> CITATION Ing14 \l 2057 </w:instrText>
          </w:r>
          <w:r w:rsidR="003744CE">
            <w:fldChar w:fldCharType="separate"/>
          </w:r>
          <w:r w:rsidR="0088300C" w:rsidRPr="0088300C">
            <w:rPr>
              <w:noProof/>
            </w:rPr>
            <w:t>(Ingham, et al., 2014)</w:t>
          </w:r>
          <w:r w:rsidR="003744CE">
            <w:fldChar w:fldCharType="end"/>
          </w:r>
        </w:sdtContent>
      </w:sdt>
      <w:r w:rsidR="003744CE">
        <w:t xml:space="preserve">. </w:t>
      </w:r>
    </w:p>
    <w:p w14:paraId="2EAFB9FB" w14:textId="56C3A564" w:rsidR="003744CE" w:rsidRDefault="003744CE">
      <w:r>
        <w:t>The various functions will be analysed to see how supervision can impact on youth work practice both when used effectively and not.</w:t>
      </w:r>
    </w:p>
    <w:p w14:paraId="2AACC0CD" w14:textId="19D70810" w:rsidR="003744CE" w:rsidRDefault="003744CE">
      <w:pPr>
        <w:rPr>
          <w:u w:val="single"/>
        </w:rPr>
      </w:pPr>
      <w:r w:rsidRPr="003744CE">
        <w:rPr>
          <w:u w:val="single"/>
        </w:rPr>
        <w:t>Role of Supervision</w:t>
      </w:r>
    </w:p>
    <w:p w14:paraId="13711403" w14:textId="222726C7" w:rsidR="00DE2C9C" w:rsidRDefault="003744CE">
      <w:r>
        <w:t>The role of supervision serves a purpose for both the supervisor and the supervisee. As Hess (1980) stated in definition “</w:t>
      </w:r>
      <w:r w:rsidRPr="00DE2C9C">
        <w:rPr>
          <w:i/>
        </w:rPr>
        <w:t>a quintessential</w:t>
      </w:r>
      <w:r w:rsidR="00DE2C9C" w:rsidRPr="00DE2C9C">
        <w:rPr>
          <w:i/>
        </w:rPr>
        <w:t xml:space="preserve"> interpersonal interaction with the general goal that one person, the supervisor, meets with another, the supervisee, in an effort to make the latter more effective in helping people”</w:t>
      </w:r>
      <w:r w:rsidR="00DE2C9C">
        <w:rPr>
          <w:i/>
        </w:rPr>
        <w:t xml:space="preserve"> </w:t>
      </w:r>
      <w:sdt>
        <w:sdtPr>
          <w:rPr>
            <w:i/>
          </w:rPr>
          <w:id w:val="474039179"/>
          <w:citation/>
        </w:sdtPr>
        <w:sdtEndPr/>
        <w:sdtContent>
          <w:r w:rsidR="00DE2C9C">
            <w:rPr>
              <w:i/>
            </w:rPr>
            <w:fldChar w:fldCharType="begin"/>
          </w:r>
          <w:r w:rsidR="00DE2C9C">
            <w:instrText xml:space="preserve"> CITATION Hes80 \l 2057 </w:instrText>
          </w:r>
          <w:r w:rsidR="00DE2C9C">
            <w:rPr>
              <w:i/>
            </w:rPr>
            <w:fldChar w:fldCharType="separate"/>
          </w:r>
          <w:r w:rsidR="0088300C" w:rsidRPr="0088300C">
            <w:rPr>
              <w:noProof/>
            </w:rPr>
            <w:t>(Hess, 1980)</w:t>
          </w:r>
          <w:r w:rsidR="00DE2C9C">
            <w:rPr>
              <w:i/>
            </w:rPr>
            <w:fldChar w:fldCharType="end"/>
          </w:r>
        </w:sdtContent>
      </w:sdt>
      <w:r w:rsidR="00DE2C9C">
        <w:rPr>
          <w:i/>
        </w:rPr>
        <w:t xml:space="preserve">. </w:t>
      </w:r>
      <w:r w:rsidR="00DE2C9C">
        <w:t>Supervision is a tool that both parties can use to improve and have a positive impact on Youth Work Practice.</w:t>
      </w:r>
    </w:p>
    <w:p w14:paraId="2001C350" w14:textId="385124E7" w:rsidR="00057C3B" w:rsidRDefault="00DE2C9C">
      <w:r>
        <w:t xml:space="preserve">For the supervisor the role of supervision can be a way of monitoring staff progress and </w:t>
      </w:r>
      <w:r w:rsidR="000444B0">
        <w:t>wellbeing</w:t>
      </w:r>
      <w:r>
        <w:t xml:space="preserve">. Due to reporting </w:t>
      </w:r>
      <w:r w:rsidR="000444B0">
        <w:t>procedures</w:t>
      </w:r>
      <w:r>
        <w:t xml:space="preserve"> and for gathering statistics, supervision may be used to look at this area and to gather data.  However, as with other </w:t>
      </w:r>
      <w:r w:rsidR="000444B0">
        <w:t>professions</w:t>
      </w:r>
      <w:r>
        <w:t xml:space="preserve"> in social care and education there is </w:t>
      </w:r>
      <w:r w:rsidR="000444B0">
        <w:t>evidence</w:t>
      </w:r>
      <w:r>
        <w:t xml:space="preserve"> that encouraging re</w:t>
      </w:r>
      <w:r w:rsidR="00317DA8">
        <w:t xml:space="preserve">flective supervision has a significant positive impact on practice </w:t>
      </w:r>
      <w:sdt>
        <w:sdtPr>
          <w:id w:val="-77142140"/>
          <w:citation/>
        </w:sdtPr>
        <w:sdtEndPr/>
        <w:sdtContent>
          <w:r w:rsidR="00317DA8">
            <w:fldChar w:fldCharType="begin"/>
          </w:r>
          <w:r w:rsidR="00317DA8">
            <w:instrText xml:space="preserve"> CITATION Sca10 \l 2057 </w:instrText>
          </w:r>
          <w:r w:rsidR="00317DA8">
            <w:fldChar w:fldCharType="separate"/>
          </w:r>
          <w:r w:rsidR="0088300C" w:rsidRPr="0088300C">
            <w:rPr>
              <w:noProof/>
            </w:rPr>
            <w:t>(Scaife, 2010)</w:t>
          </w:r>
          <w:r w:rsidR="00317DA8">
            <w:fldChar w:fldCharType="end"/>
          </w:r>
        </w:sdtContent>
      </w:sdt>
      <w:r w:rsidR="00317DA8">
        <w:t>.</w:t>
      </w:r>
      <w:r w:rsidR="00111452">
        <w:t xml:space="preserve"> </w:t>
      </w:r>
      <w:r w:rsidR="00057C3B">
        <w:t xml:space="preserve">Using reflective models such as </w:t>
      </w:r>
      <w:r w:rsidR="00211CF4">
        <w:t>Gibbs Reflective Cycle</w:t>
      </w:r>
      <w:r w:rsidR="00F00F29">
        <w:t xml:space="preserve"> and Schon’s Reflection in Action model</w:t>
      </w:r>
      <w:r w:rsidR="00211CF4">
        <w:t xml:space="preserve"> </w:t>
      </w:r>
      <w:sdt>
        <w:sdtPr>
          <w:id w:val="2119559143"/>
          <w:citation/>
        </w:sdtPr>
        <w:sdtEndPr/>
        <w:sdtContent>
          <w:r w:rsidR="00211CF4">
            <w:fldChar w:fldCharType="begin"/>
          </w:r>
          <w:r w:rsidR="00211CF4">
            <w:instrText xml:space="preserve"> CITATION Bas131 \l 2057 </w:instrText>
          </w:r>
          <w:r w:rsidR="00211CF4">
            <w:fldChar w:fldCharType="separate"/>
          </w:r>
          <w:r w:rsidR="0088300C" w:rsidRPr="0088300C">
            <w:rPr>
              <w:noProof/>
            </w:rPr>
            <w:t>(Bassott, 2013)</w:t>
          </w:r>
          <w:r w:rsidR="00211CF4">
            <w:fldChar w:fldCharType="end"/>
          </w:r>
        </w:sdtContent>
      </w:sdt>
      <w:r w:rsidR="00211CF4">
        <w:t xml:space="preserve"> </w:t>
      </w:r>
      <w:r w:rsidR="00656F17">
        <w:t>practitioners</w:t>
      </w:r>
      <w:r w:rsidR="00F00F29">
        <w:t xml:space="preserve"> with the support of the supervisor can process experiences and think about how they can learn</w:t>
      </w:r>
      <w:r w:rsidR="00656F17">
        <w:t xml:space="preserve">. </w:t>
      </w:r>
    </w:p>
    <w:p w14:paraId="2CC4781F" w14:textId="62DD5209" w:rsidR="00185201" w:rsidRDefault="00317DA8">
      <w:r>
        <w:t xml:space="preserve">In providing a protected time and space in which the supervisee can discuss their experiences, ideas and concerns. A supervisor can offer a different view and provide feedback.  By encouraging reflection during </w:t>
      </w:r>
      <w:r w:rsidR="000444B0">
        <w:t>supervision,</w:t>
      </w:r>
      <w:r>
        <w:t xml:space="preserve"> the supervisor can help the supervisee learn from experiences and how things can be improved.  Part of such reflection is recognising the positive aspects of the supervisee’s work and what they think went well. This can impact on practice as </w:t>
      </w:r>
      <w:r w:rsidR="000444B0">
        <w:t>recognition</w:t>
      </w:r>
      <w:r>
        <w:t xml:space="preserve"> and praise for good work can help to raise moral and confidence</w:t>
      </w:r>
      <w:r w:rsidR="00185201">
        <w:t xml:space="preserve"> </w:t>
      </w:r>
      <w:sdt>
        <w:sdtPr>
          <w:id w:val="-555468265"/>
          <w:citation/>
        </w:sdtPr>
        <w:sdtEndPr/>
        <w:sdtContent>
          <w:r w:rsidR="00185201">
            <w:fldChar w:fldCharType="begin"/>
          </w:r>
          <w:r w:rsidR="00185201">
            <w:instrText xml:space="preserve"> CITATION Sap13 \l 2057 </w:instrText>
          </w:r>
          <w:r w:rsidR="00185201">
            <w:fldChar w:fldCharType="separate"/>
          </w:r>
          <w:r w:rsidR="0088300C" w:rsidRPr="0088300C">
            <w:rPr>
              <w:noProof/>
            </w:rPr>
            <w:t>(Sapin, 2013)</w:t>
          </w:r>
          <w:r w:rsidR="00185201">
            <w:fldChar w:fldCharType="end"/>
          </w:r>
        </w:sdtContent>
      </w:sdt>
      <w:r w:rsidR="00185201">
        <w:t>.</w:t>
      </w:r>
    </w:p>
    <w:p w14:paraId="6DA3EA54" w14:textId="7105F3AA" w:rsidR="001C7C53" w:rsidRDefault="00185201">
      <w:r>
        <w:t xml:space="preserve">If done well supervision can be a motivator for staff to continue good work and improve. However, if supervision is </w:t>
      </w:r>
      <w:r w:rsidR="000444B0">
        <w:t>viewed</w:t>
      </w:r>
      <w:r>
        <w:t xml:space="preserve"> as a monitoring tool this can lead to staff feeling de-motivated.</w:t>
      </w:r>
    </w:p>
    <w:p w14:paraId="0C61C011" w14:textId="116DA7A7" w:rsidR="008C7DF8" w:rsidRDefault="00991961">
      <w:r>
        <w:t xml:space="preserve">Supervision can be seen by some </w:t>
      </w:r>
      <w:proofErr w:type="gramStart"/>
      <w:r>
        <w:t>as a way to</w:t>
      </w:r>
      <w:proofErr w:type="gramEnd"/>
      <w:r>
        <w:t xml:space="preserve"> control and ensure staff are subordinate. This negative view of supervision is still held by many with some seeing as a tool used by managers and organisations to ‘check up on’ workers </w:t>
      </w:r>
      <w:sdt>
        <w:sdtPr>
          <w:id w:val="-1607494953"/>
          <w:citation/>
        </w:sdtPr>
        <w:sdtEndPr/>
        <w:sdtContent>
          <w:r>
            <w:fldChar w:fldCharType="begin"/>
          </w:r>
          <w:r>
            <w:instrText xml:space="preserve"> CITATION Lym07 \l 2057 </w:instrText>
          </w:r>
          <w:r>
            <w:fldChar w:fldCharType="separate"/>
          </w:r>
          <w:r w:rsidR="0088300C" w:rsidRPr="0088300C">
            <w:rPr>
              <w:noProof/>
            </w:rPr>
            <w:t>(Lymbery &amp; Postle, 2007)</w:t>
          </w:r>
          <w:r>
            <w:fldChar w:fldCharType="end"/>
          </w:r>
        </w:sdtContent>
      </w:sdt>
      <w:r>
        <w:t xml:space="preserve">. When looking to transform this view supervisors </w:t>
      </w:r>
      <w:r w:rsidR="00057C3B">
        <w:t xml:space="preserve">must acknowledge their role as supporters as well as managers. This will help supervisee’s view supervision more positively and get the maximum benefit out of it. </w:t>
      </w:r>
    </w:p>
    <w:p w14:paraId="544A9534" w14:textId="77777777" w:rsidR="008C7DF8" w:rsidRDefault="008C7DF8"/>
    <w:p w14:paraId="695D137F" w14:textId="5E167EDA" w:rsidR="003744CE" w:rsidRDefault="001C7C53">
      <w:pPr>
        <w:rPr>
          <w:u w:val="single"/>
        </w:rPr>
      </w:pPr>
      <w:r w:rsidRPr="001C7C53">
        <w:rPr>
          <w:u w:val="single"/>
        </w:rPr>
        <w:lastRenderedPageBreak/>
        <w:t>Functions of Supervision</w:t>
      </w:r>
      <w:r w:rsidR="00DE2C9C" w:rsidRPr="001C7C53">
        <w:rPr>
          <w:u w:val="single"/>
        </w:rPr>
        <w:t xml:space="preserve"> </w:t>
      </w:r>
    </w:p>
    <w:p w14:paraId="200D565A" w14:textId="4FB12F0F" w:rsidR="001C7C53" w:rsidRDefault="001C7C53">
      <w:r>
        <w:t xml:space="preserve">The functions of supervision can be split into three main sections. Educational, administrative and supportive </w:t>
      </w:r>
      <w:sdt>
        <w:sdtPr>
          <w:id w:val="642783787"/>
          <w:citation/>
        </w:sdtPr>
        <w:sdtEndPr/>
        <w:sdtContent>
          <w:r>
            <w:fldChar w:fldCharType="begin"/>
          </w:r>
          <w:r>
            <w:instrText xml:space="preserve"> CITATION Kad92 \l 2057 </w:instrText>
          </w:r>
          <w:r>
            <w:fldChar w:fldCharType="separate"/>
          </w:r>
          <w:r w:rsidR="0088300C" w:rsidRPr="0088300C">
            <w:rPr>
              <w:noProof/>
            </w:rPr>
            <w:t>(Kadushin, 1992)</w:t>
          </w:r>
          <w:r>
            <w:fldChar w:fldCharType="end"/>
          </w:r>
        </w:sdtContent>
      </w:sdt>
      <w:r>
        <w:t>.</w:t>
      </w:r>
    </w:p>
    <w:p w14:paraId="678E5C5B" w14:textId="65003857" w:rsidR="001C7C53" w:rsidRDefault="001C7C53">
      <w:r>
        <w:t xml:space="preserve">The educational function is the developing knowledge area of supervision.  This can be done again by using reflection to analyse experiences and learn from them.  Supervision can also be a place to discuss new ideas and complex situations to develop effective practice </w:t>
      </w:r>
      <w:sdt>
        <w:sdtPr>
          <w:id w:val="620433452"/>
          <w:citation/>
        </w:sdtPr>
        <w:sdtEndPr/>
        <w:sdtContent>
          <w:r>
            <w:fldChar w:fldCharType="begin"/>
          </w:r>
          <w:r>
            <w:instrText xml:space="preserve"> CITATION Mac10 \l 2057 </w:instrText>
          </w:r>
          <w:r>
            <w:fldChar w:fldCharType="separate"/>
          </w:r>
          <w:r w:rsidR="0088300C" w:rsidRPr="0088300C">
            <w:rPr>
              <w:noProof/>
            </w:rPr>
            <w:t>(Maclean, 2010)</w:t>
          </w:r>
          <w:r>
            <w:fldChar w:fldCharType="end"/>
          </w:r>
        </w:sdtContent>
      </w:sdt>
      <w:r>
        <w:t>.</w:t>
      </w:r>
      <w:r w:rsidR="003F4D98">
        <w:t xml:space="preserve"> </w:t>
      </w:r>
      <w:r>
        <w:t xml:space="preserve">This function </w:t>
      </w:r>
      <w:r w:rsidR="003F4D98">
        <w:t xml:space="preserve">of supervision is </w:t>
      </w:r>
      <w:r w:rsidR="000444B0">
        <w:t>an</w:t>
      </w:r>
      <w:r w:rsidR="003F4D98">
        <w:t xml:space="preserve"> </w:t>
      </w:r>
      <w:r w:rsidR="000444B0">
        <w:t>opportune</w:t>
      </w:r>
      <w:r w:rsidR="003F4D98">
        <w:t xml:space="preserve"> time for the supervisee to discuss areas for personal development. Identifying these areas and taking responsibility for improving skills, knowledge and understanding will aid future practice by expanding these areas.</w:t>
      </w:r>
    </w:p>
    <w:p w14:paraId="3CCE3855" w14:textId="453FB5D0" w:rsidR="003F4D98" w:rsidRDefault="003F4D98">
      <w:r>
        <w:t xml:space="preserve">Such educational and developmental gains will have an impact on future practice by the practitioner learning new skills and having the confidence to use them.  This will ultimately benefit the individuals the supervisee is working with in helping the practitioner to have a dynamic toolkit and to be willing to try and learn new skills.  Reflective supervision will </w:t>
      </w:r>
      <w:r w:rsidR="000444B0">
        <w:t>encourage</w:t>
      </w:r>
      <w:r>
        <w:t xml:space="preserve"> the practitioner to think of new ideas and to remember what worked well from previous experiences.  The supervisor can also offer </w:t>
      </w:r>
      <w:r w:rsidR="000444B0">
        <w:t>guidance</w:t>
      </w:r>
      <w:r>
        <w:t xml:space="preserve"> from their own experience and use collective knowledge to </w:t>
      </w:r>
      <w:r w:rsidR="000444B0">
        <w:t>enhance</w:t>
      </w:r>
      <w:r>
        <w:t xml:space="preserve"> the service</w:t>
      </w:r>
      <w:r w:rsidR="00FC1034">
        <w:t xml:space="preserve"> </w:t>
      </w:r>
      <w:sdt>
        <w:sdtPr>
          <w:id w:val="-339698754"/>
          <w:citation/>
        </w:sdtPr>
        <w:sdtEndPr/>
        <w:sdtContent>
          <w:r w:rsidR="00FC1034">
            <w:fldChar w:fldCharType="begin"/>
          </w:r>
          <w:r w:rsidR="00FC1034">
            <w:instrText xml:space="preserve"> CITATION Joh04 \l 2057 </w:instrText>
          </w:r>
          <w:r w:rsidR="00FC1034">
            <w:fldChar w:fldCharType="separate"/>
          </w:r>
          <w:r w:rsidR="0088300C" w:rsidRPr="0088300C">
            <w:rPr>
              <w:noProof/>
            </w:rPr>
            <w:t>(Johns, 2004)</w:t>
          </w:r>
          <w:r w:rsidR="00FC1034">
            <w:fldChar w:fldCharType="end"/>
          </w:r>
        </w:sdtContent>
      </w:sdt>
      <w:r w:rsidR="00FC1034">
        <w:t>.</w:t>
      </w:r>
    </w:p>
    <w:p w14:paraId="6B52FA42" w14:textId="48DC4A6F" w:rsidR="00FC1034" w:rsidRDefault="00FC1034">
      <w:r>
        <w:t xml:space="preserve">As part of the Code of Occupational Ethics for Youth Service </w:t>
      </w:r>
      <w:r w:rsidR="000444B0">
        <w:t>in</w:t>
      </w:r>
      <w:r>
        <w:t xml:space="preserve"> Wales</w:t>
      </w:r>
      <w:r w:rsidR="006B235C">
        <w:t xml:space="preserve"> </w:t>
      </w:r>
      <w:sdt>
        <w:sdtPr>
          <w:id w:val="1361783186"/>
          <w:citation/>
        </w:sdtPr>
        <w:sdtEndPr/>
        <w:sdtContent>
          <w:r w:rsidR="006B235C">
            <w:fldChar w:fldCharType="begin"/>
          </w:r>
          <w:r w:rsidR="006B235C">
            <w:instrText xml:space="preserve"> CITATION Lea12 \l 2057 </w:instrText>
          </w:r>
          <w:r w:rsidR="006B235C">
            <w:fldChar w:fldCharType="separate"/>
          </w:r>
          <w:r w:rsidR="0088300C" w:rsidRPr="0088300C">
            <w:rPr>
              <w:noProof/>
            </w:rPr>
            <w:t>(Learning and Skills Improvement Service (LSIS), 2012)</w:t>
          </w:r>
          <w:r w:rsidR="006B235C">
            <w:fldChar w:fldCharType="end"/>
          </w:r>
        </w:sdtContent>
      </w:sdt>
      <w:r w:rsidR="001B4CAA">
        <w:t xml:space="preserve">, Youth Workers, under section 5 point 3 of the code should share developments in practice and theory. Supervision is the ideal opportunity to do this. Such sharing of </w:t>
      </w:r>
      <w:r w:rsidR="000444B0">
        <w:t>knowledge</w:t>
      </w:r>
      <w:r w:rsidR="001B4CAA">
        <w:t xml:space="preserve"> will ensure all staff members are not only </w:t>
      </w:r>
      <w:r w:rsidR="000444B0">
        <w:t>adhering</w:t>
      </w:r>
      <w:r w:rsidR="001B4CAA">
        <w:t xml:space="preserve"> to the code but are moving Youth Work practice forward.</w:t>
      </w:r>
    </w:p>
    <w:p w14:paraId="2FF58F36" w14:textId="271200CC" w:rsidR="001B4CAA" w:rsidRDefault="001B4CAA">
      <w:r>
        <w:t xml:space="preserve">Following on from this, supervision can also take on </w:t>
      </w:r>
      <w:r w:rsidR="000444B0">
        <w:t>an</w:t>
      </w:r>
      <w:r>
        <w:t xml:space="preserve"> </w:t>
      </w:r>
      <w:r w:rsidR="000444B0">
        <w:t>administrative</w:t>
      </w:r>
      <w:r>
        <w:t xml:space="preserve"> role in youth work practice. Part of supervision discussions are to ensure the </w:t>
      </w:r>
      <w:r w:rsidR="000444B0">
        <w:t>practitioner</w:t>
      </w:r>
      <w:r>
        <w:t xml:space="preserve"> is </w:t>
      </w:r>
      <w:r w:rsidR="000444B0">
        <w:t>adhering</w:t>
      </w:r>
      <w:r>
        <w:t xml:space="preserve"> to roles and responsibilities set out by the organisations policies and procedures </w:t>
      </w:r>
      <w:sdt>
        <w:sdtPr>
          <w:id w:val="-905840417"/>
          <w:citation/>
        </w:sdtPr>
        <w:sdtEndPr/>
        <w:sdtContent>
          <w:r w:rsidR="00970D65">
            <w:fldChar w:fldCharType="begin"/>
          </w:r>
          <w:r w:rsidR="00970D65">
            <w:instrText xml:space="preserve"> CITATION Kad92 \l 2057 </w:instrText>
          </w:r>
          <w:r w:rsidR="00970D65">
            <w:fldChar w:fldCharType="separate"/>
          </w:r>
          <w:r w:rsidR="0088300C" w:rsidRPr="0088300C">
            <w:rPr>
              <w:noProof/>
            </w:rPr>
            <w:t>(Kadushin, 1992)</w:t>
          </w:r>
          <w:r w:rsidR="00970D65">
            <w:fldChar w:fldCharType="end"/>
          </w:r>
        </w:sdtContent>
      </w:sdt>
      <w:r w:rsidR="00970D65">
        <w:t xml:space="preserve">. Part of such discussion should be checking the practitioner is clear on what their objectives are and are following the aims of the Youth Work strategy. It would also give the practitioner a safe space to challenge ineffective work practices. </w:t>
      </w:r>
    </w:p>
    <w:p w14:paraId="01619C56" w14:textId="6E038007" w:rsidR="00970D65" w:rsidRDefault="00970D65">
      <w:r>
        <w:t>An administrative side of supervision ensures that practitioners are taking responsibility for their own work and practice</w:t>
      </w:r>
      <w:r w:rsidR="005C17BC">
        <w:t xml:space="preserve">. As budget and resources are scarce in the </w:t>
      </w:r>
      <w:r w:rsidR="000444B0">
        <w:t>current</w:t>
      </w:r>
      <w:r w:rsidR="005C17BC">
        <w:t xml:space="preserve"> climate it is essential that youth work practitioners use their time and resources effectively.</w:t>
      </w:r>
    </w:p>
    <w:p w14:paraId="6EE88F83" w14:textId="46499E71" w:rsidR="005C17BC" w:rsidRDefault="005C17BC">
      <w:r>
        <w:t xml:space="preserve">Due to the complex nature of Youth Work and the difficult situations youth workers deal with on a daily basis it is important that supervision includes a supportive element this can involve the supervisor exploring the </w:t>
      </w:r>
      <w:r w:rsidR="000444B0">
        <w:t>practitioner’s</w:t>
      </w:r>
      <w:r>
        <w:t xml:space="preserve"> thoughts and feelings regarding a particular situation. This requires the supervisor to have empathy and understanding of the youth worker. Some research from social work </w:t>
      </w:r>
      <w:sdt>
        <w:sdtPr>
          <w:id w:val="-1593235704"/>
          <w:citation/>
        </w:sdtPr>
        <w:sdtEndPr/>
        <w:sdtContent>
          <w:r>
            <w:fldChar w:fldCharType="begin"/>
          </w:r>
          <w:r>
            <w:instrText xml:space="preserve"> CITATION Won04 \l 2057 </w:instrText>
          </w:r>
          <w:r>
            <w:fldChar w:fldCharType="separate"/>
          </w:r>
          <w:r w:rsidR="0088300C" w:rsidRPr="0088300C">
            <w:rPr>
              <w:noProof/>
            </w:rPr>
            <w:t>(Wonnacott, 2004)</w:t>
          </w:r>
          <w:r>
            <w:fldChar w:fldCharType="end"/>
          </w:r>
        </w:sdtContent>
      </w:sdt>
      <w:r w:rsidR="00173033">
        <w:t xml:space="preserve"> showed correlation with the relationship between the supervisor and supervisee and the supervisee relationship with clients they are working with. For example, if the supervisee had a positive supportive </w:t>
      </w:r>
      <w:r w:rsidR="000444B0">
        <w:t>supervisor</w:t>
      </w:r>
      <w:r w:rsidR="00173033">
        <w:t xml:space="preserve">, they were likely to foster such relationships with clients.  On the other </w:t>
      </w:r>
      <w:r w:rsidR="000444B0">
        <w:t>hand,</w:t>
      </w:r>
      <w:r w:rsidR="00173033">
        <w:t xml:space="preserve"> if supervisors were punitive and hard to talk to </w:t>
      </w:r>
      <w:proofErr w:type="gramStart"/>
      <w:r w:rsidR="00173033">
        <w:t>this filters</w:t>
      </w:r>
      <w:proofErr w:type="gramEnd"/>
      <w:r w:rsidR="00173033">
        <w:t xml:space="preserve"> down to </w:t>
      </w:r>
      <w:r w:rsidR="000444B0">
        <w:t>practitioner’s</w:t>
      </w:r>
      <w:r w:rsidR="00173033">
        <w:t xml:space="preserve"> work.</w:t>
      </w:r>
      <w:r w:rsidR="00057C3B">
        <w:t xml:space="preserve"> </w:t>
      </w:r>
    </w:p>
    <w:p w14:paraId="133CD0C2" w14:textId="18D877F1" w:rsidR="00173033" w:rsidRDefault="00173033">
      <w:r>
        <w:t xml:space="preserve">Having a safe space to explore </w:t>
      </w:r>
      <w:r w:rsidR="000444B0">
        <w:t>anxieties</w:t>
      </w:r>
      <w:r>
        <w:t xml:space="preserve"> and fears is essential for good practice.  If youth workers do not feel able to explore concerns with </w:t>
      </w:r>
      <w:r w:rsidR="000444B0">
        <w:t>supervisors,</w:t>
      </w:r>
      <w:r>
        <w:t xml:space="preserve"> this could lead to further issues and children and young people being put at further risk.</w:t>
      </w:r>
      <w:r w:rsidR="00E87B07">
        <w:t xml:space="preserve"> This was highlighted in the </w:t>
      </w:r>
      <w:r w:rsidR="00D43897">
        <w:t>sister profession</w:t>
      </w:r>
      <w:r w:rsidR="00E87B07">
        <w:t xml:space="preserve"> of social work following Lord Laming’s (2003) Inquiry into the death of Victoria Climbi</w:t>
      </w:r>
      <w:r w:rsidR="00E87B07">
        <w:rPr>
          <w:rFonts w:cstheme="minorHAnsi"/>
        </w:rPr>
        <w:t>é</w:t>
      </w:r>
      <w:r w:rsidR="00E87B07">
        <w:t>.</w:t>
      </w:r>
      <w:r w:rsidR="00D43897">
        <w:t xml:space="preserve"> Lord Laming’s Inquiry </w:t>
      </w:r>
      <w:r w:rsidR="00D43897">
        <w:lastRenderedPageBreak/>
        <w:t xml:space="preserve">showed that supervision was often cancelled and when it did happen it was not of quality </w:t>
      </w:r>
      <w:sdt>
        <w:sdtPr>
          <w:id w:val="-627011992"/>
          <w:citation/>
        </w:sdtPr>
        <w:sdtEndPr/>
        <w:sdtContent>
          <w:r w:rsidR="00D43897">
            <w:fldChar w:fldCharType="begin"/>
          </w:r>
          <w:r w:rsidR="00D43897">
            <w:instrText xml:space="preserve"> CITATION Lam03 \l 2057 </w:instrText>
          </w:r>
          <w:r w:rsidR="00D43897">
            <w:fldChar w:fldCharType="separate"/>
          </w:r>
          <w:r w:rsidR="0088300C" w:rsidRPr="0088300C">
            <w:rPr>
              <w:noProof/>
            </w:rPr>
            <w:t>(Laming, 2003)</w:t>
          </w:r>
          <w:r w:rsidR="00D43897">
            <w:fldChar w:fldCharType="end"/>
          </w:r>
        </w:sdtContent>
      </w:sdt>
      <w:r w:rsidR="00D43897">
        <w:t>.</w:t>
      </w:r>
      <w:r w:rsidR="00057C3B">
        <w:t xml:space="preserve"> If the relationship between the supervisor and supervisee is not good the supervisee will not feel able to discuss any problems for fear of not being good enough or for getting into trouble. </w:t>
      </w:r>
    </w:p>
    <w:p w14:paraId="6D353793" w14:textId="2F1A3CB2" w:rsidR="00173033" w:rsidRDefault="00173033">
      <w:r>
        <w:t xml:space="preserve">The quality of supportive supervision has also been linked to staff retention </w:t>
      </w:r>
      <w:sdt>
        <w:sdtPr>
          <w:id w:val="-1787878877"/>
          <w:citation/>
        </w:sdtPr>
        <w:sdtEndPr/>
        <w:sdtContent>
          <w:r>
            <w:fldChar w:fldCharType="begin"/>
          </w:r>
          <w:r>
            <w:instrText xml:space="preserve"> CITATION Gib01 \l 2057 </w:instrText>
          </w:r>
          <w:r>
            <w:fldChar w:fldCharType="separate"/>
          </w:r>
          <w:r w:rsidR="0088300C" w:rsidRPr="0088300C">
            <w:rPr>
              <w:noProof/>
            </w:rPr>
            <w:t>(Gibbs, 2001)</w:t>
          </w:r>
          <w:r>
            <w:fldChar w:fldCharType="end"/>
          </w:r>
        </w:sdtContent>
      </w:sdt>
      <w:r>
        <w:t xml:space="preserve">. Staff who feel </w:t>
      </w:r>
      <w:r w:rsidR="000444B0">
        <w:t>empowered</w:t>
      </w:r>
      <w:r>
        <w:t xml:space="preserve"> and valued, partly by the quality of supervision received, invariably have more positive outcomes than those who are demotivated and </w:t>
      </w:r>
      <w:r w:rsidR="000444B0">
        <w:t>undervalued</w:t>
      </w:r>
      <w:r>
        <w:t xml:space="preserve">. </w:t>
      </w:r>
    </w:p>
    <w:p w14:paraId="5508ECEA" w14:textId="282256BE" w:rsidR="00173033" w:rsidRDefault="00173033">
      <w:pPr>
        <w:rPr>
          <w:i/>
        </w:rPr>
      </w:pPr>
      <w:r>
        <w:t xml:space="preserve">Supervision can be a place to de-brief following an incident or </w:t>
      </w:r>
      <w:r w:rsidR="000444B0">
        <w:t>stressful</w:t>
      </w:r>
      <w:r>
        <w:t xml:space="preserve"> situation</w:t>
      </w:r>
      <w:r w:rsidR="001F213D">
        <w:t xml:space="preserve">, encouraging practitioners to maintain </w:t>
      </w:r>
      <w:r w:rsidR="000444B0">
        <w:t>self-care</w:t>
      </w:r>
      <w:r w:rsidR="001F213D">
        <w:t xml:space="preserve"> practices. Hawkins and Shohet (1992) bucket theory stated that workers need to know the size of their emotional ‘Bucket’ and make sure this Bucket is not over </w:t>
      </w:r>
      <w:r w:rsidR="000444B0">
        <w:t>filled:</w:t>
      </w:r>
      <w:r w:rsidR="001F213D">
        <w:t xml:space="preserve"> “</w:t>
      </w:r>
      <w:r w:rsidR="001F213D">
        <w:rPr>
          <w:i/>
        </w:rPr>
        <w:t xml:space="preserve">All helping organisations are, by their very nature, importing distress… How much of this they will be able to contain and work through will depend on the size of their [bucket]… and, most </w:t>
      </w:r>
      <w:r w:rsidR="00850A31">
        <w:rPr>
          <w:i/>
        </w:rPr>
        <w:t>important</w:t>
      </w:r>
      <w:r w:rsidR="001F213D">
        <w:rPr>
          <w:i/>
        </w:rPr>
        <w:t xml:space="preserve">, the quality and regularity of the supervision they receive.” </w:t>
      </w:r>
      <w:sdt>
        <w:sdtPr>
          <w:rPr>
            <w:i/>
          </w:rPr>
          <w:id w:val="1495986455"/>
          <w:citation/>
        </w:sdtPr>
        <w:sdtEndPr/>
        <w:sdtContent>
          <w:r w:rsidR="001F213D">
            <w:rPr>
              <w:i/>
            </w:rPr>
            <w:fldChar w:fldCharType="begin"/>
          </w:r>
          <w:r w:rsidR="001F213D">
            <w:instrText xml:space="preserve"> CITATION Haw92 \l 2057 </w:instrText>
          </w:r>
          <w:r w:rsidR="001F213D">
            <w:rPr>
              <w:i/>
            </w:rPr>
            <w:fldChar w:fldCharType="separate"/>
          </w:r>
          <w:r w:rsidR="0088300C" w:rsidRPr="0088300C">
            <w:rPr>
              <w:noProof/>
            </w:rPr>
            <w:t>(Hawkins &amp; Shohet, 1992)</w:t>
          </w:r>
          <w:r w:rsidR="001F213D">
            <w:rPr>
              <w:i/>
            </w:rPr>
            <w:fldChar w:fldCharType="end"/>
          </w:r>
        </w:sdtContent>
      </w:sdt>
      <w:r w:rsidR="001F213D">
        <w:rPr>
          <w:i/>
        </w:rPr>
        <w:t>.</w:t>
      </w:r>
    </w:p>
    <w:p w14:paraId="3F8968F9" w14:textId="42192AB5" w:rsidR="001F213D" w:rsidRDefault="00034AA5">
      <w:r>
        <w:t xml:space="preserve">When examining the functions of </w:t>
      </w:r>
      <w:r w:rsidR="00850A31">
        <w:t>supervision,</w:t>
      </w:r>
      <w:r>
        <w:t xml:space="preserve"> it must be acknowledged that as it is not easy for busy practitioners and managers to deliver supervision which thoroughly covers all three functions in every supervision session. Areas must be </w:t>
      </w:r>
      <w:r w:rsidR="00850A31">
        <w:t>prioritised</w:t>
      </w:r>
      <w:r>
        <w:t xml:space="preserve"> at times. However, supervision can become unsafe if one function is not discussed for any length of time </w:t>
      </w:r>
      <w:sdt>
        <w:sdtPr>
          <w:id w:val="55058236"/>
          <w:citation/>
        </w:sdtPr>
        <w:sdtEndPr/>
        <w:sdtContent>
          <w:r>
            <w:fldChar w:fldCharType="begin"/>
          </w:r>
          <w:r>
            <w:instrText xml:space="preserve"> CITATION Hug97 \l 2057 </w:instrText>
          </w:r>
          <w:r>
            <w:fldChar w:fldCharType="separate"/>
          </w:r>
          <w:r w:rsidR="0088300C" w:rsidRPr="0088300C">
            <w:rPr>
              <w:noProof/>
            </w:rPr>
            <w:t>(Hughes &amp; Pengelly, 1997)</w:t>
          </w:r>
          <w:r>
            <w:fldChar w:fldCharType="end"/>
          </w:r>
        </w:sdtContent>
      </w:sdt>
      <w:r w:rsidR="006A6356">
        <w:t>.</w:t>
      </w:r>
    </w:p>
    <w:p w14:paraId="1F2FE775" w14:textId="400E0020" w:rsidR="006A6356" w:rsidRDefault="006A6356">
      <w:pPr>
        <w:rPr>
          <w:u w:val="single"/>
        </w:rPr>
      </w:pPr>
      <w:r w:rsidRPr="006A6356">
        <w:rPr>
          <w:u w:val="single"/>
        </w:rPr>
        <w:t>Conclusion</w:t>
      </w:r>
    </w:p>
    <w:p w14:paraId="7427AC81" w14:textId="3F04553C" w:rsidR="006A6356" w:rsidRDefault="006A6356">
      <w:r>
        <w:t>To conclude, some key points that have been discussed are the role of supervision. This has included what the purpose of supervision should be and a</w:t>
      </w:r>
      <w:r w:rsidR="003E6CFB">
        <w:t>n</w:t>
      </w:r>
      <w:r>
        <w:t xml:space="preserve"> analysis of why this sometimes is not the case. </w:t>
      </w:r>
      <w:r w:rsidR="003E6CFB">
        <w:t xml:space="preserve">And in turn the effect this has on youth work practice. </w:t>
      </w:r>
    </w:p>
    <w:p w14:paraId="2446B617" w14:textId="3DABB690" w:rsidR="003E6CFB" w:rsidRDefault="003E6CFB">
      <w:r>
        <w:t xml:space="preserve">Key points regarding the functions of supervision have been explored. Analysing the three main functions of supervision, educational – a space where youth workers can learn and develop knowledge, administrative – an opportunity for the supervisee to ensure staff are adhering to policies and procedures, and for staff to clarify roles and objectives and supportive – a chance for practitioners to explore thoughts and feelings, de-brief and discuss complex situations. How this effects youth work practice when done well and when done badly was analysed. </w:t>
      </w:r>
    </w:p>
    <w:p w14:paraId="7F8783E8" w14:textId="2C93085C" w:rsidR="003E6CFB" w:rsidRDefault="003E6CFB">
      <w:r>
        <w:t xml:space="preserve">Supervision overall should be a good quality combination of all three functions with both the supervisor and supervisee gaining form the session. </w:t>
      </w:r>
      <w:bookmarkStart w:id="0" w:name="_GoBack"/>
      <w:bookmarkEnd w:id="0"/>
    </w:p>
    <w:sdt>
      <w:sdtPr>
        <w:id w:val="-18706733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47126B" w14:textId="5F89E5C3" w:rsidR="0088300C" w:rsidRPr="0088300C" w:rsidRDefault="0088300C">
          <w:pPr>
            <w:pStyle w:val="Heading1"/>
            <w:rPr>
              <w:rFonts w:asciiTheme="minorHAnsi" w:hAnsiTheme="minorHAnsi" w:cstheme="minorHAnsi"/>
              <w:color w:val="auto"/>
              <w:sz w:val="24"/>
              <w:szCs w:val="24"/>
              <w:u w:val="single"/>
            </w:rPr>
          </w:pPr>
          <w:r w:rsidRPr="0088300C">
            <w:rPr>
              <w:rFonts w:asciiTheme="minorHAnsi" w:hAnsiTheme="minorHAnsi" w:cstheme="minorHAnsi"/>
              <w:color w:val="auto"/>
              <w:sz w:val="24"/>
              <w:szCs w:val="24"/>
              <w:u w:val="single"/>
            </w:rPr>
            <w:t>References</w:t>
          </w:r>
        </w:p>
        <w:sdt>
          <w:sdtPr>
            <w:id w:val="-573587230"/>
            <w:bibliography/>
          </w:sdtPr>
          <w:sdtContent>
            <w:p w14:paraId="7246631E" w14:textId="77777777" w:rsidR="0088300C" w:rsidRDefault="0088300C" w:rsidP="0088300C">
              <w:pPr>
                <w:pStyle w:val="Bibliography"/>
                <w:rPr>
                  <w:noProof/>
                  <w:sz w:val="24"/>
                  <w:szCs w:val="24"/>
                  <w:lang w:val="en-US"/>
                </w:rPr>
              </w:pPr>
              <w:r>
                <w:fldChar w:fldCharType="begin"/>
              </w:r>
              <w:r>
                <w:instrText xml:space="preserve"> BIBLIOGRAPHY </w:instrText>
              </w:r>
              <w:r>
                <w:fldChar w:fldCharType="separate"/>
              </w:r>
              <w:r>
                <w:rPr>
                  <w:noProof/>
                  <w:lang w:val="en-US"/>
                </w:rPr>
                <w:t xml:space="preserve">Advisory, Concilation and Arbitration Service (ACAS), 2003. </w:t>
              </w:r>
              <w:r>
                <w:rPr>
                  <w:i/>
                  <w:iCs/>
                  <w:noProof/>
                  <w:lang w:val="en-US"/>
                </w:rPr>
                <w:t xml:space="preserve">ACAS Advisory Booklet : Supervision. </w:t>
              </w:r>
              <w:r>
                <w:rPr>
                  <w:noProof/>
                  <w:lang w:val="en-US"/>
                </w:rPr>
                <w:t>London: ACAS.</w:t>
              </w:r>
            </w:p>
            <w:p w14:paraId="115562FF" w14:textId="77777777" w:rsidR="0088300C" w:rsidRDefault="0088300C" w:rsidP="0088300C">
              <w:pPr>
                <w:pStyle w:val="Bibliography"/>
                <w:rPr>
                  <w:noProof/>
                  <w:lang w:val="en-US"/>
                </w:rPr>
              </w:pPr>
              <w:r>
                <w:rPr>
                  <w:noProof/>
                  <w:lang w:val="en-US"/>
                </w:rPr>
                <w:t xml:space="preserve">Bassott, B., 2013. </w:t>
              </w:r>
              <w:r>
                <w:rPr>
                  <w:i/>
                  <w:iCs/>
                  <w:noProof/>
                  <w:lang w:val="en-US"/>
                </w:rPr>
                <w:t xml:space="preserve">The Reflective Journal. </w:t>
              </w:r>
              <w:r>
                <w:rPr>
                  <w:noProof/>
                  <w:lang w:val="en-US"/>
                </w:rPr>
                <w:t>Basingstoke: Palgrave Macmillan.</w:t>
              </w:r>
            </w:p>
            <w:p w14:paraId="13C39619" w14:textId="77777777" w:rsidR="0088300C" w:rsidRDefault="0088300C" w:rsidP="0088300C">
              <w:pPr>
                <w:pStyle w:val="Bibliography"/>
                <w:rPr>
                  <w:noProof/>
                  <w:lang w:val="en-US"/>
                </w:rPr>
              </w:pPr>
              <w:r>
                <w:rPr>
                  <w:noProof/>
                  <w:lang w:val="en-US"/>
                </w:rPr>
                <w:t xml:space="preserve">Gibbs, J., 2001. Maintaining Front Line Workers in Child Protection : A Case For Re-Focusing Supervision. </w:t>
              </w:r>
              <w:r>
                <w:rPr>
                  <w:i/>
                  <w:iCs/>
                  <w:noProof/>
                  <w:lang w:val="en-US"/>
                </w:rPr>
                <w:t xml:space="preserve">Child Abuse Review, </w:t>
              </w:r>
              <w:r>
                <w:rPr>
                  <w:noProof/>
                  <w:lang w:val="en-US"/>
                </w:rPr>
                <w:t>Volume 10, pp. 323-325.</w:t>
              </w:r>
            </w:p>
            <w:p w14:paraId="5161FF2B" w14:textId="77777777" w:rsidR="0088300C" w:rsidRDefault="0088300C" w:rsidP="0088300C">
              <w:pPr>
                <w:pStyle w:val="Bibliography"/>
                <w:rPr>
                  <w:noProof/>
                  <w:lang w:val="en-US"/>
                </w:rPr>
              </w:pPr>
              <w:r>
                <w:rPr>
                  <w:noProof/>
                  <w:lang w:val="en-US"/>
                </w:rPr>
                <w:t xml:space="preserve">Hawkins, P. &amp; Shohet, R., 1992. </w:t>
              </w:r>
              <w:r>
                <w:rPr>
                  <w:i/>
                  <w:iCs/>
                  <w:noProof/>
                  <w:lang w:val="en-US"/>
                </w:rPr>
                <w:t xml:space="preserve">Supervision in the Helping Professions. </w:t>
              </w:r>
              <w:r>
                <w:rPr>
                  <w:noProof/>
                  <w:lang w:val="en-US"/>
                </w:rPr>
                <w:t>Buckingham: Open University Press.</w:t>
              </w:r>
            </w:p>
            <w:p w14:paraId="3786F667" w14:textId="77777777" w:rsidR="0088300C" w:rsidRDefault="0088300C" w:rsidP="0088300C">
              <w:pPr>
                <w:pStyle w:val="Bibliography"/>
                <w:rPr>
                  <w:noProof/>
                  <w:lang w:val="en-US"/>
                </w:rPr>
              </w:pPr>
              <w:r>
                <w:rPr>
                  <w:noProof/>
                  <w:lang w:val="en-US"/>
                </w:rPr>
                <w:t xml:space="preserve">Hess, A. K., 1980. </w:t>
              </w:r>
              <w:r>
                <w:rPr>
                  <w:i/>
                  <w:iCs/>
                  <w:noProof/>
                  <w:lang w:val="en-US"/>
                </w:rPr>
                <w:t xml:space="preserve">Psychotherapy Supervision Theory, Research and Practice. </w:t>
              </w:r>
              <w:r>
                <w:rPr>
                  <w:noProof/>
                  <w:lang w:val="en-US"/>
                </w:rPr>
                <w:t>London: Wiley.</w:t>
              </w:r>
            </w:p>
            <w:p w14:paraId="4FA7A8D4" w14:textId="77777777" w:rsidR="0088300C" w:rsidRDefault="0088300C" w:rsidP="0088300C">
              <w:pPr>
                <w:pStyle w:val="Bibliography"/>
                <w:rPr>
                  <w:noProof/>
                  <w:lang w:val="en-US"/>
                </w:rPr>
              </w:pPr>
              <w:r>
                <w:rPr>
                  <w:noProof/>
                  <w:lang w:val="en-US"/>
                </w:rPr>
                <w:t xml:space="preserve">Hughes, L. &amp; Pengelly, P., 1997. </w:t>
              </w:r>
              <w:r>
                <w:rPr>
                  <w:i/>
                  <w:iCs/>
                  <w:noProof/>
                  <w:lang w:val="en-US"/>
                </w:rPr>
                <w:t xml:space="preserve">Staff Supervision in a Turbulent World. </w:t>
              </w:r>
              <w:r>
                <w:rPr>
                  <w:noProof/>
                  <w:lang w:val="en-US"/>
                </w:rPr>
                <w:t>London: Jessica Kingsley Publishers.</w:t>
              </w:r>
            </w:p>
            <w:p w14:paraId="6E04BDEE" w14:textId="77777777" w:rsidR="0088300C" w:rsidRDefault="0088300C" w:rsidP="0088300C">
              <w:pPr>
                <w:pStyle w:val="Bibliography"/>
                <w:rPr>
                  <w:noProof/>
                  <w:lang w:val="en-US"/>
                </w:rPr>
              </w:pPr>
              <w:r>
                <w:rPr>
                  <w:noProof/>
                  <w:lang w:val="en-US"/>
                </w:rPr>
                <w:lastRenderedPageBreak/>
                <w:t xml:space="preserve">Ingham, R., Fenton, J., Hodson, A. &amp; Jindal, D., 2014. </w:t>
              </w:r>
              <w:r>
                <w:rPr>
                  <w:i/>
                  <w:iCs/>
                  <w:noProof/>
                  <w:lang w:val="en-US"/>
                </w:rPr>
                <w:t xml:space="preserve">Reflective Social Work Practice. </w:t>
              </w:r>
              <w:r>
                <w:rPr>
                  <w:noProof/>
                  <w:lang w:val="en-US"/>
                </w:rPr>
                <w:t>Basingtoke: Palgrave Macmillan.</w:t>
              </w:r>
            </w:p>
            <w:p w14:paraId="46F74966" w14:textId="77777777" w:rsidR="0088300C" w:rsidRDefault="0088300C" w:rsidP="0088300C">
              <w:pPr>
                <w:pStyle w:val="Bibliography"/>
                <w:rPr>
                  <w:noProof/>
                  <w:lang w:val="en-US"/>
                </w:rPr>
              </w:pPr>
              <w:r>
                <w:rPr>
                  <w:noProof/>
                  <w:lang w:val="en-US"/>
                </w:rPr>
                <w:t xml:space="preserve">Johns, C., 2004. </w:t>
              </w:r>
              <w:r>
                <w:rPr>
                  <w:i/>
                  <w:iCs/>
                  <w:noProof/>
                  <w:lang w:val="en-US"/>
                </w:rPr>
                <w:t xml:space="preserve">Becoming a Reflective Practitioner : A Reflective and Holistic Approach to Clinical Nursing, Practice Development and Clinical Supervision. </w:t>
              </w:r>
              <w:r>
                <w:rPr>
                  <w:noProof/>
                  <w:lang w:val="en-US"/>
                </w:rPr>
                <w:t>Oxford: Blackwell Publications.</w:t>
              </w:r>
            </w:p>
            <w:p w14:paraId="17C7A44D" w14:textId="77777777" w:rsidR="0088300C" w:rsidRDefault="0088300C" w:rsidP="0088300C">
              <w:pPr>
                <w:pStyle w:val="Bibliography"/>
                <w:rPr>
                  <w:noProof/>
                  <w:lang w:val="en-US"/>
                </w:rPr>
              </w:pPr>
              <w:r>
                <w:rPr>
                  <w:noProof/>
                  <w:lang w:val="en-US"/>
                </w:rPr>
                <w:t xml:space="preserve">Kadushin, A., 1992. </w:t>
              </w:r>
              <w:r>
                <w:rPr>
                  <w:i/>
                  <w:iCs/>
                  <w:noProof/>
                  <w:lang w:val="en-US"/>
                </w:rPr>
                <w:t xml:space="preserve">Supervision in Social Work. </w:t>
              </w:r>
              <w:r>
                <w:rPr>
                  <w:noProof/>
                  <w:lang w:val="en-US"/>
                </w:rPr>
                <w:t>New York: Columbia University Press.</w:t>
              </w:r>
            </w:p>
            <w:p w14:paraId="60F6D412" w14:textId="77777777" w:rsidR="0088300C" w:rsidRDefault="0088300C" w:rsidP="0088300C">
              <w:pPr>
                <w:pStyle w:val="Bibliography"/>
                <w:rPr>
                  <w:noProof/>
                  <w:lang w:val="en-US"/>
                </w:rPr>
              </w:pPr>
              <w:r>
                <w:rPr>
                  <w:noProof/>
                  <w:lang w:val="en-US"/>
                </w:rPr>
                <w:t xml:space="preserve">Laming, L., 2003. </w:t>
              </w:r>
              <w:r>
                <w:rPr>
                  <w:i/>
                  <w:iCs/>
                  <w:noProof/>
                  <w:lang w:val="en-US"/>
                </w:rPr>
                <w:t xml:space="preserve">The Victoria Climbie Inquiry, </w:t>
              </w:r>
              <w:r>
                <w:rPr>
                  <w:noProof/>
                  <w:lang w:val="en-US"/>
                </w:rPr>
                <w:t>London: Stationary Office.</w:t>
              </w:r>
            </w:p>
            <w:p w14:paraId="783295EB" w14:textId="77777777" w:rsidR="0088300C" w:rsidRDefault="0088300C" w:rsidP="0088300C">
              <w:pPr>
                <w:pStyle w:val="Bibliography"/>
                <w:rPr>
                  <w:noProof/>
                  <w:lang w:val="en-US"/>
                </w:rPr>
              </w:pPr>
              <w:r>
                <w:rPr>
                  <w:noProof/>
                  <w:lang w:val="en-US"/>
                </w:rPr>
                <w:t xml:space="preserve">Learning and Skills Improvement Service (LSIS), 2012. </w:t>
              </w:r>
              <w:r>
                <w:rPr>
                  <w:i/>
                  <w:iCs/>
                  <w:noProof/>
                  <w:lang w:val="en-US"/>
                </w:rPr>
                <w:t xml:space="preserve">National Occupational Standards for Youth Work. </w:t>
              </w:r>
              <w:r>
                <w:rPr>
                  <w:noProof/>
                  <w:lang w:val="en-US"/>
                </w:rPr>
                <w:t>Coventry: LSIS.</w:t>
              </w:r>
            </w:p>
            <w:p w14:paraId="47AE6157" w14:textId="77777777" w:rsidR="0088300C" w:rsidRDefault="0088300C" w:rsidP="0088300C">
              <w:pPr>
                <w:pStyle w:val="Bibliography"/>
                <w:rPr>
                  <w:noProof/>
                  <w:lang w:val="en-US"/>
                </w:rPr>
              </w:pPr>
              <w:r>
                <w:rPr>
                  <w:noProof/>
                  <w:lang w:val="en-US"/>
                </w:rPr>
                <w:t xml:space="preserve">Lymbery, M. &amp; Postle, K., 2007. </w:t>
              </w:r>
              <w:r>
                <w:rPr>
                  <w:i/>
                  <w:iCs/>
                  <w:noProof/>
                  <w:lang w:val="en-US"/>
                </w:rPr>
                <w:t xml:space="preserve">Social Work. </w:t>
              </w:r>
              <w:r>
                <w:rPr>
                  <w:noProof/>
                  <w:lang w:val="en-US"/>
                </w:rPr>
                <w:t>London: SAGE Publications.</w:t>
              </w:r>
            </w:p>
            <w:p w14:paraId="07D921F2" w14:textId="77777777" w:rsidR="0088300C" w:rsidRDefault="0088300C" w:rsidP="0088300C">
              <w:pPr>
                <w:pStyle w:val="Bibliography"/>
                <w:rPr>
                  <w:noProof/>
                  <w:lang w:val="en-US"/>
                </w:rPr>
              </w:pPr>
              <w:r>
                <w:rPr>
                  <w:noProof/>
                  <w:lang w:val="en-US"/>
                </w:rPr>
                <w:t xml:space="preserve">Maclean, S., 2010. </w:t>
              </w:r>
              <w:r>
                <w:rPr>
                  <w:i/>
                  <w:iCs/>
                  <w:noProof/>
                  <w:lang w:val="en-US"/>
                </w:rPr>
                <w:t xml:space="preserve">The Social Work Pocket Guide to Reflective Practice. </w:t>
              </w:r>
              <w:r>
                <w:rPr>
                  <w:noProof/>
                  <w:lang w:val="en-US"/>
                </w:rPr>
                <w:t>Lichfield: Kirwin Maclean.</w:t>
              </w:r>
            </w:p>
            <w:p w14:paraId="2FF80480" w14:textId="77777777" w:rsidR="0088300C" w:rsidRDefault="0088300C" w:rsidP="0088300C">
              <w:pPr>
                <w:pStyle w:val="Bibliography"/>
                <w:rPr>
                  <w:noProof/>
                  <w:lang w:val="en-US"/>
                </w:rPr>
              </w:pPr>
              <w:r>
                <w:rPr>
                  <w:noProof/>
                  <w:lang w:val="en-US"/>
                </w:rPr>
                <w:t xml:space="preserve">Sapin, K., 2013. </w:t>
              </w:r>
              <w:r>
                <w:rPr>
                  <w:i/>
                  <w:iCs/>
                  <w:noProof/>
                  <w:lang w:val="en-US"/>
                </w:rPr>
                <w:t xml:space="preserve">Essential Skills For Youth Work Practice. </w:t>
              </w:r>
              <w:r>
                <w:rPr>
                  <w:noProof/>
                  <w:lang w:val="en-US"/>
                </w:rPr>
                <w:t>London: Sage.</w:t>
              </w:r>
            </w:p>
            <w:p w14:paraId="58D17632" w14:textId="77777777" w:rsidR="0088300C" w:rsidRDefault="0088300C" w:rsidP="0088300C">
              <w:pPr>
                <w:pStyle w:val="Bibliography"/>
                <w:rPr>
                  <w:noProof/>
                  <w:lang w:val="en-US"/>
                </w:rPr>
              </w:pPr>
              <w:r>
                <w:rPr>
                  <w:noProof/>
                  <w:lang w:val="en-US"/>
                </w:rPr>
                <w:t xml:space="preserve">Scaife, J., 2010. </w:t>
              </w:r>
              <w:r>
                <w:rPr>
                  <w:i/>
                  <w:iCs/>
                  <w:noProof/>
                  <w:lang w:val="en-US"/>
                </w:rPr>
                <w:t xml:space="preserve">Supervising the Reflective Practitioner : An Essential Guide to Theory and Practice. </w:t>
              </w:r>
              <w:r>
                <w:rPr>
                  <w:noProof/>
                  <w:lang w:val="en-US"/>
                </w:rPr>
                <w:t>London: Routledge.</w:t>
              </w:r>
            </w:p>
            <w:p w14:paraId="76B031E1" w14:textId="77777777" w:rsidR="0088300C" w:rsidRDefault="0088300C" w:rsidP="0088300C">
              <w:pPr>
                <w:pStyle w:val="Bibliography"/>
                <w:rPr>
                  <w:noProof/>
                  <w:lang w:val="en-US"/>
                </w:rPr>
              </w:pPr>
              <w:r>
                <w:rPr>
                  <w:noProof/>
                  <w:lang w:val="en-US"/>
                </w:rPr>
                <w:t xml:space="preserve">Wonnacott, J., 2004. </w:t>
              </w:r>
              <w:r>
                <w:rPr>
                  <w:i/>
                  <w:iCs/>
                  <w:noProof/>
                  <w:lang w:val="en-US"/>
                </w:rPr>
                <w:t xml:space="preserve">The Impact Of Supervision On Child Protection Practice : A Study of Process and Outcome. </w:t>
              </w:r>
              <w:r>
                <w:rPr>
                  <w:noProof/>
                  <w:lang w:val="en-US"/>
                </w:rPr>
                <w:t>s.l.:Unpublished M.Phil Thesis University of Sussex.</w:t>
              </w:r>
            </w:p>
            <w:p w14:paraId="439A7D45" w14:textId="6DBF50C1" w:rsidR="0088300C" w:rsidRDefault="0088300C" w:rsidP="0088300C">
              <w:r>
                <w:rPr>
                  <w:b/>
                  <w:bCs/>
                  <w:noProof/>
                </w:rPr>
                <w:fldChar w:fldCharType="end"/>
              </w:r>
            </w:p>
          </w:sdtContent>
        </w:sdt>
      </w:sdtContent>
    </w:sdt>
    <w:p w14:paraId="1FB47DB4" w14:textId="77777777" w:rsidR="0088300C" w:rsidRPr="006A6356" w:rsidRDefault="0088300C"/>
    <w:p w14:paraId="48E03F24" w14:textId="77777777" w:rsidR="003F4D98" w:rsidRPr="001C7C53" w:rsidRDefault="003F4D98"/>
    <w:sectPr w:rsidR="003F4D98" w:rsidRPr="001C7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E3C"/>
    <w:rsid w:val="00034AA5"/>
    <w:rsid w:val="000444B0"/>
    <w:rsid w:val="00057C3B"/>
    <w:rsid w:val="00111452"/>
    <w:rsid w:val="00173033"/>
    <w:rsid w:val="00185201"/>
    <w:rsid w:val="001B4CAA"/>
    <w:rsid w:val="001C7C53"/>
    <w:rsid w:val="001F213D"/>
    <w:rsid w:val="00211CF4"/>
    <w:rsid w:val="00317DA8"/>
    <w:rsid w:val="00321663"/>
    <w:rsid w:val="003744CE"/>
    <w:rsid w:val="003E6CFB"/>
    <w:rsid w:val="003F4D98"/>
    <w:rsid w:val="00471E3C"/>
    <w:rsid w:val="005C17BC"/>
    <w:rsid w:val="0062381E"/>
    <w:rsid w:val="00656F17"/>
    <w:rsid w:val="006A6356"/>
    <w:rsid w:val="006B235C"/>
    <w:rsid w:val="00850A31"/>
    <w:rsid w:val="0088300C"/>
    <w:rsid w:val="008C7DF8"/>
    <w:rsid w:val="00970D65"/>
    <w:rsid w:val="00991961"/>
    <w:rsid w:val="009C5129"/>
    <w:rsid w:val="00B878CD"/>
    <w:rsid w:val="00D43897"/>
    <w:rsid w:val="00DE2C9C"/>
    <w:rsid w:val="00E87B07"/>
    <w:rsid w:val="00F00F29"/>
    <w:rsid w:val="00FB0C96"/>
    <w:rsid w:val="00FC1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4FC88"/>
  <w15:chartTrackingRefBased/>
  <w15:docId w15:val="{87A45391-F83E-4A68-874F-2566B6F3B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00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00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8300C"/>
  </w:style>
  <w:style w:type="paragraph" w:styleId="BalloonText">
    <w:name w:val="Balloon Text"/>
    <w:basedOn w:val="Normal"/>
    <w:link w:val="BalloonTextChar"/>
    <w:uiPriority w:val="99"/>
    <w:semiHidden/>
    <w:unhideWhenUsed/>
    <w:rsid w:val="008830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30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49751">
      <w:bodyDiv w:val="1"/>
      <w:marLeft w:val="0"/>
      <w:marRight w:val="0"/>
      <w:marTop w:val="0"/>
      <w:marBottom w:val="0"/>
      <w:divBdr>
        <w:top w:val="none" w:sz="0" w:space="0" w:color="auto"/>
        <w:left w:val="none" w:sz="0" w:space="0" w:color="auto"/>
        <w:bottom w:val="none" w:sz="0" w:space="0" w:color="auto"/>
        <w:right w:val="none" w:sz="0" w:space="0" w:color="auto"/>
      </w:divBdr>
    </w:div>
    <w:div w:id="101193808">
      <w:bodyDiv w:val="1"/>
      <w:marLeft w:val="0"/>
      <w:marRight w:val="0"/>
      <w:marTop w:val="0"/>
      <w:marBottom w:val="0"/>
      <w:divBdr>
        <w:top w:val="none" w:sz="0" w:space="0" w:color="auto"/>
        <w:left w:val="none" w:sz="0" w:space="0" w:color="auto"/>
        <w:bottom w:val="none" w:sz="0" w:space="0" w:color="auto"/>
        <w:right w:val="none" w:sz="0" w:space="0" w:color="auto"/>
      </w:divBdr>
    </w:div>
    <w:div w:id="212087591">
      <w:bodyDiv w:val="1"/>
      <w:marLeft w:val="0"/>
      <w:marRight w:val="0"/>
      <w:marTop w:val="0"/>
      <w:marBottom w:val="0"/>
      <w:divBdr>
        <w:top w:val="none" w:sz="0" w:space="0" w:color="auto"/>
        <w:left w:val="none" w:sz="0" w:space="0" w:color="auto"/>
        <w:bottom w:val="none" w:sz="0" w:space="0" w:color="auto"/>
        <w:right w:val="none" w:sz="0" w:space="0" w:color="auto"/>
      </w:divBdr>
    </w:div>
    <w:div w:id="228729979">
      <w:bodyDiv w:val="1"/>
      <w:marLeft w:val="0"/>
      <w:marRight w:val="0"/>
      <w:marTop w:val="0"/>
      <w:marBottom w:val="0"/>
      <w:divBdr>
        <w:top w:val="none" w:sz="0" w:space="0" w:color="auto"/>
        <w:left w:val="none" w:sz="0" w:space="0" w:color="auto"/>
        <w:bottom w:val="none" w:sz="0" w:space="0" w:color="auto"/>
        <w:right w:val="none" w:sz="0" w:space="0" w:color="auto"/>
      </w:divBdr>
    </w:div>
    <w:div w:id="322007038">
      <w:bodyDiv w:val="1"/>
      <w:marLeft w:val="0"/>
      <w:marRight w:val="0"/>
      <w:marTop w:val="0"/>
      <w:marBottom w:val="0"/>
      <w:divBdr>
        <w:top w:val="none" w:sz="0" w:space="0" w:color="auto"/>
        <w:left w:val="none" w:sz="0" w:space="0" w:color="auto"/>
        <w:bottom w:val="none" w:sz="0" w:space="0" w:color="auto"/>
        <w:right w:val="none" w:sz="0" w:space="0" w:color="auto"/>
      </w:divBdr>
    </w:div>
    <w:div w:id="394816777">
      <w:bodyDiv w:val="1"/>
      <w:marLeft w:val="0"/>
      <w:marRight w:val="0"/>
      <w:marTop w:val="0"/>
      <w:marBottom w:val="0"/>
      <w:divBdr>
        <w:top w:val="none" w:sz="0" w:space="0" w:color="auto"/>
        <w:left w:val="none" w:sz="0" w:space="0" w:color="auto"/>
        <w:bottom w:val="none" w:sz="0" w:space="0" w:color="auto"/>
        <w:right w:val="none" w:sz="0" w:space="0" w:color="auto"/>
      </w:divBdr>
    </w:div>
    <w:div w:id="408041820">
      <w:bodyDiv w:val="1"/>
      <w:marLeft w:val="0"/>
      <w:marRight w:val="0"/>
      <w:marTop w:val="0"/>
      <w:marBottom w:val="0"/>
      <w:divBdr>
        <w:top w:val="none" w:sz="0" w:space="0" w:color="auto"/>
        <w:left w:val="none" w:sz="0" w:space="0" w:color="auto"/>
        <w:bottom w:val="none" w:sz="0" w:space="0" w:color="auto"/>
        <w:right w:val="none" w:sz="0" w:space="0" w:color="auto"/>
      </w:divBdr>
    </w:div>
    <w:div w:id="415516906">
      <w:bodyDiv w:val="1"/>
      <w:marLeft w:val="0"/>
      <w:marRight w:val="0"/>
      <w:marTop w:val="0"/>
      <w:marBottom w:val="0"/>
      <w:divBdr>
        <w:top w:val="none" w:sz="0" w:space="0" w:color="auto"/>
        <w:left w:val="none" w:sz="0" w:space="0" w:color="auto"/>
        <w:bottom w:val="none" w:sz="0" w:space="0" w:color="auto"/>
        <w:right w:val="none" w:sz="0" w:space="0" w:color="auto"/>
      </w:divBdr>
    </w:div>
    <w:div w:id="420759413">
      <w:bodyDiv w:val="1"/>
      <w:marLeft w:val="0"/>
      <w:marRight w:val="0"/>
      <w:marTop w:val="0"/>
      <w:marBottom w:val="0"/>
      <w:divBdr>
        <w:top w:val="none" w:sz="0" w:space="0" w:color="auto"/>
        <w:left w:val="none" w:sz="0" w:space="0" w:color="auto"/>
        <w:bottom w:val="none" w:sz="0" w:space="0" w:color="auto"/>
        <w:right w:val="none" w:sz="0" w:space="0" w:color="auto"/>
      </w:divBdr>
    </w:div>
    <w:div w:id="438522992">
      <w:bodyDiv w:val="1"/>
      <w:marLeft w:val="0"/>
      <w:marRight w:val="0"/>
      <w:marTop w:val="0"/>
      <w:marBottom w:val="0"/>
      <w:divBdr>
        <w:top w:val="none" w:sz="0" w:space="0" w:color="auto"/>
        <w:left w:val="none" w:sz="0" w:space="0" w:color="auto"/>
        <w:bottom w:val="none" w:sz="0" w:space="0" w:color="auto"/>
        <w:right w:val="none" w:sz="0" w:space="0" w:color="auto"/>
      </w:divBdr>
    </w:div>
    <w:div w:id="463237106">
      <w:bodyDiv w:val="1"/>
      <w:marLeft w:val="0"/>
      <w:marRight w:val="0"/>
      <w:marTop w:val="0"/>
      <w:marBottom w:val="0"/>
      <w:divBdr>
        <w:top w:val="none" w:sz="0" w:space="0" w:color="auto"/>
        <w:left w:val="none" w:sz="0" w:space="0" w:color="auto"/>
        <w:bottom w:val="none" w:sz="0" w:space="0" w:color="auto"/>
        <w:right w:val="none" w:sz="0" w:space="0" w:color="auto"/>
      </w:divBdr>
    </w:div>
    <w:div w:id="583342086">
      <w:bodyDiv w:val="1"/>
      <w:marLeft w:val="0"/>
      <w:marRight w:val="0"/>
      <w:marTop w:val="0"/>
      <w:marBottom w:val="0"/>
      <w:divBdr>
        <w:top w:val="none" w:sz="0" w:space="0" w:color="auto"/>
        <w:left w:val="none" w:sz="0" w:space="0" w:color="auto"/>
        <w:bottom w:val="none" w:sz="0" w:space="0" w:color="auto"/>
        <w:right w:val="none" w:sz="0" w:space="0" w:color="auto"/>
      </w:divBdr>
    </w:div>
    <w:div w:id="600069145">
      <w:bodyDiv w:val="1"/>
      <w:marLeft w:val="0"/>
      <w:marRight w:val="0"/>
      <w:marTop w:val="0"/>
      <w:marBottom w:val="0"/>
      <w:divBdr>
        <w:top w:val="none" w:sz="0" w:space="0" w:color="auto"/>
        <w:left w:val="none" w:sz="0" w:space="0" w:color="auto"/>
        <w:bottom w:val="none" w:sz="0" w:space="0" w:color="auto"/>
        <w:right w:val="none" w:sz="0" w:space="0" w:color="auto"/>
      </w:divBdr>
    </w:div>
    <w:div w:id="668561196">
      <w:bodyDiv w:val="1"/>
      <w:marLeft w:val="0"/>
      <w:marRight w:val="0"/>
      <w:marTop w:val="0"/>
      <w:marBottom w:val="0"/>
      <w:divBdr>
        <w:top w:val="none" w:sz="0" w:space="0" w:color="auto"/>
        <w:left w:val="none" w:sz="0" w:space="0" w:color="auto"/>
        <w:bottom w:val="none" w:sz="0" w:space="0" w:color="auto"/>
        <w:right w:val="none" w:sz="0" w:space="0" w:color="auto"/>
      </w:divBdr>
    </w:div>
    <w:div w:id="669258496">
      <w:bodyDiv w:val="1"/>
      <w:marLeft w:val="0"/>
      <w:marRight w:val="0"/>
      <w:marTop w:val="0"/>
      <w:marBottom w:val="0"/>
      <w:divBdr>
        <w:top w:val="none" w:sz="0" w:space="0" w:color="auto"/>
        <w:left w:val="none" w:sz="0" w:space="0" w:color="auto"/>
        <w:bottom w:val="none" w:sz="0" w:space="0" w:color="auto"/>
        <w:right w:val="none" w:sz="0" w:space="0" w:color="auto"/>
      </w:divBdr>
    </w:div>
    <w:div w:id="704015739">
      <w:bodyDiv w:val="1"/>
      <w:marLeft w:val="0"/>
      <w:marRight w:val="0"/>
      <w:marTop w:val="0"/>
      <w:marBottom w:val="0"/>
      <w:divBdr>
        <w:top w:val="none" w:sz="0" w:space="0" w:color="auto"/>
        <w:left w:val="none" w:sz="0" w:space="0" w:color="auto"/>
        <w:bottom w:val="none" w:sz="0" w:space="0" w:color="auto"/>
        <w:right w:val="none" w:sz="0" w:space="0" w:color="auto"/>
      </w:divBdr>
    </w:div>
    <w:div w:id="760223889">
      <w:bodyDiv w:val="1"/>
      <w:marLeft w:val="0"/>
      <w:marRight w:val="0"/>
      <w:marTop w:val="0"/>
      <w:marBottom w:val="0"/>
      <w:divBdr>
        <w:top w:val="none" w:sz="0" w:space="0" w:color="auto"/>
        <w:left w:val="none" w:sz="0" w:space="0" w:color="auto"/>
        <w:bottom w:val="none" w:sz="0" w:space="0" w:color="auto"/>
        <w:right w:val="none" w:sz="0" w:space="0" w:color="auto"/>
      </w:divBdr>
    </w:div>
    <w:div w:id="818764967">
      <w:bodyDiv w:val="1"/>
      <w:marLeft w:val="0"/>
      <w:marRight w:val="0"/>
      <w:marTop w:val="0"/>
      <w:marBottom w:val="0"/>
      <w:divBdr>
        <w:top w:val="none" w:sz="0" w:space="0" w:color="auto"/>
        <w:left w:val="none" w:sz="0" w:space="0" w:color="auto"/>
        <w:bottom w:val="none" w:sz="0" w:space="0" w:color="auto"/>
        <w:right w:val="none" w:sz="0" w:space="0" w:color="auto"/>
      </w:divBdr>
    </w:div>
    <w:div w:id="862325759">
      <w:bodyDiv w:val="1"/>
      <w:marLeft w:val="0"/>
      <w:marRight w:val="0"/>
      <w:marTop w:val="0"/>
      <w:marBottom w:val="0"/>
      <w:divBdr>
        <w:top w:val="none" w:sz="0" w:space="0" w:color="auto"/>
        <w:left w:val="none" w:sz="0" w:space="0" w:color="auto"/>
        <w:bottom w:val="none" w:sz="0" w:space="0" w:color="auto"/>
        <w:right w:val="none" w:sz="0" w:space="0" w:color="auto"/>
      </w:divBdr>
    </w:div>
    <w:div w:id="883715886">
      <w:bodyDiv w:val="1"/>
      <w:marLeft w:val="0"/>
      <w:marRight w:val="0"/>
      <w:marTop w:val="0"/>
      <w:marBottom w:val="0"/>
      <w:divBdr>
        <w:top w:val="none" w:sz="0" w:space="0" w:color="auto"/>
        <w:left w:val="none" w:sz="0" w:space="0" w:color="auto"/>
        <w:bottom w:val="none" w:sz="0" w:space="0" w:color="auto"/>
        <w:right w:val="none" w:sz="0" w:space="0" w:color="auto"/>
      </w:divBdr>
    </w:div>
    <w:div w:id="995572428">
      <w:bodyDiv w:val="1"/>
      <w:marLeft w:val="0"/>
      <w:marRight w:val="0"/>
      <w:marTop w:val="0"/>
      <w:marBottom w:val="0"/>
      <w:divBdr>
        <w:top w:val="none" w:sz="0" w:space="0" w:color="auto"/>
        <w:left w:val="none" w:sz="0" w:space="0" w:color="auto"/>
        <w:bottom w:val="none" w:sz="0" w:space="0" w:color="auto"/>
        <w:right w:val="none" w:sz="0" w:space="0" w:color="auto"/>
      </w:divBdr>
    </w:div>
    <w:div w:id="1091388283">
      <w:bodyDiv w:val="1"/>
      <w:marLeft w:val="0"/>
      <w:marRight w:val="0"/>
      <w:marTop w:val="0"/>
      <w:marBottom w:val="0"/>
      <w:divBdr>
        <w:top w:val="none" w:sz="0" w:space="0" w:color="auto"/>
        <w:left w:val="none" w:sz="0" w:space="0" w:color="auto"/>
        <w:bottom w:val="none" w:sz="0" w:space="0" w:color="auto"/>
        <w:right w:val="none" w:sz="0" w:space="0" w:color="auto"/>
      </w:divBdr>
    </w:div>
    <w:div w:id="1130902360">
      <w:bodyDiv w:val="1"/>
      <w:marLeft w:val="0"/>
      <w:marRight w:val="0"/>
      <w:marTop w:val="0"/>
      <w:marBottom w:val="0"/>
      <w:divBdr>
        <w:top w:val="none" w:sz="0" w:space="0" w:color="auto"/>
        <w:left w:val="none" w:sz="0" w:space="0" w:color="auto"/>
        <w:bottom w:val="none" w:sz="0" w:space="0" w:color="auto"/>
        <w:right w:val="none" w:sz="0" w:space="0" w:color="auto"/>
      </w:divBdr>
    </w:div>
    <w:div w:id="1212228619">
      <w:bodyDiv w:val="1"/>
      <w:marLeft w:val="0"/>
      <w:marRight w:val="0"/>
      <w:marTop w:val="0"/>
      <w:marBottom w:val="0"/>
      <w:divBdr>
        <w:top w:val="none" w:sz="0" w:space="0" w:color="auto"/>
        <w:left w:val="none" w:sz="0" w:space="0" w:color="auto"/>
        <w:bottom w:val="none" w:sz="0" w:space="0" w:color="auto"/>
        <w:right w:val="none" w:sz="0" w:space="0" w:color="auto"/>
      </w:divBdr>
    </w:div>
    <w:div w:id="1217815782">
      <w:bodyDiv w:val="1"/>
      <w:marLeft w:val="0"/>
      <w:marRight w:val="0"/>
      <w:marTop w:val="0"/>
      <w:marBottom w:val="0"/>
      <w:divBdr>
        <w:top w:val="none" w:sz="0" w:space="0" w:color="auto"/>
        <w:left w:val="none" w:sz="0" w:space="0" w:color="auto"/>
        <w:bottom w:val="none" w:sz="0" w:space="0" w:color="auto"/>
        <w:right w:val="none" w:sz="0" w:space="0" w:color="auto"/>
      </w:divBdr>
    </w:div>
    <w:div w:id="1224489576">
      <w:bodyDiv w:val="1"/>
      <w:marLeft w:val="0"/>
      <w:marRight w:val="0"/>
      <w:marTop w:val="0"/>
      <w:marBottom w:val="0"/>
      <w:divBdr>
        <w:top w:val="none" w:sz="0" w:space="0" w:color="auto"/>
        <w:left w:val="none" w:sz="0" w:space="0" w:color="auto"/>
        <w:bottom w:val="none" w:sz="0" w:space="0" w:color="auto"/>
        <w:right w:val="none" w:sz="0" w:space="0" w:color="auto"/>
      </w:divBdr>
    </w:div>
    <w:div w:id="1229417281">
      <w:bodyDiv w:val="1"/>
      <w:marLeft w:val="0"/>
      <w:marRight w:val="0"/>
      <w:marTop w:val="0"/>
      <w:marBottom w:val="0"/>
      <w:divBdr>
        <w:top w:val="none" w:sz="0" w:space="0" w:color="auto"/>
        <w:left w:val="none" w:sz="0" w:space="0" w:color="auto"/>
        <w:bottom w:val="none" w:sz="0" w:space="0" w:color="auto"/>
        <w:right w:val="none" w:sz="0" w:space="0" w:color="auto"/>
      </w:divBdr>
    </w:div>
    <w:div w:id="1231887295">
      <w:bodyDiv w:val="1"/>
      <w:marLeft w:val="0"/>
      <w:marRight w:val="0"/>
      <w:marTop w:val="0"/>
      <w:marBottom w:val="0"/>
      <w:divBdr>
        <w:top w:val="none" w:sz="0" w:space="0" w:color="auto"/>
        <w:left w:val="none" w:sz="0" w:space="0" w:color="auto"/>
        <w:bottom w:val="none" w:sz="0" w:space="0" w:color="auto"/>
        <w:right w:val="none" w:sz="0" w:space="0" w:color="auto"/>
      </w:divBdr>
    </w:div>
    <w:div w:id="1336297032">
      <w:bodyDiv w:val="1"/>
      <w:marLeft w:val="0"/>
      <w:marRight w:val="0"/>
      <w:marTop w:val="0"/>
      <w:marBottom w:val="0"/>
      <w:divBdr>
        <w:top w:val="none" w:sz="0" w:space="0" w:color="auto"/>
        <w:left w:val="none" w:sz="0" w:space="0" w:color="auto"/>
        <w:bottom w:val="none" w:sz="0" w:space="0" w:color="auto"/>
        <w:right w:val="none" w:sz="0" w:space="0" w:color="auto"/>
      </w:divBdr>
    </w:div>
    <w:div w:id="1378774763">
      <w:bodyDiv w:val="1"/>
      <w:marLeft w:val="0"/>
      <w:marRight w:val="0"/>
      <w:marTop w:val="0"/>
      <w:marBottom w:val="0"/>
      <w:divBdr>
        <w:top w:val="none" w:sz="0" w:space="0" w:color="auto"/>
        <w:left w:val="none" w:sz="0" w:space="0" w:color="auto"/>
        <w:bottom w:val="none" w:sz="0" w:space="0" w:color="auto"/>
        <w:right w:val="none" w:sz="0" w:space="0" w:color="auto"/>
      </w:divBdr>
    </w:div>
    <w:div w:id="1395543552">
      <w:bodyDiv w:val="1"/>
      <w:marLeft w:val="0"/>
      <w:marRight w:val="0"/>
      <w:marTop w:val="0"/>
      <w:marBottom w:val="0"/>
      <w:divBdr>
        <w:top w:val="none" w:sz="0" w:space="0" w:color="auto"/>
        <w:left w:val="none" w:sz="0" w:space="0" w:color="auto"/>
        <w:bottom w:val="none" w:sz="0" w:space="0" w:color="auto"/>
        <w:right w:val="none" w:sz="0" w:space="0" w:color="auto"/>
      </w:divBdr>
    </w:div>
    <w:div w:id="1426876859">
      <w:bodyDiv w:val="1"/>
      <w:marLeft w:val="0"/>
      <w:marRight w:val="0"/>
      <w:marTop w:val="0"/>
      <w:marBottom w:val="0"/>
      <w:divBdr>
        <w:top w:val="none" w:sz="0" w:space="0" w:color="auto"/>
        <w:left w:val="none" w:sz="0" w:space="0" w:color="auto"/>
        <w:bottom w:val="none" w:sz="0" w:space="0" w:color="auto"/>
        <w:right w:val="none" w:sz="0" w:space="0" w:color="auto"/>
      </w:divBdr>
    </w:div>
    <w:div w:id="1456557288">
      <w:bodyDiv w:val="1"/>
      <w:marLeft w:val="0"/>
      <w:marRight w:val="0"/>
      <w:marTop w:val="0"/>
      <w:marBottom w:val="0"/>
      <w:divBdr>
        <w:top w:val="none" w:sz="0" w:space="0" w:color="auto"/>
        <w:left w:val="none" w:sz="0" w:space="0" w:color="auto"/>
        <w:bottom w:val="none" w:sz="0" w:space="0" w:color="auto"/>
        <w:right w:val="none" w:sz="0" w:space="0" w:color="auto"/>
      </w:divBdr>
    </w:div>
    <w:div w:id="1508443623">
      <w:bodyDiv w:val="1"/>
      <w:marLeft w:val="0"/>
      <w:marRight w:val="0"/>
      <w:marTop w:val="0"/>
      <w:marBottom w:val="0"/>
      <w:divBdr>
        <w:top w:val="none" w:sz="0" w:space="0" w:color="auto"/>
        <w:left w:val="none" w:sz="0" w:space="0" w:color="auto"/>
        <w:bottom w:val="none" w:sz="0" w:space="0" w:color="auto"/>
        <w:right w:val="none" w:sz="0" w:space="0" w:color="auto"/>
      </w:divBdr>
    </w:div>
    <w:div w:id="1718703946">
      <w:bodyDiv w:val="1"/>
      <w:marLeft w:val="0"/>
      <w:marRight w:val="0"/>
      <w:marTop w:val="0"/>
      <w:marBottom w:val="0"/>
      <w:divBdr>
        <w:top w:val="none" w:sz="0" w:space="0" w:color="auto"/>
        <w:left w:val="none" w:sz="0" w:space="0" w:color="auto"/>
        <w:bottom w:val="none" w:sz="0" w:space="0" w:color="auto"/>
        <w:right w:val="none" w:sz="0" w:space="0" w:color="auto"/>
      </w:divBdr>
    </w:div>
    <w:div w:id="1727340259">
      <w:bodyDiv w:val="1"/>
      <w:marLeft w:val="0"/>
      <w:marRight w:val="0"/>
      <w:marTop w:val="0"/>
      <w:marBottom w:val="0"/>
      <w:divBdr>
        <w:top w:val="none" w:sz="0" w:space="0" w:color="auto"/>
        <w:left w:val="none" w:sz="0" w:space="0" w:color="auto"/>
        <w:bottom w:val="none" w:sz="0" w:space="0" w:color="auto"/>
        <w:right w:val="none" w:sz="0" w:space="0" w:color="auto"/>
      </w:divBdr>
    </w:div>
    <w:div w:id="1742486126">
      <w:bodyDiv w:val="1"/>
      <w:marLeft w:val="0"/>
      <w:marRight w:val="0"/>
      <w:marTop w:val="0"/>
      <w:marBottom w:val="0"/>
      <w:divBdr>
        <w:top w:val="none" w:sz="0" w:space="0" w:color="auto"/>
        <w:left w:val="none" w:sz="0" w:space="0" w:color="auto"/>
        <w:bottom w:val="none" w:sz="0" w:space="0" w:color="auto"/>
        <w:right w:val="none" w:sz="0" w:space="0" w:color="auto"/>
      </w:divBdr>
    </w:div>
    <w:div w:id="1822111211">
      <w:bodyDiv w:val="1"/>
      <w:marLeft w:val="0"/>
      <w:marRight w:val="0"/>
      <w:marTop w:val="0"/>
      <w:marBottom w:val="0"/>
      <w:divBdr>
        <w:top w:val="none" w:sz="0" w:space="0" w:color="auto"/>
        <w:left w:val="none" w:sz="0" w:space="0" w:color="auto"/>
        <w:bottom w:val="none" w:sz="0" w:space="0" w:color="auto"/>
        <w:right w:val="none" w:sz="0" w:space="0" w:color="auto"/>
      </w:divBdr>
    </w:div>
    <w:div w:id="1837527429">
      <w:bodyDiv w:val="1"/>
      <w:marLeft w:val="0"/>
      <w:marRight w:val="0"/>
      <w:marTop w:val="0"/>
      <w:marBottom w:val="0"/>
      <w:divBdr>
        <w:top w:val="none" w:sz="0" w:space="0" w:color="auto"/>
        <w:left w:val="none" w:sz="0" w:space="0" w:color="auto"/>
        <w:bottom w:val="none" w:sz="0" w:space="0" w:color="auto"/>
        <w:right w:val="none" w:sz="0" w:space="0" w:color="auto"/>
      </w:divBdr>
    </w:div>
    <w:div w:id="1867014464">
      <w:bodyDiv w:val="1"/>
      <w:marLeft w:val="0"/>
      <w:marRight w:val="0"/>
      <w:marTop w:val="0"/>
      <w:marBottom w:val="0"/>
      <w:divBdr>
        <w:top w:val="none" w:sz="0" w:space="0" w:color="auto"/>
        <w:left w:val="none" w:sz="0" w:space="0" w:color="auto"/>
        <w:bottom w:val="none" w:sz="0" w:space="0" w:color="auto"/>
        <w:right w:val="none" w:sz="0" w:space="0" w:color="auto"/>
      </w:divBdr>
    </w:div>
    <w:div w:id="1957173232">
      <w:bodyDiv w:val="1"/>
      <w:marLeft w:val="0"/>
      <w:marRight w:val="0"/>
      <w:marTop w:val="0"/>
      <w:marBottom w:val="0"/>
      <w:divBdr>
        <w:top w:val="none" w:sz="0" w:space="0" w:color="auto"/>
        <w:left w:val="none" w:sz="0" w:space="0" w:color="auto"/>
        <w:bottom w:val="none" w:sz="0" w:space="0" w:color="auto"/>
        <w:right w:val="none" w:sz="0" w:space="0" w:color="auto"/>
      </w:divBdr>
    </w:div>
    <w:div w:id="1965229343">
      <w:bodyDiv w:val="1"/>
      <w:marLeft w:val="0"/>
      <w:marRight w:val="0"/>
      <w:marTop w:val="0"/>
      <w:marBottom w:val="0"/>
      <w:divBdr>
        <w:top w:val="none" w:sz="0" w:space="0" w:color="auto"/>
        <w:left w:val="none" w:sz="0" w:space="0" w:color="auto"/>
        <w:bottom w:val="none" w:sz="0" w:space="0" w:color="auto"/>
        <w:right w:val="none" w:sz="0" w:space="0" w:color="auto"/>
      </w:divBdr>
    </w:div>
    <w:div w:id="1971402790">
      <w:bodyDiv w:val="1"/>
      <w:marLeft w:val="0"/>
      <w:marRight w:val="0"/>
      <w:marTop w:val="0"/>
      <w:marBottom w:val="0"/>
      <w:divBdr>
        <w:top w:val="none" w:sz="0" w:space="0" w:color="auto"/>
        <w:left w:val="none" w:sz="0" w:space="0" w:color="auto"/>
        <w:bottom w:val="none" w:sz="0" w:space="0" w:color="auto"/>
        <w:right w:val="none" w:sz="0" w:space="0" w:color="auto"/>
      </w:divBdr>
    </w:div>
    <w:div w:id="2041467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Adv03</b:Tag>
    <b:SourceType>Misc</b:SourceType>
    <b:Guid>{0DF39746-BC2B-4750-9F58-F9C9553189DA}</b:Guid>
    <b:Title>ACAS  Advisory Booklet : Supervision</b:Title>
    <b:Year>2003</b:Year>
    <b:Author>
      <b:Author>
        <b:Corporate>Advisory, Concilation and Arbitration Service (ACAS)</b:Corporate>
      </b:Author>
    </b:Author>
    <b:City>London</b:City>
    <b:Publisher>ACAS</b:Publisher>
    <b:RefOrder>1</b:RefOrder>
  </b:Source>
  <b:Source>
    <b:Tag>Lym07</b:Tag>
    <b:SourceType>Book</b:SourceType>
    <b:Guid>{71C7DE1B-BC57-4D61-896F-C0A6D0D4DA8F}</b:Guid>
    <b:Title>Social Work</b:Title>
    <b:Year>2007</b:Year>
    <b:City>London</b:City>
    <b:Publisher>SAGE Publications</b:Publisher>
    <b:Author>
      <b:Author>
        <b:NameList>
          <b:Person>
            <b:Last>Lymbery</b:Last>
            <b:First>Mark</b:First>
          </b:Person>
          <b:Person>
            <b:Last>Postle</b:Last>
            <b:First>Karen</b:First>
          </b:Person>
        </b:NameList>
      </b:Author>
    </b:Author>
    <b:RefOrder>2</b:RefOrder>
  </b:Source>
  <b:Source>
    <b:Tag>Ing14</b:Tag>
    <b:SourceType>Book</b:SourceType>
    <b:Guid>{0547CD29-58F3-4D19-AD8E-8707DF8115DD}</b:Guid>
    <b:Title>Reflective Social Work Practice</b:Title>
    <b:Year>2014</b:Year>
    <b:City>Basingtoke</b:City>
    <b:Publisher>Palgrave Macmillan</b:Publisher>
    <b:Author>
      <b:Author>
        <b:NameList>
          <b:Person>
            <b:Last>Ingham</b:Last>
            <b:First>Richard</b:First>
          </b:Person>
          <b:Person>
            <b:Last>Fenton</b:Last>
            <b:First>Jane</b:First>
          </b:Person>
          <b:Person>
            <b:Last>Hodson</b:Last>
            <b:First>Ann</b:First>
          </b:Person>
          <b:Person>
            <b:Last>Jindal</b:Last>
            <b:First>Divga</b:First>
          </b:Person>
        </b:NameList>
      </b:Author>
    </b:Author>
    <b:RefOrder>3</b:RefOrder>
  </b:Source>
  <b:Source>
    <b:Tag>Hes80</b:Tag>
    <b:SourceType>Book</b:SourceType>
    <b:Guid>{59639DA2-C1A7-4C84-807D-5CE6DFD24593}</b:Guid>
    <b:Title>Psychotherapy Supervision Theory, Research and Practice</b:Title>
    <b:Year>1980</b:Year>
    <b:City>London</b:City>
    <b:Publisher>Wiley</b:Publisher>
    <b:Author>
      <b:Author>
        <b:NameList>
          <b:Person>
            <b:Last>Hess</b:Last>
            <b:Middle>K</b:Middle>
            <b:First>Allen</b:First>
          </b:Person>
        </b:NameList>
      </b:Author>
    </b:Author>
    <b:RefOrder>4</b:RefOrder>
  </b:Source>
  <b:Source>
    <b:Tag>Sca10</b:Tag>
    <b:SourceType>Book</b:SourceType>
    <b:Guid>{A7232ABD-E1E4-4DF2-BC38-3ED76503E9B9}</b:Guid>
    <b:Title>Supervising the Reflective Practitioner : An Essential Guide to Theory and Practice</b:Title>
    <b:Year>2010</b:Year>
    <b:City>London</b:City>
    <b:Publisher>Routledge</b:Publisher>
    <b:Author>
      <b:Author>
        <b:NameList>
          <b:Person>
            <b:Last>Scaife</b:Last>
            <b:First>J</b:First>
          </b:Person>
        </b:NameList>
      </b:Author>
    </b:Author>
    <b:RefOrder>5</b:RefOrder>
  </b:Source>
  <b:Source>
    <b:Tag>Sap13</b:Tag>
    <b:SourceType>Book</b:SourceType>
    <b:Guid>{394EFFA5-7A7F-4A15-8DAF-999F6BE0FA6E}</b:Guid>
    <b:Title>Essential Skills For Youth Work Practice</b:Title>
    <b:Year>2013</b:Year>
    <b:City>London</b:City>
    <b:Publisher>Sage</b:Publisher>
    <b:Author>
      <b:Author>
        <b:NameList>
          <b:Person>
            <b:Last>Sapin</b:Last>
            <b:First>K</b:First>
          </b:Person>
        </b:NameList>
      </b:Author>
    </b:Author>
    <b:RefOrder>7</b:RefOrder>
  </b:Source>
  <b:Source>
    <b:Tag>Kad92</b:Tag>
    <b:SourceType>Book</b:SourceType>
    <b:Guid>{97D018B8-27DF-43EB-83E8-4DE3884709AB}</b:Guid>
    <b:Title>Supervision in Social Work</b:Title>
    <b:Year>1992</b:Year>
    <b:City>New York</b:City>
    <b:Publisher>Columbia University Press</b:Publisher>
    <b:Author>
      <b:Author>
        <b:NameList>
          <b:Person>
            <b:Last>Kadushin</b:Last>
            <b:First>A</b:First>
          </b:Person>
        </b:NameList>
      </b:Author>
    </b:Author>
    <b:RefOrder>8</b:RefOrder>
  </b:Source>
  <b:Source>
    <b:Tag>Mac10</b:Tag>
    <b:SourceType>Book</b:SourceType>
    <b:Guid>{DA68F697-912C-4CA7-BFE3-105EE9BAD4FA}</b:Guid>
    <b:Title>The Social Work Pocket Guide to Reflective Practice</b:Title>
    <b:Year>2010</b:Year>
    <b:City>Lichfield</b:City>
    <b:Publisher>Kirwin Maclean</b:Publisher>
    <b:Author>
      <b:Author>
        <b:NameList>
          <b:Person>
            <b:Last>Maclean</b:Last>
            <b:First>S</b:First>
          </b:Person>
        </b:NameList>
      </b:Author>
    </b:Author>
    <b:RefOrder>9</b:RefOrder>
  </b:Source>
  <b:Source>
    <b:Tag>Joh04</b:Tag>
    <b:SourceType>Book</b:SourceType>
    <b:Guid>{31E541E4-39DA-4EAD-9EE8-BF385A1F3E26}</b:Guid>
    <b:Title>Becoming a Reflective Practitioner : A Reflective and Holistic Approach to Clinical Nursing, Practice Development and Clinical Supervision</b:Title>
    <b:Year>2004</b:Year>
    <b:City>Oxford</b:City>
    <b:Publisher>Blackwell Publications</b:Publisher>
    <b:Author>
      <b:Author>
        <b:NameList>
          <b:Person>
            <b:Last>Johns</b:Last>
            <b:First>Christopher</b:First>
          </b:Person>
        </b:NameList>
      </b:Author>
    </b:Author>
    <b:RefOrder>10</b:RefOrder>
  </b:Source>
  <b:Source>
    <b:Tag>Lea12</b:Tag>
    <b:SourceType>Misc</b:SourceType>
    <b:Guid>{23B18E97-0D8F-476E-9A90-F57D131E17B9}</b:Guid>
    <b:Title>National Occupational Standards for Youth Work</b:Title>
    <b:Year>2012</b:Year>
    <b:City>Coventry</b:City>
    <b:Publisher>LSIS</b:Publisher>
    <b:Author>
      <b:Author>
        <b:Corporate>Learning and Skills Improvement Service (LSIS)</b:Corporate>
      </b:Author>
    </b:Author>
    <b:RefOrder>11</b:RefOrder>
  </b:Source>
  <b:Source>
    <b:Tag>Won04</b:Tag>
    <b:SourceType>Misc</b:SourceType>
    <b:Guid>{5E5542B3-1A67-4E4D-99D8-F94666A126EF}</b:Guid>
    <b:Title>The Impact Of Supervision On Child Protection Practice : A Study of Process and Outcome</b:Title>
    <b:Year>2004</b:Year>
    <b:Publisher>Unpublished M.Phil Thesis University of Sussex</b:Publisher>
    <b:Author>
      <b:Author>
        <b:NameList>
          <b:Person>
            <b:Last>Wonnacott</b:Last>
            <b:First>J</b:First>
          </b:Person>
        </b:NameList>
      </b:Author>
    </b:Author>
    <b:RefOrder>12</b:RefOrder>
  </b:Source>
  <b:Source>
    <b:Tag>Gib01</b:Tag>
    <b:SourceType>JournalArticle</b:SourceType>
    <b:Guid>{55244BAD-6624-43AC-89CE-1A1402CFD127}</b:Guid>
    <b:Title>Maintaining Front Line Workers in Child Protection : A Case For Re-Focusing Supervision</b:Title>
    <b:Year>2001</b:Year>
    <b:JournalName>Child Abuse Review</b:JournalName>
    <b:Pages>323-325</b:Pages>
    <b:Volume>10</b:Volume>
    <b:Author>
      <b:Author>
        <b:NameList>
          <b:Person>
            <b:Last>Gibbs</b:Last>
            <b:First>J</b:First>
          </b:Person>
        </b:NameList>
      </b:Author>
    </b:Author>
    <b:RefOrder>14</b:RefOrder>
  </b:Source>
  <b:Source>
    <b:Tag>Haw92</b:Tag>
    <b:SourceType>Book</b:SourceType>
    <b:Guid>{004B1A2E-3DE8-4755-8F9F-796634A2D2AC}</b:Guid>
    <b:Title>Supervision in the Helping Professions</b:Title>
    <b:Year>1992</b:Year>
    <b:City>Buckingham</b:City>
    <b:Publisher>Open University Press</b:Publisher>
    <b:Author>
      <b:Author>
        <b:NameList>
          <b:Person>
            <b:Last>Hawkins</b:Last>
            <b:First>P</b:First>
          </b:Person>
          <b:Person>
            <b:Last>Shohet</b:Last>
            <b:First>R</b:First>
          </b:Person>
        </b:NameList>
      </b:Author>
    </b:Author>
    <b:RefOrder>15</b:RefOrder>
  </b:Source>
  <b:Source>
    <b:Tag>Hug97</b:Tag>
    <b:SourceType>Book</b:SourceType>
    <b:Guid>{6142E809-AB4B-4FF7-9EBD-9EFA1927DFE5}</b:Guid>
    <b:Title>Staff Supervision in a Turbulent World</b:Title>
    <b:Year>1997</b:Year>
    <b:City>London</b:City>
    <b:Publisher>Jessica Kingsley Publishers</b:Publisher>
    <b:Author>
      <b:Author>
        <b:NameList>
          <b:Person>
            <b:Last>Hughes</b:Last>
            <b:First>L</b:First>
          </b:Person>
          <b:Person>
            <b:Last>Pengelly</b:Last>
            <b:First>P</b:First>
          </b:Person>
        </b:NameList>
      </b:Author>
    </b:Author>
    <b:RefOrder>16</b:RefOrder>
  </b:Source>
  <b:Source>
    <b:Tag>Lam03</b:Tag>
    <b:SourceType>Report</b:SourceType>
    <b:Guid>{D2FD637C-3C8F-4990-836B-06D0FC365399}</b:Guid>
    <b:Title>The Victoria Climbie Inquiry</b:Title>
    <b:Year>2003</b:Year>
    <b:Publisher>Stationary Office</b:Publisher>
    <b:City>London</b:City>
    <b:Author>
      <b:Author>
        <b:NameList>
          <b:Person>
            <b:Last>Laming</b:Last>
            <b:First>Lord</b:First>
          </b:Person>
        </b:NameList>
      </b:Author>
    </b:Author>
    <b:RefOrder>13</b:RefOrder>
  </b:Source>
  <b:Source>
    <b:Tag>Bas131</b:Tag>
    <b:SourceType>Book</b:SourceType>
    <b:Guid>{7211174D-A145-40CA-9229-0305B1A81FDD}</b:Guid>
    <b:Title>The Reflective Journal</b:Title>
    <b:Year>2013</b:Year>
    <b:City>Basingstoke</b:City>
    <b:Publisher>Palgrave Macmillan</b:Publisher>
    <b:Author>
      <b:Author>
        <b:NameList>
          <b:Person>
            <b:Last>Bassott</b:Last>
            <b:First>Barbara</b:First>
          </b:Person>
        </b:NameList>
      </b:Author>
    </b:Author>
    <b:RefOrder>6</b:RefOrder>
  </b:Source>
</b:Sources>
</file>

<file path=customXml/itemProps1.xml><?xml version="1.0" encoding="utf-8"?>
<ds:datastoreItem xmlns:ds="http://schemas.openxmlformats.org/officeDocument/2006/customXml" ds:itemID="{1AFA2877-0F9E-4A07-9683-5E0EB8BD4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4</Pages>
  <Words>1794</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15</cp:revision>
  <dcterms:created xsi:type="dcterms:W3CDTF">2018-09-02T09:56:00Z</dcterms:created>
  <dcterms:modified xsi:type="dcterms:W3CDTF">2018-09-02T20:23:00Z</dcterms:modified>
</cp:coreProperties>
</file>