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87AD55" w14:textId="77777777" w:rsidR="002F563B" w:rsidRPr="00FA1AF6" w:rsidRDefault="002F563B" w:rsidP="002F563B">
      <w:pPr>
        <w:tabs>
          <w:tab w:val="left" w:pos="3168"/>
        </w:tabs>
        <w:jc w:val="center"/>
        <w:rPr>
          <w:rFonts w:cs="Arial"/>
          <w:szCs w:val="24"/>
        </w:rPr>
      </w:pPr>
      <w:bookmarkStart w:id="0" w:name="_Hlk204267940"/>
      <w:bookmarkEnd w:id="0"/>
      <w:r w:rsidRPr="00FA1AF6">
        <w:rPr>
          <w:rFonts w:cs="Arial"/>
          <w:noProof/>
          <w:szCs w:val="24"/>
        </w:rPr>
        <w:drawing>
          <wp:inline distT="0" distB="0" distL="0" distR="0" wp14:anchorId="04F02F49" wp14:editId="0D52BF3E">
            <wp:extent cx="4122420" cy="1367269"/>
            <wp:effectExtent l="0" t="0" r="0" b="4445"/>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0069" cy="1373122"/>
                    </a:xfrm>
                    <a:prstGeom prst="rect">
                      <a:avLst/>
                    </a:prstGeom>
                    <a:noFill/>
                  </pic:spPr>
                </pic:pic>
              </a:graphicData>
            </a:graphic>
          </wp:inline>
        </w:drawing>
      </w:r>
    </w:p>
    <w:p w14:paraId="17118573" w14:textId="77777777" w:rsidR="002F563B" w:rsidRDefault="002F563B" w:rsidP="002F563B">
      <w:pPr>
        <w:jc w:val="center"/>
        <w:rPr>
          <w:rFonts w:cs="Arial"/>
          <w:b/>
          <w:bCs/>
          <w:szCs w:val="24"/>
        </w:rPr>
      </w:pPr>
      <w:r w:rsidRPr="00FA1AF6">
        <w:rPr>
          <w:rFonts w:cs="Arial"/>
          <w:b/>
          <w:bCs/>
          <w:szCs w:val="24"/>
        </w:rPr>
        <w:t>BA (Hons) Business Management</w:t>
      </w:r>
    </w:p>
    <w:p w14:paraId="16395204" w14:textId="77777777" w:rsidR="002F563B" w:rsidRPr="009012E7" w:rsidRDefault="002F563B" w:rsidP="002F563B">
      <w:pPr>
        <w:jc w:val="center"/>
        <w:rPr>
          <w:rFonts w:cs="Arial"/>
          <w:b/>
          <w:bCs/>
          <w:szCs w:val="24"/>
        </w:rPr>
      </w:pPr>
      <w:r w:rsidRPr="003D62D8">
        <w:rPr>
          <w:rFonts w:cs="Arial"/>
          <w:b/>
          <w:bCs/>
          <w:szCs w:val="24"/>
        </w:rPr>
        <w:t xml:space="preserve">Management Accounting for </w:t>
      </w:r>
      <w:r>
        <w:rPr>
          <w:rFonts w:cs="Arial"/>
          <w:b/>
          <w:bCs/>
          <w:szCs w:val="24"/>
        </w:rPr>
        <w:t xml:space="preserve">Managers </w:t>
      </w:r>
      <w:r w:rsidRPr="003D62D8">
        <w:rPr>
          <w:rFonts w:cs="Arial"/>
          <w:b/>
          <w:bCs/>
          <w:szCs w:val="24"/>
        </w:rPr>
        <w:t>LCBB5010</w:t>
      </w:r>
    </w:p>
    <w:p w14:paraId="59E704FF" w14:textId="58EDB7F6" w:rsidR="002F563B" w:rsidRDefault="00C63065" w:rsidP="00C63065">
      <w:pPr>
        <w:jc w:val="center"/>
        <w:rPr>
          <w:rFonts w:cs="Arial"/>
          <w:b/>
          <w:bCs/>
          <w:szCs w:val="24"/>
        </w:rPr>
      </w:pPr>
      <w:r w:rsidRPr="00C63065">
        <w:rPr>
          <w:b/>
          <w:bCs/>
        </w:rPr>
        <w:t>Management Accounting as a Strategic Tool: A Critical Analysis of Microsoft’s Financial Decision-Making</w:t>
      </w:r>
    </w:p>
    <w:p w14:paraId="0EB784EE" w14:textId="77777777" w:rsidR="002F563B" w:rsidRDefault="002F563B" w:rsidP="002F563B">
      <w:pPr>
        <w:rPr>
          <w:rFonts w:cs="Arial"/>
          <w:b/>
          <w:bCs/>
          <w:szCs w:val="24"/>
        </w:rPr>
      </w:pPr>
    </w:p>
    <w:p w14:paraId="31734D38" w14:textId="77777777" w:rsidR="002F563B" w:rsidRDefault="002F563B" w:rsidP="002F563B">
      <w:pPr>
        <w:rPr>
          <w:rFonts w:cs="Arial"/>
          <w:b/>
          <w:bCs/>
          <w:szCs w:val="24"/>
        </w:rPr>
      </w:pPr>
    </w:p>
    <w:p w14:paraId="2F661E02" w14:textId="77777777" w:rsidR="002F563B" w:rsidRDefault="002F563B" w:rsidP="002F563B">
      <w:pPr>
        <w:rPr>
          <w:rFonts w:cs="Arial"/>
          <w:b/>
          <w:bCs/>
          <w:szCs w:val="24"/>
        </w:rPr>
      </w:pPr>
    </w:p>
    <w:p w14:paraId="7B9A0332" w14:textId="77777777" w:rsidR="002F563B" w:rsidRDefault="002F563B" w:rsidP="002F563B">
      <w:pPr>
        <w:rPr>
          <w:rFonts w:cs="Arial"/>
          <w:b/>
          <w:bCs/>
          <w:szCs w:val="24"/>
        </w:rPr>
      </w:pPr>
    </w:p>
    <w:p w14:paraId="5E799883" w14:textId="77777777" w:rsidR="002F563B" w:rsidRPr="00FA1AF6" w:rsidRDefault="002F563B" w:rsidP="002F563B">
      <w:pPr>
        <w:rPr>
          <w:rFonts w:cs="Arial"/>
          <w:b/>
          <w:bCs/>
          <w:szCs w:val="24"/>
        </w:rPr>
      </w:pPr>
    </w:p>
    <w:p w14:paraId="79DCC376" w14:textId="77777777" w:rsidR="002F563B" w:rsidRDefault="002F563B" w:rsidP="002F563B">
      <w:pPr>
        <w:rPr>
          <w:rFonts w:cs="Arial"/>
          <w:b/>
          <w:bCs/>
          <w:szCs w:val="24"/>
        </w:rPr>
      </w:pPr>
    </w:p>
    <w:p w14:paraId="254378F6" w14:textId="7F0B9943" w:rsidR="002F563B" w:rsidRDefault="002F563B" w:rsidP="002F563B">
      <w:pPr>
        <w:rPr>
          <w:rFonts w:cs="Arial"/>
          <w:b/>
          <w:bCs/>
          <w:szCs w:val="24"/>
        </w:rPr>
      </w:pPr>
      <w:r w:rsidRPr="00FA1AF6">
        <w:rPr>
          <w:rFonts w:cs="Arial"/>
          <w:b/>
          <w:bCs/>
          <w:szCs w:val="24"/>
        </w:rPr>
        <w:t>Student Name:</w:t>
      </w:r>
      <w:r>
        <w:rPr>
          <w:rFonts w:cs="Arial"/>
          <w:b/>
          <w:bCs/>
          <w:szCs w:val="24"/>
        </w:rPr>
        <w:t xml:space="preserve"> </w:t>
      </w:r>
      <w:r w:rsidRPr="002F563B">
        <w:rPr>
          <w:rFonts w:cs="Arial"/>
          <w:szCs w:val="24"/>
        </w:rPr>
        <w:t>Carmen Antal-Berbecaru</w:t>
      </w:r>
    </w:p>
    <w:p w14:paraId="288428D8" w14:textId="0E7395D5" w:rsidR="002F563B" w:rsidRPr="00FA1AF6" w:rsidRDefault="002F563B" w:rsidP="002F563B">
      <w:pPr>
        <w:rPr>
          <w:rFonts w:cs="Arial"/>
          <w:b/>
          <w:bCs/>
          <w:szCs w:val="24"/>
        </w:rPr>
      </w:pPr>
      <w:r w:rsidRPr="00FA1AF6">
        <w:rPr>
          <w:rFonts w:cs="Arial"/>
          <w:b/>
          <w:bCs/>
          <w:szCs w:val="24"/>
        </w:rPr>
        <w:t>Student Number:</w:t>
      </w:r>
      <w:r>
        <w:rPr>
          <w:rFonts w:cs="Arial"/>
          <w:b/>
          <w:bCs/>
          <w:szCs w:val="24"/>
        </w:rPr>
        <w:t xml:space="preserve"> </w:t>
      </w:r>
      <w:r>
        <w:rPr>
          <w:rFonts w:cs="Arial"/>
          <w:szCs w:val="24"/>
        </w:rPr>
        <w:t>2242917</w:t>
      </w:r>
    </w:p>
    <w:p w14:paraId="711FB823" w14:textId="77777777" w:rsidR="002F563B" w:rsidRPr="00903F51" w:rsidRDefault="002F563B" w:rsidP="002F563B">
      <w:pPr>
        <w:rPr>
          <w:rFonts w:cs="Arial"/>
          <w:szCs w:val="24"/>
        </w:rPr>
      </w:pPr>
      <w:r w:rsidRPr="00FA1AF6">
        <w:rPr>
          <w:rFonts w:cs="Arial"/>
          <w:b/>
          <w:bCs/>
          <w:szCs w:val="24"/>
        </w:rPr>
        <w:t xml:space="preserve">Lecturer Name: </w:t>
      </w:r>
      <w:r>
        <w:rPr>
          <w:rFonts w:cs="Arial"/>
          <w:szCs w:val="24"/>
        </w:rPr>
        <w:t>Dr</w:t>
      </w:r>
      <w:r w:rsidRPr="004F7760">
        <w:rPr>
          <w:rFonts w:cs="Arial"/>
          <w:szCs w:val="24"/>
        </w:rPr>
        <w:t xml:space="preserve"> Zainab Atta</w:t>
      </w:r>
    </w:p>
    <w:p w14:paraId="68E81677" w14:textId="77777777" w:rsidR="002F563B" w:rsidRDefault="002F563B" w:rsidP="002F563B">
      <w:pPr>
        <w:rPr>
          <w:rFonts w:cs="Arial"/>
          <w:b/>
          <w:bCs/>
          <w:szCs w:val="24"/>
        </w:rPr>
      </w:pPr>
    </w:p>
    <w:p w14:paraId="2AB2C7E5" w14:textId="77777777" w:rsidR="002F563B" w:rsidRDefault="002F563B" w:rsidP="002F563B">
      <w:pPr>
        <w:rPr>
          <w:rFonts w:cs="Arial"/>
          <w:b/>
          <w:bCs/>
          <w:szCs w:val="24"/>
        </w:rPr>
      </w:pPr>
    </w:p>
    <w:p w14:paraId="27AB6EEA" w14:textId="77777777" w:rsidR="002F563B" w:rsidRDefault="002F563B" w:rsidP="002F563B">
      <w:pPr>
        <w:rPr>
          <w:rFonts w:cs="Arial"/>
          <w:b/>
          <w:bCs/>
          <w:szCs w:val="24"/>
        </w:rPr>
      </w:pPr>
    </w:p>
    <w:p w14:paraId="76CACEDC" w14:textId="77777777" w:rsidR="002F563B" w:rsidRDefault="002F563B" w:rsidP="002F563B">
      <w:pPr>
        <w:rPr>
          <w:rFonts w:cs="Arial"/>
          <w:b/>
          <w:bCs/>
          <w:szCs w:val="24"/>
        </w:rPr>
      </w:pPr>
    </w:p>
    <w:p w14:paraId="5D6ED58A" w14:textId="77777777" w:rsidR="002F563B" w:rsidRDefault="002F563B" w:rsidP="002F563B">
      <w:pPr>
        <w:rPr>
          <w:rFonts w:cs="Arial"/>
          <w:b/>
          <w:bCs/>
          <w:szCs w:val="24"/>
        </w:rPr>
      </w:pPr>
    </w:p>
    <w:p w14:paraId="000306A6" w14:textId="77777777" w:rsidR="002F563B" w:rsidRDefault="002F563B" w:rsidP="002F563B">
      <w:pPr>
        <w:rPr>
          <w:rFonts w:cs="Arial"/>
          <w:b/>
          <w:bCs/>
          <w:szCs w:val="24"/>
        </w:rPr>
      </w:pPr>
    </w:p>
    <w:p w14:paraId="0F22B6EB" w14:textId="77777777" w:rsidR="002F563B" w:rsidRDefault="002F563B" w:rsidP="002F563B">
      <w:pPr>
        <w:rPr>
          <w:rFonts w:cs="Arial"/>
          <w:b/>
          <w:bCs/>
          <w:szCs w:val="24"/>
        </w:rPr>
      </w:pPr>
    </w:p>
    <w:p w14:paraId="41D01A15" w14:textId="362F9C0F" w:rsidR="002F563B" w:rsidRDefault="002F563B" w:rsidP="002F563B">
      <w:pPr>
        <w:jc w:val="center"/>
        <w:rPr>
          <w:rFonts w:cs="Arial"/>
          <w:szCs w:val="24"/>
        </w:rPr>
      </w:pPr>
      <w:r w:rsidRPr="00FA1AF6">
        <w:rPr>
          <w:rFonts w:cs="Arial"/>
          <w:b/>
          <w:bCs/>
          <w:szCs w:val="24"/>
        </w:rPr>
        <w:t>Session</w:t>
      </w:r>
      <w:r w:rsidRPr="00FA1AF6">
        <w:rPr>
          <w:rFonts w:cs="Arial"/>
          <w:szCs w:val="24"/>
        </w:rPr>
        <w:t xml:space="preserve">: </w:t>
      </w:r>
      <w:r>
        <w:rPr>
          <w:rFonts w:cs="Arial"/>
          <w:szCs w:val="24"/>
        </w:rPr>
        <w:t>February</w:t>
      </w:r>
      <w:r w:rsidRPr="00FA1AF6">
        <w:rPr>
          <w:rFonts w:cs="Arial"/>
          <w:szCs w:val="24"/>
        </w:rPr>
        <w:t xml:space="preserve"> 202</w:t>
      </w:r>
      <w:r w:rsidR="00235F80">
        <w:rPr>
          <w:rFonts w:cs="Arial"/>
          <w:szCs w:val="24"/>
        </w:rPr>
        <w:t>6</w:t>
      </w:r>
      <w:r w:rsidRPr="00FA1AF6">
        <w:rPr>
          <w:rFonts w:cs="Arial"/>
          <w:szCs w:val="24"/>
        </w:rPr>
        <w:t xml:space="preserve"> Term</w:t>
      </w:r>
      <w:r>
        <w:rPr>
          <w:rFonts w:cs="Arial"/>
          <w:szCs w:val="24"/>
        </w:rPr>
        <w:t xml:space="preserve"> 3</w:t>
      </w:r>
    </w:p>
    <w:p w14:paraId="67856E95" w14:textId="77777777" w:rsidR="002F563B" w:rsidRDefault="002F563B" w:rsidP="002F563B">
      <w:pPr>
        <w:jc w:val="center"/>
        <w:rPr>
          <w:rFonts w:cs="Arial"/>
          <w:szCs w:val="24"/>
        </w:rPr>
      </w:pPr>
    </w:p>
    <w:p w14:paraId="5CF96A45" w14:textId="77777777" w:rsidR="002F563B" w:rsidRDefault="002F563B" w:rsidP="00837232">
      <w:pPr>
        <w:rPr>
          <w:b/>
          <w:bCs/>
          <w:lang w:val="en-GB"/>
        </w:rPr>
      </w:pPr>
    </w:p>
    <w:p w14:paraId="09F2E9DF" w14:textId="77777777" w:rsidR="00C63065" w:rsidRDefault="00C63065" w:rsidP="00837232">
      <w:pPr>
        <w:rPr>
          <w:b/>
          <w:bCs/>
          <w:lang w:val="en-GB"/>
        </w:rPr>
      </w:pPr>
    </w:p>
    <w:sdt>
      <w:sdtPr>
        <w:rPr>
          <w:rFonts w:ascii="Arial" w:eastAsia="Times New Roman" w:hAnsi="Arial" w:cstheme="minorBidi"/>
          <w:color w:val="auto"/>
          <w:sz w:val="24"/>
          <w:szCs w:val="22"/>
        </w:rPr>
        <w:id w:val="1190414707"/>
        <w:docPartObj>
          <w:docPartGallery w:val="Table of Contents"/>
          <w:docPartUnique/>
        </w:docPartObj>
      </w:sdtPr>
      <w:sdtEndPr>
        <w:rPr>
          <w:b/>
          <w:bCs/>
          <w:noProof/>
        </w:rPr>
      </w:sdtEndPr>
      <w:sdtContent>
        <w:p w14:paraId="706EF801" w14:textId="77777777" w:rsidR="003F715E" w:rsidRDefault="003F715E" w:rsidP="003F715E">
          <w:pPr>
            <w:pStyle w:val="TOCHeading"/>
            <w:jc w:val="center"/>
          </w:pPr>
        </w:p>
        <w:p w14:paraId="1DC91DCE" w14:textId="77777777" w:rsidR="003F715E" w:rsidRDefault="003F715E" w:rsidP="003F715E">
          <w:pPr>
            <w:pStyle w:val="TOCHeading"/>
            <w:jc w:val="center"/>
          </w:pPr>
        </w:p>
        <w:p w14:paraId="131F7057" w14:textId="6C2D37F8" w:rsidR="003F715E" w:rsidRPr="003F715E" w:rsidRDefault="003F715E" w:rsidP="003F715E">
          <w:pPr>
            <w:pStyle w:val="TOCHeading"/>
            <w:jc w:val="center"/>
            <w:rPr>
              <w:rFonts w:ascii="Arial" w:hAnsi="Arial" w:cs="Arial"/>
              <w:color w:val="auto"/>
            </w:rPr>
          </w:pPr>
          <w:r w:rsidRPr="003F715E">
            <w:rPr>
              <w:rFonts w:ascii="Arial" w:hAnsi="Arial" w:cs="Arial"/>
              <w:color w:val="auto"/>
            </w:rPr>
            <w:t>Contents</w:t>
          </w:r>
        </w:p>
        <w:p w14:paraId="564E2ED2" w14:textId="774C89FA" w:rsidR="004503EC" w:rsidRDefault="003F715E">
          <w:pPr>
            <w:pStyle w:val="TOC1"/>
            <w:tabs>
              <w:tab w:val="right" w:leader="dot" w:pos="9016"/>
            </w:tabs>
            <w:rPr>
              <w:rFonts w:asciiTheme="minorHAnsi" w:eastAsiaTheme="minorEastAsia" w:hAnsiTheme="minorHAnsi"/>
              <w:noProof/>
              <w:kern w:val="2"/>
              <w:szCs w:val="24"/>
              <w:lang w:val="en-GB" w:eastAsia="en-GB"/>
              <w14:ligatures w14:val="standardContextual"/>
            </w:rPr>
          </w:pPr>
          <w:r w:rsidRPr="003F715E">
            <w:rPr>
              <w:rFonts w:cs="Arial"/>
            </w:rPr>
            <w:fldChar w:fldCharType="begin"/>
          </w:r>
          <w:r w:rsidRPr="003F715E">
            <w:rPr>
              <w:rFonts w:cs="Arial"/>
            </w:rPr>
            <w:instrText xml:space="preserve"> TOC \o "1-3" \h \z \u </w:instrText>
          </w:r>
          <w:r w:rsidRPr="003F715E">
            <w:rPr>
              <w:rFonts w:cs="Arial"/>
            </w:rPr>
            <w:fldChar w:fldCharType="separate"/>
          </w:r>
          <w:hyperlink w:anchor="_Toc225524112" w:history="1">
            <w:r w:rsidR="004503EC" w:rsidRPr="00C00C81">
              <w:rPr>
                <w:rStyle w:val="Hyperlink"/>
                <w:noProof/>
              </w:rPr>
              <w:t>Introduction</w:t>
            </w:r>
            <w:r w:rsidR="004503EC">
              <w:rPr>
                <w:noProof/>
                <w:webHidden/>
              </w:rPr>
              <w:tab/>
            </w:r>
            <w:r w:rsidR="004503EC">
              <w:rPr>
                <w:noProof/>
                <w:webHidden/>
              </w:rPr>
              <w:fldChar w:fldCharType="begin"/>
            </w:r>
            <w:r w:rsidR="004503EC">
              <w:rPr>
                <w:noProof/>
                <w:webHidden/>
              </w:rPr>
              <w:instrText xml:space="preserve"> PAGEREF _Toc225524112 \h </w:instrText>
            </w:r>
            <w:r w:rsidR="004503EC">
              <w:rPr>
                <w:noProof/>
                <w:webHidden/>
              </w:rPr>
            </w:r>
            <w:r w:rsidR="004503EC">
              <w:rPr>
                <w:noProof/>
                <w:webHidden/>
              </w:rPr>
              <w:fldChar w:fldCharType="separate"/>
            </w:r>
            <w:r w:rsidR="004503EC">
              <w:rPr>
                <w:noProof/>
                <w:webHidden/>
              </w:rPr>
              <w:t>3</w:t>
            </w:r>
            <w:r w:rsidR="004503EC">
              <w:rPr>
                <w:noProof/>
                <w:webHidden/>
              </w:rPr>
              <w:fldChar w:fldCharType="end"/>
            </w:r>
          </w:hyperlink>
        </w:p>
        <w:p w14:paraId="10670715" w14:textId="5BB4363C" w:rsidR="004503EC" w:rsidRDefault="004503EC">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5524113" w:history="1">
            <w:r w:rsidRPr="00C00C81">
              <w:rPr>
                <w:rStyle w:val="Hyperlink"/>
                <w:noProof/>
              </w:rPr>
              <w:t>Table 1: Microsoft at a Glance - 2025  - Source: Microsoft, 2025</w:t>
            </w:r>
            <w:r>
              <w:rPr>
                <w:noProof/>
                <w:webHidden/>
              </w:rPr>
              <w:tab/>
            </w:r>
            <w:r>
              <w:rPr>
                <w:noProof/>
                <w:webHidden/>
              </w:rPr>
              <w:fldChar w:fldCharType="begin"/>
            </w:r>
            <w:r>
              <w:rPr>
                <w:noProof/>
                <w:webHidden/>
              </w:rPr>
              <w:instrText xml:space="preserve"> PAGEREF _Toc225524113 \h </w:instrText>
            </w:r>
            <w:r>
              <w:rPr>
                <w:noProof/>
                <w:webHidden/>
              </w:rPr>
            </w:r>
            <w:r>
              <w:rPr>
                <w:noProof/>
                <w:webHidden/>
              </w:rPr>
              <w:fldChar w:fldCharType="separate"/>
            </w:r>
            <w:r>
              <w:rPr>
                <w:noProof/>
                <w:webHidden/>
              </w:rPr>
              <w:t>3</w:t>
            </w:r>
            <w:r>
              <w:rPr>
                <w:noProof/>
                <w:webHidden/>
              </w:rPr>
              <w:fldChar w:fldCharType="end"/>
            </w:r>
          </w:hyperlink>
        </w:p>
        <w:p w14:paraId="5B876D78" w14:textId="0937BEEA" w:rsidR="004503EC" w:rsidRDefault="004503EC">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5524114" w:history="1">
            <w:r w:rsidRPr="00C00C81">
              <w:rPr>
                <w:rStyle w:val="Hyperlink"/>
                <w:noProof/>
              </w:rPr>
              <w:t>2. Cost Analysis and Business Model</w:t>
            </w:r>
            <w:r>
              <w:rPr>
                <w:noProof/>
                <w:webHidden/>
              </w:rPr>
              <w:tab/>
            </w:r>
            <w:r>
              <w:rPr>
                <w:noProof/>
                <w:webHidden/>
              </w:rPr>
              <w:fldChar w:fldCharType="begin"/>
            </w:r>
            <w:r>
              <w:rPr>
                <w:noProof/>
                <w:webHidden/>
              </w:rPr>
              <w:instrText xml:space="preserve"> PAGEREF _Toc225524114 \h </w:instrText>
            </w:r>
            <w:r>
              <w:rPr>
                <w:noProof/>
                <w:webHidden/>
              </w:rPr>
            </w:r>
            <w:r>
              <w:rPr>
                <w:noProof/>
                <w:webHidden/>
              </w:rPr>
              <w:fldChar w:fldCharType="separate"/>
            </w:r>
            <w:r>
              <w:rPr>
                <w:noProof/>
                <w:webHidden/>
              </w:rPr>
              <w:t>3</w:t>
            </w:r>
            <w:r>
              <w:rPr>
                <w:noProof/>
                <w:webHidden/>
              </w:rPr>
              <w:fldChar w:fldCharType="end"/>
            </w:r>
          </w:hyperlink>
        </w:p>
        <w:p w14:paraId="757F8150" w14:textId="3648C37D" w:rsidR="004503EC" w:rsidRDefault="004503EC">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5524115" w:history="1">
            <w:r w:rsidRPr="00C00C81">
              <w:rPr>
                <w:rStyle w:val="Hyperlink"/>
                <w:noProof/>
              </w:rPr>
              <w:t>3. Budgeting and Financial Planning</w:t>
            </w:r>
            <w:r>
              <w:rPr>
                <w:noProof/>
                <w:webHidden/>
              </w:rPr>
              <w:tab/>
            </w:r>
            <w:r>
              <w:rPr>
                <w:noProof/>
                <w:webHidden/>
              </w:rPr>
              <w:fldChar w:fldCharType="begin"/>
            </w:r>
            <w:r>
              <w:rPr>
                <w:noProof/>
                <w:webHidden/>
              </w:rPr>
              <w:instrText xml:space="preserve"> PAGEREF _Toc225524115 \h </w:instrText>
            </w:r>
            <w:r>
              <w:rPr>
                <w:noProof/>
                <w:webHidden/>
              </w:rPr>
            </w:r>
            <w:r>
              <w:rPr>
                <w:noProof/>
                <w:webHidden/>
              </w:rPr>
              <w:fldChar w:fldCharType="separate"/>
            </w:r>
            <w:r>
              <w:rPr>
                <w:noProof/>
                <w:webHidden/>
              </w:rPr>
              <w:t>5</w:t>
            </w:r>
            <w:r>
              <w:rPr>
                <w:noProof/>
                <w:webHidden/>
              </w:rPr>
              <w:fldChar w:fldCharType="end"/>
            </w:r>
          </w:hyperlink>
        </w:p>
        <w:p w14:paraId="3790C968" w14:textId="7B10360C" w:rsidR="004503EC" w:rsidRDefault="004503EC">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5524116" w:history="1">
            <w:r w:rsidRPr="00C00C81">
              <w:rPr>
                <w:rStyle w:val="Hyperlink"/>
                <w:noProof/>
              </w:rPr>
              <w:t>4. Performance Measurement and Decision-Making</w:t>
            </w:r>
            <w:r>
              <w:rPr>
                <w:noProof/>
                <w:webHidden/>
              </w:rPr>
              <w:tab/>
            </w:r>
            <w:r>
              <w:rPr>
                <w:noProof/>
                <w:webHidden/>
              </w:rPr>
              <w:fldChar w:fldCharType="begin"/>
            </w:r>
            <w:r>
              <w:rPr>
                <w:noProof/>
                <w:webHidden/>
              </w:rPr>
              <w:instrText xml:space="preserve"> PAGEREF _Toc225524116 \h </w:instrText>
            </w:r>
            <w:r>
              <w:rPr>
                <w:noProof/>
                <w:webHidden/>
              </w:rPr>
            </w:r>
            <w:r>
              <w:rPr>
                <w:noProof/>
                <w:webHidden/>
              </w:rPr>
              <w:fldChar w:fldCharType="separate"/>
            </w:r>
            <w:r>
              <w:rPr>
                <w:noProof/>
                <w:webHidden/>
              </w:rPr>
              <w:t>6</w:t>
            </w:r>
            <w:r>
              <w:rPr>
                <w:noProof/>
                <w:webHidden/>
              </w:rPr>
              <w:fldChar w:fldCharType="end"/>
            </w:r>
          </w:hyperlink>
        </w:p>
        <w:p w14:paraId="488B719F" w14:textId="0149602C" w:rsidR="004503EC" w:rsidRDefault="004503EC">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5524117" w:history="1">
            <w:r w:rsidRPr="00C00C81">
              <w:rPr>
                <w:rStyle w:val="Hyperlink"/>
                <w:noProof/>
              </w:rPr>
              <w:t>5. Sustainability and Ethical Considerations</w:t>
            </w:r>
            <w:r>
              <w:rPr>
                <w:noProof/>
                <w:webHidden/>
              </w:rPr>
              <w:tab/>
            </w:r>
            <w:r>
              <w:rPr>
                <w:noProof/>
                <w:webHidden/>
              </w:rPr>
              <w:fldChar w:fldCharType="begin"/>
            </w:r>
            <w:r>
              <w:rPr>
                <w:noProof/>
                <w:webHidden/>
              </w:rPr>
              <w:instrText xml:space="preserve"> PAGEREF _Toc225524117 \h </w:instrText>
            </w:r>
            <w:r>
              <w:rPr>
                <w:noProof/>
                <w:webHidden/>
              </w:rPr>
            </w:r>
            <w:r>
              <w:rPr>
                <w:noProof/>
                <w:webHidden/>
              </w:rPr>
              <w:fldChar w:fldCharType="separate"/>
            </w:r>
            <w:r>
              <w:rPr>
                <w:noProof/>
                <w:webHidden/>
              </w:rPr>
              <w:t>7</w:t>
            </w:r>
            <w:r>
              <w:rPr>
                <w:noProof/>
                <w:webHidden/>
              </w:rPr>
              <w:fldChar w:fldCharType="end"/>
            </w:r>
          </w:hyperlink>
        </w:p>
        <w:p w14:paraId="2892CE9C" w14:textId="1D2F3A80" w:rsidR="004503EC" w:rsidRDefault="004503EC">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5524118" w:history="1">
            <w:r w:rsidRPr="00C00C81">
              <w:rPr>
                <w:rStyle w:val="Hyperlink"/>
                <w:noProof/>
              </w:rPr>
              <w:t>Table 2: Sustainability KPI Framework for Microsoft - Source: Adapted from Microsoft ESG Strategy, 2025</w:t>
            </w:r>
            <w:r>
              <w:rPr>
                <w:noProof/>
                <w:webHidden/>
              </w:rPr>
              <w:tab/>
            </w:r>
            <w:r>
              <w:rPr>
                <w:noProof/>
                <w:webHidden/>
              </w:rPr>
              <w:fldChar w:fldCharType="begin"/>
            </w:r>
            <w:r>
              <w:rPr>
                <w:noProof/>
                <w:webHidden/>
              </w:rPr>
              <w:instrText xml:space="preserve"> PAGEREF _Toc225524118 \h </w:instrText>
            </w:r>
            <w:r>
              <w:rPr>
                <w:noProof/>
                <w:webHidden/>
              </w:rPr>
            </w:r>
            <w:r>
              <w:rPr>
                <w:noProof/>
                <w:webHidden/>
              </w:rPr>
              <w:fldChar w:fldCharType="separate"/>
            </w:r>
            <w:r>
              <w:rPr>
                <w:noProof/>
                <w:webHidden/>
              </w:rPr>
              <w:t>8</w:t>
            </w:r>
            <w:r>
              <w:rPr>
                <w:noProof/>
                <w:webHidden/>
              </w:rPr>
              <w:fldChar w:fldCharType="end"/>
            </w:r>
          </w:hyperlink>
        </w:p>
        <w:p w14:paraId="230CF517" w14:textId="3FA908C4" w:rsidR="004503EC" w:rsidRDefault="004503EC">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5524119" w:history="1">
            <w:r w:rsidRPr="00C00C81">
              <w:rPr>
                <w:rStyle w:val="Hyperlink"/>
                <w:noProof/>
              </w:rPr>
              <w:t>6. Conclusion and Recommendations</w:t>
            </w:r>
            <w:r>
              <w:rPr>
                <w:noProof/>
                <w:webHidden/>
              </w:rPr>
              <w:tab/>
            </w:r>
            <w:r>
              <w:rPr>
                <w:noProof/>
                <w:webHidden/>
              </w:rPr>
              <w:fldChar w:fldCharType="begin"/>
            </w:r>
            <w:r>
              <w:rPr>
                <w:noProof/>
                <w:webHidden/>
              </w:rPr>
              <w:instrText xml:space="preserve"> PAGEREF _Toc225524119 \h </w:instrText>
            </w:r>
            <w:r>
              <w:rPr>
                <w:noProof/>
                <w:webHidden/>
              </w:rPr>
            </w:r>
            <w:r>
              <w:rPr>
                <w:noProof/>
                <w:webHidden/>
              </w:rPr>
              <w:fldChar w:fldCharType="separate"/>
            </w:r>
            <w:r>
              <w:rPr>
                <w:noProof/>
                <w:webHidden/>
              </w:rPr>
              <w:t>8</w:t>
            </w:r>
            <w:r>
              <w:rPr>
                <w:noProof/>
                <w:webHidden/>
              </w:rPr>
              <w:fldChar w:fldCharType="end"/>
            </w:r>
          </w:hyperlink>
        </w:p>
        <w:p w14:paraId="43233298" w14:textId="7ECA9A06" w:rsidR="004503EC" w:rsidRDefault="004503EC">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5524120" w:history="1">
            <w:r w:rsidRPr="00C00C81">
              <w:rPr>
                <w:rStyle w:val="Hyperlink"/>
                <w:noProof/>
              </w:rPr>
              <w:t>References</w:t>
            </w:r>
            <w:r>
              <w:rPr>
                <w:noProof/>
                <w:webHidden/>
              </w:rPr>
              <w:tab/>
            </w:r>
            <w:r>
              <w:rPr>
                <w:noProof/>
                <w:webHidden/>
              </w:rPr>
              <w:fldChar w:fldCharType="begin"/>
            </w:r>
            <w:r>
              <w:rPr>
                <w:noProof/>
                <w:webHidden/>
              </w:rPr>
              <w:instrText xml:space="preserve"> PAGEREF _Toc225524120 \h </w:instrText>
            </w:r>
            <w:r>
              <w:rPr>
                <w:noProof/>
                <w:webHidden/>
              </w:rPr>
            </w:r>
            <w:r>
              <w:rPr>
                <w:noProof/>
                <w:webHidden/>
              </w:rPr>
              <w:fldChar w:fldCharType="separate"/>
            </w:r>
            <w:r>
              <w:rPr>
                <w:noProof/>
                <w:webHidden/>
              </w:rPr>
              <w:t>9</w:t>
            </w:r>
            <w:r>
              <w:rPr>
                <w:noProof/>
                <w:webHidden/>
              </w:rPr>
              <w:fldChar w:fldCharType="end"/>
            </w:r>
          </w:hyperlink>
        </w:p>
        <w:p w14:paraId="3858D6BF" w14:textId="054202AA" w:rsidR="004503EC" w:rsidRDefault="004503EC">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5524121" w:history="1">
            <w:r w:rsidRPr="00C00C81">
              <w:rPr>
                <w:rStyle w:val="Hyperlink"/>
                <w:noProof/>
              </w:rPr>
              <w:t>APPENDICES</w:t>
            </w:r>
            <w:r>
              <w:rPr>
                <w:noProof/>
                <w:webHidden/>
              </w:rPr>
              <w:tab/>
            </w:r>
            <w:r>
              <w:rPr>
                <w:noProof/>
                <w:webHidden/>
              </w:rPr>
              <w:fldChar w:fldCharType="begin"/>
            </w:r>
            <w:r>
              <w:rPr>
                <w:noProof/>
                <w:webHidden/>
              </w:rPr>
              <w:instrText xml:space="preserve"> PAGEREF _Toc225524121 \h </w:instrText>
            </w:r>
            <w:r>
              <w:rPr>
                <w:noProof/>
                <w:webHidden/>
              </w:rPr>
            </w:r>
            <w:r>
              <w:rPr>
                <w:noProof/>
                <w:webHidden/>
              </w:rPr>
              <w:fldChar w:fldCharType="separate"/>
            </w:r>
            <w:r>
              <w:rPr>
                <w:noProof/>
                <w:webHidden/>
              </w:rPr>
              <w:t>11</w:t>
            </w:r>
            <w:r>
              <w:rPr>
                <w:noProof/>
                <w:webHidden/>
              </w:rPr>
              <w:fldChar w:fldCharType="end"/>
            </w:r>
          </w:hyperlink>
        </w:p>
        <w:p w14:paraId="43333BF2" w14:textId="7C62E0CD" w:rsidR="004503EC" w:rsidRDefault="004503EC">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225524122" w:history="1">
            <w:r w:rsidRPr="00C00C81">
              <w:rPr>
                <w:rStyle w:val="Hyperlink"/>
                <w:noProof/>
              </w:rPr>
              <w:t>Appendix 1: Operating Margin Analysis (Microsoft FY2025)</w:t>
            </w:r>
            <w:r>
              <w:rPr>
                <w:noProof/>
                <w:webHidden/>
              </w:rPr>
              <w:tab/>
            </w:r>
            <w:r>
              <w:rPr>
                <w:noProof/>
                <w:webHidden/>
              </w:rPr>
              <w:fldChar w:fldCharType="begin"/>
            </w:r>
            <w:r>
              <w:rPr>
                <w:noProof/>
                <w:webHidden/>
              </w:rPr>
              <w:instrText xml:space="preserve"> PAGEREF _Toc225524122 \h </w:instrText>
            </w:r>
            <w:r>
              <w:rPr>
                <w:noProof/>
                <w:webHidden/>
              </w:rPr>
            </w:r>
            <w:r>
              <w:rPr>
                <w:noProof/>
                <w:webHidden/>
              </w:rPr>
              <w:fldChar w:fldCharType="separate"/>
            </w:r>
            <w:r>
              <w:rPr>
                <w:noProof/>
                <w:webHidden/>
              </w:rPr>
              <w:t>11</w:t>
            </w:r>
            <w:r>
              <w:rPr>
                <w:noProof/>
                <w:webHidden/>
              </w:rPr>
              <w:fldChar w:fldCharType="end"/>
            </w:r>
          </w:hyperlink>
        </w:p>
        <w:p w14:paraId="1F8F9599" w14:textId="41CD45D6" w:rsidR="004503EC" w:rsidRDefault="004503EC">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225524123" w:history="1">
            <w:r w:rsidRPr="00C00C81">
              <w:rPr>
                <w:rStyle w:val="Hyperlink"/>
                <w:noProof/>
              </w:rPr>
              <w:t>Appendix 2: Cloud Revenue Growth (Azure)</w:t>
            </w:r>
            <w:r>
              <w:rPr>
                <w:noProof/>
                <w:webHidden/>
              </w:rPr>
              <w:tab/>
            </w:r>
            <w:r>
              <w:rPr>
                <w:noProof/>
                <w:webHidden/>
              </w:rPr>
              <w:fldChar w:fldCharType="begin"/>
            </w:r>
            <w:r>
              <w:rPr>
                <w:noProof/>
                <w:webHidden/>
              </w:rPr>
              <w:instrText xml:space="preserve"> PAGEREF _Toc225524123 \h </w:instrText>
            </w:r>
            <w:r>
              <w:rPr>
                <w:noProof/>
                <w:webHidden/>
              </w:rPr>
            </w:r>
            <w:r>
              <w:rPr>
                <w:noProof/>
                <w:webHidden/>
              </w:rPr>
              <w:fldChar w:fldCharType="separate"/>
            </w:r>
            <w:r>
              <w:rPr>
                <w:noProof/>
                <w:webHidden/>
              </w:rPr>
              <w:t>11</w:t>
            </w:r>
            <w:r>
              <w:rPr>
                <w:noProof/>
                <w:webHidden/>
              </w:rPr>
              <w:fldChar w:fldCharType="end"/>
            </w:r>
          </w:hyperlink>
        </w:p>
        <w:p w14:paraId="626ACA86" w14:textId="57362901" w:rsidR="004503EC" w:rsidRDefault="004503EC">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225524124" w:history="1">
            <w:r w:rsidRPr="00C00C81">
              <w:rPr>
                <w:rStyle w:val="Hyperlink"/>
                <w:noProof/>
              </w:rPr>
              <w:t>Appendix 3: Margin Pressure from AI Investment</w:t>
            </w:r>
            <w:r>
              <w:rPr>
                <w:noProof/>
                <w:webHidden/>
              </w:rPr>
              <w:tab/>
            </w:r>
            <w:r>
              <w:rPr>
                <w:noProof/>
                <w:webHidden/>
              </w:rPr>
              <w:fldChar w:fldCharType="begin"/>
            </w:r>
            <w:r>
              <w:rPr>
                <w:noProof/>
                <w:webHidden/>
              </w:rPr>
              <w:instrText xml:space="preserve"> PAGEREF _Toc225524124 \h </w:instrText>
            </w:r>
            <w:r>
              <w:rPr>
                <w:noProof/>
                <w:webHidden/>
              </w:rPr>
            </w:r>
            <w:r>
              <w:rPr>
                <w:noProof/>
                <w:webHidden/>
              </w:rPr>
              <w:fldChar w:fldCharType="separate"/>
            </w:r>
            <w:r>
              <w:rPr>
                <w:noProof/>
                <w:webHidden/>
              </w:rPr>
              <w:t>11</w:t>
            </w:r>
            <w:r>
              <w:rPr>
                <w:noProof/>
                <w:webHidden/>
              </w:rPr>
              <w:fldChar w:fldCharType="end"/>
            </w:r>
          </w:hyperlink>
        </w:p>
        <w:p w14:paraId="35E85C82" w14:textId="6D8CA00A" w:rsidR="004503EC" w:rsidRDefault="004503EC">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225524125" w:history="1">
            <w:r w:rsidRPr="00C00C81">
              <w:rPr>
                <w:rStyle w:val="Hyperlink"/>
                <w:noProof/>
              </w:rPr>
              <w:t>Appendix 4: Revenue vs Cost Growth</w:t>
            </w:r>
            <w:r>
              <w:rPr>
                <w:noProof/>
                <w:webHidden/>
              </w:rPr>
              <w:tab/>
            </w:r>
            <w:r>
              <w:rPr>
                <w:noProof/>
                <w:webHidden/>
              </w:rPr>
              <w:fldChar w:fldCharType="begin"/>
            </w:r>
            <w:r>
              <w:rPr>
                <w:noProof/>
                <w:webHidden/>
              </w:rPr>
              <w:instrText xml:space="preserve"> PAGEREF _Toc225524125 \h </w:instrText>
            </w:r>
            <w:r>
              <w:rPr>
                <w:noProof/>
                <w:webHidden/>
              </w:rPr>
            </w:r>
            <w:r>
              <w:rPr>
                <w:noProof/>
                <w:webHidden/>
              </w:rPr>
              <w:fldChar w:fldCharType="separate"/>
            </w:r>
            <w:r>
              <w:rPr>
                <w:noProof/>
                <w:webHidden/>
              </w:rPr>
              <w:t>12</w:t>
            </w:r>
            <w:r>
              <w:rPr>
                <w:noProof/>
                <w:webHidden/>
              </w:rPr>
              <w:fldChar w:fldCharType="end"/>
            </w:r>
          </w:hyperlink>
        </w:p>
        <w:p w14:paraId="38256CEF" w14:textId="2E31BB4C" w:rsidR="003F715E" w:rsidRDefault="003F715E">
          <w:r w:rsidRPr="003F715E">
            <w:rPr>
              <w:rFonts w:cs="Arial"/>
              <w:b/>
              <w:bCs/>
              <w:noProof/>
            </w:rPr>
            <w:fldChar w:fldCharType="end"/>
          </w:r>
        </w:p>
      </w:sdtContent>
    </w:sdt>
    <w:p w14:paraId="3C5FC0CE" w14:textId="77777777" w:rsidR="00601D97" w:rsidRDefault="00601D97" w:rsidP="00837232">
      <w:pPr>
        <w:rPr>
          <w:b/>
          <w:bCs/>
          <w:lang w:val="en-GB"/>
        </w:rPr>
      </w:pPr>
    </w:p>
    <w:p w14:paraId="4CC8333B" w14:textId="77777777" w:rsidR="00601D97" w:rsidRDefault="00601D97" w:rsidP="00837232">
      <w:pPr>
        <w:rPr>
          <w:b/>
          <w:bCs/>
          <w:lang w:val="en-GB"/>
        </w:rPr>
      </w:pPr>
    </w:p>
    <w:p w14:paraId="4D2431F7" w14:textId="77777777" w:rsidR="00601D97" w:rsidRDefault="00601D97" w:rsidP="00837232">
      <w:pPr>
        <w:rPr>
          <w:b/>
          <w:bCs/>
          <w:lang w:val="en-GB"/>
        </w:rPr>
      </w:pPr>
    </w:p>
    <w:p w14:paraId="3BB6B3EF" w14:textId="77777777" w:rsidR="00601D97" w:rsidRDefault="00601D97" w:rsidP="00837232">
      <w:pPr>
        <w:rPr>
          <w:b/>
          <w:bCs/>
          <w:lang w:val="en-GB"/>
        </w:rPr>
      </w:pPr>
    </w:p>
    <w:p w14:paraId="08A38D23" w14:textId="77777777" w:rsidR="00601D97" w:rsidRDefault="00601D97" w:rsidP="00837232">
      <w:pPr>
        <w:rPr>
          <w:b/>
          <w:bCs/>
          <w:lang w:val="en-GB"/>
        </w:rPr>
      </w:pPr>
    </w:p>
    <w:p w14:paraId="544FD0C0" w14:textId="77777777" w:rsidR="00601D97" w:rsidRDefault="00601D97" w:rsidP="00837232">
      <w:pPr>
        <w:rPr>
          <w:b/>
          <w:bCs/>
          <w:lang w:val="en-GB"/>
        </w:rPr>
      </w:pPr>
    </w:p>
    <w:p w14:paraId="754D4E94" w14:textId="77777777" w:rsidR="00601D97" w:rsidRDefault="00601D97" w:rsidP="00837232">
      <w:pPr>
        <w:rPr>
          <w:b/>
          <w:bCs/>
          <w:lang w:val="en-GB"/>
        </w:rPr>
      </w:pPr>
    </w:p>
    <w:p w14:paraId="3C763798" w14:textId="77777777" w:rsidR="00601D97" w:rsidRDefault="00601D97" w:rsidP="00837232">
      <w:pPr>
        <w:rPr>
          <w:b/>
          <w:bCs/>
          <w:lang w:val="en-GB"/>
        </w:rPr>
      </w:pPr>
    </w:p>
    <w:p w14:paraId="4EE25F9F" w14:textId="3F18FB87" w:rsidR="00837232" w:rsidRPr="00837232" w:rsidRDefault="00837232" w:rsidP="00601D97">
      <w:pPr>
        <w:pStyle w:val="Heading1"/>
      </w:pPr>
      <w:bookmarkStart w:id="1" w:name="_Toc225524112"/>
      <w:r w:rsidRPr="00837232">
        <w:lastRenderedPageBreak/>
        <w:t>Introduction</w:t>
      </w:r>
      <w:bookmarkEnd w:id="1"/>
    </w:p>
    <w:p w14:paraId="7F47CA44" w14:textId="77777777" w:rsidR="00235F80" w:rsidRPr="00235F80" w:rsidRDefault="00235F80" w:rsidP="00235F80">
      <w:pPr>
        <w:rPr>
          <w:lang w:val="en-GB"/>
        </w:rPr>
      </w:pPr>
      <w:r w:rsidRPr="00235F80">
        <w:rPr>
          <w:lang w:val="en-GB"/>
        </w:rPr>
        <w:t>Microsoft Corporation operates in over 190 countries across three core segments: Productivity and Business Processes, Intelligent Cloud, and More Personal Computing (Microsoft, 2025). Its portfolio, including Azure, Microsoft 365, and LinkedIn, reflects a strategic shift towards cloud-based and subscription-driven services. With Azure holding approximately 23% of the global cloud market, Microsoft has established a strong competitive position in digital infrastructure (Synergy Research Group, 2025). However, this dominance is supported by substantial investment in data centres, artificial intelligence, and research, increasing financial risk and operational complexity.</w:t>
      </w:r>
    </w:p>
    <w:p w14:paraId="002794B5" w14:textId="77777777" w:rsidR="00235F80" w:rsidRPr="00235F80" w:rsidRDefault="00235F80" w:rsidP="00235F80">
      <w:pPr>
        <w:rPr>
          <w:lang w:val="en-GB"/>
        </w:rPr>
      </w:pPr>
      <w:r w:rsidRPr="00235F80">
        <w:rPr>
          <w:lang w:val="en-GB"/>
        </w:rPr>
        <w:t xml:space="preserve">Within this context, management accounting supports planning, cost control, and performance evaluation (Drury, 2021; Bhimani </w:t>
      </w:r>
      <w:r w:rsidRPr="00235F80">
        <w:rPr>
          <w:i/>
          <w:iCs/>
          <w:lang w:val="en-GB"/>
        </w:rPr>
        <w:t>et al.</w:t>
      </w:r>
      <w:r w:rsidRPr="00235F80">
        <w:rPr>
          <w:lang w:val="en-GB"/>
        </w:rPr>
        <w:t>, 2019). This essay argues that although Microsoft applies these tools strategically, their effectiveness is constrained by forecasting uncertainty, intangible value measurement, and the integration of sustainability into financial decision-making (Gray, 2010).</w:t>
      </w:r>
    </w:p>
    <w:p w14:paraId="51F13820" w14:textId="35E12ADF" w:rsidR="009E1E2F" w:rsidRPr="009E1E2F" w:rsidRDefault="009E1E2F" w:rsidP="009E1E2F">
      <w:pPr>
        <w:rPr>
          <w:b/>
          <w:bCs/>
          <w:lang w:val="en-GB"/>
        </w:rPr>
      </w:pPr>
    </w:p>
    <w:tbl>
      <w:tblPr>
        <w:tblW w:w="4490" w:type="dxa"/>
        <w:jc w:val="center"/>
        <w:tblCellSpacing w:w="15" w:type="dxa"/>
        <w:tblCellMar>
          <w:top w:w="15" w:type="dxa"/>
          <w:left w:w="15" w:type="dxa"/>
          <w:bottom w:w="15" w:type="dxa"/>
          <w:right w:w="15" w:type="dxa"/>
        </w:tblCellMar>
        <w:tblLook w:val="04A0" w:firstRow="1" w:lastRow="0" w:firstColumn="1" w:lastColumn="0" w:noHBand="0" w:noVBand="1"/>
      </w:tblPr>
      <w:tblGrid>
        <w:gridCol w:w="2097"/>
        <w:gridCol w:w="2393"/>
      </w:tblGrid>
      <w:tr w:rsidR="009E1E2F" w:rsidRPr="009E1E2F" w14:paraId="512B10B3" w14:textId="77777777" w:rsidTr="009E1E2F">
        <w:trPr>
          <w:trHeight w:val="443"/>
          <w:tblHeader/>
          <w:tblCellSpacing w:w="15" w:type="dxa"/>
          <w:jc w:val="center"/>
        </w:trPr>
        <w:tc>
          <w:tcPr>
            <w:tcW w:w="0" w:type="auto"/>
            <w:vAlign w:val="center"/>
            <w:hideMark/>
          </w:tcPr>
          <w:p w14:paraId="2E02FFF0" w14:textId="77777777" w:rsidR="009E1E2F" w:rsidRPr="009E1E2F" w:rsidRDefault="009E1E2F" w:rsidP="009E1E2F">
            <w:pPr>
              <w:jc w:val="center"/>
              <w:rPr>
                <w:b/>
                <w:bCs/>
                <w:sz w:val="20"/>
                <w:szCs w:val="20"/>
                <w:lang w:val="en-GB"/>
              </w:rPr>
            </w:pPr>
            <w:r w:rsidRPr="009E1E2F">
              <w:rPr>
                <w:b/>
                <w:bCs/>
                <w:sz w:val="20"/>
                <w:szCs w:val="20"/>
                <w:lang w:val="en-GB"/>
              </w:rPr>
              <w:t>Indicator</w:t>
            </w:r>
          </w:p>
        </w:tc>
        <w:tc>
          <w:tcPr>
            <w:tcW w:w="0" w:type="auto"/>
            <w:vAlign w:val="center"/>
            <w:hideMark/>
          </w:tcPr>
          <w:p w14:paraId="44216BA2" w14:textId="77777777" w:rsidR="009E1E2F" w:rsidRPr="009E1E2F" w:rsidRDefault="009E1E2F" w:rsidP="009E1E2F">
            <w:pPr>
              <w:jc w:val="center"/>
              <w:rPr>
                <w:b/>
                <w:bCs/>
                <w:sz w:val="20"/>
                <w:szCs w:val="20"/>
                <w:lang w:val="en-GB"/>
              </w:rPr>
            </w:pPr>
            <w:r w:rsidRPr="009E1E2F">
              <w:rPr>
                <w:b/>
                <w:bCs/>
                <w:sz w:val="20"/>
                <w:szCs w:val="20"/>
                <w:lang w:val="en-GB"/>
              </w:rPr>
              <w:t>Value</w:t>
            </w:r>
          </w:p>
        </w:tc>
      </w:tr>
      <w:tr w:rsidR="009E1E2F" w:rsidRPr="009E1E2F" w14:paraId="7B54A015" w14:textId="77777777" w:rsidTr="009E1E2F">
        <w:trPr>
          <w:trHeight w:val="430"/>
          <w:tblCellSpacing w:w="15" w:type="dxa"/>
          <w:jc w:val="center"/>
        </w:trPr>
        <w:tc>
          <w:tcPr>
            <w:tcW w:w="0" w:type="auto"/>
            <w:vAlign w:val="center"/>
            <w:hideMark/>
          </w:tcPr>
          <w:p w14:paraId="7C2C7D9D" w14:textId="77777777" w:rsidR="009E1E2F" w:rsidRPr="009E1E2F" w:rsidRDefault="009E1E2F" w:rsidP="009E1E2F">
            <w:pPr>
              <w:jc w:val="center"/>
              <w:rPr>
                <w:sz w:val="20"/>
                <w:szCs w:val="20"/>
                <w:lang w:val="en-GB"/>
              </w:rPr>
            </w:pPr>
            <w:r w:rsidRPr="009E1E2F">
              <w:rPr>
                <w:sz w:val="20"/>
                <w:szCs w:val="20"/>
                <w:lang w:val="en-GB"/>
              </w:rPr>
              <w:t>Revenue</w:t>
            </w:r>
          </w:p>
        </w:tc>
        <w:tc>
          <w:tcPr>
            <w:tcW w:w="0" w:type="auto"/>
            <w:vAlign w:val="center"/>
            <w:hideMark/>
          </w:tcPr>
          <w:p w14:paraId="51DBE107" w14:textId="77777777" w:rsidR="009E1E2F" w:rsidRPr="009E1E2F" w:rsidRDefault="009E1E2F" w:rsidP="009E1E2F">
            <w:pPr>
              <w:jc w:val="center"/>
              <w:rPr>
                <w:sz w:val="20"/>
                <w:szCs w:val="20"/>
                <w:lang w:val="en-GB"/>
              </w:rPr>
            </w:pPr>
            <w:r w:rsidRPr="009E1E2F">
              <w:rPr>
                <w:sz w:val="20"/>
                <w:szCs w:val="20"/>
                <w:lang w:val="en-GB"/>
              </w:rPr>
              <w:t>USD 281,724 million</w:t>
            </w:r>
          </w:p>
        </w:tc>
      </w:tr>
      <w:tr w:rsidR="009E1E2F" w:rsidRPr="009E1E2F" w14:paraId="0F26F369" w14:textId="77777777" w:rsidTr="009E1E2F">
        <w:trPr>
          <w:trHeight w:val="430"/>
          <w:tblCellSpacing w:w="15" w:type="dxa"/>
          <w:jc w:val="center"/>
        </w:trPr>
        <w:tc>
          <w:tcPr>
            <w:tcW w:w="0" w:type="auto"/>
            <w:vAlign w:val="center"/>
            <w:hideMark/>
          </w:tcPr>
          <w:p w14:paraId="788E3DF6" w14:textId="77777777" w:rsidR="009E1E2F" w:rsidRPr="009E1E2F" w:rsidRDefault="009E1E2F" w:rsidP="009E1E2F">
            <w:pPr>
              <w:jc w:val="center"/>
              <w:rPr>
                <w:sz w:val="20"/>
                <w:szCs w:val="20"/>
                <w:lang w:val="en-GB"/>
              </w:rPr>
            </w:pPr>
            <w:r w:rsidRPr="009E1E2F">
              <w:rPr>
                <w:sz w:val="20"/>
                <w:szCs w:val="20"/>
                <w:lang w:val="en-GB"/>
              </w:rPr>
              <w:t>Operating Income</w:t>
            </w:r>
          </w:p>
        </w:tc>
        <w:tc>
          <w:tcPr>
            <w:tcW w:w="0" w:type="auto"/>
            <w:vAlign w:val="center"/>
            <w:hideMark/>
          </w:tcPr>
          <w:p w14:paraId="03EBFBC9" w14:textId="77777777" w:rsidR="009E1E2F" w:rsidRPr="009E1E2F" w:rsidRDefault="009E1E2F" w:rsidP="009E1E2F">
            <w:pPr>
              <w:jc w:val="center"/>
              <w:rPr>
                <w:sz w:val="20"/>
                <w:szCs w:val="20"/>
                <w:lang w:val="en-GB"/>
              </w:rPr>
            </w:pPr>
            <w:r w:rsidRPr="009E1E2F">
              <w:rPr>
                <w:sz w:val="20"/>
                <w:szCs w:val="20"/>
                <w:lang w:val="en-GB"/>
              </w:rPr>
              <w:t>USD 128,528 million</w:t>
            </w:r>
          </w:p>
        </w:tc>
      </w:tr>
      <w:tr w:rsidR="009E1E2F" w:rsidRPr="009E1E2F" w14:paraId="5EBD94F5" w14:textId="77777777" w:rsidTr="009E1E2F">
        <w:trPr>
          <w:trHeight w:val="443"/>
          <w:tblCellSpacing w:w="15" w:type="dxa"/>
          <w:jc w:val="center"/>
        </w:trPr>
        <w:tc>
          <w:tcPr>
            <w:tcW w:w="0" w:type="auto"/>
            <w:vAlign w:val="center"/>
            <w:hideMark/>
          </w:tcPr>
          <w:p w14:paraId="6454CF1F" w14:textId="77777777" w:rsidR="009E1E2F" w:rsidRPr="009E1E2F" w:rsidRDefault="009E1E2F" w:rsidP="009E1E2F">
            <w:pPr>
              <w:jc w:val="center"/>
              <w:rPr>
                <w:sz w:val="20"/>
                <w:szCs w:val="20"/>
                <w:lang w:val="en-GB"/>
              </w:rPr>
            </w:pPr>
            <w:r w:rsidRPr="009E1E2F">
              <w:rPr>
                <w:sz w:val="20"/>
                <w:szCs w:val="20"/>
                <w:lang w:val="en-GB"/>
              </w:rPr>
              <w:t>Employees</w:t>
            </w:r>
          </w:p>
        </w:tc>
        <w:tc>
          <w:tcPr>
            <w:tcW w:w="0" w:type="auto"/>
            <w:vAlign w:val="center"/>
            <w:hideMark/>
          </w:tcPr>
          <w:p w14:paraId="249AB925" w14:textId="77777777" w:rsidR="009E1E2F" w:rsidRPr="009E1E2F" w:rsidRDefault="009E1E2F" w:rsidP="009E1E2F">
            <w:pPr>
              <w:jc w:val="center"/>
              <w:rPr>
                <w:sz w:val="20"/>
                <w:szCs w:val="20"/>
                <w:lang w:val="en-GB"/>
              </w:rPr>
            </w:pPr>
            <w:r w:rsidRPr="009E1E2F">
              <w:rPr>
                <w:sz w:val="20"/>
                <w:szCs w:val="20"/>
                <w:lang w:val="en-GB"/>
              </w:rPr>
              <w:t>~228,000</w:t>
            </w:r>
          </w:p>
        </w:tc>
      </w:tr>
    </w:tbl>
    <w:p w14:paraId="5BFD01C5" w14:textId="77777777" w:rsidR="009E1E2F" w:rsidRPr="009E1E2F" w:rsidRDefault="009E1E2F" w:rsidP="009E1E2F">
      <w:pPr>
        <w:rPr>
          <w:lang w:val="en-GB"/>
        </w:rPr>
      </w:pPr>
    </w:p>
    <w:p w14:paraId="4DAAC71E" w14:textId="1B324B75" w:rsidR="005B414E" w:rsidRPr="003F715E" w:rsidRDefault="00837232" w:rsidP="003F715E">
      <w:pPr>
        <w:pStyle w:val="Heading2"/>
      </w:pPr>
      <w:bookmarkStart w:id="2" w:name="_Toc225524113"/>
      <w:r w:rsidRPr="003F715E">
        <w:rPr>
          <w:rStyle w:val="Heading2Char"/>
          <w:i/>
          <w:iCs/>
        </w:rPr>
        <w:t>Table 1</w:t>
      </w:r>
      <w:r w:rsidR="003F715E" w:rsidRPr="003F715E">
        <w:t>:</w:t>
      </w:r>
      <w:r w:rsidRPr="003F715E">
        <w:t xml:space="preserve"> Microsoft at a Glance - 2025 </w:t>
      </w:r>
      <w:r w:rsidR="009E1E2F" w:rsidRPr="003F715E">
        <w:t xml:space="preserve"> - </w:t>
      </w:r>
      <w:r w:rsidRPr="003F715E">
        <w:t>Source: Microsoft, 2025</w:t>
      </w:r>
      <w:bookmarkEnd w:id="2"/>
    </w:p>
    <w:p w14:paraId="1BE3C5FF" w14:textId="23300EAC" w:rsidR="00C54F49" w:rsidRPr="003F715E" w:rsidRDefault="00C54F49" w:rsidP="00C54F49">
      <w:r w:rsidRPr="00C54F49">
        <w:t>Table 1 highlights Microsoft’s financial scale, which supports its ability to sustain high capital investment in cloud infrastructure and innovation.</w:t>
      </w:r>
    </w:p>
    <w:p w14:paraId="08643E1F" w14:textId="2BA5A071" w:rsidR="005B414E" w:rsidRPr="005B414E" w:rsidRDefault="005B414E" w:rsidP="00C54F49">
      <w:pPr>
        <w:pStyle w:val="Heading1"/>
      </w:pPr>
      <w:bookmarkStart w:id="3" w:name="_Toc225524114"/>
      <w:r>
        <w:t xml:space="preserve">2. </w:t>
      </w:r>
      <w:r w:rsidRPr="005B414E">
        <w:t>Cost Analysis and Business Model</w:t>
      </w:r>
      <w:bookmarkEnd w:id="3"/>
    </w:p>
    <w:p w14:paraId="3D348EA2" w14:textId="77777777" w:rsidR="007D1EA5" w:rsidRPr="007D1EA5" w:rsidRDefault="007D1EA5" w:rsidP="007D1EA5">
      <w:r w:rsidRPr="007D1EA5">
        <w:t xml:space="preserve">Microsoft’s business model is increasingly centred on cloud-based and subscription-driven services, particularly Azure and Microsoft 365, which generate stable and recurring revenue streams (Microsoft, 2025). From a management accounting perspective, this enhances revenue predictability and supports more sophisticated financial planning through techniques such as customer lifetime value (CLV) analysis, enabling the evaluation of long-term customer profitability (Garrison, Noreen and </w:t>
      </w:r>
      <w:r w:rsidRPr="007D1EA5">
        <w:lastRenderedPageBreak/>
        <w:t>Brewer, 2021). However, this model also introduces structural dependency on customer retention and continuous service delivery, meaning that revenue stability is contingent rather than guaranteed in a highly competitive and rapidly evolving market.</w:t>
      </w:r>
    </w:p>
    <w:p w14:paraId="2450BE09" w14:textId="77777777" w:rsidR="007D1EA5" w:rsidRDefault="007D1EA5" w:rsidP="007D1EA5">
      <w:r w:rsidRPr="007D1EA5">
        <w:t>Microsoft’s cost structure is characterised by substantial fixed and committed costs, particularly in data centres, artificial intelligence infrastructure, and research and development (Microsoft, 2025). Cost-volume-profit (CVP) analysis suggests that such a structure generates high operating leverage, allowing incremental revenue to translate into disproportionately higher profits once fixed costs are covered (Drury, 2021). While this supports scalability and economies of scale, it also amplifies financial risk. In conditions of demand uncertainty, particularly in emerging areas such as AI, CVP assumptions become less reliable, as underutilised capacity can significantly erode margins and reduce return on capital employed. This highlights a limitation of traditional cost behaviour models in dynamic, technology-driven environments.</w:t>
      </w:r>
    </w:p>
    <w:p w14:paraId="710C5030" w14:textId="0BAEDCAF" w:rsidR="00624033" w:rsidRPr="007D1EA5" w:rsidRDefault="00624033" w:rsidP="007D1EA5">
      <w:r w:rsidRPr="00624033">
        <w:t>Microsoft’s operating margin of approximately 45.6% (see Appendix 1</w:t>
      </w:r>
      <w:r w:rsidR="005D37DF">
        <w:t xml:space="preserve"> for calculation</w:t>
      </w:r>
      <w:r w:rsidRPr="00624033">
        <w:t>) reflects the scalability of its cloud-based business model. However, rising cost growth relative to revenue (Appendix 4) indicates increasing pressure on profitability, reinforcing the risks associated with high fixed-cost structures.</w:t>
      </w:r>
    </w:p>
    <w:p w14:paraId="4897294C" w14:textId="753561C7" w:rsidR="007D1EA5" w:rsidRPr="007D1EA5" w:rsidRDefault="007D1EA5" w:rsidP="007D1EA5">
      <w:r w:rsidRPr="007D1EA5">
        <w:t xml:space="preserve">To address cost allocation challenges, Microsoft applies principles aligned with activity-based costing (ABC), allocating overheads based on key cost drivers such as computing usage and software development activity (Kaplan and Anderson, 2007). This improves cost visibility and supports more informed pricing and investment decisions. Nevertheless, the increasing importance of intangible assets and innovation complicates cost attribution, as the value generated by AI development and platform ecosystems </w:t>
      </w:r>
      <w:r>
        <w:t>is difficult to capture</w:t>
      </w:r>
      <w:r w:rsidRPr="007D1EA5">
        <w:t xml:space="preserve"> through conventional costing systems. Consequently, cost information may only partially reflect economic reality, limiting its usefulness for strategic decision-making.</w:t>
      </w:r>
    </w:p>
    <w:p w14:paraId="6A183421" w14:textId="77777777" w:rsidR="007D1EA5" w:rsidRPr="007D1EA5" w:rsidRDefault="007D1EA5" w:rsidP="007D1EA5">
      <w:r w:rsidRPr="007D1EA5">
        <w:t>In comparison, Amazon’s diversified business model reduces reliance on a single revenue stream, as cloud services are supported by retail and logistics operations (Amazon, 2024). By contrast, Microsoft’s concentration in cloud and enterprise services enhances scalability but increases exposure to sector-specific risks.</w:t>
      </w:r>
    </w:p>
    <w:p w14:paraId="3D94C8EE" w14:textId="55D8E8D5" w:rsidR="007D1EA5" w:rsidRPr="007D1EA5" w:rsidRDefault="007D1EA5" w:rsidP="007D1EA5">
      <w:r w:rsidRPr="007D1EA5">
        <w:t xml:space="preserve">Overall, while Microsoft’s cost structure underpins its competitive advantage, its effectiveness depends on </w:t>
      </w:r>
      <w:r>
        <w:t>management accounting systems' ability</w:t>
      </w:r>
      <w:r w:rsidRPr="007D1EA5">
        <w:t xml:space="preserve"> to move beyond </w:t>
      </w:r>
      <w:r w:rsidRPr="007D1EA5">
        <w:lastRenderedPageBreak/>
        <w:t>traditional models and adapt to uncertainty, intangible value, and long-term strategic investment.</w:t>
      </w:r>
    </w:p>
    <w:p w14:paraId="4826540C" w14:textId="04B25574" w:rsidR="00CD787E" w:rsidRPr="00CD787E" w:rsidRDefault="00CD787E" w:rsidP="00CD787E">
      <w:pPr>
        <w:pStyle w:val="Heading1"/>
      </w:pPr>
      <w:bookmarkStart w:id="4" w:name="_Toc225524115"/>
      <w:r w:rsidRPr="00CD787E">
        <w:t>3. Budgeting and Financial Planning</w:t>
      </w:r>
      <w:bookmarkEnd w:id="4"/>
    </w:p>
    <w:p w14:paraId="140AAA70" w14:textId="3709E53E" w:rsidR="00397E1D" w:rsidRPr="00397E1D" w:rsidRDefault="00397E1D" w:rsidP="00397E1D">
      <w:pPr>
        <w:rPr>
          <w:lang w:val="en-GB"/>
        </w:rPr>
      </w:pPr>
      <w:r w:rsidRPr="00397E1D">
        <w:rPr>
          <w:lang w:val="en-GB"/>
        </w:rPr>
        <w:t xml:space="preserve">Budgeting plays a critical role in Microsoft’s financial management due to the scale and irreversibility of its investments in cloud infrastructure, artificial intelligence, and research and development (Microsoft, 2025). The company adopts a flexible approach supported by rolling forecasts, enabling management to update financial plans in response to rapidly changing technological and market conditions (Bhimani </w:t>
      </w:r>
      <w:r w:rsidRPr="00397E1D">
        <w:rPr>
          <w:i/>
          <w:iCs/>
          <w:lang w:val="en-GB"/>
        </w:rPr>
        <w:t>et al.</w:t>
      </w:r>
      <w:r w:rsidRPr="00397E1D">
        <w:rPr>
          <w:lang w:val="en-GB"/>
        </w:rPr>
        <w:t>, 2019). This reflects a shift away from traditional static budgeting towards more adaptive planning systems. However, while increased flexibility improves responsiveness, it does not eliminate forecasting uncertainty, particularly in emerging areas such as AI</w:t>
      </w:r>
      <w:r>
        <w:rPr>
          <w:lang w:val="en-GB"/>
        </w:rPr>
        <w:t>,</w:t>
      </w:r>
      <w:r w:rsidRPr="00397E1D">
        <w:rPr>
          <w:lang w:val="en-GB"/>
        </w:rPr>
        <w:t xml:space="preserve"> where demand patterns remain unpredictable.</w:t>
      </w:r>
    </w:p>
    <w:p w14:paraId="78393ADD" w14:textId="77777777" w:rsidR="00397E1D" w:rsidRDefault="00397E1D" w:rsidP="00397E1D">
      <w:pPr>
        <w:rPr>
          <w:lang w:val="en-GB"/>
        </w:rPr>
      </w:pPr>
      <w:r w:rsidRPr="00397E1D">
        <w:rPr>
          <w:lang w:val="en-GB"/>
        </w:rPr>
        <w:t>Microsoft’s expenditure is heavily concentrated in cost of revenue, infrastructure expansion, and innovation-driven activities (Microsoft, 2025). From a management accounting perspective, this reflects strategic prioritisation of long-term growth over short-term cost minimisation. Capital budgeting techniques such as net present value (NPV) and internal rate of return (IRR) are therefore essential in evaluating large-scale investments, including data centre expansion and AI development (Atrill and McLaney, 2019). These tools provide a structured framework for decision-making by incorporating future cash flows and the time value of money. Nevertheless, their effectiveness is constrained by the reliability of underlying assumptions. In highly uncertain environments, small changes in projected demand or discount rates can significantly alter investment appraisals, reducing the robustness of these techniques.</w:t>
      </w:r>
    </w:p>
    <w:p w14:paraId="2B26F5E6" w14:textId="686DBF9A" w:rsidR="00624033" w:rsidRPr="00397E1D" w:rsidRDefault="00624033" w:rsidP="00397E1D">
      <w:pPr>
        <w:rPr>
          <w:lang w:val="en-GB"/>
        </w:rPr>
      </w:pPr>
      <w:r w:rsidRPr="00624033">
        <w:t xml:space="preserve">As illustrated in Appendix 3, declining cloud margins driven by AI infrastructure investment </w:t>
      </w:r>
      <w:r>
        <w:t>underscore the financial impact of large-scale capital expenditure, reinforcing the limitations of traditional forecasting and capital budgeting techniques in uncertain conditions</w:t>
      </w:r>
      <w:r w:rsidRPr="00624033">
        <w:t>.</w:t>
      </w:r>
    </w:p>
    <w:p w14:paraId="4694289F" w14:textId="5B97D420" w:rsidR="00397E1D" w:rsidRPr="00397E1D" w:rsidRDefault="00397E1D" w:rsidP="00397E1D">
      <w:pPr>
        <w:rPr>
          <w:lang w:val="en-GB"/>
        </w:rPr>
      </w:pPr>
      <w:r w:rsidRPr="00397E1D">
        <w:rPr>
          <w:lang w:val="en-GB"/>
        </w:rPr>
        <w:t>Variance analysis further supports budgeting by enabling management to compare actual and planned performance</w:t>
      </w:r>
      <w:r>
        <w:rPr>
          <w:lang w:val="en-GB"/>
        </w:rPr>
        <w:t xml:space="preserve"> and identify deviations in areas such as energy costs and</w:t>
      </w:r>
      <w:r w:rsidRPr="00397E1D">
        <w:rPr>
          <w:lang w:val="en-GB"/>
        </w:rPr>
        <w:t xml:space="preserve"> infrastructure spending (Drury, 2021). This facilitates cost control and continuous improvement. However, variance analysis is inherently retrospective, focusing on past performance rather than future strategic positioning. In a fast-moving technology </w:t>
      </w:r>
      <w:r w:rsidRPr="00397E1D">
        <w:rPr>
          <w:lang w:val="en-GB"/>
        </w:rPr>
        <w:lastRenderedPageBreak/>
        <w:t xml:space="preserve">sector, this </w:t>
      </w:r>
      <w:r>
        <w:rPr>
          <w:lang w:val="en-GB"/>
        </w:rPr>
        <w:t>backwards-looking</w:t>
      </w:r>
      <w:r w:rsidRPr="00397E1D">
        <w:rPr>
          <w:lang w:val="en-GB"/>
        </w:rPr>
        <w:t xml:space="preserve"> orientation may limit its relevance for decision-making, particularly when rapid innovation renders historical data less informative.</w:t>
      </w:r>
    </w:p>
    <w:p w14:paraId="3CE72AD0" w14:textId="5F900002" w:rsidR="00397E1D" w:rsidRPr="00397E1D" w:rsidRDefault="00397E1D" w:rsidP="00397E1D">
      <w:pPr>
        <w:rPr>
          <w:lang w:val="en-GB"/>
        </w:rPr>
      </w:pPr>
      <w:r>
        <w:rPr>
          <w:lang w:val="en-GB"/>
        </w:rPr>
        <w:t xml:space="preserve">Compared with firms such as Netflix, Microsoft is better positioned </w:t>
      </w:r>
      <w:r w:rsidRPr="00397E1D">
        <w:rPr>
          <w:lang w:val="en-GB"/>
        </w:rPr>
        <w:t xml:space="preserve">to manage financial risk due to its diversified revenue streams and enterprise-based subscription model. However, </w:t>
      </w:r>
      <w:r>
        <w:rPr>
          <w:lang w:val="en-GB"/>
        </w:rPr>
        <w:t xml:space="preserve">like Amazon, it faces ongoing pressure to invest at scale in cloud infrastructure to sustain its </w:t>
      </w:r>
      <w:r w:rsidRPr="00397E1D">
        <w:rPr>
          <w:lang w:val="en-GB"/>
        </w:rPr>
        <w:t>competitive advantage (Amazon, 2024). This creates a tension between maintaining financial discipline and committing to long-term, high-risk investments.</w:t>
      </w:r>
    </w:p>
    <w:p w14:paraId="2192448D" w14:textId="1EF7E1BD" w:rsidR="00CD787E" w:rsidRDefault="00397E1D" w:rsidP="00CD787E">
      <w:pPr>
        <w:rPr>
          <w:lang w:val="en-GB"/>
        </w:rPr>
      </w:pPr>
      <w:r w:rsidRPr="00397E1D">
        <w:rPr>
          <w:lang w:val="en-GB"/>
        </w:rPr>
        <w:t>Overall, while Microsoft’s budgeting practices demonstrate a high degree of sophistication, their effectiveness is constrained by uncertainty, the limitations of traditional evaluation techniques, and the challenges of aligning short-term financial control with long-term strategic investment.</w:t>
      </w:r>
    </w:p>
    <w:p w14:paraId="7A503AEE" w14:textId="0916548D" w:rsidR="00F04ECF" w:rsidRPr="00F04ECF" w:rsidRDefault="00F04ECF" w:rsidP="00F04ECF">
      <w:pPr>
        <w:pStyle w:val="Heading1"/>
      </w:pPr>
      <w:bookmarkStart w:id="5" w:name="_Toc225524116"/>
      <w:r w:rsidRPr="00F04ECF">
        <w:t>4. Performance Measurement and Decision-Making</w:t>
      </w:r>
      <w:bookmarkEnd w:id="5"/>
    </w:p>
    <w:p w14:paraId="4D0C5073" w14:textId="54A6C801" w:rsidR="00397E1D" w:rsidRPr="00397E1D" w:rsidRDefault="00397E1D" w:rsidP="00397E1D">
      <w:r w:rsidRPr="00397E1D">
        <w:t xml:space="preserve">Performance measurement is central to Microsoft’s ability to evaluate strategic success and guide decision-making </w:t>
      </w:r>
      <w:r>
        <w:t>in a highly competitive,</w:t>
      </w:r>
      <w:r w:rsidRPr="00397E1D">
        <w:t xml:space="preserve"> innovation-driven environment. The company adopts a multidimensional approach consistent with the Balanced Scorecard framework, integrating key performance indicators (KPIs) across financial, customer, internal process, and innovation perspectives (Kaplan and Norton, 1996). This enables Microsoft to align operational performance with long-term strategic objectives, particularly </w:t>
      </w:r>
      <w:r w:rsidR="0023422D">
        <w:t>regarding</w:t>
      </w:r>
      <w:r w:rsidRPr="00397E1D">
        <w:t xml:space="preserve"> cloud expansion and artificial intelligence development.</w:t>
      </w:r>
    </w:p>
    <w:p w14:paraId="6C772EAE" w14:textId="2955E21B" w:rsidR="00397E1D" w:rsidRPr="00397E1D" w:rsidRDefault="00397E1D" w:rsidP="00397E1D">
      <w:r w:rsidRPr="00397E1D">
        <w:t xml:space="preserve">Financial metrics such as revenue growth, operating income, and segment performance remain critical indicators of success, with Microsoft reporting strong financial results driven by its Intelligent Cloud division (Microsoft, 2025). These measures provide a clear assessment of profitability and efficiency. However, they are inherently </w:t>
      </w:r>
      <w:r>
        <w:t>backwards-looking</w:t>
      </w:r>
      <w:r w:rsidRPr="00397E1D">
        <w:t xml:space="preserve"> and therefore limited in their ability to capture future value creation in a sector characterised by rapid technological change. As a result, reliance on financial metrics alone may lead to short-term decision-making that prioritises immediate performance over long-term innovation.</w:t>
      </w:r>
    </w:p>
    <w:p w14:paraId="3346C06C" w14:textId="6C52930D" w:rsidR="00397E1D" w:rsidRPr="00397E1D" w:rsidRDefault="00397E1D" w:rsidP="00397E1D">
      <w:r w:rsidRPr="00397E1D">
        <w:t xml:space="preserve">To address this limitation, Microsoft incorporates non-financial KPIs, including cloud adoption rates, customer retention, service reliability, and innovation output. These indicators provide insight into future growth potential and competitive positioning. For </w:t>
      </w:r>
      <w:r w:rsidRPr="00397E1D">
        <w:lastRenderedPageBreak/>
        <w:t xml:space="preserve">example, increasing Azure adoption signals expanding market share and future revenue streams, while high service reliability supports customer trust and long-term retention. Consequently, </w:t>
      </w:r>
      <w:r>
        <w:t>integrating</w:t>
      </w:r>
      <w:r w:rsidRPr="00397E1D">
        <w:t xml:space="preserve"> financial and non-financial measures enhances decision-making by linking operational performance to strategic outcomes (Bhimani </w:t>
      </w:r>
      <w:r w:rsidRPr="00397E1D">
        <w:rPr>
          <w:i/>
          <w:iCs/>
        </w:rPr>
        <w:t>et al.</w:t>
      </w:r>
      <w:r w:rsidRPr="00397E1D">
        <w:t>, 2019).</w:t>
      </w:r>
      <w:r w:rsidR="00624033">
        <w:t xml:space="preserve"> </w:t>
      </w:r>
      <w:r w:rsidR="00624033" w:rsidRPr="00624033">
        <w:t xml:space="preserve">Azure’s strong growth rate of approximately 34% (Appendix 2) demonstrates significant future revenue potential. However, this also increases Microsoft’s dependence on sustained cloud demand, highlighting the need for performance measures that capture </w:t>
      </w:r>
      <w:r w:rsidR="00624033">
        <w:t>both long-term strategic risk and</w:t>
      </w:r>
      <w:r w:rsidR="00624033" w:rsidRPr="00624033">
        <w:t xml:space="preserve"> short-term growth.</w:t>
      </w:r>
    </w:p>
    <w:p w14:paraId="3C50C8C6" w14:textId="77777777" w:rsidR="00397E1D" w:rsidRPr="00397E1D" w:rsidRDefault="00397E1D" w:rsidP="00397E1D">
      <w:r w:rsidRPr="00397E1D">
        <w:t>However, despite these advantages, significant limitations remain. Non-financial metrics, particularly those related to innovation and artificial intelligence, are difficult to measure accurately and may lack standardisation. This introduces subjectivity and potential bias into performance evaluation, reducing the reliability of information used for decision-making. Furthermore, an over-reliance on quantifiable KPIs may marginalise critical but less measurable factors such as creativity, organisational learning, and long-term technological capability.</w:t>
      </w:r>
    </w:p>
    <w:p w14:paraId="02333018" w14:textId="36BF8631" w:rsidR="00397E1D" w:rsidRPr="00397E1D" w:rsidRDefault="00397E1D" w:rsidP="00397E1D">
      <w:r w:rsidRPr="00397E1D">
        <w:t xml:space="preserve">External factors also constrain the effectiveness of performance measurement systems. Changes in enterprise IT spending, economic conditions, and competitive dynamics can significantly influence outcomes independently of managerial performance. In comparison, while Netflix relies heavily on subscriber metrics, Microsoft benefits from a broader and more diversified set of indicators across multiple business segments. However, </w:t>
      </w:r>
      <w:r>
        <w:t xml:space="preserve">like Amazon, it must balance rapid expansion with operational efficiency, thereby </w:t>
      </w:r>
      <w:r w:rsidRPr="00397E1D">
        <w:t>increasing the complexity of performance evaluation.</w:t>
      </w:r>
    </w:p>
    <w:p w14:paraId="00C8CC3C" w14:textId="77777777" w:rsidR="00397E1D" w:rsidRPr="00397E1D" w:rsidRDefault="00397E1D" w:rsidP="00397E1D">
      <w:r w:rsidRPr="00397E1D">
        <w:t>Overall, although Microsoft’s performance measurement systems are comprehensive and strategically aligned, their effectiveness is constrained by measurement limitations, external uncertainty, and the inherent difficulty of capturing long-term value creation in a data-driven framework.</w:t>
      </w:r>
    </w:p>
    <w:p w14:paraId="1EA5CBB8" w14:textId="4E19EAB4" w:rsidR="00F04ECF" w:rsidRPr="00F04ECF" w:rsidRDefault="00F04ECF" w:rsidP="00F04ECF">
      <w:pPr>
        <w:pStyle w:val="Heading1"/>
      </w:pPr>
      <w:bookmarkStart w:id="6" w:name="_Toc225524117"/>
      <w:r w:rsidRPr="00F04ECF">
        <w:t>5. Sustainability and Ethical Considerations</w:t>
      </w:r>
      <w:bookmarkEnd w:id="6"/>
    </w:p>
    <w:p w14:paraId="7A885CFB" w14:textId="167CACD3" w:rsidR="0023422D" w:rsidRPr="0023422D" w:rsidRDefault="0023422D" w:rsidP="0023422D">
      <w:pPr>
        <w:rPr>
          <w:lang w:val="en-GB"/>
        </w:rPr>
      </w:pPr>
      <w:r w:rsidRPr="0023422D">
        <w:rPr>
          <w:lang w:val="en-GB"/>
        </w:rPr>
        <w:t xml:space="preserve">Sustainability has become a key strategic concern for Microsoft due to the environmental impact of large-scale data centres and artificial intelligence infrastructure (Microsoft, 2025). The company’s commitment to becoming </w:t>
      </w:r>
      <w:r>
        <w:rPr>
          <w:lang w:val="en-GB"/>
        </w:rPr>
        <w:t>carbon-negative by 2030 reflects an effort</w:t>
      </w:r>
      <w:r w:rsidRPr="0023422D">
        <w:rPr>
          <w:lang w:val="en-GB"/>
        </w:rPr>
        <w:t xml:space="preserve"> to integrate environmental considerations into long-</w:t>
      </w:r>
      <w:r w:rsidRPr="0023422D">
        <w:rPr>
          <w:lang w:val="en-GB"/>
        </w:rPr>
        <w:lastRenderedPageBreak/>
        <w:t>term decision-making. However, this creates a fundamental tension between short-term financial performance and long-term sustainability objectives.</w:t>
      </w:r>
    </w:p>
    <w:p w14:paraId="5C640F4E" w14:textId="77777777" w:rsidR="0023422D" w:rsidRPr="0023422D" w:rsidRDefault="0023422D" w:rsidP="0023422D">
      <w:pPr>
        <w:rPr>
          <w:lang w:val="en-GB"/>
        </w:rPr>
      </w:pPr>
      <w:r w:rsidRPr="0023422D">
        <w:rPr>
          <w:lang w:val="en-GB"/>
        </w:rPr>
        <w:t>Sustainability accounting extends traditional management accounting by incorporating environmental and social costs into decision-making (Gray, 2010). Microsoft’s investments in renewable energy and efficient infrastructure can therefore be viewed as risk mitigation strategies that enhance long-term value. Nevertheless, these investments involve high upfront costs and uncertain returns, limiting the effectiveness of traditional financial evaluation techniques. This highlights the inability of conventional accounting systems to capture long-term, intangible sustainability benefits.</w:t>
      </w:r>
    </w:p>
    <w:p w14:paraId="0D295656" w14:textId="0B5C99EA" w:rsidR="0023422D" w:rsidRPr="0023422D" w:rsidRDefault="0023422D" w:rsidP="0023422D">
      <w:pPr>
        <w:rPr>
          <w:lang w:val="en-GB"/>
        </w:rPr>
      </w:pPr>
      <w:r w:rsidRPr="0023422D">
        <w:rPr>
          <w:lang w:val="en-GB"/>
        </w:rPr>
        <w:t>A key challenge lies in measurement. ESG-related outcomes such as reputational value and stakeholder trust are difficult to quantify, reducing the reliability of performance evaluation (Bebbington and Larrinaga, 2014). This creates a risk of “symbolic compliance”, where sustainability is prioritised in reporting rather than embedded in core decision-making.</w:t>
      </w:r>
      <w:r w:rsidR="008B695B">
        <w:rPr>
          <w:lang w:val="en-GB"/>
        </w:rPr>
        <w:t xml:space="preserve"> </w:t>
      </w:r>
      <w:r w:rsidR="008B695B" w:rsidRPr="008B695B">
        <w:t>Furthermore, increasing infrastructure investment required to support cloud growth (Appendix 4) raises additional sustainability concerns, as rising costs are closely linked to higher energy consumption and environmental impact.</w:t>
      </w:r>
    </w:p>
    <w:tbl>
      <w:tblPr>
        <w:tblW w:w="0" w:type="auto"/>
        <w:tblCellSpacing w:w="1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2381"/>
        <w:gridCol w:w="2400"/>
        <w:gridCol w:w="1476"/>
        <w:gridCol w:w="2515"/>
      </w:tblGrid>
      <w:tr w:rsidR="0023422D" w:rsidRPr="0023422D" w14:paraId="4C15778F" w14:textId="77777777" w:rsidTr="0023422D">
        <w:trPr>
          <w:tblHeader/>
          <w:tblCellSpacing w:w="15" w:type="dxa"/>
        </w:trPr>
        <w:tc>
          <w:tcPr>
            <w:tcW w:w="0" w:type="auto"/>
            <w:vAlign w:val="center"/>
            <w:hideMark/>
          </w:tcPr>
          <w:p w14:paraId="05E1E415" w14:textId="77777777" w:rsidR="0023422D" w:rsidRPr="0023422D" w:rsidRDefault="0023422D" w:rsidP="0023422D">
            <w:pPr>
              <w:jc w:val="center"/>
              <w:rPr>
                <w:rFonts w:cs="Arial"/>
                <w:b/>
                <w:bCs/>
                <w:sz w:val="20"/>
                <w:szCs w:val="20"/>
                <w:lang w:val="en-GB"/>
              </w:rPr>
            </w:pPr>
            <w:r w:rsidRPr="0023422D">
              <w:rPr>
                <w:rFonts w:cs="Arial"/>
                <w:b/>
                <w:bCs/>
                <w:sz w:val="20"/>
                <w:szCs w:val="20"/>
                <w:lang w:val="en-GB"/>
              </w:rPr>
              <w:t>Strategic Objective</w:t>
            </w:r>
          </w:p>
        </w:tc>
        <w:tc>
          <w:tcPr>
            <w:tcW w:w="0" w:type="auto"/>
            <w:vAlign w:val="center"/>
            <w:hideMark/>
          </w:tcPr>
          <w:p w14:paraId="45F7AE01" w14:textId="77777777" w:rsidR="0023422D" w:rsidRPr="0023422D" w:rsidRDefault="0023422D" w:rsidP="0023422D">
            <w:pPr>
              <w:jc w:val="center"/>
              <w:rPr>
                <w:rFonts w:cs="Arial"/>
                <w:b/>
                <w:bCs/>
                <w:sz w:val="20"/>
                <w:szCs w:val="20"/>
                <w:lang w:val="en-GB"/>
              </w:rPr>
            </w:pPr>
            <w:r w:rsidRPr="0023422D">
              <w:rPr>
                <w:rFonts w:cs="Arial"/>
                <w:b/>
                <w:bCs/>
                <w:sz w:val="20"/>
                <w:szCs w:val="20"/>
                <w:lang w:val="en-GB"/>
              </w:rPr>
              <w:t>KPI</w:t>
            </w:r>
          </w:p>
        </w:tc>
        <w:tc>
          <w:tcPr>
            <w:tcW w:w="0" w:type="auto"/>
            <w:vAlign w:val="center"/>
            <w:hideMark/>
          </w:tcPr>
          <w:p w14:paraId="49DB34EE" w14:textId="77777777" w:rsidR="0023422D" w:rsidRPr="0023422D" w:rsidRDefault="0023422D" w:rsidP="0023422D">
            <w:pPr>
              <w:jc w:val="center"/>
              <w:rPr>
                <w:rFonts w:cs="Arial"/>
                <w:b/>
                <w:bCs/>
                <w:sz w:val="20"/>
                <w:szCs w:val="20"/>
                <w:lang w:val="en-GB"/>
              </w:rPr>
            </w:pPr>
            <w:r w:rsidRPr="0023422D">
              <w:rPr>
                <w:rFonts w:cs="Arial"/>
                <w:b/>
                <w:bCs/>
                <w:sz w:val="20"/>
                <w:szCs w:val="20"/>
                <w:lang w:val="en-GB"/>
              </w:rPr>
              <w:t>Measurement</w:t>
            </w:r>
          </w:p>
        </w:tc>
        <w:tc>
          <w:tcPr>
            <w:tcW w:w="0" w:type="auto"/>
            <w:vAlign w:val="center"/>
            <w:hideMark/>
          </w:tcPr>
          <w:p w14:paraId="798A5CC2" w14:textId="77777777" w:rsidR="0023422D" w:rsidRPr="0023422D" w:rsidRDefault="0023422D" w:rsidP="0023422D">
            <w:pPr>
              <w:jc w:val="center"/>
              <w:rPr>
                <w:rFonts w:cs="Arial"/>
                <w:b/>
                <w:bCs/>
                <w:sz w:val="20"/>
                <w:szCs w:val="20"/>
                <w:lang w:val="en-GB"/>
              </w:rPr>
            </w:pPr>
            <w:r w:rsidRPr="0023422D">
              <w:rPr>
                <w:rFonts w:cs="Arial"/>
                <w:b/>
                <w:bCs/>
                <w:sz w:val="20"/>
                <w:szCs w:val="20"/>
                <w:lang w:val="en-GB"/>
              </w:rPr>
              <w:t>Target Example</w:t>
            </w:r>
          </w:p>
        </w:tc>
      </w:tr>
      <w:tr w:rsidR="0023422D" w:rsidRPr="0023422D" w14:paraId="5D2AE3B4" w14:textId="77777777" w:rsidTr="0023422D">
        <w:trPr>
          <w:tblCellSpacing w:w="15" w:type="dxa"/>
        </w:trPr>
        <w:tc>
          <w:tcPr>
            <w:tcW w:w="0" w:type="auto"/>
            <w:vAlign w:val="center"/>
            <w:hideMark/>
          </w:tcPr>
          <w:p w14:paraId="6E98972B" w14:textId="77777777" w:rsidR="0023422D" w:rsidRPr="0023422D" w:rsidRDefault="0023422D" w:rsidP="0023422D">
            <w:pPr>
              <w:jc w:val="center"/>
              <w:rPr>
                <w:rFonts w:cs="Arial"/>
                <w:sz w:val="20"/>
                <w:szCs w:val="20"/>
                <w:lang w:val="en-GB"/>
              </w:rPr>
            </w:pPr>
            <w:r w:rsidRPr="0023422D">
              <w:rPr>
                <w:rFonts w:cs="Arial"/>
                <w:sz w:val="20"/>
                <w:szCs w:val="20"/>
                <w:lang w:val="en-GB"/>
              </w:rPr>
              <w:t>Carbon Reduction</w:t>
            </w:r>
          </w:p>
        </w:tc>
        <w:tc>
          <w:tcPr>
            <w:tcW w:w="0" w:type="auto"/>
            <w:vAlign w:val="center"/>
            <w:hideMark/>
          </w:tcPr>
          <w:p w14:paraId="6EEC2DE0" w14:textId="77777777" w:rsidR="0023422D" w:rsidRPr="0023422D" w:rsidRDefault="0023422D" w:rsidP="0023422D">
            <w:pPr>
              <w:jc w:val="center"/>
              <w:rPr>
                <w:rFonts w:cs="Arial"/>
                <w:sz w:val="20"/>
                <w:szCs w:val="20"/>
                <w:lang w:val="en-GB"/>
              </w:rPr>
            </w:pPr>
            <w:r w:rsidRPr="0023422D">
              <w:rPr>
                <w:rFonts w:cs="Arial"/>
                <w:sz w:val="20"/>
                <w:szCs w:val="20"/>
                <w:lang w:val="en-GB"/>
              </w:rPr>
              <w:t>Total CO</w:t>
            </w:r>
            <w:r w:rsidRPr="0023422D">
              <w:rPr>
                <w:rFonts w:ascii="Cambria Math" w:hAnsi="Cambria Math" w:cs="Cambria Math"/>
                <w:sz w:val="20"/>
                <w:szCs w:val="20"/>
                <w:lang w:val="en-GB"/>
              </w:rPr>
              <w:t>₂</w:t>
            </w:r>
            <w:r w:rsidRPr="0023422D">
              <w:rPr>
                <w:rFonts w:cs="Arial"/>
                <w:sz w:val="20"/>
                <w:szCs w:val="20"/>
                <w:lang w:val="en-GB"/>
              </w:rPr>
              <w:t xml:space="preserve"> emissions</w:t>
            </w:r>
          </w:p>
        </w:tc>
        <w:tc>
          <w:tcPr>
            <w:tcW w:w="0" w:type="auto"/>
            <w:vAlign w:val="center"/>
            <w:hideMark/>
          </w:tcPr>
          <w:p w14:paraId="75A8E1E2" w14:textId="77777777" w:rsidR="0023422D" w:rsidRPr="0023422D" w:rsidRDefault="0023422D" w:rsidP="0023422D">
            <w:pPr>
              <w:jc w:val="center"/>
              <w:rPr>
                <w:rFonts w:cs="Arial"/>
                <w:sz w:val="20"/>
                <w:szCs w:val="20"/>
                <w:lang w:val="en-GB"/>
              </w:rPr>
            </w:pPr>
            <w:r w:rsidRPr="0023422D">
              <w:rPr>
                <w:rFonts w:cs="Arial"/>
                <w:sz w:val="20"/>
                <w:szCs w:val="20"/>
                <w:lang w:val="en-GB"/>
              </w:rPr>
              <w:t>Metric tons</w:t>
            </w:r>
          </w:p>
        </w:tc>
        <w:tc>
          <w:tcPr>
            <w:tcW w:w="0" w:type="auto"/>
            <w:vAlign w:val="center"/>
            <w:hideMark/>
          </w:tcPr>
          <w:p w14:paraId="6AEE9083" w14:textId="77777777" w:rsidR="0023422D" w:rsidRPr="0023422D" w:rsidRDefault="0023422D" w:rsidP="0023422D">
            <w:pPr>
              <w:jc w:val="center"/>
              <w:rPr>
                <w:rFonts w:cs="Arial"/>
                <w:sz w:val="20"/>
                <w:szCs w:val="20"/>
                <w:lang w:val="en-GB"/>
              </w:rPr>
            </w:pPr>
            <w:r w:rsidRPr="0023422D">
              <w:rPr>
                <w:rFonts w:cs="Arial"/>
                <w:sz w:val="20"/>
                <w:szCs w:val="20"/>
                <w:lang w:val="en-GB"/>
              </w:rPr>
              <w:t>Carbon negative by 2030</w:t>
            </w:r>
          </w:p>
        </w:tc>
      </w:tr>
      <w:tr w:rsidR="0023422D" w:rsidRPr="0023422D" w14:paraId="663096E5" w14:textId="77777777" w:rsidTr="0023422D">
        <w:trPr>
          <w:tblCellSpacing w:w="15" w:type="dxa"/>
        </w:trPr>
        <w:tc>
          <w:tcPr>
            <w:tcW w:w="0" w:type="auto"/>
            <w:vAlign w:val="center"/>
            <w:hideMark/>
          </w:tcPr>
          <w:p w14:paraId="516E62CE" w14:textId="77777777" w:rsidR="0023422D" w:rsidRPr="0023422D" w:rsidRDefault="0023422D" w:rsidP="0023422D">
            <w:pPr>
              <w:jc w:val="center"/>
              <w:rPr>
                <w:rFonts w:cs="Arial"/>
                <w:sz w:val="20"/>
                <w:szCs w:val="20"/>
                <w:lang w:val="en-GB"/>
              </w:rPr>
            </w:pPr>
            <w:r w:rsidRPr="0023422D">
              <w:rPr>
                <w:rFonts w:cs="Arial"/>
                <w:sz w:val="20"/>
                <w:szCs w:val="20"/>
                <w:lang w:val="en-GB"/>
              </w:rPr>
              <w:t>Renewable Energy</w:t>
            </w:r>
          </w:p>
        </w:tc>
        <w:tc>
          <w:tcPr>
            <w:tcW w:w="0" w:type="auto"/>
            <w:vAlign w:val="center"/>
            <w:hideMark/>
          </w:tcPr>
          <w:p w14:paraId="12D160B1" w14:textId="77777777" w:rsidR="0023422D" w:rsidRPr="0023422D" w:rsidRDefault="0023422D" w:rsidP="0023422D">
            <w:pPr>
              <w:jc w:val="center"/>
              <w:rPr>
                <w:rFonts w:cs="Arial"/>
                <w:sz w:val="20"/>
                <w:szCs w:val="20"/>
                <w:lang w:val="en-GB"/>
              </w:rPr>
            </w:pPr>
            <w:r w:rsidRPr="0023422D">
              <w:rPr>
                <w:rFonts w:cs="Arial"/>
                <w:sz w:val="20"/>
                <w:szCs w:val="20"/>
                <w:lang w:val="en-GB"/>
              </w:rPr>
              <w:t>% Renewable energy use</w:t>
            </w:r>
          </w:p>
        </w:tc>
        <w:tc>
          <w:tcPr>
            <w:tcW w:w="0" w:type="auto"/>
            <w:vAlign w:val="center"/>
            <w:hideMark/>
          </w:tcPr>
          <w:p w14:paraId="05771057" w14:textId="77777777" w:rsidR="0023422D" w:rsidRPr="0023422D" w:rsidRDefault="0023422D" w:rsidP="0023422D">
            <w:pPr>
              <w:jc w:val="center"/>
              <w:rPr>
                <w:rFonts w:cs="Arial"/>
                <w:sz w:val="20"/>
                <w:szCs w:val="20"/>
                <w:lang w:val="en-GB"/>
              </w:rPr>
            </w:pPr>
            <w:r w:rsidRPr="0023422D">
              <w:rPr>
                <w:rFonts w:cs="Arial"/>
                <w:sz w:val="20"/>
                <w:szCs w:val="20"/>
                <w:lang w:val="en-GB"/>
              </w:rPr>
              <w:t>%</w:t>
            </w:r>
          </w:p>
        </w:tc>
        <w:tc>
          <w:tcPr>
            <w:tcW w:w="0" w:type="auto"/>
            <w:vAlign w:val="center"/>
            <w:hideMark/>
          </w:tcPr>
          <w:p w14:paraId="43BA8943" w14:textId="77777777" w:rsidR="0023422D" w:rsidRPr="0023422D" w:rsidRDefault="0023422D" w:rsidP="0023422D">
            <w:pPr>
              <w:jc w:val="center"/>
              <w:rPr>
                <w:rFonts w:cs="Arial"/>
                <w:sz w:val="20"/>
                <w:szCs w:val="20"/>
                <w:lang w:val="en-GB"/>
              </w:rPr>
            </w:pPr>
            <w:r w:rsidRPr="0023422D">
              <w:rPr>
                <w:rFonts w:cs="Arial"/>
                <w:sz w:val="20"/>
                <w:szCs w:val="20"/>
                <w:lang w:val="en-GB"/>
              </w:rPr>
              <w:t>100% renewable electricity</w:t>
            </w:r>
          </w:p>
        </w:tc>
      </w:tr>
      <w:tr w:rsidR="0023422D" w:rsidRPr="0023422D" w14:paraId="4CB91850" w14:textId="77777777" w:rsidTr="0023422D">
        <w:trPr>
          <w:tblCellSpacing w:w="15" w:type="dxa"/>
        </w:trPr>
        <w:tc>
          <w:tcPr>
            <w:tcW w:w="0" w:type="auto"/>
            <w:vAlign w:val="center"/>
            <w:hideMark/>
          </w:tcPr>
          <w:p w14:paraId="7119BAF0" w14:textId="77777777" w:rsidR="0023422D" w:rsidRPr="0023422D" w:rsidRDefault="0023422D" w:rsidP="0023422D">
            <w:pPr>
              <w:jc w:val="center"/>
              <w:rPr>
                <w:rFonts w:cs="Arial"/>
                <w:sz w:val="20"/>
                <w:szCs w:val="20"/>
                <w:lang w:val="en-GB"/>
              </w:rPr>
            </w:pPr>
            <w:r w:rsidRPr="0023422D">
              <w:rPr>
                <w:rFonts w:cs="Arial"/>
                <w:sz w:val="20"/>
                <w:szCs w:val="20"/>
                <w:lang w:val="en-GB"/>
              </w:rPr>
              <w:t>Energy Efficiency</w:t>
            </w:r>
          </w:p>
        </w:tc>
        <w:tc>
          <w:tcPr>
            <w:tcW w:w="0" w:type="auto"/>
            <w:vAlign w:val="center"/>
            <w:hideMark/>
          </w:tcPr>
          <w:p w14:paraId="03256AAC" w14:textId="77777777" w:rsidR="0023422D" w:rsidRPr="0023422D" w:rsidRDefault="0023422D" w:rsidP="0023422D">
            <w:pPr>
              <w:jc w:val="center"/>
              <w:rPr>
                <w:rFonts w:cs="Arial"/>
                <w:sz w:val="20"/>
                <w:szCs w:val="20"/>
                <w:lang w:val="en-GB"/>
              </w:rPr>
            </w:pPr>
            <w:r w:rsidRPr="0023422D">
              <w:rPr>
                <w:rFonts w:cs="Arial"/>
                <w:sz w:val="20"/>
                <w:szCs w:val="20"/>
                <w:lang w:val="en-GB"/>
              </w:rPr>
              <w:t>Data centre PUE</w:t>
            </w:r>
          </w:p>
        </w:tc>
        <w:tc>
          <w:tcPr>
            <w:tcW w:w="0" w:type="auto"/>
            <w:vAlign w:val="center"/>
            <w:hideMark/>
          </w:tcPr>
          <w:p w14:paraId="4D7A0819" w14:textId="77777777" w:rsidR="0023422D" w:rsidRPr="0023422D" w:rsidRDefault="0023422D" w:rsidP="0023422D">
            <w:pPr>
              <w:jc w:val="center"/>
              <w:rPr>
                <w:rFonts w:cs="Arial"/>
                <w:sz w:val="20"/>
                <w:szCs w:val="20"/>
                <w:lang w:val="en-GB"/>
              </w:rPr>
            </w:pPr>
            <w:r w:rsidRPr="0023422D">
              <w:rPr>
                <w:rFonts w:cs="Arial"/>
                <w:sz w:val="20"/>
                <w:szCs w:val="20"/>
                <w:lang w:val="en-GB"/>
              </w:rPr>
              <w:t>Ratio</w:t>
            </w:r>
          </w:p>
        </w:tc>
        <w:tc>
          <w:tcPr>
            <w:tcW w:w="0" w:type="auto"/>
            <w:vAlign w:val="center"/>
            <w:hideMark/>
          </w:tcPr>
          <w:p w14:paraId="5D958917" w14:textId="77777777" w:rsidR="0023422D" w:rsidRPr="0023422D" w:rsidRDefault="0023422D" w:rsidP="0023422D">
            <w:pPr>
              <w:jc w:val="center"/>
              <w:rPr>
                <w:rFonts w:cs="Arial"/>
                <w:sz w:val="20"/>
                <w:szCs w:val="20"/>
                <w:lang w:val="en-GB"/>
              </w:rPr>
            </w:pPr>
            <w:r w:rsidRPr="0023422D">
              <w:rPr>
                <w:rFonts w:cs="Arial"/>
                <w:sz w:val="20"/>
                <w:szCs w:val="20"/>
                <w:lang w:val="en-GB"/>
              </w:rPr>
              <w:t>&lt; 1.2</w:t>
            </w:r>
          </w:p>
        </w:tc>
      </w:tr>
      <w:tr w:rsidR="0023422D" w:rsidRPr="0023422D" w14:paraId="0D434C48" w14:textId="77777777" w:rsidTr="0023422D">
        <w:trPr>
          <w:tblCellSpacing w:w="15" w:type="dxa"/>
        </w:trPr>
        <w:tc>
          <w:tcPr>
            <w:tcW w:w="0" w:type="auto"/>
            <w:vAlign w:val="center"/>
            <w:hideMark/>
          </w:tcPr>
          <w:p w14:paraId="73E6908C" w14:textId="77777777" w:rsidR="0023422D" w:rsidRPr="0023422D" w:rsidRDefault="0023422D" w:rsidP="0023422D">
            <w:pPr>
              <w:jc w:val="center"/>
              <w:rPr>
                <w:rFonts w:cs="Arial"/>
                <w:sz w:val="20"/>
                <w:szCs w:val="20"/>
                <w:lang w:val="en-GB"/>
              </w:rPr>
            </w:pPr>
            <w:r w:rsidRPr="0023422D">
              <w:rPr>
                <w:rFonts w:cs="Arial"/>
                <w:sz w:val="20"/>
                <w:szCs w:val="20"/>
                <w:lang w:val="en-GB"/>
              </w:rPr>
              <w:t>Water Stewardship</w:t>
            </w:r>
          </w:p>
        </w:tc>
        <w:tc>
          <w:tcPr>
            <w:tcW w:w="0" w:type="auto"/>
            <w:vAlign w:val="center"/>
            <w:hideMark/>
          </w:tcPr>
          <w:p w14:paraId="6F4442BE" w14:textId="77777777" w:rsidR="0023422D" w:rsidRPr="0023422D" w:rsidRDefault="0023422D" w:rsidP="0023422D">
            <w:pPr>
              <w:jc w:val="center"/>
              <w:rPr>
                <w:rFonts w:cs="Arial"/>
                <w:sz w:val="20"/>
                <w:szCs w:val="20"/>
                <w:lang w:val="en-GB"/>
              </w:rPr>
            </w:pPr>
            <w:r w:rsidRPr="0023422D">
              <w:rPr>
                <w:rFonts w:cs="Arial"/>
                <w:sz w:val="20"/>
                <w:szCs w:val="20"/>
                <w:lang w:val="en-GB"/>
              </w:rPr>
              <w:t>Water usage</w:t>
            </w:r>
          </w:p>
        </w:tc>
        <w:tc>
          <w:tcPr>
            <w:tcW w:w="0" w:type="auto"/>
            <w:vAlign w:val="center"/>
            <w:hideMark/>
          </w:tcPr>
          <w:p w14:paraId="28C164D7" w14:textId="77777777" w:rsidR="0023422D" w:rsidRPr="0023422D" w:rsidRDefault="0023422D" w:rsidP="0023422D">
            <w:pPr>
              <w:jc w:val="center"/>
              <w:rPr>
                <w:rFonts w:cs="Arial"/>
                <w:sz w:val="20"/>
                <w:szCs w:val="20"/>
                <w:lang w:val="en-GB"/>
              </w:rPr>
            </w:pPr>
            <w:r w:rsidRPr="0023422D">
              <w:rPr>
                <w:rFonts w:cs="Arial"/>
                <w:sz w:val="20"/>
                <w:szCs w:val="20"/>
                <w:lang w:val="en-GB"/>
              </w:rPr>
              <w:t>Litres per MWh</w:t>
            </w:r>
          </w:p>
        </w:tc>
        <w:tc>
          <w:tcPr>
            <w:tcW w:w="0" w:type="auto"/>
            <w:vAlign w:val="center"/>
            <w:hideMark/>
          </w:tcPr>
          <w:p w14:paraId="1E4662A6" w14:textId="77777777" w:rsidR="0023422D" w:rsidRPr="0023422D" w:rsidRDefault="0023422D" w:rsidP="0023422D">
            <w:pPr>
              <w:jc w:val="center"/>
              <w:rPr>
                <w:rFonts w:cs="Arial"/>
                <w:sz w:val="20"/>
                <w:szCs w:val="20"/>
                <w:lang w:val="en-GB"/>
              </w:rPr>
            </w:pPr>
            <w:r w:rsidRPr="0023422D">
              <w:rPr>
                <w:rFonts w:cs="Arial"/>
                <w:sz w:val="20"/>
                <w:szCs w:val="20"/>
                <w:lang w:val="en-GB"/>
              </w:rPr>
              <w:t>Reduce by 30%</w:t>
            </w:r>
          </w:p>
        </w:tc>
      </w:tr>
      <w:tr w:rsidR="0023422D" w:rsidRPr="0023422D" w14:paraId="7AB0963B" w14:textId="77777777" w:rsidTr="0023422D">
        <w:trPr>
          <w:tblCellSpacing w:w="15" w:type="dxa"/>
        </w:trPr>
        <w:tc>
          <w:tcPr>
            <w:tcW w:w="0" w:type="auto"/>
            <w:vAlign w:val="center"/>
            <w:hideMark/>
          </w:tcPr>
          <w:p w14:paraId="69D20EB1" w14:textId="77777777" w:rsidR="0023422D" w:rsidRPr="0023422D" w:rsidRDefault="0023422D" w:rsidP="0023422D">
            <w:pPr>
              <w:jc w:val="center"/>
              <w:rPr>
                <w:rFonts w:cs="Arial"/>
                <w:sz w:val="20"/>
                <w:szCs w:val="20"/>
                <w:lang w:val="en-GB"/>
              </w:rPr>
            </w:pPr>
            <w:r w:rsidRPr="0023422D">
              <w:rPr>
                <w:rFonts w:cs="Arial"/>
                <w:sz w:val="20"/>
                <w:szCs w:val="20"/>
                <w:lang w:val="en-GB"/>
              </w:rPr>
              <w:t>Waste Reduction</w:t>
            </w:r>
          </w:p>
        </w:tc>
        <w:tc>
          <w:tcPr>
            <w:tcW w:w="0" w:type="auto"/>
            <w:vAlign w:val="center"/>
            <w:hideMark/>
          </w:tcPr>
          <w:p w14:paraId="3A8A8068" w14:textId="77777777" w:rsidR="0023422D" w:rsidRPr="0023422D" w:rsidRDefault="0023422D" w:rsidP="0023422D">
            <w:pPr>
              <w:jc w:val="center"/>
              <w:rPr>
                <w:rFonts w:cs="Arial"/>
                <w:sz w:val="20"/>
                <w:szCs w:val="20"/>
                <w:lang w:val="en-GB"/>
              </w:rPr>
            </w:pPr>
            <w:r w:rsidRPr="0023422D">
              <w:rPr>
                <w:rFonts w:cs="Arial"/>
                <w:sz w:val="20"/>
                <w:szCs w:val="20"/>
                <w:lang w:val="en-GB"/>
              </w:rPr>
              <w:t>% recycled hardware</w:t>
            </w:r>
          </w:p>
        </w:tc>
        <w:tc>
          <w:tcPr>
            <w:tcW w:w="0" w:type="auto"/>
            <w:vAlign w:val="center"/>
            <w:hideMark/>
          </w:tcPr>
          <w:p w14:paraId="6E6CE308" w14:textId="77777777" w:rsidR="0023422D" w:rsidRPr="0023422D" w:rsidRDefault="0023422D" w:rsidP="0023422D">
            <w:pPr>
              <w:jc w:val="center"/>
              <w:rPr>
                <w:rFonts w:cs="Arial"/>
                <w:sz w:val="20"/>
                <w:szCs w:val="20"/>
                <w:lang w:val="en-GB"/>
              </w:rPr>
            </w:pPr>
            <w:r w:rsidRPr="0023422D">
              <w:rPr>
                <w:rFonts w:cs="Arial"/>
                <w:sz w:val="20"/>
                <w:szCs w:val="20"/>
                <w:lang w:val="en-GB"/>
              </w:rPr>
              <w:t>%</w:t>
            </w:r>
          </w:p>
        </w:tc>
        <w:tc>
          <w:tcPr>
            <w:tcW w:w="0" w:type="auto"/>
            <w:vAlign w:val="center"/>
            <w:hideMark/>
          </w:tcPr>
          <w:p w14:paraId="624E8E29" w14:textId="77777777" w:rsidR="0023422D" w:rsidRPr="0023422D" w:rsidRDefault="0023422D" w:rsidP="0023422D">
            <w:pPr>
              <w:jc w:val="center"/>
              <w:rPr>
                <w:rFonts w:cs="Arial"/>
                <w:sz w:val="20"/>
                <w:szCs w:val="20"/>
                <w:lang w:val="en-GB"/>
              </w:rPr>
            </w:pPr>
            <w:r w:rsidRPr="0023422D">
              <w:rPr>
                <w:rFonts w:cs="Arial"/>
                <w:sz w:val="20"/>
                <w:szCs w:val="20"/>
                <w:lang w:val="en-GB"/>
              </w:rPr>
              <w:t>90% reuse</w:t>
            </w:r>
          </w:p>
        </w:tc>
      </w:tr>
      <w:tr w:rsidR="0023422D" w:rsidRPr="0023422D" w14:paraId="226D9197" w14:textId="77777777" w:rsidTr="0023422D">
        <w:trPr>
          <w:tblCellSpacing w:w="15" w:type="dxa"/>
        </w:trPr>
        <w:tc>
          <w:tcPr>
            <w:tcW w:w="0" w:type="auto"/>
            <w:vAlign w:val="center"/>
            <w:hideMark/>
          </w:tcPr>
          <w:p w14:paraId="63803F61" w14:textId="77777777" w:rsidR="0023422D" w:rsidRPr="0023422D" w:rsidRDefault="0023422D" w:rsidP="0023422D">
            <w:pPr>
              <w:jc w:val="center"/>
              <w:rPr>
                <w:rFonts w:cs="Arial"/>
                <w:sz w:val="20"/>
                <w:szCs w:val="20"/>
                <w:lang w:val="en-GB"/>
              </w:rPr>
            </w:pPr>
            <w:r w:rsidRPr="0023422D">
              <w:rPr>
                <w:rFonts w:cs="Arial"/>
                <w:sz w:val="20"/>
                <w:szCs w:val="20"/>
                <w:lang w:val="en-GB"/>
              </w:rPr>
              <w:t>Sustainable Procurement</w:t>
            </w:r>
          </w:p>
        </w:tc>
        <w:tc>
          <w:tcPr>
            <w:tcW w:w="0" w:type="auto"/>
            <w:vAlign w:val="center"/>
            <w:hideMark/>
          </w:tcPr>
          <w:p w14:paraId="4A0C6672" w14:textId="77777777" w:rsidR="0023422D" w:rsidRPr="0023422D" w:rsidRDefault="0023422D" w:rsidP="0023422D">
            <w:pPr>
              <w:jc w:val="center"/>
              <w:rPr>
                <w:rFonts w:cs="Arial"/>
                <w:sz w:val="20"/>
                <w:szCs w:val="20"/>
                <w:lang w:val="en-GB"/>
              </w:rPr>
            </w:pPr>
            <w:r w:rsidRPr="0023422D">
              <w:rPr>
                <w:rFonts w:cs="Arial"/>
                <w:sz w:val="20"/>
                <w:szCs w:val="20"/>
                <w:lang w:val="en-GB"/>
              </w:rPr>
              <w:t>ESG-compliant suppliers</w:t>
            </w:r>
          </w:p>
        </w:tc>
        <w:tc>
          <w:tcPr>
            <w:tcW w:w="0" w:type="auto"/>
            <w:vAlign w:val="center"/>
            <w:hideMark/>
          </w:tcPr>
          <w:p w14:paraId="58C30711" w14:textId="77777777" w:rsidR="0023422D" w:rsidRPr="0023422D" w:rsidRDefault="0023422D" w:rsidP="0023422D">
            <w:pPr>
              <w:jc w:val="center"/>
              <w:rPr>
                <w:rFonts w:cs="Arial"/>
                <w:sz w:val="20"/>
                <w:szCs w:val="20"/>
                <w:lang w:val="en-GB"/>
              </w:rPr>
            </w:pPr>
            <w:r w:rsidRPr="0023422D">
              <w:rPr>
                <w:rFonts w:cs="Arial"/>
                <w:sz w:val="20"/>
                <w:szCs w:val="20"/>
                <w:lang w:val="en-GB"/>
              </w:rPr>
              <w:t>%</w:t>
            </w:r>
          </w:p>
        </w:tc>
        <w:tc>
          <w:tcPr>
            <w:tcW w:w="0" w:type="auto"/>
            <w:vAlign w:val="center"/>
            <w:hideMark/>
          </w:tcPr>
          <w:p w14:paraId="4CF30758" w14:textId="77777777" w:rsidR="0023422D" w:rsidRPr="0023422D" w:rsidRDefault="0023422D" w:rsidP="0023422D">
            <w:pPr>
              <w:jc w:val="center"/>
              <w:rPr>
                <w:rFonts w:cs="Arial"/>
                <w:sz w:val="20"/>
                <w:szCs w:val="20"/>
                <w:lang w:val="en-GB"/>
              </w:rPr>
            </w:pPr>
            <w:r w:rsidRPr="0023422D">
              <w:rPr>
                <w:rFonts w:cs="Arial"/>
                <w:sz w:val="20"/>
                <w:szCs w:val="20"/>
                <w:lang w:val="en-GB"/>
              </w:rPr>
              <w:t>95%</w:t>
            </w:r>
          </w:p>
        </w:tc>
      </w:tr>
    </w:tbl>
    <w:p w14:paraId="6077006E" w14:textId="735642D5" w:rsidR="0023422D" w:rsidRDefault="0023422D" w:rsidP="0023422D">
      <w:pPr>
        <w:rPr>
          <w:sz w:val="20"/>
          <w:szCs w:val="20"/>
          <w:lang w:val="en-GB"/>
        </w:rPr>
      </w:pPr>
    </w:p>
    <w:p w14:paraId="740CE22C" w14:textId="4E1C3DBA" w:rsidR="003F715E" w:rsidRPr="001D181F" w:rsidRDefault="003F715E" w:rsidP="003F715E">
      <w:pPr>
        <w:pStyle w:val="Heading2"/>
      </w:pPr>
      <w:bookmarkStart w:id="7" w:name="_Toc225524118"/>
      <w:r>
        <w:t xml:space="preserve">Table 2: </w:t>
      </w:r>
      <w:r w:rsidRPr="001D181F">
        <w:t>Sustainability KPI Framework for Microsoft</w:t>
      </w:r>
      <w:r>
        <w:t xml:space="preserve"> - </w:t>
      </w:r>
      <w:r w:rsidRPr="001D181F">
        <w:t>Source: Adapted from Microsoft ESG Strategy, 2025</w:t>
      </w:r>
      <w:bookmarkEnd w:id="7"/>
    </w:p>
    <w:p w14:paraId="11513938" w14:textId="77777777" w:rsidR="003F715E" w:rsidRPr="0023422D" w:rsidRDefault="003F715E" w:rsidP="0023422D">
      <w:pPr>
        <w:rPr>
          <w:sz w:val="20"/>
          <w:szCs w:val="20"/>
          <w:lang w:val="en-GB"/>
        </w:rPr>
      </w:pPr>
    </w:p>
    <w:p w14:paraId="0A2B21C4" w14:textId="3E350DB9" w:rsidR="00F04ECF" w:rsidRDefault="0023422D" w:rsidP="00F04ECF">
      <w:pPr>
        <w:rPr>
          <w:lang w:val="en-GB"/>
        </w:rPr>
      </w:pPr>
      <w:r w:rsidRPr="0023422D">
        <w:rPr>
          <w:lang w:val="en-GB"/>
        </w:rPr>
        <w:lastRenderedPageBreak/>
        <w:t>While such frameworks improve accountability and align with the Balanced Scorecard approach (Kaplan and Norton, 1996), their effectiveness depends on data reliability and may encourage short-term target optimisation. Overall, although Microsoft demonstrates strong sustainability ambitions, these remain only partially integrated into management accounting, limiting their strategic impact.</w:t>
      </w:r>
    </w:p>
    <w:p w14:paraId="15417691" w14:textId="5F0F4824" w:rsidR="009D18E1" w:rsidRPr="009D18E1" w:rsidRDefault="009D18E1" w:rsidP="009D18E1">
      <w:pPr>
        <w:pStyle w:val="Heading1"/>
      </w:pPr>
      <w:bookmarkStart w:id="8" w:name="_Toc225524119"/>
      <w:r>
        <w:t xml:space="preserve">6. </w:t>
      </w:r>
      <w:r w:rsidRPr="009D18E1">
        <w:t>Conclusion and Recommendations</w:t>
      </w:r>
      <w:bookmarkEnd w:id="8"/>
    </w:p>
    <w:p w14:paraId="2BB4A93B" w14:textId="2AA1F75F" w:rsidR="0023422D" w:rsidRPr="0023422D" w:rsidRDefault="0023422D" w:rsidP="0023422D">
      <w:r w:rsidRPr="0023422D">
        <w:t xml:space="preserve">In conclusion, Microsoft demonstrates a highly developed application of management accounting to support strategic decision-making </w:t>
      </w:r>
      <w:r>
        <w:t>in a complex,</w:t>
      </w:r>
      <w:r w:rsidRPr="0023422D">
        <w:t xml:space="preserve"> capital-intensive technological environment. The analysis shows that tools such as cost-volume-profit (CVP) analysis, activity-based costing (ABC), budgeting, and performance measurement frameworks play a central role in managing large-scale investment and supporting long-term growth. However, their effectiveness is increasingly constrained by the limitations of traditional accounting approaches in addressing uncertainty, intangible value creation, and sustainability challenges.</w:t>
      </w:r>
    </w:p>
    <w:p w14:paraId="4CCD1393" w14:textId="77777777" w:rsidR="0023422D" w:rsidRPr="0023422D" w:rsidRDefault="0023422D" w:rsidP="0023422D">
      <w:r w:rsidRPr="0023422D">
        <w:t xml:space="preserve">Across all areas, a consistent tension emerges between short-term financial control and long-term strategic objectives. </w:t>
      </w:r>
      <w:proofErr w:type="gramStart"/>
      <w:r w:rsidRPr="0023422D">
        <w:t>In particular, forecasting</w:t>
      </w:r>
      <w:proofErr w:type="gramEnd"/>
      <w:r w:rsidRPr="0023422D">
        <w:t xml:space="preserve"> limitations reduce the reliability of budgeting techniques, performance measurement systems struggle to capture innovation and non-financial value, and sustainability initiatives remain only partially integrated into decision-making processes. This suggests that while management accounting has evolved into a strategic capability, it has not fully adapted to the demands of a rapidly changing technological landscape.</w:t>
      </w:r>
    </w:p>
    <w:p w14:paraId="7274D1C1" w14:textId="77777777" w:rsidR="0023422D" w:rsidRPr="0023422D" w:rsidRDefault="0023422D" w:rsidP="0023422D">
      <w:r w:rsidRPr="0023422D">
        <w:t>Therefore, Microsoft should further develop its management accounting systems by incorporating predictive analytics, improving the measurement of intangible and ESG-related value, and adopting more forward-looking performance frameworks. This would enhance decision-making and ensure alignment between financial performance and sustainable long-term growth.</w:t>
      </w:r>
    </w:p>
    <w:p w14:paraId="21FC0DDC" w14:textId="18BF0A7B" w:rsidR="00837232" w:rsidRPr="009D18E1" w:rsidRDefault="00837232" w:rsidP="009D18E1">
      <w:pPr>
        <w:pStyle w:val="Heading1"/>
      </w:pPr>
      <w:bookmarkStart w:id="9" w:name="_Toc225524120"/>
      <w:r w:rsidRPr="00837232">
        <w:t>References</w:t>
      </w:r>
      <w:bookmarkEnd w:id="9"/>
      <w:r w:rsidRPr="00837232">
        <w:t xml:space="preserve"> </w:t>
      </w:r>
    </w:p>
    <w:p w14:paraId="54090C93" w14:textId="77777777" w:rsidR="009D18E1" w:rsidRPr="009D18E1" w:rsidRDefault="009D18E1" w:rsidP="009D18E1">
      <w:pPr>
        <w:ind w:left="720" w:hanging="720"/>
        <w:rPr>
          <w:lang w:val="en-GB"/>
        </w:rPr>
      </w:pPr>
      <w:r w:rsidRPr="009D18E1">
        <w:rPr>
          <w:lang w:val="en-GB"/>
        </w:rPr>
        <w:t xml:space="preserve">Amazon (2024) </w:t>
      </w:r>
      <w:r w:rsidRPr="009D18E1">
        <w:rPr>
          <w:i/>
          <w:iCs/>
          <w:lang w:val="en-GB"/>
        </w:rPr>
        <w:t>Annual Report 2024</w:t>
      </w:r>
      <w:r w:rsidRPr="009D18E1">
        <w:rPr>
          <w:lang w:val="en-GB"/>
        </w:rPr>
        <w:t xml:space="preserve">. Available at: </w:t>
      </w:r>
      <w:hyperlink r:id="rId9" w:tgtFrame="_new" w:history="1">
        <w:r w:rsidRPr="009D18E1">
          <w:rPr>
            <w:rStyle w:val="Hyperlink"/>
            <w:lang w:val="en-GB"/>
          </w:rPr>
          <w:t>https://www.amazon.com</w:t>
        </w:r>
      </w:hyperlink>
      <w:r w:rsidRPr="009D18E1">
        <w:rPr>
          <w:lang w:val="en-GB"/>
        </w:rPr>
        <w:t xml:space="preserve"> (Accessed: 11 February 2026).</w:t>
      </w:r>
    </w:p>
    <w:p w14:paraId="7A3458F6" w14:textId="77777777" w:rsidR="009D18E1" w:rsidRPr="009D18E1" w:rsidRDefault="009D18E1" w:rsidP="009D18E1">
      <w:pPr>
        <w:ind w:left="720" w:hanging="720"/>
        <w:rPr>
          <w:lang w:val="en-GB"/>
        </w:rPr>
      </w:pPr>
      <w:r w:rsidRPr="009D18E1">
        <w:rPr>
          <w:lang w:val="en-GB"/>
        </w:rPr>
        <w:t xml:space="preserve">Arnold, G.C. and Artz, M. (2019) ‘The use of management accounting systems in decision-making’, </w:t>
      </w:r>
      <w:r w:rsidRPr="009D18E1">
        <w:rPr>
          <w:i/>
          <w:iCs/>
          <w:lang w:val="en-GB"/>
        </w:rPr>
        <w:t xml:space="preserve">Accounting, </w:t>
      </w:r>
      <w:r>
        <w:rPr>
          <w:i/>
          <w:iCs/>
          <w:lang w:val="en-GB"/>
        </w:rPr>
        <w:t>Organisations</w:t>
      </w:r>
      <w:r w:rsidRPr="009D18E1">
        <w:rPr>
          <w:i/>
          <w:iCs/>
          <w:lang w:val="en-GB"/>
        </w:rPr>
        <w:t xml:space="preserve"> and Society</w:t>
      </w:r>
      <w:r w:rsidRPr="009D18E1">
        <w:rPr>
          <w:lang w:val="en-GB"/>
        </w:rPr>
        <w:t>, 74, pp. 1–13.</w:t>
      </w:r>
    </w:p>
    <w:p w14:paraId="4545D558" w14:textId="77777777" w:rsidR="009D18E1" w:rsidRPr="009D18E1" w:rsidRDefault="009D18E1" w:rsidP="009D18E1">
      <w:pPr>
        <w:ind w:left="720" w:hanging="720"/>
        <w:rPr>
          <w:lang w:val="en-GB"/>
        </w:rPr>
      </w:pPr>
      <w:r w:rsidRPr="009D18E1">
        <w:rPr>
          <w:lang w:val="en-GB"/>
        </w:rPr>
        <w:lastRenderedPageBreak/>
        <w:t xml:space="preserve">Atrill, P. and McLaney, E. (2019) </w:t>
      </w:r>
      <w:r w:rsidRPr="009D18E1">
        <w:rPr>
          <w:i/>
          <w:iCs/>
          <w:lang w:val="en-GB"/>
        </w:rPr>
        <w:t>Management Accounting for Decision Makers</w:t>
      </w:r>
      <w:r w:rsidRPr="009D18E1">
        <w:rPr>
          <w:lang w:val="en-GB"/>
        </w:rPr>
        <w:t>. 9th edn. Harlow: Pearson.</w:t>
      </w:r>
    </w:p>
    <w:p w14:paraId="2316741A" w14:textId="26C8BF44" w:rsidR="009D18E1" w:rsidRPr="009D18E1" w:rsidRDefault="009D18E1" w:rsidP="009D18E1">
      <w:pPr>
        <w:ind w:left="720" w:hanging="720"/>
        <w:rPr>
          <w:lang w:val="en-GB"/>
        </w:rPr>
      </w:pPr>
      <w:r w:rsidRPr="009D18E1">
        <w:rPr>
          <w:lang w:val="en-GB"/>
        </w:rPr>
        <w:t xml:space="preserve">Bebbington, J. and Larrinaga, C. (2014) ‘Accounting and sustainable development: An exploration’, </w:t>
      </w:r>
      <w:r w:rsidRPr="009D18E1">
        <w:rPr>
          <w:i/>
          <w:iCs/>
          <w:lang w:val="en-GB"/>
        </w:rPr>
        <w:t xml:space="preserve">Accounting, </w:t>
      </w:r>
      <w:r>
        <w:rPr>
          <w:i/>
          <w:iCs/>
          <w:lang w:val="en-GB"/>
        </w:rPr>
        <w:t>Organisations</w:t>
      </w:r>
      <w:r w:rsidRPr="009D18E1">
        <w:rPr>
          <w:i/>
          <w:iCs/>
          <w:lang w:val="en-GB"/>
        </w:rPr>
        <w:t xml:space="preserve"> and Society</w:t>
      </w:r>
      <w:r w:rsidRPr="009D18E1">
        <w:rPr>
          <w:lang w:val="en-GB"/>
        </w:rPr>
        <w:t>, 39(6), pp. 395–413.</w:t>
      </w:r>
    </w:p>
    <w:p w14:paraId="2F70C8D6" w14:textId="77777777" w:rsidR="009D18E1" w:rsidRPr="009D18E1" w:rsidRDefault="009D18E1" w:rsidP="009D18E1">
      <w:pPr>
        <w:ind w:left="720" w:hanging="720"/>
        <w:rPr>
          <w:lang w:val="en-GB"/>
        </w:rPr>
      </w:pPr>
      <w:r w:rsidRPr="009D18E1">
        <w:rPr>
          <w:lang w:val="en-GB"/>
        </w:rPr>
        <w:t xml:space="preserve">Bhimani, A., Horngren, C., Datar, S. and Rajan, M. (2019) </w:t>
      </w:r>
      <w:r w:rsidRPr="009D18E1">
        <w:rPr>
          <w:i/>
          <w:iCs/>
          <w:lang w:val="en-GB"/>
        </w:rPr>
        <w:t>Management and Cost Accounting</w:t>
      </w:r>
      <w:r w:rsidRPr="009D18E1">
        <w:rPr>
          <w:lang w:val="en-GB"/>
        </w:rPr>
        <w:t>. 7th edn. Harlow: Pearson.</w:t>
      </w:r>
    </w:p>
    <w:p w14:paraId="14D586D9" w14:textId="77777777" w:rsidR="009D18E1" w:rsidRPr="009D18E1" w:rsidRDefault="009D18E1" w:rsidP="009D18E1">
      <w:pPr>
        <w:ind w:left="720" w:hanging="720"/>
        <w:rPr>
          <w:lang w:val="en-GB"/>
        </w:rPr>
      </w:pPr>
      <w:r w:rsidRPr="009D18E1">
        <w:rPr>
          <w:lang w:val="en-GB"/>
        </w:rPr>
        <w:t xml:space="preserve">Drury, C. (2021) </w:t>
      </w:r>
      <w:r w:rsidRPr="009D18E1">
        <w:rPr>
          <w:i/>
          <w:iCs/>
          <w:lang w:val="en-GB"/>
        </w:rPr>
        <w:t>Management and Cost Accounting</w:t>
      </w:r>
      <w:r w:rsidRPr="009D18E1">
        <w:rPr>
          <w:lang w:val="en-GB"/>
        </w:rPr>
        <w:t>. 11th edn. Andover: Cengage Learning.</w:t>
      </w:r>
    </w:p>
    <w:p w14:paraId="5EA2E2C9" w14:textId="77777777" w:rsidR="009D18E1" w:rsidRPr="009D18E1" w:rsidRDefault="009D18E1" w:rsidP="009D18E1">
      <w:pPr>
        <w:ind w:left="720" w:hanging="720"/>
        <w:rPr>
          <w:lang w:val="en-GB"/>
        </w:rPr>
      </w:pPr>
      <w:r w:rsidRPr="009D18E1">
        <w:rPr>
          <w:lang w:val="en-GB"/>
        </w:rPr>
        <w:t xml:space="preserve">Garrison, R., Noreen, E. and Brewer, P. (2021) </w:t>
      </w:r>
      <w:r w:rsidRPr="009D18E1">
        <w:rPr>
          <w:i/>
          <w:iCs/>
          <w:lang w:val="en-GB"/>
        </w:rPr>
        <w:t>Managerial Accounting</w:t>
      </w:r>
      <w:r w:rsidRPr="009D18E1">
        <w:rPr>
          <w:lang w:val="en-GB"/>
        </w:rPr>
        <w:t>. 17th edn. New York: McGraw-Hill.</w:t>
      </w:r>
    </w:p>
    <w:p w14:paraId="29E31C73" w14:textId="77777777" w:rsidR="009D18E1" w:rsidRPr="009D18E1" w:rsidRDefault="009D18E1" w:rsidP="009D18E1">
      <w:pPr>
        <w:ind w:left="720" w:hanging="720"/>
        <w:rPr>
          <w:lang w:val="en-GB"/>
        </w:rPr>
      </w:pPr>
      <w:r w:rsidRPr="009D18E1">
        <w:rPr>
          <w:lang w:val="en-GB"/>
        </w:rPr>
        <w:t xml:space="preserve">Gray, R. (2010) ‘Is accounting for sustainability actually accounting for sustainability… and how would we know?’, </w:t>
      </w:r>
      <w:r w:rsidRPr="009D18E1">
        <w:rPr>
          <w:i/>
          <w:iCs/>
          <w:lang w:val="en-GB"/>
        </w:rPr>
        <w:t>Accounting, Organizations and Society</w:t>
      </w:r>
      <w:r w:rsidRPr="009D18E1">
        <w:rPr>
          <w:lang w:val="en-GB"/>
        </w:rPr>
        <w:t>, 35(1), pp. 47–62.</w:t>
      </w:r>
    </w:p>
    <w:p w14:paraId="5F63B99D" w14:textId="77777777" w:rsidR="009D18E1" w:rsidRPr="009D18E1" w:rsidRDefault="009D18E1" w:rsidP="009D18E1">
      <w:pPr>
        <w:ind w:left="720" w:hanging="720"/>
        <w:rPr>
          <w:lang w:val="en-GB"/>
        </w:rPr>
      </w:pPr>
      <w:r w:rsidRPr="009D18E1">
        <w:rPr>
          <w:lang w:val="en-GB"/>
        </w:rPr>
        <w:t xml:space="preserve">Kaplan, R.S. and Anderson, S.R. (2007) </w:t>
      </w:r>
      <w:r w:rsidRPr="009D18E1">
        <w:rPr>
          <w:i/>
          <w:iCs/>
          <w:lang w:val="en-GB"/>
        </w:rPr>
        <w:t>Time-Driven Activity-Based Costing</w:t>
      </w:r>
      <w:r w:rsidRPr="009D18E1">
        <w:rPr>
          <w:lang w:val="en-GB"/>
        </w:rPr>
        <w:t>. Boston: Harvard Business School Press.</w:t>
      </w:r>
    </w:p>
    <w:p w14:paraId="0FD493DB" w14:textId="77777777" w:rsidR="009D18E1" w:rsidRPr="009D18E1" w:rsidRDefault="009D18E1" w:rsidP="009D18E1">
      <w:pPr>
        <w:ind w:left="720" w:hanging="720"/>
        <w:rPr>
          <w:lang w:val="en-GB"/>
        </w:rPr>
      </w:pPr>
      <w:r w:rsidRPr="009D18E1">
        <w:rPr>
          <w:lang w:val="en-GB"/>
        </w:rPr>
        <w:t xml:space="preserve">Kaplan, R.S. and Norton, D.P. (1996) </w:t>
      </w:r>
      <w:r w:rsidRPr="009D18E1">
        <w:rPr>
          <w:i/>
          <w:iCs/>
          <w:lang w:val="en-GB"/>
        </w:rPr>
        <w:t>The Balanced Scorecard: Translating Strategy into Action</w:t>
      </w:r>
      <w:r w:rsidRPr="009D18E1">
        <w:rPr>
          <w:lang w:val="en-GB"/>
        </w:rPr>
        <w:t>. Boston: Harvard Business School Press.</w:t>
      </w:r>
    </w:p>
    <w:p w14:paraId="6938E789" w14:textId="77777777" w:rsidR="009D18E1" w:rsidRPr="009D18E1" w:rsidRDefault="009D18E1" w:rsidP="009D18E1">
      <w:pPr>
        <w:ind w:left="720" w:hanging="720"/>
        <w:rPr>
          <w:lang w:val="en-GB"/>
        </w:rPr>
      </w:pPr>
      <w:r w:rsidRPr="009D18E1">
        <w:rPr>
          <w:lang w:val="en-GB"/>
        </w:rPr>
        <w:t xml:space="preserve">Kaplan, R.S. and Norton, D.P. (2001) </w:t>
      </w:r>
      <w:r w:rsidRPr="009D18E1">
        <w:rPr>
          <w:i/>
          <w:iCs/>
          <w:lang w:val="en-GB"/>
        </w:rPr>
        <w:t>The Strategy-Focused Organi</w:t>
      </w:r>
      <w:r>
        <w:rPr>
          <w:i/>
          <w:iCs/>
          <w:lang w:val="en-GB"/>
        </w:rPr>
        <w:t>s</w:t>
      </w:r>
      <w:r w:rsidRPr="009D18E1">
        <w:rPr>
          <w:i/>
          <w:iCs/>
          <w:lang w:val="en-GB"/>
        </w:rPr>
        <w:t>ation</w:t>
      </w:r>
      <w:r w:rsidRPr="009D18E1">
        <w:rPr>
          <w:lang w:val="en-GB"/>
        </w:rPr>
        <w:t>. Boston: Harvard Business School Press.</w:t>
      </w:r>
    </w:p>
    <w:p w14:paraId="32FA24A1" w14:textId="0E33EEF6" w:rsidR="009D18E1" w:rsidRDefault="009D18E1" w:rsidP="009D18E1">
      <w:pPr>
        <w:ind w:left="720" w:hanging="720"/>
        <w:rPr>
          <w:lang w:val="en-GB"/>
        </w:rPr>
      </w:pPr>
      <w:r w:rsidRPr="009D18E1">
        <w:rPr>
          <w:lang w:val="en-GB"/>
        </w:rPr>
        <w:t xml:space="preserve">MarketLine (2024) </w:t>
      </w:r>
      <w:r w:rsidRPr="009D18E1">
        <w:rPr>
          <w:i/>
          <w:iCs/>
          <w:lang w:val="en-GB"/>
        </w:rPr>
        <w:t>Amazon.com, Inc. – Company Profile</w:t>
      </w:r>
      <w:r w:rsidRPr="009D18E1">
        <w:rPr>
          <w:lang w:val="en-GB"/>
        </w:rPr>
        <w:t>. Available via MarketLine database</w:t>
      </w:r>
      <w:r w:rsidR="001D181F">
        <w:rPr>
          <w:lang w:val="en-GB"/>
        </w:rPr>
        <w:t xml:space="preserve"> </w:t>
      </w:r>
      <w:r w:rsidR="001D181F" w:rsidRPr="009D18E1">
        <w:rPr>
          <w:lang w:val="en-GB"/>
        </w:rPr>
        <w:t>(Accessed: 11 February 2026).</w:t>
      </w:r>
    </w:p>
    <w:p w14:paraId="55CF4ADC" w14:textId="77777777" w:rsidR="009D18E1" w:rsidRDefault="009D18E1" w:rsidP="001D181F">
      <w:pPr>
        <w:ind w:left="720" w:hanging="720"/>
        <w:rPr>
          <w:lang w:val="en-GB"/>
        </w:rPr>
      </w:pPr>
      <w:r w:rsidRPr="009D18E1">
        <w:rPr>
          <w:lang w:val="en-GB"/>
        </w:rPr>
        <w:t xml:space="preserve">Microsoft (2025) </w:t>
      </w:r>
      <w:r w:rsidRPr="009D18E1">
        <w:rPr>
          <w:i/>
          <w:iCs/>
          <w:lang w:val="en-GB"/>
        </w:rPr>
        <w:t>Annual Report 2025</w:t>
      </w:r>
      <w:r w:rsidRPr="009D18E1">
        <w:rPr>
          <w:lang w:val="en-GB"/>
        </w:rPr>
        <w:t>. Available at:</w:t>
      </w:r>
    </w:p>
    <w:p w14:paraId="35409673" w14:textId="27F05071" w:rsidR="009D18E1" w:rsidRDefault="001D181F" w:rsidP="001D181F">
      <w:pPr>
        <w:ind w:left="720"/>
        <w:rPr>
          <w:lang w:val="en-GB"/>
        </w:rPr>
      </w:pPr>
      <w:hyperlink r:id="rId10" w:history="1">
        <w:r w:rsidRPr="009D18E1">
          <w:rPr>
            <w:rStyle w:val="Hyperlink"/>
            <w:lang w:val="en-GB"/>
          </w:rPr>
          <w:t>https://www.microsoft.com/investor</w:t>
        </w:r>
      </w:hyperlink>
      <w:r w:rsidR="009D18E1" w:rsidRPr="009D18E1">
        <w:rPr>
          <w:lang w:val="en-GB"/>
        </w:rPr>
        <w:t xml:space="preserve"> (Accessed: 11 February 2026).</w:t>
      </w:r>
    </w:p>
    <w:p w14:paraId="0E39139D" w14:textId="001EB634" w:rsidR="009D18E1" w:rsidRPr="009D18E1" w:rsidRDefault="009D18E1" w:rsidP="009D18E1">
      <w:pPr>
        <w:ind w:left="720" w:hanging="720"/>
        <w:rPr>
          <w:lang w:val="en-GB"/>
        </w:rPr>
      </w:pPr>
      <w:r w:rsidRPr="009D18E1">
        <w:rPr>
          <w:lang w:val="en-GB"/>
        </w:rPr>
        <w:t xml:space="preserve">Porter, M.E. (1985) </w:t>
      </w:r>
      <w:r w:rsidRPr="009D18E1">
        <w:rPr>
          <w:i/>
          <w:iCs/>
          <w:lang w:val="en-GB"/>
        </w:rPr>
        <w:t>Competitive Advantage</w:t>
      </w:r>
      <w:r w:rsidRPr="009D18E1">
        <w:rPr>
          <w:lang w:val="en-GB"/>
        </w:rPr>
        <w:t>. New York: Free Press.</w:t>
      </w:r>
    </w:p>
    <w:p w14:paraId="5E80B05A" w14:textId="4B804E9E" w:rsidR="0020105A" w:rsidRDefault="009D18E1" w:rsidP="002F563B">
      <w:pPr>
        <w:ind w:left="720" w:hanging="720"/>
        <w:rPr>
          <w:lang w:val="en-GB"/>
        </w:rPr>
      </w:pPr>
      <w:r w:rsidRPr="009D18E1">
        <w:rPr>
          <w:lang w:val="en-GB"/>
        </w:rPr>
        <w:t xml:space="preserve">Synergy Research Group (2025) </w:t>
      </w:r>
      <w:r w:rsidRPr="009D18E1">
        <w:rPr>
          <w:i/>
          <w:iCs/>
          <w:lang w:val="en-GB"/>
        </w:rPr>
        <w:t>Cloud Market Share Report</w:t>
      </w:r>
      <w:r w:rsidRPr="009D18E1">
        <w:rPr>
          <w:lang w:val="en-GB"/>
        </w:rPr>
        <w:t xml:space="preserve">. Available at: </w:t>
      </w:r>
      <w:hyperlink r:id="rId11" w:tgtFrame="_new" w:history="1">
        <w:r w:rsidRPr="009D18E1">
          <w:rPr>
            <w:rStyle w:val="Hyperlink"/>
            <w:lang w:val="en-GB"/>
          </w:rPr>
          <w:t>https://www.srgresearch.com</w:t>
        </w:r>
      </w:hyperlink>
      <w:r w:rsidRPr="009D18E1">
        <w:rPr>
          <w:lang w:val="en-GB"/>
        </w:rPr>
        <w:t xml:space="preserve"> (Accessed: 11 February 2026).</w:t>
      </w:r>
    </w:p>
    <w:p w14:paraId="0FA0832C" w14:textId="77777777" w:rsidR="000F1ABB" w:rsidRPr="000F1ABB" w:rsidRDefault="000F1ABB" w:rsidP="000F1ABB">
      <w:pPr>
        <w:rPr>
          <w:lang w:val="en-GB"/>
        </w:rPr>
      </w:pPr>
    </w:p>
    <w:p w14:paraId="5361FF1F" w14:textId="77777777" w:rsidR="000F1ABB" w:rsidRPr="000F1ABB" w:rsidRDefault="000F1ABB" w:rsidP="000F1ABB">
      <w:pPr>
        <w:rPr>
          <w:lang w:val="en-GB"/>
        </w:rPr>
      </w:pPr>
    </w:p>
    <w:p w14:paraId="1CB642E5" w14:textId="77777777" w:rsidR="000F1ABB" w:rsidRPr="000F1ABB" w:rsidRDefault="000F1ABB" w:rsidP="000F1ABB">
      <w:pPr>
        <w:rPr>
          <w:lang w:val="en-GB"/>
        </w:rPr>
      </w:pPr>
    </w:p>
    <w:p w14:paraId="56A06B2F" w14:textId="7DC92B9F" w:rsidR="000F1ABB" w:rsidRDefault="000F1ABB" w:rsidP="000F1ABB">
      <w:pPr>
        <w:tabs>
          <w:tab w:val="left" w:pos="5004"/>
        </w:tabs>
        <w:rPr>
          <w:lang w:val="en-GB"/>
        </w:rPr>
      </w:pPr>
    </w:p>
    <w:p w14:paraId="39003C95" w14:textId="77777777" w:rsidR="000F1ABB" w:rsidRDefault="000F1ABB" w:rsidP="004503EC">
      <w:pPr>
        <w:pStyle w:val="Heading1"/>
      </w:pPr>
      <w:bookmarkStart w:id="10" w:name="_Toc225524121"/>
      <w:r w:rsidRPr="000F1ABB">
        <w:lastRenderedPageBreak/>
        <w:t>APPENDICES</w:t>
      </w:r>
      <w:bookmarkEnd w:id="10"/>
    </w:p>
    <w:p w14:paraId="593CAAAC" w14:textId="5AF72A57" w:rsidR="005D37DF" w:rsidRPr="005D37DF" w:rsidRDefault="005D37DF" w:rsidP="005D37DF">
      <w:pPr>
        <w:rPr>
          <w:lang w:val="en-GB"/>
        </w:rPr>
      </w:pPr>
      <w:r w:rsidRPr="005D37DF">
        <w:t>The following appendices provide illustrative financial analysis based on Microsoft’s 2025 financial data to support the evaluation presented in the main body.</w:t>
      </w:r>
    </w:p>
    <w:p w14:paraId="03876FF6" w14:textId="12A758A4" w:rsidR="000F1ABB" w:rsidRPr="004503EC" w:rsidRDefault="000F1ABB" w:rsidP="004503EC">
      <w:pPr>
        <w:pStyle w:val="Heading3"/>
      </w:pPr>
      <w:bookmarkStart w:id="11" w:name="_Toc225524122"/>
      <w:r w:rsidRPr="004503EC">
        <w:t>Appendix 1: Operating Margin Analysis (Microsoft FY2025)</w:t>
      </w:r>
      <w:bookmarkEnd w:id="11"/>
    </w:p>
    <w:p w14:paraId="7DDEE4D0" w14:textId="77777777" w:rsidR="000F1ABB" w:rsidRPr="000F1ABB" w:rsidRDefault="000F1ABB" w:rsidP="000F1ABB">
      <w:pPr>
        <w:tabs>
          <w:tab w:val="left" w:pos="5004"/>
        </w:tabs>
        <w:rPr>
          <w:lang w:val="en-GB"/>
        </w:rPr>
      </w:pPr>
      <w:r w:rsidRPr="000F1ABB">
        <w:rPr>
          <w:lang w:val="en-GB"/>
        </w:rPr>
        <w:t>Data Source: Microsoft Annual Report (2025)</w:t>
      </w:r>
    </w:p>
    <w:p w14:paraId="6AFD0575" w14:textId="77777777" w:rsidR="000F1ABB" w:rsidRPr="000F1ABB" w:rsidRDefault="000F1ABB" w:rsidP="000F1ABB">
      <w:pPr>
        <w:tabs>
          <w:tab w:val="left" w:pos="5004"/>
        </w:tabs>
        <w:rPr>
          <w:lang w:val="en-GB"/>
        </w:rPr>
      </w:pPr>
      <w:r w:rsidRPr="000F1ABB">
        <w:rPr>
          <w:lang w:val="en-GB"/>
        </w:rPr>
        <w:t xml:space="preserve">Revenue = $281.7 billion </w:t>
      </w:r>
    </w:p>
    <w:p w14:paraId="07C74A20" w14:textId="77777777" w:rsidR="000F1ABB" w:rsidRPr="000F1ABB" w:rsidRDefault="000F1ABB" w:rsidP="000F1ABB">
      <w:pPr>
        <w:tabs>
          <w:tab w:val="left" w:pos="5004"/>
        </w:tabs>
        <w:rPr>
          <w:lang w:val="en-GB"/>
        </w:rPr>
      </w:pPr>
      <w:r w:rsidRPr="000F1ABB">
        <w:rPr>
          <w:lang w:val="en-GB"/>
        </w:rPr>
        <w:t xml:space="preserve">Operating Income = $128.5 billion </w:t>
      </w:r>
    </w:p>
    <w:p w14:paraId="03736168" w14:textId="77777777" w:rsidR="000F1ABB" w:rsidRPr="000F1ABB" w:rsidRDefault="000F1ABB" w:rsidP="000F1ABB">
      <w:pPr>
        <w:tabs>
          <w:tab w:val="left" w:pos="5004"/>
        </w:tabs>
        <w:rPr>
          <w:u w:val="single"/>
          <w:lang w:val="en-GB"/>
        </w:rPr>
      </w:pPr>
      <w:r w:rsidRPr="000F1ABB">
        <w:rPr>
          <w:u w:val="single"/>
          <w:lang w:val="en-GB"/>
        </w:rPr>
        <w:t>Calculation</w:t>
      </w:r>
    </w:p>
    <w:p w14:paraId="7C6C7399" w14:textId="77777777" w:rsidR="000F1ABB" w:rsidRPr="000F1ABB" w:rsidRDefault="000F1ABB" w:rsidP="000F1ABB">
      <w:pPr>
        <w:tabs>
          <w:tab w:val="left" w:pos="5004"/>
        </w:tabs>
        <w:rPr>
          <w:lang w:val="en-GB"/>
        </w:rPr>
      </w:pPr>
      <w:r w:rsidRPr="000F1ABB">
        <w:rPr>
          <w:lang w:val="en-GB"/>
        </w:rPr>
        <w:t>Operating Margin = Operating Income ÷ Revenue</w:t>
      </w:r>
    </w:p>
    <w:p w14:paraId="07056A42" w14:textId="543BCFF3" w:rsidR="000F1ABB" w:rsidRDefault="000F1ABB" w:rsidP="000F1ABB">
      <w:pPr>
        <w:tabs>
          <w:tab w:val="left" w:pos="5004"/>
        </w:tabs>
        <w:rPr>
          <w:lang w:val="en-GB"/>
        </w:rPr>
      </w:pPr>
      <w:r w:rsidRPr="000F1ABB">
        <w:rPr>
          <w:lang w:val="en-GB"/>
        </w:rPr>
        <w:t>= 128.5 ÷ 281.7</w:t>
      </w:r>
      <w:r w:rsidR="005D37DF">
        <w:rPr>
          <w:lang w:val="en-GB"/>
        </w:rPr>
        <w:t xml:space="preserve"> </w:t>
      </w:r>
      <w:r w:rsidRPr="000F1ABB">
        <w:rPr>
          <w:lang w:val="en-GB"/>
        </w:rPr>
        <w:t>= 45.6%</w:t>
      </w:r>
    </w:p>
    <w:p w14:paraId="185E4846" w14:textId="77777777" w:rsidR="000F1ABB" w:rsidRPr="000F1ABB" w:rsidRDefault="000F1ABB" w:rsidP="000F1ABB">
      <w:pPr>
        <w:tabs>
          <w:tab w:val="left" w:pos="5004"/>
        </w:tabs>
        <w:rPr>
          <w:lang w:val="en-GB"/>
        </w:rPr>
      </w:pPr>
      <w:r w:rsidRPr="000F1ABB">
        <w:rPr>
          <w:lang w:val="en-GB"/>
        </w:rPr>
        <w:t>This indicates a very high level of profitability, reflecting Microsoft’s ability to generate strong margins through scalable cloud-based services. However, such performance is dependent on sustained demand and efficient utilisation of high fixed-cost infrastructure.</w:t>
      </w:r>
    </w:p>
    <w:p w14:paraId="74076797" w14:textId="6956B1CE" w:rsidR="000F1ABB" w:rsidRPr="000F1ABB" w:rsidRDefault="000F1ABB" w:rsidP="000F1ABB">
      <w:pPr>
        <w:tabs>
          <w:tab w:val="left" w:pos="5004"/>
        </w:tabs>
        <w:rPr>
          <w:lang w:val="en-GB"/>
        </w:rPr>
      </w:pPr>
    </w:p>
    <w:p w14:paraId="5B1DF49B" w14:textId="77777777" w:rsidR="000F1ABB" w:rsidRPr="000F1ABB" w:rsidRDefault="000F1ABB" w:rsidP="004503EC">
      <w:pPr>
        <w:pStyle w:val="Heading3"/>
      </w:pPr>
      <w:bookmarkStart w:id="12" w:name="_Toc225524123"/>
      <w:r w:rsidRPr="000F1ABB">
        <w:t>Appendix 2: Cloud Revenue Growth (Azure)</w:t>
      </w:r>
      <w:bookmarkEnd w:id="12"/>
    </w:p>
    <w:p w14:paraId="273DB5C0" w14:textId="77777777" w:rsidR="000F1ABB" w:rsidRPr="000F1ABB" w:rsidRDefault="000F1ABB" w:rsidP="000F1ABB">
      <w:pPr>
        <w:tabs>
          <w:tab w:val="left" w:pos="5004"/>
        </w:tabs>
        <w:rPr>
          <w:lang w:val="en-GB"/>
        </w:rPr>
      </w:pPr>
      <w:r w:rsidRPr="000F1ABB">
        <w:rPr>
          <w:lang w:val="en-GB"/>
        </w:rPr>
        <w:t>Data Source: Microsoft Annual Report (2025)</w:t>
      </w:r>
    </w:p>
    <w:p w14:paraId="05725F9E" w14:textId="77777777" w:rsidR="000F1ABB" w:rsidRPr="000F1ABB" w:rsidRDefault="000F1ABB" w:rsidP="000F1ABB">
      <w:pPr>
        <w:tabs>
          <w:tab w:val="left" w:pos="5004"/>
        </w:tabs>
        <w:rPr>
          <w:lang w:val="en-GB"/>
        </w:rPr>
      </w:pPr>
      <w:r w:rsidRPr="000F1ABB">
        <w:rPr>
          <w:lang w:val="en-GB"/>
        </w:rPr>
        <w:t xml:space="preserve">Azure Revenue ≈ $75+ billion </w:t>
      </w:r>
    </w:p>
    <w:p w14:paraId="0FCAF436" w14:textId="77777777" w:rsidR="000F1ABB" w:rsidRPr="000F1ABB" w:rsidRDefault="000F1ABB" w:rsidP="000F1ABB">
      <w:pPr>
        <w:tabs>
          <w:tab w:val="left" w:pos="5004"/>
        </w:tabs>
        <w:rPr>
          <w:lang w:val="en-GB"/>
        </w:rPr>
      </w:pPr>
      <w:r w:rsidRPr="000F1ABB">
        <w:rPr>
          <w:lang w:val="en-GB"/>
        </w:rPr>
        <w:t xml:space="preserve">Growth Rate = 34% year-on-year </w:t>
      </w:r>
    </w:p>
    <w:p w14:paraId="527403EA" w14:textId="77777777" w:rsidR="000F1ABB" w:rsidRPr="000F1ABB" w:rsidRDefault="000F1ABB" w:rsidP="000F1ABB">
      <w:pPr>
        <w:tabs>
          <w:tab w:val="left" w:pos="5004"/>
        </w:tabs>
        <w:rPr>
          <w:lang w:val="en-GB"/>
        </w:rPr>
      </w:pPr>
      <w:r w:rsidRPr="000F1ABB">
        <w:rPr>
          <w:lang w:val="en-GB"/>
        </w:rPr>
        <w:t>This highlights the central role of cloud computing in Microsoft’s growth strategy. However, it also indicates increasing dependence on continued expansion in cloud demand, exposing the firm to sector-specific risks.</w:t>
      </w:r>
    </w:p>
    <w:p w14:paraId="47C6FB41" w14:textId="2CB09028" w:rsidR="000F1ABB" w:rsidRDefault="000F1ABB" w:rsidP="000F1ABB">
      <w:pPr>
        <w:tabs>
          <w:tab w:val="left" w:pos="5004"/>
        </w:tabs>
        <w:rPr>
          <w:lang w:val="en-GB"/>
        </w:rPr>
      </w:pPr>
    </w:p>
    <w:p w14:paraId="1E33D357" w14:textId="77777777" w:rsidR="000F1ABB" w:rsidRPr="000F1ABB" w:rsidRDefault="000F1ABB" w:rsidP="000F1ABB">
      <w:pPr>
        <w:tabs>
          <w:tab w:val="left" w:pos="5004"/>
        </w:tabs>
        <w:rPr>
          <w:lang w:val="en-GB"/>
        </w:rPr>
      </w:pPr>
    </w:p>
    <w:p w14:paraId="37A1BEE3" w14:textId="77777777" w:rsidR="000F1ABB" w:rsidRPr="000F1ABB" w:rsidRDefault="000F1ABB" w:rsidP="004503EC">
      <w:pPr>
        <w:pStyle w:val="Heading3"/>
      </w:pPr>
      <w:bookmarkStart w:id="13" w:name="_Toc225524124"/>
      <w:r w:rsidRPr="000F1ABB">
        <w:t>Appendix 3: Margin Pressure from AI Investment</w:t>
      </w:r>
      <w:bookmarkEnd w:id="13"/>
    </w:p>
    <w:p w14:paraId="5324CEE0" w14:textId="77777777" w:rsidR="000F1ABB" w:rsidRPr="000F1ABB" w:rsidRDefault="000F1ABB" w:rsidP="000F1ABB">
      <w:pPr>
        <w:tabs>
          <w:tab w:val="left" w:pos="5004"/>
        </w:tabs>
        <w:rPr>
          <w:lang w:val="en-GB"/>
        </w:rPr>
      </w:pPr>
      <w:r w:rsidRPr="000F1ABB">
        <w:rPr>
          <w:lang w:val="en-GB"/>
        </w:rPr>
        <w:t>Data Source: Microsoft Earnings Reports (2025)</w:t>
      </w:r>
    </w:p>
    <w:p w14:paraId="46213AFF" w14:textId="77777777" w:rsidR="000F1ABB" w:rsidRPr="000F1ABB" w:rsidRDefault="000F1ABB" w:rsidP="000F1ABB">
      <w:pPr>
        <w:tabs>
          <w:tab w:val="left" w:pos="5004"/>
        </w:tabs>
        <w:rPr>
          <w:lang w:val="en-GB"/>
        </w:rPr>
      </w:pPr>
      <w:r w:rsidRPr="000F1ABB">
        <w:rPr>
          <w:lang w:val="en-GB"/>
        </w:rPr>
        <w:t xml:space="preserve">Cloud Gross Margin ≈ 67–69% </w:t>
      </w:r>
    </w:p>
    <w:p w14:paraId="03E11764" w14:textId="77777777" w:rsidR="000F1ABB" w:rsidRPr="000F1ABB" w:rsidRDefault="000F1ABB" w:rsidP="000F1ABB">
      <w:pPr>
        <w:tabs>
          <w:tab w:val="left" w:pos="5004"/>
        </w:tabs>
        <w:rPr>
          <w:lang w:val="en-GB"/>
        </w:rPr>
      </w:pPr>
      <w:r w:rsidRPr="000F1ABB">
        <w:rPr>
          <w:lang w:val="en-GB"/>
        </w:rPr>
        <w:t xml:space="preserve">Trend: Slight decline due to AI infrastructure investment </w:t>
      </w:r>
    </w:p>
    <w:p w14:paraId="725D78D8" w14:textId="77777777" w:rsidR="000F1ABB" w:rsidRPr="000F1ABB" w:rsidRDefault="000F1ABB" w:rsidP="000F1ABB">
      <w:pPr>
        <w:tabs>
          <w:tab w:val="left" w:pos="5004"/>
        </w:tabs>
        <w:rPr>
          <w:lang w:val="en-GB"/>
        </w:rPr>
      </w:pPr>
      <w:r w:rsidRPr="000F1ABB">
        <w:rPr>
          <w:lang w:val="en-GB"/>
        </w:rPr>
        <w:lastRenderedPageBreak/>
        <w:t>Despite strong revenue growth, margins are being compressed by rising capital expenditure in AI and data centres. This reflects the increasing cost intensity of maintaining competitive advantage in cloud and AI markets.</w:t>
      </w:r>
    </w:p>
    <w:p w14:paraId="06F1DA0D" w14:textId="085BCADE" w:rsidR="000F1ABB" w:rsidRPr="000F1ABB" w:rsidRDefault="000F1ABB" w:rsidP="000F1ABB">
      <w:pPr>
        <w:tabs>
          <w:tab w:val="left" w:pos="5004"/>
        </w:tabs>
        <w:rPr>
          <w:lang w:val="en-GB"/>
        </w:rPr>
      </w:pPr>
    </w:p>
    <w:p w14:paraId="3842672C" w14:textId="77777777" w:rsidR="004503EC" w:rsidRDefault="004503EC" w:rsidP="000F1ABB">
      <w:pPr>
        <w:tabs>
          <w:tab w:val="left" w:pos="5004"/>
        </w:tabs>
        <w:rPr>
          <w:b/>
          <w:bCs/>
          <w:lang w:val="en-GB"/>
        </w:rPr>
      </w:pPr>
    </w:p>
    <w:p w14:paraId="0746E7A3" w14:textId="7A4EB353" w:rsidR="000F1ABB" w:rsidRPr="000F1ABB" w:rsidRDefault="000F1ABB" w:rsidP="004503EC">
      <w:pPr>
        <w:pStyle w:val="Heading3"/>
      </w:pPr>
      <w:bookmarkStart w:id="14" w:name="_Toc225524125"/>
      <w:r w:rsidRPr="000F1ABB">
        <w:t>Appendix 4: Revenue vs Cost Growth</w:t>
      </w:r>
      <w:bookmarkEnd w:id="14"/>
    </w:p>
    <w:p w14:paraId="4631138F" w14:textId="77777777" w:rsidR="000F1ABB" w:rsidRPr="000F1ABB" w:rsidRDefault="000F1ABB" w:rsidP="000F1ABB">
      <w:pPr>
        <w:tabs>
          <w:tab w:val="left" w:pos="5004"/>
        </w:tabs>
        <w:rPr>
          <w:lang w:val="en-GB"/>
        </w:rPr>
      </w:pPr>
      <w:r w:rsidRPr="000F1ABB">
        <w:rPr>
          <w:lang w:val="en-GB"/>
        </w:rPr>
        <w:t>Data Source: Microsoft Financial Performance (2025)</w:t>
      </w:r>
    </w:p>
    <w:p w14:paraId="63C82964" w14:textId="77777777" w:rsidR="000F1ABB" w:rsidRPr="000F1ABB" w:rsidRDefault="000F1ABB" w:rsidP="004503EC">
      <w:pPr>
        <w:tabs>
          <w:tab w:val="left" w:pos="5004"/>
        </w:tabs>
        <w:rPr>
          <w:lang w:val="en-GB"/>
        </w:rPr>
      </w:pPr>
      <w:r w:rsidRPr="000F1ABB">
        <w:rPr>
          <w:lang w:val="en-GB"/>
        </w:rPr>
        <w:t xml:space="preserve">Revenue Growth = +15% </w:t>
      </w:r>
    </w:p>
    <w:p w14:paraId="10E8D65F" w14:textId="77777777" w:rsidR="000F1ABB" w:rsidRPr="000F1ABB" w:rsidRDefault="000F1ABB" w:rsidP="004503EC">
      <w:pPr>
        <w:tabs>
          <w:tab w:val="left" w:pos="5004"/>
        </w:tabs>
        <w:rPr>
          <w:lang w:val="en-GB"/>
        </w:rPr>
      </w:pPr>
      <w:r w:rsidRPr="000F1ABB">
        <w:rPr>
          <w:lang w:val="en-GB"/>
        </w:rPr>
        <w:t xml:space="preserve">Cost of Revenue Growth = +19% </w:t>
      </w:r>
    </w:p>
    <w:p w14:paraId="48AB66F2" w14:textId="108207E3" w:rsidR="000F1ABB" w:rsidRPr="000F1ABB" w:rsidRDefault="000F1ABB" w:rsidP="000F1ABB">
      <w:pPr>
        <w:tabs>
          <w:tab w:val="left" w:pos="5004"/>
        </w:tabs>
        <w:rPr>
          <w:lang w:val="en-GB"/>
        </w:rPr>
      </w:pPr>
      <w:r w:rsidRPr="000F1ABB">
        <w:rPr>
          <w:lang w:val="en-GB"/>
        </w:rPr>
        <w:t xml:space="preserve">Costs are increasing </w:t>
      </w:r>
      <w:r>
        <w:rPr>
          <w:lang w:val="en-GB"/>
        </w:rPr>
        <w:t xml:space="preserve">faster </w:t>
      </w:r>
      <w:r w:rsidRPr="000F1ABB">
        <w:rPr>
          <w:lang w:val="en-GB"/>
        </w:rPr>
        <w:t>than revenue, suggesting potential pressure on future profitability. This trend highlights the financial risks associated with large-scale infrastructure and innovation investment.</w:t>
      </w:r>
    </w:p>
    <w:p w14:paraId="2C65C2FE" w14:textId="77777777" w:rsidR="000F1ABB" w:rsidRPr="000F1ABB" w:rsidRDefault="000F1ABB" w:rsidP="000F1ABB">
      <w:pPr>
        <w:tabs>
          <w:tab w:val="left" w:pos="5004"/>
        </w:tabs>
        <w:rPr>
          <w:lang w:val="en-GB"/>
        </w:rPr>
      </w:pPr>
    </w:p>
    <w:sectPr w:rsidR="000F1ABB" w:rsidRPr="000F1AB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B863FB" w14:textId="77777777" w:rsidR="000D02B9" w:rsidRDefault="000D02B9" w:rsidP="00D862FB">
      <w:pPr>
        <w:spacing w:after="0" w:line="240" w:lineRule="auto"/>
      </w:pPr>
      <w:r>
        <w:separator/>
      </w:r>
    </w:p>
  </w:endnote>
  <w:endnote w:type="continuationSeparator" w:id="0">
    <w:p w14:paraId="7F6E95F0" w14:textId="77777777" w:rsidR="000D02B9" w:rsidRDefault="000D02B9" w:rsidP="00D862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2627378"/>
      <w:docPartObj>
        <w:docPartGallery w:val="Page Numbers (Bottom of Page)"/>
        <w:docPartUnique/>
      </w:docPartObj>
    </w:sdtPr>
    <w:sdtEndPr>
      <w:rPr>
        <w:noProof/>
      </w:rPr>
    </w:sdtEndPr>
    <w:sdtContent>
      <w:p w14:paraId="45A98B65" w14:textId="70051855" w:rsidR="00D862FB" w:rsidRDefault="00D862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AD3597" w14:textId="77777777" w:rsidR="00D862FB" w:rsidRDefault="00D862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301B37" w14:textId="77777777" w:rsidR="000D02B9" w:rsidRDefault="000D02B9" w:rsidP="00D862FB">
      <w:pPr>
        <w:spacing w:after="0" w:line="240" w:lineRule="auto"/>
      </w:pPr>
      <w:r>
        <w:separator/>
      </w:r>
    </w:p>
  </w:footnote>
  <w:footnote w:type="continuationSeparator" w:id="0">
    <w:p w14:paraId="23115BB6" w14:textId="77777777" w:rsidR="000D02B9" w:rsidRDefault="000D02B9" w:rsidP="00D862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FC3E64"/>
    <w:multiLevelType w:val="multilevel"/>
    <w:tmpl w:val="A6C43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AD5172"/>
    <w:multiLevelType w:val="hybridMultilevel"/>
    <w:tmpl w:val="4B320E40"/>
    <w:lvl w:ilvl="0" w:tplc="0F242E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E327C8"/>
    <w:multiLevelType w:val="multilevel"/>
    <w:tmpl w:val="D80CF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912B9D"/>
    <w:multiLevelType w:val="multilevel"/>
    <w:tmpl w:val="E3F01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F1418E"/>
    <w:multiLevelType w:val="multilevel"/>
    <w:tmpl w:val="4634B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6216622">
    <w:abstractNumId w:val="1"/>
  </w:num>
  <w:num w:numId="2" w16cid:durableId="2107116244">
    <w:abstractNumId w:val="3"/>
  </w:num>
  <w:num w:numId="3" w16cid:durableId="1633244881">
    <w:abstractNumId w:val="0"/>
  </w:num>
  <w:num w:numId="4" w16cid:durableId="75707480">
    <w:abstractNumId w:val="4"/>
  </w:num>
  <w:num w:numId="5" w16cid:durableId="10430235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5B1"/>
    <w:rsid w:val="000407FD"/>
    <w:rsid w:val="00091E47"/>
    <w:rsid w:val="000B79C4"/>
    <w:rsid w:val="000D02B9"/>
    <w:rsid w:val="000D25B9"/>
    <w:rsid w:val="000E502D"/>
    <w:rsid w:val="000F1ABB"/>
    <w:rsid w:val="00162559"/>
    <w:rsid w:val="00171ADE"/>
    <w:rsid w:val="00180F4A"/>
    <w:rsid w:val="00193CA5"/>
    <w:rsid w:val="001A2B2A"/>
    <w:rsid w:val="001D181F"/>
    <w:rsid w:val="001E3BE1"/>
    <w:rsid w:val="0020105A"/>
    <w:rsid w:val="0023422D"/>
    <w:rsid w:val="00235F80"/>
    <w:rsid w:val="002F563B"/>
    <w:rsid w:val="00314AE3"/>
    <w:rsid w:val="00343391"/>
    <w:rsid w:val="00355E91"/>
    <w:rsid w:val="00397E1D"/>
    <w:rsid w:val="003F715E"/>
    <w:rsid w:val="0043283E"/>
    <w:rsid w:val="004503EC"/>
    <w:rsid w:val="00455F78"/>
    <w:rsid w:val="00463C22"/>
    <w:rsid w:val="00532F6E"/>
    <w:rsid w:val="00550C4D"/>
    <w:rsid w:val="005A0538"/>
    <w:rsid w:val="005B414E"/>
    <w:rsid w:val="005D37DF"/>
    <w:rsid w:val="00601D97"/>
    <w:rsid w:val="006052FB"/>
    <w:rsid w:val="00605C0E"/>
    <w:rsid w:val="00624033"/>
    <w:rsid w:val="00680634"/>
    <w:rsid w:val="006A64DC"/>
    <w:rsid w:val="006D479B"/>
    <w:rsid w:val="007178F4"/>
    <w:rsid w:val="00774ADF"/>
    <w:rsid w:val="007D1EA5"/>
    <w:rsid w:val="00837232"/>
    <w:rsid w:val="00855389"/>
    <w:rsid w:val="00865141"/>
    <w:rsid w:val="008B695B"/>
    <w:rsid w:val="008E27EC"/>
    <w:rsid w:val="00981C34"/>
    <w:rsid w:val="009D18E1"/>
    <w:rsid w:val="009D25B1"/>
    <w:rsid w:val="009E1E2F"/>
    <w:rsid w:val="009E5D84"/>
    <w:rsid w:val="00A2680D"/>
    <w:rsid w:val="00A75882"/>
    <w:rsid w:val="00AB4D7F"/>
    <w:rsid w:val="00B30D25"/>
    <w:rsid w:val="00BB01A5"/>
    <w:rsid w:val="00C367E7"/>
    <w:rsid w:val="00C54F49"/>
    <w:rsid w:val="00C63065"/>
    <w:rsid w:val="00C809FE"/>
    <w:rsid w:val="00CD787E"/>
    <w:rsid w:val="00D30B6E"/>
    <w:rsid w:val="00D3278C"/>
    <w:rsid w:val="00D862FB"/>
    <w:rsid w:val="00DE4BE3"/>
    <w:rsid w:val="00DF0A3C"/>
    <w:rsid w:val="00E07036"/>
    <w:rsid w:val="00E734DE"/>
    <w:rsid w:val="00EF149E"/>
    <w:rsid w:val="00F04ECF"/>
    <w:rsid w:val="00F16AE4"/>
    <w:rsid w:val="00FD71C2"/>
    <w:rsid w:val="00FF34E7"/>
    <w:rsid w:val="00FF4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DA68C"/>
  <w15:chartTrackingRefBased/>
  <w15:docId w15:val="{43AE0373-A118-4950-AFA6-3176E221A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389"/>
    <w:pPr>
      <w:spacing w:after="80"/>
    </w:pPr>
    <w:rPr>
      <w:rFonts w:ascii="Arial" w:hAnsi="Arial"/>
      <w:sz w:val="24"/>
      <w:lang w:val="en-US"/>
    </w:rPr>
  </w:style>
  <w:style w:type="paragraph" w:styleId="Heading1">
    <w:name w:val="heading 1"/>
    <w:basedOn w:val="Normal"/>
    <w:next w:val="Normal"/>
    <w:link w:val="Heading1Char"/>
    <w:autoRedefine/>
    <w:uiPriority w:val="9"/>
    <w:qFormat/>
    <w:rsid w:val="009E5D84"/>
    <w:pPr>
      <w:keepNext/>
      <w:keepLines/>
      <w:spacing w:before="480" w:after="0"/>
      <w:outlineLvl w:val="0"/>
    </w:pPr>
    <w:rPr>
      <w:rFonts w:eastAsiaTheme="majorEastAsia" w:cstheme="majorBidi"/>
      <w:b/>
      <w:bCs/>
      <w:szCs w:val="28"/>
      <w:lang w:val="en-GB"/>
    </w:rPr>
  </w:style>
  <w:style w:type="paragraph" w:styleId="Heading2">
    <w:name w:val="heading 2"/>
    <w:basedOn w:val="Normal"/>
    <w:next w:val="Normal"/>
    <w:link w:val="Heading2Char"/>
    <w:autoRedefine/>
    <w:uiPriority w:val="9"/>
    <w:unhideWhenUsed/>
    <w:qFormat/>
    <w:rsid w:val="003F715E"/>
    <w:pPr>
      <w:keepNext/>
      <w:keepLines/>
      <w:spacing w:before="160"/>
      <w:jc w:val="center"/>
      <w:outlineLvl w:val="1"/>
    </w:pPr>
    <w:rPr>
      <w:rFonts w:cstheme="majorBidi"/>
      <w:bCs/>
      <w:i/>
      <w:iCs/>
      <w:sz w:val="20"/>
      <w:szCs w:val="20"/>
      <w:lang w:val="en-GB"/>
    </w:rPr>
  </w:style>
  <w:style w:type="paragraph" w:styleId="Heading3">
    <w:name w:val="heading 3"/>
    <w:basedOn w:val="Normal"/>
    <w:next w:val="Normal"/>
    <w:link w:val="Heading3Char"/>
    <w:autoRedefine/>
    <w:uiPriority w:val="9"/>
    <w:unhideWhenUsed/>
    <w:qFormat/>
    <w:rsid w:val="004503EC"/>
    <w:pPr>
      <w:keepNext/>
      <w:keepLines/>
      <w:spacing w:before="160"/>
      <w:outlineLvl w:val="2"/>
    </w:pPr>
    <w:rPr>
      <w:rFonts w:eastAsiaTheme="majorEastAsia" w:cstheme="majorBidi"/>
      <w:b/>
      <w:bCs/>
      <w:szCs w:val="28"/>
      <w:lang w:val="en-GB"/>
    </w:rPr>
  </w:style>
  <w:style w:type="paragraph" w:styleId="Heading4">
    <w:name w:val="heading 4"/>
    <w:basedOn w:val="Normal"/>
    <w:next w:val="Normal"/>
    <w:link w:val="Heading4Char"/>
    <w:uiPriority w:val="9"/>
    <w:semiHidden/>
    <w:unhideWhenUsed/>
    <w:qFormat/>
    <w:rsid w:val="009D25B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D25B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D25B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D25B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D25B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D25B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503EC"/>
    <w:rPr>
      <w:rFonts w:ascii="Arial" w:eastAsiaTheme="majorEastAsia" w:hAnsi="Arial" w:cstheme="majorBidi"/>
      <w:b/>
      <w:bCs/>
      <w:sz w:val="24"/>
      <w:szCs w:val="28"/>
    </w:rPr>
  </w:style>
  <w:style w:type="character" w:customStyle="1" w:styleId="Heading1Char">
    <w:name w:val="Heading 1 Char"/>
    <w:basedOn w:val="DefaultParagraphFont"/>
    <w:link w:val="Heading1"/>
    <w:uiPriority w:val="9"/>
    <w:rsid w:val="009E5D84"/>
    <w:rPr>
      <w:rFonts w:ascii="Arial" w:eastAsiaTheme="majorEastAsia" w:hAnsi="Arial" w:cstheme="majorBidi"/>
      <w:b/>
      <w:bCs/>
      <w:sz w:val="24"/>
      <w:szCs w:val="28"/>
    </w:rPr>
  </w:style>
  <w:style w:type="character" w:customStyle="1" w:styleId="Heading2Char">
    <w:name w:val="Heading 2 Char"/>
    <w:basedOn w:val="DefaultParagraphFont"/>
    <w:link w:val="Heading2"/>
    <w:uiPriority w:val="9"/>
    <w:rsid w:val="003F715E"/>
    <w:rPr>
      <w:rFonts w:ascii="Arial" w:hAnsi="Arial" w:cstheme="majorBidi"/>
      <w:bCs/>
      <w:i/>
      <w:iCs/>
      <w:sz w:val="20"/>
      <w:szCs w:val="20"/>
    </w:rPr>
  </w:style>
  <w:style w:type="character" w:customStyle="1" w:styleId="Heading4Char">
    <w:name w:val="Heading 4 Char"/>
    <w:basedOn w:val="DefaultParagraphFont"/>
    <w:link w:val="Heading4"/>
    <w:uiPriority w:val="9"/>
    <w:semiHidden/>
    <w:rsid w:val="009D25B1"/>
    <w:rPr>
      <w:rFonts w:eastAsiaTheme="majorEastAsia" w:cstheme="majorBidi"/>
      <w:i/>
      <w:iCs/>
      <w:color w:val="0F4761" w:themeColor="accent1" w:themeShade="BF"/>
      <w:sz w:val="24"/>
      <w:lang w:val="en-US"/>
    </w:rPr>
  </w:style>
  <w:style w:type="character" w:customStyle="1" w:styleId="Heading5Char">
    <w:name w:val="Heading 5 Char"/>
    <w:basedOn w:val="DefaultParagraphFont"/>
    <w:link w:val="Heading5"/>
    <w:uiPriority w:val="9"/>
    <w:semiHidden/>
    <w:rsid w:val="009D25B1"/>
    <w:rPr>
      <w:rFonts w:eastAsiaTheme="majorEastAsia" w:cstheme="majorBidi"/>
      <w:color w:val="0F4761" w:themeColor="accent1" w:themeShade="BF"/>
      <w:sz w:val="24"/>
      <w:lang w:val="en-US"/>
    </w:rPr>
  </w:style>
  <w:style w:type="character" w:customStyle="1" w:styleId="Heading6Char">
    <w:name w:val="Heading 6 Char"/>
    <w:basedOn w:val="DefaultParagraphFont"/>
    <w:link w:val="Heading6"/>
    <w:uiPriority w:val="9"/>
    <w:semiHidden/>
    <w:rsid w:val="009D25B1"/>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9D25B1"/>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9D25B1"/>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9D25B1"/>
    <w:rPr>
      <w:rFonts w:eastAsiaTheme="majorEastAsia" w:cstheme="majorBidi"/>
      <w:color w:val="272727" w:themeColor="text1" w:themeTint="D8"/>
      <w:sz w:val="24"/>
      <w:lang w:val="en-US"/>
    </w:rPr>
  </w:style>
  <w:style w:type="paragraph" w:styleId="Title">
    <w:name w:val="Title"/>
    <w:basedOn w:val="Normal"/>
    <w:next w:val="Normal"/>
    <w:link w:val="TitleChar"/>
    <w:uiPriority w:val="10"/>
    <w:qFormat/>
    <w:rsid w:val="009D25B1"/>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25B1"/>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9D25B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25B1"/>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9D25B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D25B1"/>
    <w:rPr>
      <w:rFonts w:ascii="Arial" w:hAnsi="Arial"/>
      <w:i/>
      <w:iCs/>
      <w:color w:val="404040" w:themeColor="text1" w:themeTint="BF"/>
      <w:sz w:val="24"/>
      <w:lang w:val="en-US"/>
    </w:rPr>
  </w:style>
  <w:style w:type="paragraph" w:styleId="ListParagraph">
    <w:name w:val="List Paragraph"/>
    <w:basedOn w:val="Normal"/>
    <w:uiPriority w:val="34"/>
    <w:qFormat/>
    <w:rsid w:val="009D25B1"/>
    <w:pPr>
      <w:ind w:left="720"/>
      <w:contextualSpacing/>
    </w:pPr>
  </w:style>
  <w:style w:type="character" w:styleId="IntenseEmphasis">
    <w:name w:val="Intense Emphasis"/>
    <w:basedOn w:val="DefaultParagraphFont"/>
    <w:uiPriority w:val="21"/>
    <w:qFormat/>
    <w:rsid w:val="009D25B1"/>
    <w:rPr>
      <w:i/>
      <w:iCs/>
      <w:color w:val="0F4761" w:themeColor="accent1" w:themeShade="BF"/>
    </w:rPr>
  </w:style>
  <w:style w:type="paragraph" w:styleId="IntenseQuote">
    <w:name w:val="Intense Quote"/>
    <w:basedOn w:val="Normal"/>
    <w:next w:val="Normal"/>
    <w:link w:val="IntenseQuoteChar"/>
    <w:uiPriority w:val="30"/>
    <w:qFormat/>
    <w:rsid w:val="009D25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25B1"/>
    <w:rPr>
      <w:rFonts w:ascii="Arial" w:hAnsi="Arial"/>
      <w:i/>
      <w:iCs/>
      <w:color w:val="0F4761" w:themeColor="accent1" w:themeShade="BF"/>
      <w:sz w:val="24"/>
      <w:lang w:val="en-US"/>
    </w:rPr>
  </w:style>
  <w:style w:type="character" w:styleId="IntenseReference">
    <w:name w:val="Intense Reference"/>
    <w:basedOn w:val="DefaultParagraphFont"/>
    <w:uiPriority w:val="32"/>
    <w:qFormat/>
    <w:rsid w:val="009D25B1"/>
    <w:rPr>
      <w:b/>
      <w:bCs/>
      <w:smallCaps/>
      <w:color w:val="0F4761" w:themeColor="accent1" w:themeShade="BF"/>
      <w:spacing w:val="5"/>
    </w:rPr>
  </w:style>
  <w:style w:type="character" w:styleId="Hyperlink">
    <w:name w:val="Hyperlink"/>
    <w:basedOn w:val="DefaultParagraphFont"/>
    <w:uiPriority w:val="99"/>
    <w:unhideWhenUsed/>
    <w:rsid w:val="009D25B1"/>
    <w:rPr>
      <w:color w:val="467886" w:themeColor="hyperlink"/>
      <w:u w:val="single"/>
    </w:rPr>
  </w:style>
  <w:style w:type="character" w:styleId="UnresolvedMention">
    <w:name w:val="Unresolved Mention"/>
    <w:basedOn w:val="DefaultParagraphFont"/>
    <w:uiPriority w:val="99"/>
    <w:semiHidden/>
    <w:unhideWhenUsed/>
    <w:rsid w:val="009D25B1"/>
    <w:rPr>
      <w:color w:val="605E5C"/>
      <w:shd w:val="clear" w:color="auto" w:fill="E1DFDD"/>
    </w:rPr>
  </w:style>
  <w:style w:type="paragraph" w:styleId="Header">
    <w:name w:val="header"/>
    <w:basedOn w:val="Normal"/>
    <w:link w:val="HeaderChar"/>
    <w:uiPriority w:val="99"/>
    <w:unhideWhenUsed/>
    <w:rsid w:val="00D862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62FB"/>
    <w:rPr>
      <w:rFonts w:ascii="Arial" w:hAnsi="Arial"/>
      <w:sz w:val="24"/>
      <w:lang w:val="en-US"/>
    </w:rPr>
  </w:style>
  <w:style w:type="paragraph" w:styleId="Footer">
    <w:name w:val="footer"/>
    <w:basedOn w:val="Normal"/>
    <w:link w:val="FooterChar"/>
    <w:uiPriority w:val="99"/>
    <w:unhideWhenUsed/>
    <w:rsid w:val="00D862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2FB"/>
    <w:rPr>
      <w:rFonts w:ascii="Arial" w:hAnsi="Arial"/>
      <w:sz w:val="24"/>
      <w:lang w:val="en-US"/>
    </w:rPr>
  </w:style>
  <w:style w:type="paragraph" w:styleId="TOCHeading">
    <w:name w:val="TOC Heading"/>
    <w:basedOn w:val="Heading1"/>
    <w:next w:val="Normal"/>
    <w:uiPriority w:val="39"/>
    <w:unhideWhenUsed/>
    <w:qFormat/>
    <w:rsid w:val="003F715E"/>
    <w:pPr>
      <w:spacing w:before="240" w:line="259" w:lineRule="auto"/>
      <w:jc w:val="left"/>
      <w:outlineLvl w:val="9"/>
    </w:pPr>
    <w:rPr>
      <w:rFonts w:asciiTheme="majorHAnsi" w:hAnsiTheme="majorHAnsi"/>
      <w:b w:val="0"/>
      <w:bCs w:val="0"/>
      <w:color w:val="0F4761" w:themeColor="accent1" w:themeShade="BF"/>
      <w:sz w:val="32"/>
      <w:szCs w:val="32"/>
      <w:lang w:val="en-US"/>
    </w:rPr>
  </w:style>
  <w:style w:type="paragraph" w:styleId="TOC1">
    <w:name w:val="toc 1"/>
    <w:basedOn w:val="Normal"/>
    <w:next w:val="Normal"/>
    <w:autoRedefine/>
    <w:uiPriority w:val="39"/>
    <w:unhideWhenUsed/>
    <w:rsid w:val="003F715E"/>
    <w:pPr>
      <w:spacing w:after="100"/>
    </w:pPr>
  </w:style>
  <w:style w:type="paragraph" w:styleId="TOC2">
    <w:name w:val="toc 2"/>
    <w:basedOn w:val="Normal"/>
    <w:next w:val="Normal"/>
    <w:autoRedefine/>
    <w:uiPriority w:val="39"/>
    <w:unhideWhenUsed/>
    <w:rsid w:val="003F715E"/>
    <w:pPr>
      <w:spacing w:after="100"/>
      <w:ind w:left="240"/>
    </w:pPr>
  </w:style>
  <w:style w:type="paragraph" w:styleId="TOC3">
    <w:name w:val="toc 3"/>
    <w:basedOn w:val="Normal"/>
    <w:next w:val="Normal"/>
    <w:autoRedefine/>
    <w:uiPriority w:val="39"/>
    <w:unhideWhenUsed/>
    <w:rsid w:val="004503E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rgresearch.com" TargetMode="External"/><Relationship Id="rId5" Type="http://schemas.openxmlformats.org/officeDocument/2006/relationships/webSettings" Target="webSettings.xml"/><Relationship Id="rId10" Type="http://schemas.openxmlformats.org/officeDocument/2006/relationships/hyperlink" Target="https://www.microsoft.com/investor" TargetMode="External"/><Relationship Id="rId4" Type="http://schemas.openxmlformats.org/officeDocument/2006/relationships/settings" Target="settings.xml"/><Relationship Id="rId9" Type="http://schemas.openxmlformats.org/officeDocument/2006/relationships/hyperlink" Target="https://www.amazon.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C24A09E-A6C3-47F3-BB61-AE28F8244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3172</Words>
  <Characters>18083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Antal-Berbecaru (2242917)</dc:creator>
  <cp:keywords/>
  <dc:description/>
  <cp:lastModifiedBy>Carmen Antal-Berbecaru (2242917)</cp:lastModifiedBy>
  <cp:revision>7</cp:revision>
  <dcterms:created xsi:type="dcterms:W3CDTF">2026-03-25T16:29:00Z</dcterms:created>
  <dcterms:modified xsi:type="dcterms:W3CDTF">2026-03-27T17:31:00Z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87121ff2-a0ec-4f35-aa3e-07f81a2135c7</vt:lpwstr>
  </property>
</Properties>
</file>