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570307" w14:textId="77777777" w:rsidR="00EB73E5" w:rsidRDefault="00EB73E5" w:rsidP="00EB73E5">
      <w:pPr>
        <w:rPr>
          <w:b/>
          <w:bCs/>
        </w:rPr>
      </w:pPr>
      <w:r>
        <w:rPr>
          <w:noProof/>
          <w:sz w:val="20"/>
          <w:lang w:eastAsia="en-GB"/>
        </w:rPr>
        <w:drawing>
          <wp:anchor distT="0" distB="0" distL="114300" distR="114300" simplePos="0" relativeHeight="251659264" behindDoc="0" locked="0" layoutInCell="1" allowOverlap="1" wp14:anchorId="1FE9C7C8" wp14:editId="66A1FC3A">
            <wp:simplePos x="0" y="0"/>
            <wp:positionH relativeFrom="margin">
              <wp:align>left</wp:align>
            </wp:positionH>
            <wp:positionV relativeFrom="paragraph">
              <wp:posOffset>0</wp:posOffset>
            </wp:positionV>
            <wp:extent cx="1708150" cy="566387"/>
            <wp:effectExtent l="0" t="0" r="6350" b="5715"/>
            <wp:wrapNone/>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2452" cy="567814"/>
                    </a:xfrm>
                    <a:prstGeom prst="rect">
                      <a:avLst/>
                    </a:prstGeom>
                  </pic:spPr>
                </pic:pic>
              </a:graphicData>
            </a:graphic>
            <wp14:sizeRelH relativeFrom="margin">
              <wp14:pctWidth>0</wp14:pctWidth>
            </wp14:sizeRelH>
            <wp14:sizeRelV relativeFrom="margin">
              <wp14:pctHeight>0</wp14:pctHeight>
            </wp14:sizeRelV>
          </wp:anchor>
        </w:drawing>
      </w:r>
    </w:p>
    <w:p w14:paraId="4E1BEB19" w14:textId="77777777" w:rsidR="00EB73E5" w:rsidRDefault="00EB73E5" w:rsidP="00EB73E5">
      <w:pPr>
        <w:rPr>
          <w:b/>
          <w:bCs/>
        </w:rPr>
      </w:pPr>
    </w:p>
    <w:p w14:paraId="201709D5" w14:textId="77777777" w:rsidR="00EB73E5" w:rsidRDefault="00EB73E5" w:rsidP="00EB73E5">
      <w:pPr>
        <w:jc w:val="center"/>
        <w:rPr>
          <w:b/>
          <w:bCs/>
        </w:rPr>
      </w:pPr>
    </w:p>
    <w:p w14:paraId="2EE0EB80" w14:textId="77777777" w:rsidR="00EB73E5" w:rsidRDefault="00EB73E5" w:rsidP="00EB73E5">
      <w:pPr>
        <w:jc w:val="center"/>
        <w:rPr>
          <w:b/>
          <w:bCs/>
        </w:rPr>
      </w:pPr>
    </w:p>
    <w:p w14:paraId="05B74D0B" w14:textId="77777777" w:rsidR="00EB73E5" w:rsidRDefault="00EB73E5" w:rsidP="00EB73E5">
      <w:pPr>
        <w:jc w:val="center"/>
        <w:rPr>
          <w:b/>
          <w:bCs/>
        </w:rPr>
      </w:pPr>
    </w:p>
    <w:p w14:paraId="641353AB" w14:textId="77777777" w:rsidR="00EB73E5" w:rsidRDefault="00EB73E5" w:rsidP="00EB73E5">
      <w:pPr>
        <w:jc w:val="center"/>
        <w:rPr>
          <w:b/>
          <w:bCs/>
        </w:rPr>
      </w:pPr>
    </w:p>
    <w:p w14:paraId="547DBB8F" w14:textId="77777777" w:rsidR="00EB73E5" w:rsidRDefault="00EB73E5" w:rsidP="00EB73E5">
      <w:pPr>
        <w:jc w:val="center"/>
        <w:rPr>
          <w:b/>
          <w:bCs/>
        </w:rPr>
      </w:pPr>
    </w:p>
    <w:p w14:paraId="62DF6DAC" w14:textId="77777777" w:rsidR="00D41271" w:rsidRDefault="00D41271" w:rsidP="00EB73E5">
      <w:pPr>
        <w:spacing w:line="276" w:lineRule="auto"/>
        <w:jc w:val="center"/>
        <w:rPr>
          <w:b/>
          <w:bCs/>
          <w:sz w:val="32"/>
          <w:szCs w:val="28"/>
        </w:rPr>
      </w:pPr>
      <w:r w:rsidRPr="00D41271">
        <w:rPr>
          <w:b/>
          <w:bCs/>
          <w:sz w:val="32"/>
          <w:szCs w:val="28"/>
        </w:rPr>
        <w:t>LCBB 6015</w:t>
      </w:r>
    </w:p>
    <w:p w14:paraId="3D7C6335" w14:textId="3CD8C3E1" w:rsidR="00EB73E5" w:rsidRPr="008051B3" w:rsidRDefault="00EB73E5" w:rsidP="00EB73E5">
      <w:pPr>
        <w:spacing w:line="276" w:lineRule="auto"/>
        <w:jc w:val="center"/>
        <w:rPr>
          <w:b/>
          <w:bCs/>
          <w:sz w:val="32"/>
          <w:szCs w:val="28"/>
        </w:rPr>
      </w:pPr>
      <w:r w:rsidRPr="008051B3">
        <w:rPr>
          <w:b/>
          <w:bCs/>
          <w:sz w:val="32"/>
          <w:szCs w:val="28"/>
        </w:rPr>
        <w:t>Strategic Management and Sustainability</w:t>
      </w:r>
    </w:p>
    <w:p w14:paraId="67F6C863" w14:textId="1C930DA5" w:rsidR="00EB73E5" w:rsidRPr="008051B3" w:rsidRDefault="00EB73E5" w:rsidP="00EB73E5">
      <w:pPr>
        <w:spacing w:line="276" w:lineRule="auto"/>
        <w:jc w:val="center"/>
        <w:rPr>
          <w:b/>
          <w:bCs/>
          <w:sz w:val="28"/>
          <w:szCs w:val="24"/>
        </w:rPr>
      </w:pPr>
      <w:r w:rsidRPr="008051B3">
        <w:rPr>
          <w:b/>
          <w:bCs/>
          <w:sz w:val="28"/>
          <w:szCs w:val="24"/>
        </w:rPr>
        <w:t xml:space="preserve">Component </w:t>
      </w:r>
      <w:r w:rsidR="00D41271">
        <w:rPr>
          <w:b/>
          <w:bCs/>
          <w:sz w:val="28"/>
          <w:szCs w:val="24"/>
        </w:rPr>
        <w:t>1</w:t>
      </w:r>
    </w:p>
    <w:p w14:paraId="01725988" w14:textId="77777777" w:rsidR="00EB73E5" w:rsidRDefault="00EB73E5" w:rsidP="00EB73E5"/>
    <w:p w14:paraId="1AE16889" w14:textId="77777777" w:rsidR="00EB73E5" w:rsidRDefault="00EB73E5" w:rsidP="00EB73E5"/>
    <w:p w14:paraId="5474171A" w14:textId="77777777" w:rsidR="00EB73E5" w:rsidRDefault="00EB73E5" w:rsidP="00EB73E5"/>
    <w:p w14:paraId="04A722CB" w14:textId="77777777" w:rsidR="00EB73E5" w:rsidRDefault="00EB73E5" w:rsidP="00EB73E5"/>
    <w:p w14:paraId="1AEE758E" w14:textId="03A21C46" w:rsidR="00EB73E5" w:rsidRPr="00EE0516" w:rsidRDefault="00EB73E5" w:rsidP="00EB73E5">
      <w:pPr>
        <w:rPr>
          <w:b/>
          <w:bCs/>
        </w:rPr>
      </w:pPr>
      <w:r w:rsidRPr="00EE0516">
        <w:rPr>
          <w:b/>
          <w:bCs/>
        </w:rPr>
        <w:t>Student Name:</w:t>
      </w:r>
      <w:r w:rsidR="00944C4B">
        <w:rPr>
          <w:b/>
          <w:bCs/>
        </w:rPr>
        <w:t xml:space="preserve"> Iuliana Gorgan</w:t>
      </w:r>
    </w:p>
    <w:p w14:paraId="7D9D8AFB" w14:textId="6609B276" w:rsidR="00EB73E5" w:rsidRPr="00944C4B" w:rsidRDefault="00EB73E5" w:rsidP="00EB73E5">
      <w:pPr>
        <w:rPr>
          <w:b/>
          <w:bCs/>
        </w:rPr>
      </w:pPr>
      <w:r w:rsidRPr="00EE0516">
        <w:rPr>
          <w:b/>
          <w:bCs/>
        </w:rPr>
        <w:t xml:space="preserve">Student ID: </w:t>
      </w:r>
      <w:r w:rsidR="00944C4B">
        <w:rPr>
          <w:b/>
          <w:bCs/>
        </w:rPr>
        <w:t>2210792</w:t>
      </w:r>
    </w:p>
    <w:p w14:paraId="520D1BEF" w14:textId="77777777" w:rsidR="0021725B" w:rsidRPr="00EB73E5" w:rsidRDefault="0021725B">
      <w:pPr>
        <w:rPr>
          <w:lang w:val="en-US"/>
        </w:rPr>
      </w:pPr>
    </w:p>
    <w:p w14:paraId="1010BC9A" w14:textId="77777777" w:rsidR="006142F3" w:rsidRDefault="006142F3">
      <w:pPr>
        <w:spacing w:line="276" w:lineRule="auto"/>
        <w:jc w:val="left"/>
        <w:rPr>
          <w:b/>
          <w:bCs/>
        </w:rPr>
      </w:pPr>
      <w:r>
        <w:rPr>
          <w:b/>
          <w:bCs/>
        </w:rPr>
        <w:br w:type="page"/>
      </w:r>
    </w:p>
    <w:p w14:paraId="5F043ED1" w14:textId="207DAADE" w:rsidR="00661AC6" w:rsidRPr="00661AC6" w:rsidRDefault="00661AC6" w:rsidP="006142F3">
      <w:pPr>
        <w:pStyle w:val="Heading1"/>
      </w:pPr>
      <w:bookmarkStart w:id="0" w:name="_Toc223225186"/>
      <w:r w:rsidRPr="00661AC6">
        <w:lastRenderedPageBreak/>
        <w:t>Executive Summary</w:t>
      </w:r>
      <w:bookmarkEnd w:id="0"/>
    </w:p>
    <w:p w14:paraId="40EACF96" w14:textId="193E7125" w:rsidR="00661AC6" w:rsidRPr="00661AC6" w:rsidRDefault="00F24609" w:rsidP="00661AC6">
      <w:r w:rsidRPr="00F24609">
        <w:t>This report is a strategic analysis of the position of Vauxhall in the UK automotive industry. According to PESTLE, Porters five forces, Value Chain, RBV, VRIO and SWOT, the study has identified some of the major challenges, which are stiff competition in the EV industry, high supplier power and a changing customer demand. It also enjoys strengths on the brand name of Vauxhall in the UK, dealership network and Stellantis support</w:t>
      </w:r>
      <w:r w:rsidR="00661AC6" w:rsidRPr="00661AC6">
        <w:t>. The report suggests accelerated electric vehicle development, enhanced local supply relationships, enhanced online customer experiences, and sustainability-based branding to improve the competitive edge and expansion of Vauxhall over time.</w:t>
      </w:r>
    </w:p>
    <w:p w14:paraId="72BDFAF5" w14:textId="77777777" w:rsidR="00B03DAC" w:rsidRDefault="00B03DAC">
      <w:pPr>
        <w:spacing w:line="276" w:lineRule="auto"/>
        <w:jc w:val="left"/>
        <w:rPr>
          <w:b/>
          <w:bCs/>
        </w:rPr>
      </w:pPr>
      <w:r>
        <w:rPr>
          <w:b/>
          <w:bCs/>
        </w:rPr>
        <w:br w:type="page"/>
      </w:r>
    </w:p>
    <w:sdt>
      <w:sdtPr>
        <w:rPr>
          <w:rFonts w:ascii="Arial" w:eastAsiaTheme="minorHAnsi" w:hAnsi="Arial" w:cstheme="minorBidi"/>
          <w:color w:val="auto"/>
          <w:kern w:val="2"/>
          <w:sz w:val="22"/>
          <w:szCs w:val="22"/>
          <w:lang w:val="en-GB"/>
          <w14:ligatures w14:val="standardContextual"/>
        </w:rPr>
        <w:id w:val="-267855917"/>
        <w:docPartObj>
          <w:docPartGallery w:val="Table of Contents"/>
          <w:docPartUnique/>
        </w:docPartObj>
      </w:sdtPr>
      <w:sdtEndPr>
        <w:rPr>
          <w:b/>
          <w:bCs/>
          <w:noProof/>
        </w:rPr>
      </w:sdtEndPr>
      <w:sdtContent>
        <w:p w14:paraId="01DE82CB" w14:textId="3BA30508" w:rsidR="00B03DAC" w:rsidRPr="00B03DAC" w:rsidRDefault="00B03DAC" w:rsidP="00B03DAC">
          <w:pPr>
            <w:pStyle w:val="TOCHeading"/>
            <w:jc w:val="center"/>
            <w:rPr>
              <w:rFonts w:ascii="Arial" w:hAnsi="Arial" w:cs="Arial"/>
            </w:rPr>
          </w:pPr>
          <w:r w:rsidRPr="00B03DAC">
            <w:rPr>
              <w:rFonts w:ascii="Arial" w:hAnsi="Arial" w:cs="Arial"/>
            </w:rPr>
            <w:t>Contents</w:t>
          </w:r>
        </w:p>
        <w:p w14:paraId="64851C2B" w14:textId="54971B9F" w:rsidR="00EF19A2" w:rsidRDefault="00B03DAC">
          <w:pPr>
            <w:pStyle w:val="TOC1"/>
            <w:tabs>
              <w:tab w:val="right" w:leader="dot" w:pos="9016"/>
            </w:tabs>
            <w:rPr>
              <w:rFonts w:asciiTheme="minorHAnsi" w:eastAsiaTheme="minorEastAsia" w:hAnsiTheme="minorHAnsi"/>
              <w:noProof/>
              <w:sz w:val="24"/>
              <w:szCs w:val="24"/>
              <w:lang w:eastAsia="en-GB"/>
            </w:rPr>
          </w:pPr>
          <w:r>
            <w:fldChar w:fldCharType="begin"/>
          </w:r>
          <w:r>
            <w:instrText xml:space="preserve"> TOC \o "1-3" \h \z \u </w:instrText>
          </w:r>
          <w:r>
            <w:fldChar w:fldCharType="separate"/>
          </w:r>
          <w:hyperlink w:anchor="_Toc223225186" w:history="1">
            <w:r w:rsidR="00EF19A2" w:rsidRPr="00AD4143">
              <w:rPr>
                <w:rStyle w:val="Hyperlink"/>
                <w:noProof/>
              </w:rPr>
              <w:t>Executive Summary</w:t>
            </w:r>
            <w:r w:rsidR="00EF19A2">
              <w:rPr>
                <w:noProof/>
                <w:webHidden/>
              </w:rPr>
              <w:tab/>
            </w:r>
            <w:r w:rsidR="00EF19A2">
              <w:rPr>
                <w:noProof/>
                <w:webHidden/>
              </w:rPr>
              <w:fldChar w:fldCharType="begin"/>
            </w:r>
            <w:r w:rsidR="00EF19A2">
              <w:rPr>
                <w:noProof/>
                <w:webHidden/>
              </w:rPr>
              <w:instrText xml:space="preserve"> PAGEREF _Toc223225186 \h </w:instrText>
            </w:r>
            <w:r w:rsidR="00EF19A2">
              <w:rPr>
                <w:noProof/>
                <w:webHidden/>
              </w:rPr>
            </w:r>
            <w:r w:rsidR="00EF19A2">
              <w:rPr>
                <w:noProof/>
                <w:webHidden/>
              </w:rPr>
              <w:fldChar w:fldCharType="separate"/>
            </w:r>
            <w:r w:rsidR="00260EC0">
              <w:rPr>
                <w:noProof/>
                <w:webHidden/>
              </w:rPr>
              <w:t>2</w:t>
            </w:r>
            <w:r w:rsidR="00EF19A2">
              <w:rPr>
                <w:noProof/>
                <w:webHidden/>
              </w:rPr>
              <w:fldChar w:fldCharType="end"/>
            </w:r>
          </w:hyperlink>
        </w:p>
        <w:p w14:paraId="619679A2" w14:textId="46931564" w:rsidR="00EF19A2" w:rsidRDefault="00EF19A2">
          <w:pPr>
            <w:pStyle w:val="TOC1"/>
            <w:tabs>
              <w:tab w:val="right" w:leader="dot" w:pos="9016"/>
            </w:tabs>
            <w:rPr>
              <w:rFonts w:asciiTheme="minorHAnsi" w:eastAsiaTheme="minorEastAsia" w:hAnsiTheme="minorHAnsi"/>
              <w:noProof/>
              <w:sz w:val="24"/>
              <w:szCs w:val="24"/>
              <w:lang w:eastAsia="en-GB"/>
            </w:rPr>
          </w:pPr>
          <w:hyperlink w:anchor="_Toc223225187" w:history="1">
            <w:r w:rsidRPr="00AD4143">
              <w:rPr>
                <w:rStyle w:val="Hyperlink"/>
                <w:noProof/>
              </w:rPr>
              <w:t>1. Introduction</w:t>
            </w:r>
            <w:r>
              <w:rPr>
                <w:noProof/>
                <w:webHidden/>
              </w:rPr>
              <w:tab/>
            </w:r>
            <w:r>
              <w:rPr>
                <w:noProof/>
                <w:webHidden/>
              </w:rPr>
              <w:fldChar w:fldCharType="begin"/>
            </w:r>
            <w:r>
              <w:rPr>
                <w:noProof/>
                <w:webHidden/>
              </w:rPr>
              <w:instrText xml:space="preserve"> PAGEREF _Toc223225187 \h </w:instrText>
            </w:r>
            <w:r>
              <w:rPr>
                <w:noProof/>
                <w:webHidden/>
              </w:rPr>
            </w:r>
            <w:r>
              <w:rPr>
                <w:noProof/>
                <w:webHidden/>
              </w:rPr>
              <w:fldChar w:fldCharType="separate"/>
            </w:r>
            <w:r w:rsidR="00260EC0">
              <w:rPr>
                <w:noProof/>
                <w:webHidden/>
              </w:rPr>
              <w:t>4</w:t>
            </w:r>
            <w:r>
              <w:rPr>
                <w:noProof/>
                <w:webHidden/>
              </w:rPr>
              <w:fldChar w:fldCharType="end"/>
            </w:r>
          </w:hyperlink>
        </w:p>
        <w:p w14:paraId="64C517C9" w14:textId="4F4072D0" w:rsidR="00EF19A2" w:rsidRDefault="00EF19A2">
          <w:pPr>
            <w:pStyle w:val="TOC1"/>
            <w:tabs>
              <w:tab w:val="right" w:leader="dot" w:pos="9016"/>
            </w:tabs>
            <w:rPr>
              <w:rFonts w:asciiTheme="minorHAnsi" w:eastAsiaTheme="minorEastAsia" w:hAnsiTheme="minorHAnsi"/>
              <w:noProof/>
              <w:sz w:val="24"/>
              <w:szCs w:val="24"/>
              <w:lang w:eastAsia="en-GB"/>
            </w:rPr>
          </w:pPr>
          <w:hyperlink w:anchor="_Toc223225188" w:history="1">
            <w:r w:rsidRPr="00AD4143">
              <w:rPr>
                <w:rStyle w:val="Hyperlink"/>
                <w:noProof/>
              </w:rPr>
              <w:t>2. Strategy Analysis</w:t>
            </w:r>
            <w:r>
              <w:rPr>
                <w:noProof/>
                <w:webHidden/>
              </w:rPr>
              <w:tab/>
            </w:r>
            <w:r>
              <w:rPr>
                <w:noProof/>
                <w:webHidden/>
              </w:rPr>
              <w:fldChar w:fldCharType="begin"/>
            </w:r>
            <w:r>
              <w:rPr>
                <w:noProof/>
                <w:webHidden/>
              </w:rPr>
              <w:instrText xml:space="preserve"> PAGEREF _Toc223225188 \h </w:instrText>
            </w:r>
            <w:r>
              <w:rPr>
                <w:noProof/>
                <w:webHidden/>
              </w:rPr>
            </w:r>
            <w:r>
              <w:rPr>
                <w:noProof/>
                <w:webHidden/>
              </w:rPr>
              <w:fldChar w:fldCharType="separate"/>
            </w:r>
            <w:r w:rsidR="00260EC0">
              <w:rPr>
                <w:noProof/>
                <w:webHidden/>
              </w:rPr>
              <w:t>4</w:t>
            </w:r>
            <w:r>
              <w:rPr>
                <w:noProof/>
                <w:webHidden/>
              </w:rPr>
              <w:fldChar w:fldCharType="end"/>
            </w:r>
          </w:hyperlink>
        </w:p>
        <w:p w14:paraId="782E7559" w14:textId="014F496D" w:rsidR="00EF19A2" w:rsidRDefault="00EF19A2">
          <w:pPr>
            <w:pStyle w:val="TOC2"/>
            <w:tabs>
              <w:tab w:val="right" w:leader="dot" w:pos="9016"/>
            </w:tabs>
            <w:rPr>
              <w:rFonts w:asciiTheme="minorHAnsi" w:eastAsiaTheme="minorEastAsia" w:hAnsiTheme="minorHAnsi"/>
              <w:noProof/>
              <w:sz w:val="24"/>
              <w:szCs w:val="24"/>
              <w:lang w:eastAsia="en-GB"/>
            </w:rPr>
          </w:pPr>
          <w:hyperlink w:anchor="_Toc223225189" w:history="1">
            <w:r w:rsidRPr="00AD4143">
              <w:rPr>
                <w:rStyle w:val="Hyperlink"/>
                <w:noProof/>
              </w:rPr>
              <w:t>2.1 External Environment Audit</w:t>
            </w:r>
            <w:r>
              <w:rPr>
                <w:noProof/>
                <w:webHidden/>
              </w:rPr>
              <w:tab/>
            </w:r>
            <w:r>
              <w:rPr>
                <w:noProof/>
                <w:webHidden/>
              </w:rPr>
              <w:fldChar w:fldCharType="begin"/>
            </w:r>
            <w:r>
              <w:rPr>
                <w:noProof/>
                <w:webHidden/>
              </w:rPr>
              <w:instrText xml:space="preserve"> PAGEREF _Toc223225189 \h </w:instrText>
            </w:r>
            <w:r>
              <w:rPr>
                <w:noProof/>
                <w:webHidden/>
              </w:rPr>
            </w:r>
            <w:r>
              <w:rPr>
                <w:noProof/>
                <w:webHidden/>
              </w:rPr>
              <w:fldChar w:fldCharType="separate"/>
            </w:r>
            <w:r w:rsidR="00260EC0">
              <w:rPr>
                <w:noProof/>
                <w:webHidden/>
              </w:rPr>
              <w:t>4</w:t>
            </w:r>
            <w:r>
              <w:rPr>
                <w:noProof/>
                <w:webHidden/>
              </w:rPr>
              <w:fldChar w:fldCharType="end"/>
            </w:r>
          </w:hyperlink>
        </w:p>
        <w:p w14:paraId="2958D6C9" w14:textId="11153E85" w:rsidR="00EF19A2" w:rsidRDefault="00EF19A2">
          <w:pPr>
            <w:pStyle w:val="TOC2"/>
            <w:tabs>
              <w:tab w:val="right" w:leader="dot" w:pos="9016"/>
            </w:tabs>
            <w:rPr>
              <w:rFonts w:asciiTheme="minorHAnsi" w:eastAsiaTheme="minorEastAsia" w:hAnsiTheme="minorHAnsi"/>
              <w:noProof/>
              <w:sz w:val="24"/>
              <w:szCs w:val="24"/>
              <w:lang w:eastAsia="en-GB"/>
            </w:rPr>
          </w:pPr>
          <w:hyperlink w:anchor="_Toc223225190" w:history="1">
            <w:r w:rsidRPr="00AD4143">
              <w:rPr>
                <w:rStyle w:val="Hyperlink"/>
                <w:noProof/>
              </w:rPr>
              <w:t>2.2 Internal Environment Audit</w:t>
            </w:r>
            <w:r>
              <w:rPr>
                <w:noProof/>
                <w:webHidden/>
              </w:rPr>
              <w:tab/>
            </w:r>
            <w:r>
              <w:rPr>
                <w:noProof/>
                <w:webHidden/>
              </w:rPr>
              <w:fldChar w:fldCharType="begin"/>
            </w:r>
            <w:r>
              <w:rPr>
                <w:noProof/>
                <w:webHidden/>
              </w:rPr>
              <w:instrText xml:space="preserve"> PAGEREF _Toc223225190 \h </w:instrText>
            </w:r>
            <w:r>
              <w:rPr>
                <w:noProof/>
                <w:webHidden/>
              </w:rPr>
            </w:r>
            <w:r>
              <w:rPr>
                <w:noProof/>
                <w:webHidden/>
              </w:rPr>
              <w:fldChar w:fldCharType="separate"/>
            </w:r>
            <w:r w:rsidR="00260EC0">
              <w:rPr>
                <w:noProof/>
                <w:webHidden/>
              </w:rPr>
              <w:t>6</w:t>
            </w:r>
            <w:r>
              <w:rPr>
                <w:noProof/>
                <w:webHidden/>
              </w:rPr>
              <w:fldChar w:fldCharType="end"/>
            </w:r>
          </w:hyperlink>
        </w:p>
        <w:p w14:paraId="5034B5CF" w14:textId="2B8D9D4B" w:rsidR="00EF19A2" w:rsidRDefault="00EF19A2">
          <w:pPr>
            <w:pStyle w:val="TOC2"/>
            <w:tabs>
              <w:tab w:val="right" w:leader="dot" w:pos="9016"/>
            </w:tabs>
            <w:rPr>
              <w:rFonts w:asciiTheme="minorHAnsi" w:eastAsiaTheme="minorEastAsia" w:hAnsiTheme="minorHAnsi"/>
              <w:noProof/>
              <w:sz w:val="24"/>
              <w:szCs w:val="24"/>
              <w:lang w:eastAsia="en-GB"/>
            </w:rPr>
          </w:pPr>
          <w:hyperlink w:anchor="_Toc223225191" w:history="1">
            <w:r w:rsidRPr="00AD4143">
              <w:rPr>
                <w:rStyle w:val="Hyperlink"/>
                <w:noProof/>
              </w:rPr>
              <w:t>2.3 SWOT Analysis</w:t>
            </w:r>
            <w:r>
              <w:rPr>
                <w:noProof/>
                <w:webHidden/>
              </w:rPr>
              <w:tab/>
            </w:r>
            <w:r>
              <w:rPr>
                <w:noProof/>
                <w:webHidden/>
              </w:rPr>
              <w:fldChar w:fldCharType="begin"/>
            </w:r>
            <w:r>
              <w:rPr>
                <w:noProof/>
                <w:webHidden/>
              </w:rPr>
              <w:instrText xml:space="preserve"> PAGEREF _Toc223225191 \h </w:instrText>
            </w:r>
            <w:r>
              <w:rPr>
                <w:noProof/>
                <w:webHidden/>
              </w:rPr>
            </w:r>
            <w:r>
              <w:rPr>
                <w:noProof/>
                <w:webHidden/>
              </w:rPr>
              <w:fldChar w:fldCharType="separate"/>
            </w:r>
            <w:r w:rsidR="00260EC0">
              <w:rPr>
                <w:noProof/>
                <w:webHidden/>
              </w:rPr>
              <w:t>9</w:t>
            </w:r>
            <w:r>
              <w:rPr>
                <w:noProof/>
                <w:webHidden/>
              </w:rPr>
              <w:fldChar w:fldCharType="end"/>
            </w:r>
          </w:hyperlink>
        </w:p>
        <w:p w14:paraId="112FA968" w14:textId="5A6D8AF5" w:rsidR="00EF19A2" w:rsidRDefault="00EF19A2">
          <w:pPr>
            <w:pStyle w:val="TOC1"/>
            <w:tabs>
              <w:tab w:val="right" w:leader="dot" w:pos="9016"/>
            </w:tabs>
            <w:rPr>
              <w:rFonts w:asciiTheme="minorHAnsi" w:eastAsiaTheme="minorEastAsia" w:hAnsiTheme="minorHAnsi"/>
              <w:noProof/>
              <w:sz w:val="24"/>
              <w:szCs w:val="24"/>
              <w:lang w:eastAsia="en-GB"/>
            </w:rPr>
          </w:pPr>
          <w:hyperlink w:anchor="_Toc223225192" w:history="1">
            <w:r w:rsidRPr="00AD4143">
              <w:rPr>
                <w:rStyle w:val="Hyperlink"/>
                <w:noProof/>
              </w:rPr>
              <w:t>3. Strategy Formulation</w:t>
            </w:r>
            <w:r>
              <w:rPr>
                <w:noProof/>
                <w:webHidden/>
              </w:rPr>
              <w:tab/>
            </w:r>
            <w:r>
              <w:rPr>
                <w:noProof/>
                <w:webHidden/>
              </w:rPr>
              <w:fldChar w:fldCharType="begin"/>
            </w:r>
            <w:r>
              <w:rPr>
                <w:noProof/>
                <w:webHidden/>
              </w:rPr>
              <w:instrText xml:space="preserve"> PAGEREF _Toc223225192 \h </w:instrText>
            </w:r>
            <w:r>
              <w:rPr>
                <w:noProof/>
                <w:webHidden/>
              </w:rPr>
            </w:r>
            <w:r>
              <w:rPr>
                <w:noProof/>
                <w:webHidden/>
              </w:rPr>
              <w:fldChar w:fldCharType="separate"/>
            </w:r>
            <w:r w:rsidR="00260EC0">
              <w:rPr>
                <w:noProof/>
                <w:webHidden/>
              </w:rPr>
              <w:t>9</w:t>
            </w:r>
            <w:r>
              <w:rPr>
                <w:noProof/>
                <w:webHidden/>
              </w:rPr>
              <w:fldChar w:fldCharType="end"/>
            </w:r>
          </w:hyperlink>
        </w:p>
        <w:p w14:paraId="6C82C123" w14:textId="6D1F6B54" w:rsidR="00EF19A2" w:rsidRDefault="00EF19A2">
          <w:pPr>
            <w:pStyle w:val="TOC1"/>
            <w:tabs>
              <w:tab w:val="right" w:leader="dot" w:pos="9016"/>
            </w:tabs>
            <w:rPr>
              <w:rFonts w:asciiTheme="minorHAnsi" w:eastAsiaTheme="minorEastAsia" w:hAnsiTheme="minorHAnsi"/>
              <w:noProof/>
              <w:sz w:val="24"/>
              <w:szCs w:val="24"/>
              <w:lang w:eastAsia="en-GB"/>
            </w:rPr>
          </w:pPr>
          <w:hyperlink w:anchor="_Toc223225193" w:history="1">
            <w:r w:rsidRPr="00AD4143">
              <w:rPr>
                <w:rStyle w:val="Hyperlink"/>
                <w:noProof/>
              </w:rPr>
              <w:t>4. Conclusion and Recommendations</w:t>
            </w:r>
            <w:r>
              <w:rPr>
                <w:noProof/>
                <w:webHidden/>
              </w:rPr>
              <w:tab/>
            </w:r>
            <w:r>
              <w:rPr>
                <w:noProof/>
                <w:webHidden/>
              </w:rPr>
              <w:fldChar w:fldCharType="begin"/>
            </w:r>
            <w:r>
              <w:rPr>
                <w:noProof/>
                <w:webHidden/>
              </w:rPr>
              <w:instrText xml:space="preserve"> PAGEREF _Toc223225193 \h </w:instrText>
            </w:r>
            <w:r>
              <w:rPr>
                <w:noProof/>
                <w:webHidden/>
              </w:rPr>
            </w:r>
            <w:r>
              <w:rPr>
                <w:noProof/>
                <w:webHidden/>
              </w:rPr>
              <w:fldChar w:fldCharType="separate"/>
            </w:r>
            <w:r w:rsidR="00260EC0">
              <w:rPr>
                <w:noProof/>
                <w:webHidden/>
              </w:rPr>
              <w:t>11</w:t>
            </w:r>
            <w:r>
              <w:rPr>
                <w:noProof/>
                <w:webHidden/>
              </w:rPr>
              <w:fldChar w:fldCharType="end"/>
            </w:r>
          </w:hyperlink>
        </w:p>
        <w:p w14:paraId="6F384B0E" w14:textId="76EB761A" w:rsidR="00EF19A2" w:rsidRDefault="00EF19A2">
          <w:pPr>
            <w:pStyle w:val="TOC1"/>
            <w:tabs>
              <w:tab w:val="right" w:leader="dot" w:pos="9016"/>
            </w:tabs>
            <w:rPr>
              <w:rFonts w:asciiTheme="minorHAnsi" w:eastAsiaTheme="minorEastAsia" w:hAnsiTheme="minorHAnsi"/>
              <w:noProof/>
              <w:sz w:val="24"/>
              <w:szCs w:val="24"/>
              <w:lang w:eastAsia="en-GB"/>
            </w:rPr>
          </w:pPr>
          <w:hyperlink w:anchor="_Toc223225194" w:history="1">
            <w:r w:rsidRPr="00AD4143">
              <w:rPr>
                <w:rStyle w:val="Hyperlink"/>
                <w:noProof/>
              </w:rPr>
              <w:t>References</w:t>
            </w:r>
            <w:r>
              <w:rPr>
                <w:noProof/>
                <w:webHidden/>
              </w:rPr>
              <w:tab/>
            </w:r>
            <w:r>
              <w:rPr>
                <w:noProof/>
                <w:webHidden/>
              </w:rPr>
              <w:fldChar w:fldCharType="begin"/>
            </w:r>
            <w:r>
              <w:rPr>
                <w:noProof/>
                <w:webHidden/>
              </w:rPr>
              <w:instrText xml:space="preserve"> PAGEREF _Toc223225194 \h </w:instrText>
            </w:r>
            <w:r>
              <w:rPr>
                <w:noProof/>
                <w:webHidden/>
              </w:rPr>
            </w:r>
            <w:r>
              <w:rPr>
                <w:noProof/>
                <w:webHidden/>
              </w:rPr>
              <w:fldChar w:fldCharType="separate"/>
            </w:r>
            <w:r w:rsidR="00260EC0">
              <w:rPr>
                <w:noProof/>
                <w:webHidden/>
              </w:rPr>
              <w:t>12</w:t>
            </w:r>
            <w:r>
              <w:rPr>
                <w:noProof/>
                <w:webHidden/>
              </w:rPr>
              <w:fldChar w:fldCharType="end"/>
            </w:r>
          </w:hyperlink>
        </w:p>
        <w:p w14:paraId="504C5FD1" w14:textId="5DA4554A" w:rsidR="00B03DAC" w:rsidRDefault="00B03DAC">
          <w:r>
            <w:rPr>
              <w:b/>
              <w:bCs/>
              <w:noProof/>
            </w:rPr>
            <w:fldChar w:fldCharType="end"/>
          </w:r>
        </w:p>
      </w:sdtContent>
    </w:sdt>
    <w:p w14:paraId="7FC28180" w14:textId="1482A343" w:rsidR="006142F3" w:rsidRDefault="006142F3">
      <w:pPr>
        <w:spacing w:line="276" w:lineRule="auto"/>
        <w:jc w:val="left"/>
        <w:rPr>
          <w:b/>
          <w:bCs/>
        </w:rPr>
      </w:pPr>
      <w:r>
        <w:rPr>
          <w:b/>
          <w:bCs/>
        </w:rPr>
        <w:br w:type="page"/>
      </w:r>
    </w:p>
    <w:p w14:paraId="0B2A8A68" w14:textId="7739CEE1" w:rsidR="00661AC6" w:rsidRPr="00661AC6" w:rsidRDefault="00661AC6" w:rsidP="006142F3">
      <w:pPr>
        <w:pStyle w:val="Heading1"/>
      </w:pPr>
      <w:bookmarkStart w:id="1" w:name="_Toc223225187"/>
      <w:r w:rsidRPr="00661AC6">
        <w:lastRenderedPageBreak/>
        <w:t>1. Introduction</w:t>
      </w:r>
      <w:bookmarkEnd w:id="1"/>
    </w:p>
    <w:p w14:paraId="7A0C743F" w14:textId="66515F40" w:rsidR="00661AC6" w:rsidRPr="00661AC6" w:rsidRDefault="006D4D88" w:rsidP="00661AC6">
      <w:r>
        <w:t>S</w:t>
      </w:r>
      <w:r w:rsidR="00661AC6" w:rsidRPr="00661AC6">
        <w:t xml:space="preserve">trategic management assists organisations to cognise their environment, utilise resources efficiently and strategise long-term achievement in the competitive markets </w:t>
      </w:r>
      <w:r w:rsidR="00CF3615" w:rsidRPr="00CF3615">
        <w:t>(Johnson et al., 2011)</w:t>
      </w:r>
      <w:r w:rsidR="00661AC6" w:rsidRPr="00661AC6">
        <w:t xml:space="preserve">. Strategy is a very crucial part of the UK automotive industry since firms are currently experiencing the transition to electric vehicles, stringent environmental regulations, and evolving customer behaviour. </w:t>
      </w:r>
      <w:r w:rsidR="00661AC6" w:rsidRPr="006D4D88">
        <w:rPr>
          <w:b/>
          <w:bCs/>
        </w:rPr>
        <w:t>Vauxhall</w:t>
      </w:r>
      <w:r w:rsidR="00661AC6" w:rsidRPr="00661AC6">
        <w:t xml:space="preserve"> is an old brand of UK vehicles that was established in 1903, and currently, it belongs to the Stellantis car group. The organisation manufactures commercial vehicles and passenger cars in the UK. The vision of Vauxhall is to offer modern, affordable, and electric mobility to British customers. It is mission-driven to provide safe, innovative and zero-emission automobiles and contribute to the UK manufacturing. Its key goals will be the growth of electric vehicles, customer experience, and market share in the UK motor industry.</w:t>
      </w:r>
    </w:p>
    <w:p w14:paraId="4AD48521" w14:textId="3F0349A3" w:rsidR="00661AC6" w:rsidRPr="00661AC6" w:rsidRDefault="006142F3" w:rsidP="006142F3">
      <w:pPr>
        <w:pStyle w:val="Heading1"/>
      </w:pPr>
      <w:bookmarkStart w:id="2" w:name="_Toc223225188"/>
      <w:r>
        <w:t>2</w:t>
      </w:r>
      <w:r w:rsidR="00661AC6" w:rsidRPr="00661AC6">
        <w:t>. Strategy Analysis</w:t>
      </w:r>
      <w:bookmarkEnd w:id="2"/>
    </w:p>
    <w:p w14:paraId="560420B9" w14:textId="5B8C1E8D" w:rsidR="00661AC6" w:rsidRPr="00661AC6" w:rsidRDefault="006142F3" w:rsidP="006142F3">
      <w:pPr>
        <w:pStyle w:val="Heading2"/>
      </w:pPr>
      <w:bookmarkStart w:id="3" w:name="_Toc223225189"/>
      <w:r>
        <w:t>2</w:t>
      </w:r>
      <w:r w:rsidR="00661AC6" w:rsidRPr="00661AC6">
        <w:t>.1 External Environment Audit</w:t>
      </w:r>
      <w:bookmarkEnd w:id="3"/>
    </w:p>
    <w:p w14:paraId="77683BF6" w14:textId="77777777" w:rsidR="00661AC6" w:rsidRPr="00661AC6" w:rsidRDefault="00661AC6" w:rsidP="00661AC6">
      <w:r w:rsidRPr="00661AC6">
        <w:t>The external environment is significant to understand as it can enable a company to view risks and opportunities before making a strategic decision (Johnson, Scholes and Whittington, 2020). In the UK automobile market, Vauxhall is rapidly evolving with electric cars, new rules, and high competition in the world market.</w:t>
      </w:r>
    </w:p>
    <w:p w14:paraId="584BEB29" w14:textId="3B8882B5" w:rsidR="0021725B" w:rsidRDefault="00661AC6" w:rsidP="00661AC6">
      <w:pPr>
        <w:rPr>
          <w:b/>
          <w:bCs/>
        </w:rPr>
      </w:pPr>
      <w:r w:rsidRPr="00661AC6">
        <w:rPr>
          <w:b/>
          <w:bCs/>
        </w:rPr>
        <w:t>PESTLE Analysis</w:t>
      </w:r>
    </w:p>
    <w:p w14:paraId="6B9C7BDE" w14:textId="77777777" w:rsidR="007F6268" w:rsidRDefault="007F6268" w:rsidP="007F6268">
      <w:pPr>
        <w:keepNext/>
        <w:jc w:val="center"/>
      </w:pPr>
      <w:r>
        <w:rPr>
          <w:noProof/>
        </w:rPr>
        <w:drawing>
          <wp:inline distT="0" distB="0" distL="0" distR="0" wp14:anchorId="7867F3A3" wp14:editId="16D6FD7B">
            <wp:extent cx="4521200" cy="1983598"/>
            <wp:effectExtent l="0" t="0" r="0" b="0"/>
            <wp:docPr id="1294563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563638" name="Picture 1294563638"/>
                    <pic:cNvPicPr/>
                  </pic:nvPicPr>
                  <pic:blipFill rotWithShape="1">
                    <a:blip r:embed="rId9" cstate="print">
                      <a:extLst>
                        <a:ext uri="{28A0092B-C50C-407E-A947-70E740481C1C}">
                          <a14:useLocalDpi xmlns:a14="http://schemas.microsoft.com/office/drawing/2010/main" val="0"/>
                        </a:ext>
                      </a:extLst>
                    </a:blip>
                    <a:srcRect t="14947" b="12869"/>
                    <a:stretch>
                      <a:fillRect/>
                    </a:stretch>
                  </pic:blipFill>
                  <pic:spPr bwMode="auto">
                    <a:xfrm>
                      <a:off x="0" y="0"/>
                      <a:ext cx="4524059" cy="1984852"/>
                    </a:xfrm>
                    <a:prstGeom prst="rect">
                      <a:avLst/>
                    </a:prstGeom>
                    <a:ln>
                      <a:noFill/>
                    </a:ln>
                    <a:extLst>
                      <a:ext uri="{53640926-AAD7-44D8-BBD7-CCE9431645EC}">
                        <a14:shadowObscured xmlns:a14="http://schemas.microsoft.com/office/drawing/2010/main"/>
                      </a:ext>
                    </a:extLst>
                  </pic:spPr>
                </pic:pic>
              </a:graphicData>
            </a:graphic>
          </wp:inline>
        </w:drawing>
      </w:r>
    </w:p>
    <w:p w14:paraId="7F91B7B4" w14:textId="0AC02719" w:rsidR="007F6268" w:rsidRPr="00D52312" w:rsidRDefault="007F6268" w:rsidP="007F6268">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xml:space="preserve">: </w:t>
      </w:r>
      <w:r w:rsidRPr="007F6268">
        <w:t>PESTLE Analysis</w:t>
      </w:r>
      <w:r w:rsidR="00F20F56">
        <w:t xml:space="preserve"> </w:t>
      </w:r>
      <w:r w:rsidR="00F20F56" w:rsidRPr="00F20F56">
        <w:t>(Birkinshaw, 2022)</w:t>
      </w:r>
    </w:p>
    <w:tbl>
      <w:tblPr>
        <w:tblStyle w:val="TableGrid"/>
        <w:tblW w:w="0" w:type="auto"/>
        <w:tblLook w:val="04A0" w:firstRow="1" w:lastRow="0" w:firstColumn="1" w:lastColumn="0" w:noHBand="0" w:noVBand="1"/>
      </w:tblPr>
      <w:tblGrid>
        <w:gridCol w:w="1745"/>
        <w:gridCol w:w="7271"/>
      </w:tblGrid>
      <w:tr w:rsidR="0021725B" w:rsidRPr="0021725B" w14:paraId="3D93055A" w14:textId="77777777" w:rsidTr="007F6268">
        <w:tc>
          <w:tcPr>
            <w:tcW w:w="0" w:type="auto"/>
            <w:shd w:val="clear" w:color="auto" w:fill="D9D9D9" w:themeFill="background1" w:themeFillShade="D9"/>
            <w:hideMark/>
          </w:tcPr>
          <w:p w14:paraId="738959C2" w14:textId="77777777" w:rsidR="0021725B" w:rsidRPr="0021725B" w:rsidRDefault="0021725B" w:rsidP="0021725B">
            <w:pPr>
              <w:spacing w:after="200"/>
              <w:rPr>
                <w:b/>
                <w:bCs/>
              </w:rPr>
            </w:pPr>
            <w:r w:rsidRPr="0021725B">
              <w:rPr>
                <w:b/>
                <w:bCs/>
              </w:rPr>
              <w:t>Factor</w:t>
            </w:r>
          </w:p>
        </w:tc>
        <w:tc>
          <w:tcPr>
            <w:tcW w:w="0" w:type="auto"/>
            <w:shd w:val="clear" w:color="auto" w:fill="D9D9D9" w:themeFill="background1" w:themeFillShade="D9"/>
            <w:hideMark/>
          </w:tcPr>
          <w:p w14:paraId="77456DD2" w14:textId="77777777" w:rsidR="0021725B" w:rsidRPr="0021725B" w:rsidRDefault="0021725B" w:rsidP="007F6268">
            <w:pPr>
              <w:spacing w:after="200"/>
              <w:jc w:val="center"/>
              <w:rPr>
                <w:b/>
                <w:bCs/>
              </w:rPr>
            </w:pPr>
            <w:r w:rsidRPr="0021725B">
              <w:rPr>
                <w:b/>
                <w:bCs/>
              </w:rPr>
              <w:t>Impact on Vauxhall</w:t>
            </w:r>
          </w:p>
        </w:tc>
      </w:tr>
      <w:tr w:rsidR="00661AC6" w:rsidRPr="0021725B" w14:paraId="1A8CAC1B" w14:textId="77777777" w:rsidTr="0021725B">
        <w:tc>
          <w:tcPr>
            <w:tcW w:w="0" w:type="auto"/>
            <w:hideMark/>
          </w:tcPr>
          <w:p w14:paraId="4C413578" w14:textId="77777777" w:rsidR="00661AC6" w:rsidRPr="0021725B" w:rsidRDefault="00661AC6" w:rsidP="00661AC6">
            <w:pPr>
              <w:spacing w:after="200"/>
            </w:pPr>
            <w:r w:rsidRPr="0021725B">
              <w:rPr>
                <w:b/>
                <w:bCs/>
              </w:rPr>
              <w:t>Political</w:t>
            </w:r>
          </w:p>
        </w:tc>
        <w:tc>
          <w:tcPr>
            <w:tcW w:w="0" w:type="auto"/>
            <w:hideMark/>
          </w:tcPr>
          <w:p w14:paraId="7CAD2C62" w14:textId="58788139" w:rsidR="00661AC6" w:rsidRPr="0021725B" w:rsidRDefault="00661AC6" w:rsidP="00661AC6">
            <w:pPr>
              <w:spacing w:after="200"/>
            </w:pPr>
            <w:r w:rsidRPr="004524BA">
              <w:t xml:space="preserve">The UK government is expected to prohibit petrol and diesel vehicles by 2035. This compels Vauxhall to produce more electric vehicles (EVs) </w:t>
            </w:r>
            <w:r w:rsidR="00CF3615" w:rsidRPr="00CF3615">
              <w:t xml:space="preserve">(UK </w:t>
            </w:r>
            <w:r w:rsidR="00CF3615" w:rsidRPr="00CF3615">
              <w:lastRenderedPageBreak/>
              <w:t>Government, 2023)</w:t>
            </w:r>
            <w:r w:rsidRPr="004524BA">
              <w:t>. The costs of supply chains were also improved by trade concerns following Brexit.</w:t>
            </w:r>
          </w:p>
        </w:tc>
      </w:tr>
      <w:tr w:rsidR="00661AC6" w:rsidRPr="0021725B" w14:paraId="7F673152" w14:textId="77777777" w:rsidTr="0021725B">
        <w:tc>
          <w:tcPr>
            <w:tcW w:w="0" w:type="auto"/>
            <w:hideMark/>
          </w:tcPr>
          <w:p w14:paraId="21B34F11" w14:textId="77777777" w:rsidR="00661AC6" w:rsidRPr="0021725B" w:rsidRDefault="00661AC6" w:rsidP="00661AC6">
            <w:pPr>
              <w:spacing w:after="200"/>
            </w:pPr>
            <w:r w:rsidRPr="0021725B">
              <w:rPr>
                <w:b/>
                <w:bCs/>
              </w:rPr>
              <w:lastRenderedPageBreak/>
              <w:t>Economic</w:t>
            </w:r>
          </w:p>
        </w:tc>
        <w:tc>
          <w:tcPr>
            <w:tcW w:w="0" w:type="auto"/>
            <w:hideMark/>
          </w:tcPr>
          <w:p w14:paraId="76ED0F0C" w14:textId="35295569" w:rsidR="00661AC6" w:rsidRPr="0021725B" w:rsidRDefault="00661AC6" w:rsidP="00661AC6">
            <w:pPr>
              <w:spacing w:after="200"/>
            </w:pPr>
            <w:r w:rsidRPr="004524BA">
              <w:t>The production cost at the UK factories was raised due to inflation and increased energy prices. Meanwhile, the demand for EVs is increasing, and new market opportunities are emerging (SMMT, 2024).</w:t>
            </w:r>
          </w:p>
        </w:tc>
      </w:tr>
      <w:tr w:rsidR="00661AC6" w:rsidRPr="0021725B" w14:paraId="1C2FBCA7" w14:textId="77777777" w:rsidTr="0021725B">
        <w:tc>
          <w:tcPr>
            <w:tcW w:w="0" w:type="auto"/>
            <w:hideMark/>
          </w:tcPr>
          <w:p w14:paraId="34DC21A2" w14:textId="77777777" w:rsidR="00661AC6" w:rsidRPr="0021725B" w:rsidRDefault="00661AC6" w:rsidP="00661AC6">
            <w:pPr>
              <w:spacing w:after="200"/>
            </w:pPr>
            <w:r w:rsidRPr="0021725B">
              <w:rPr>
                <w:b/>
                <w:bCs/>
              </w:rPr>
              <w:t>Social</w:t>
            </w:r>
          </w:p>
        </w:tc>
        <w:tc>
          <w:tcPr>
            <w:tcW w:w="0" w:type="auto"/>
            <w:hideMark/>
          </w:tcPr>
          <w:p w14:paraId="7C030DA7" w14:textId="5B5B1C16" w:rsidR="00661AC6" w:rsidRPr="0021725B" w:rsidRDefault="00661AC6" w:rsidP="00661AC6">
            <w:pPr>
              <w:spacing w:after="200"/>
            </w:pPr>
            <w:r w:rsidRPr="004524BA">
              <w:t>Customers have shifted their favour to eco-friendly cars as well as digital services. Young customers follow the EV technology and online shopping solutions (Deloitte, 2024).</w:t>
            </w:r>
          </w:p>
        </w:tc>
      </w:tr>
      <w:tr w:rsidR="00661AC6" w:rsidRPr="0021725B" w14:paraId="3BFDBA63" w14:textId="77777777" w:rsidTr="0021725B">
        <w:tc>
          <w:tcPr>
            <w:tcW w:w="0" w:type="auto"/>
            <w:hideMark/>
          </w:tcPr>
          <w:p w14:paraId="6E65053E" w14:textId="77777777" w:rsidR="00661AC6" w:rsidRPr="0021725B" w:rsidRDefault="00661AC6" w:rsidP="00661AC6">
            <w:pPr>
              <w:spacing w:after="200"/>
            </w:pPr>
            <w:r w:rsidRPr="0021725B">
              <w:rPr>
                <w:b/>
                <w:bCs/>
              </w:rPr>
              <w:t>Technological</w:t>
            </w:r>
          </w:p>
        </w:tc>
        <w:tc>
          <w:tcPr>
            <w:tcW w:w="0" w:type="auto"/>
            <w:hideMark/>
          </w:tcPr>
          <w:p w14:paraId="34870CAB" w14:textId="4DE98EE4" w:rsidR="00661AC6" w:rsidRPr="0021725B" w:rsidRDefault="00661AC6" w:rsidP="00661AC6">
            <w:pPr>
              <w:spacing w:after="200"/>
            </w:pPr>
            <w:r w:rsidRPr="004524BA">
              <w:t>Wireless innovation in batteries, software, and autonomous driving implies that Vauxhall has to invest in research. Other rivals such as Tesla and Volkswagen are setting the pace in EV technology (ACEA, 202</w:t>
            </w:r>
            <w:r w:rsidR="00CF3615">
              <w:t>5</w:t>
            </w:r>
            <w:r w:rsidRPr="004524BA">
              <w:t>).</w:t>
            </w:r>
          </w:p>
        </w:tc>
      </w:tr>
      <w:tr w:rsidR="00661AC6" w:rsidRPr="0021725B" w14:paraId="75594EC9" w14:textId="77777777" w:rsidTr="0021725B">
        <w:tc>
          <w:tcPr>
            <w:tcW w:w="0" w:type="auto"/>
            <w:hideMark/>
          </w:tcPr>
          <w:p w14:paraId="0FE43FA2" w14:textId="77777777" w:rsidR="00661AC6" w:rsidRPr="0021725B" w:rsidRDefault="00661AC6" w:rsidP="00661AC6">
            <w:pPr>
              <w:spacing w:after="200"/>
            </w:pPr>
            <w:r w:rsidRPr="0021725B">
              <w:rPr>
                <w:b/>
                <w:bCs/>
              </w:rPr>
              <w:t>Legal</w:t>
            </w:r>
          </w:p>
        </w:tc>
        <w:tc>
          <w:tcPr>
            <w:tcW w:w="0" w:type="auto"/>
            <w:hideMark/>
          </w:tcPr>
          <w:p w14:paraId="4269F142" w14:textId="013A6D1C" w:rsidR="00661AC6" w:rsidRPr="0021725B" w:rsidRDefault="00661AC6" w:rsidP="00661AC6">
            <w:pPr>
              <w:spacing w:after="200"/>
            </w:pPr>
            <w:r w:rsidRPr="004524BA">
              <w:t>The emission regulations and safety standards raise the compliance costs; however, they push innovation (European Commission, 202</w:t>
            </w:r>
            <w:r w:rsidR="00CF3615">
              <w:t>4</w:t>
            </w:r>
            <w:r w:rsidRPr="004524BA">
              <w:t>).</w:t>
            </w:r>
          </w:p>
        </w:tc>
      </w:tr>
      <w:tr w:rsidR="00661AC6" w:rsidRPr="0021725B" w14:paraId="08717461" w14:textId="77777777" w:rsidTr="0021725B">
        <w:tc>
          <w:tcPr>
            <w:tcW w:w="0" w:type="auto"/>
            <w:hideMark/>
          </w:tcPr>
          <w:p w14:paraId="7E305EBD" w14:textId="77777777" w:rsidR="00661AC6" w:rsidRPr="0021725B" w:rsidRDefault="00661AC6" w:rsidP="00661AC6">
            <w:pPr>
              <w:spacing w:after="200"/>
            </w:pPr>
            <w:r w:rsidRPr="0021725B">
              <w:rPr>
                <w:b/>
                <w:bCs/>
              </w:rPr>
              <w:t>Environmental</w:t>
            </w:r>
          </w:p>
        </w:tc>
        <w:tc>
          <w:tcPr>
            <w:tcW w:w="0" w:type="auto"/>
            <w:hideMark/>
          </w:tcPr>
          <w:p w14:paraId="20AF8441" w14:textId="73EE4073" w:rsidR="00661AC6" w:rsidRPr="0021725B" w:rsidRDefault="00661AC6" w:rsidP="00661AC6">
            <w:pPr>
              <w:spacing w:after="200"/>
            </w:pPr>
            <w:r w:rsidRPr="004524BA">
              <w:t>The policies on climate change favour low-carbon vehicles. Vauxhall needs to cut carbon emissions during the production and supply chain (Stellantis, 2024).</w:t>
            </w:r>
          </w:p>
        </w:tc>
      </w:tr>
    </w:tbl>
    <w:p w14:paraId="640A6D5B" w14:textId="77777777" w:rsidR="00661AC6" w:rsidRDefault="00661AC6" w:rsidP="0021725B"/>
    <w:p w14:paraId="45CD6E84" w14:textId="77777777" w:rsidR="00661AC6" w:rsidRPr="00661AC6" w:rsidRDefault="00661AC6" w:rsidP="00661AC6">
      <w:r w:rsidRPr="00661AC6">
        <w:t>According to the PESTLE analysis, the largest sources of strategy in the UK automotive industry are the environmental regulations and technological change.</w:t>
      </w:r>
    </w:p>
    <w:p w14:paraId="1AF30194" w14:textId="7F0B255A" w:rsidR="0021725B" w:rsidRDefault="00661AC6" w:rsidP="00661AC6">
      <w:pPr>
        <w:rPr>
          <w:b/>
          <w:bCs/>
        </w:rPr>
      </w:pPr>
      <w:r w:rsidRPr="00661AC6">
        <w:rPr>
          <w:b/>
          <w:bCs/>
        </w:rPr>
        <w:t>Porter's Five Forces Analysis</w:t>
      </w:r>
    </w:p>
    <w:p w14:paraId="64CE16E4" w14:textId="77777777" w:rsidR="007F6268" w:rsidRDefault="007F6268" w:rsidP="007F6268">
      <w:pPr>
        <w:keepNext/>
        <w:jc w:val="center"/>
      </w:pPr>
      <w:r>
        <w:rPr>
          <w:noProof/>
        </w:rPr>
        <w:drawing>
          <wp:inline distT="0" distB="0" distL="0" distR="0" wp14:anchorId="056D2580" wp14:editId="584E17BC">
            <wp:extent cx="2260600" cy="2260600"/>
            <wp:effectExtent l="0" t="0" r="6350" b="6350"/>
            <wp:docPr id="5041581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158159" name="Picture 50415815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60600" cy="2260600"/>
                    </a:xfrm>
                    <a:prstGeom prst="rect">
                      <a:avLst/>
                    </a:prstGeom>
                  </pic:spPr>
                </pic:pic>
              </a:graphicData>
            </a:graphic>
          </wp:inline>
        </w:drawing>
      </w:r>
    </w:p>
    <w:p w14:paraId="28256A45" w14:textId="3D577286" w:rsidR="007F6268" w:rsidRPr="00D52312" w:rsidRDefault="007F6268" w:rsidP="007F6268">
      <w:pPr>
        <w:pStyle w:val="Caption"/>
        <w:jc w:val="center"/>
      </w:pPr>
      <w:r>
        <w:t xml:space="preserve">Figure </w:t>
      </w:r>
      <w:r>
        <w:fldChar w:fldCharType="begin"/>
      </w:r>
      <w:r>
        <w:instrText xml:space="preserve"> SEQ Figure \* ARABIC </w:instrText>
      </w:r>
      <w:r>
        <w:fldChar w:fldCharType="separate"/>
      </w:r>
      <w:r>
        <w:rPr>
          <w:noProof/>
        </w:rPr>
        <w:t>2</w:t>
      </w:r>
      <w:r>
        <w:fldChar w:fldCharType="end"/>
      </w:r>
      <w:r>
        <w:t xml:space="preserve">: </w:t>
      </w:r>
      <w:r w:rsidRPr="007F6268">
        <w:t>Porter's Five Forces</w:t>
      </w:r>
      <w:r w:rsidR="00F20F56">
        <w:t xml:space="preserve"> </w:t>
      </w:r>
      <w:r w:rsidR="00F20F56" w:rsidRPr="00F20F56">
        <w:t>(Rothaermel, 2024)</w:t>
      </w:r>
    </w:p>
    <w:tbl>
      <w:tblPr>
        <w:tblStyle w:val="TableGrid"/>
        <w:tblW w:w="0" w:type="auto"/>
        <w:tblLook w:val="04A0" w:firstRow="1" w:lastRow="0" w:firstColumn="1" w:lastColumn="0" w:noHBand="0" w:noVBand="1"/>
      </w:tblPr>
      <w:tblGrid>
        <w:gridCol w:w="1685"/>
        <w:gridCol w:w="1030"/>
        <w:gridCol w:w="6301"/>
      </w:tblGrid>
      <w:tr w:rsidR="0021725B" w:rsidRPr="0021725B" w14:paraId="6D4917DC" w14:textId="77777777" w:rsidTr="007F6268">
        <w:tc>
          <w:tcPr>
            <w:tcW w:w="0" w:type="auto"/>
            <w:shd w:val="clear" w:color="auto" w:fill="D9D9D9" w:themeFill="background1" w:themeFillShade="D9"/>
            <w:hideMark/>
          </w:tcPr>
          <w:p w14:paraId="77904BF3" w14:textId="77777777" w:rsidR="0021725B" w:rsidRPr="0021725B" w:rsidRDefault="0021725B" w:rsidP="007F6268">
            <w:pPr>
              <w:spacing w:after="200"/>
              <w:jc w:val="center"/>
              <w:rPr>
                <w:b/>
                <w:bCs/>
              </w:rPr>
            </w:pPr>
            <w:r w:rsidRPr="0021725B">
              <w:rPr>
                <w:b/>
                <w:bCs/>
              </w:rPr>
              <w:lastRenderedPageBreak/>
              <w:t>Force</w:t>
            </w:r>
          </w:p>
        </w:tc>
        <w:tc>
          <w:tcPr>
            <w:tcW w:w="0" w:type="auto"/>
            <w:shd w:val="clear" w:color="auto" w:fill="D9D9D9" w:themeFill="background1" w:themeFillShade="D9"/>
            <w:hideMark/>
          </w:tcPr>
          <w:p w14:paraId="75BEAA87" w14:textId="77777777" w:rsidR="0021725B" w:rsidRPr="0021725B" w:rsidRDefault="0021725B" w:rsidP="007F6268">
            <w:pPr>
              <w:spacing w:after="200"/>
              <w:jc w:val="center"/>
              <w:rPr>
                <w:b/>
                <w:bCs/>
              </w:rPr>
            </w:pPr>
            <w:r w:rsidRPr="0021725B">
              <w:rPr>
                <w:b/>
                <w:bCs/>
              </w:rPr>
              <w:t>Level</w:t>
            </w:r>
          </w:p>
        </w:tc>
        <w:tc>
          <w:tcPr>
            <w:tcW w:w="0" w:type="auto"/>
            <w:shd w:val="clear" w:color="auto" w:fill="D9D9D9" w:themeFill="background1" w:themeFillShade="D9"/>
            <w:hideMark/>
          </w:tcPr>
          <w:p w14:paraId="2EA0E39F" w14:textId="77777777" w:rsidR="0021725B" w:rsidRPr="0021725B" w:rsidRDefault="0021725B" w:rsidP="007F6268">
            <w:pPr>
              <w:spacing w:after="200"/>
              <w:jc w:val="center"/>
              <w:rPr>
                <w:b/>
                <w:bCs/>
              </w:rPr>
            </w:pPr>
            <w:r w:rsidRPr="0021725B">
              <w:rPr>
                <w:b/>
                <w:bCs/>
              </w:rPr>
              <w:t>Explanation</w:t>
            </w:r>
          </w:p>
        </w:tc>
      </w:tr>
      <w:tr w:rsidR="00661AC6" w:rsidRPr="0021725B" w14:paraId="303621B2" w14:textId="77777777" w:rsidTr="001D29F5">
        <w:tc>
          <w:tcPr>
            <w:tcW w:w="0" w:type="auto"/>
            <w:hideMark/>
          </w:tcPr>
          <w:p w14:paraId="28254F9B" w14:textId="77777777" w:rsidR="00661AC6" w:rsidRPr="0021725B" w:rsidRDefault="00661AC6" w:rsidP="00661AC6">
            <w:pPr>
              <w:spacing w:after="200"/>
            </w:pPr>
            <w:r w:rsidRPr="0021725B">
              <w:rPr>
                <w:b/>
                <w:bCs/>
              </w:rPr>
              <w:t>Competitive Rivalry</w:t>
            </w:r>
          </w:p>
        </w:tc>
        <w:tc>
          <w:tcPr>
            <w:tcW w:w="0" w:type="auto"/>
            <w:hideMark/>
          </w:tcPr>
          <w:p w14:paraId="3A6BAA60" w14:textId="77777777" w:rsidR="00661AC6" w:rsidRPr="0021725B" w:rsidRDefault="00661AC6" w:rsidP="00661AC6">
            <w:pPr>
              <w:spacing w:after="200"/>
            </w:pPr>
            <w:r w:rsidRPr="0021725B">
              <w:t>Very High</w:t>
            </w:r>
          </w:p>
        </w:tc>
        <w:tc>
          <w:tcPr>
            <w:tcW w:w="0" w:type="auto"/>
          </w:tcPr>
          <w:p w14:paraId="4F740023" w14:textId="0A757359" w:rsidR="00661AC6" w:rsidRPr="0021725B" w:rsidRDefault="00661AC6" w:rsidP="00661AC6">
            <w:pPr>
              <w:spacing w:after="200"/>
            </w:pPr>
            <w:r w:rsidRPr="00661AC6">
              <w:t>Competition in the UK car market is good with Tesla, Volkswagen, Toyota, Hyundai and Chinese EV brands such as BYD. Price, technology and brand image are some of the factors that the firms are competing on, and this decreases the market share of Vauxhall (SMMT, 2024).</w:t>
            </w:r>
          </w:p>
        </w:tc>
      </w:tr>
      <w:tr w:rsidR="00661AC6" w:rsidRPr="0021725B" w14:paraId="11C61FA6" w14:textId="77777777" w:rsidTr="001D29F5">
        <w:tc>
          <w:tcPr>
            <w:tcW w:w="0" w:type="auto"/>
            <w:hideMark/>
          </w:tcPr>
          <w:p w14:paraId="27B7817B" w14:textId="77777777" w:rsidR="00661AC6" w:rsidRPr="0021725B" w:rsidRDefault="00661AC6" w:rsidP="00661AC6">
            <w:pPr>
              <w:spacing w:after="200"/>
            </w:pPr>
            <w:r w:rsidRPr="0021725B">
              <w:rPr>
                <w:b/>
                <w:bCs/>
              </w:rPr>
              <w:t>Threat of New Entrants</w:t>
            </w:r>
          </w:p>
        </w:tc>
        <w:tc>
          <w:tcPr>
            <w:tcW w:w="0" w:type="auto"/>
            <w:hideMark/>
          </w:tcPr>
          <w:p w14:paraId="45EF2107" w14:textId="77777777" w:rsidR="00661AC6" w:rsidRPr="0021725B" w:rsidRDefault="00661AC6" w:rsidP="00661AC6">
            <w:pPr>
              <w:spacing w:after="200"/>
            </w:pPr>
            <w:r w:rsidRPr="0021725B">
              <w:t>Medium</w:t>
            </w:r>
          </w:p>
        </w:tc>
        <w:tc>
          <w:tcPr>
            <w:tcW w:w="0" w:type="auto"/>
          </w:tcPr>
          <w:p w14:paraId="01D2DF1D" w14:textId="56D6E51D" w:rsidR="00661AC6" w:rsidRPr="0021725B" w:rsidRDefault="00661AC6" w:rsidP="00661AC6">
            <w:pPr>
              <w:spacing w:after="200"/>
            </w:pPr>
            <w:r w:rsidRPr="00661AC6">
              <w:t>New EV companies may get into the market with state-of-the-art technology, but due to large capital requirements, regulations, and brand loyalty pose a barrier.</w:t>
            </w:r>
          </w:p>
        </w:tc>
      </w:tr>
      <w:tr w:rsidR="00661AC6" w:rsidRPr="0021725B" w14:paraId="7AE2453C" w14:textId="77777777" w:rsidTr="001D29F5">
        <w:tc>
          <w:tcPr>
            <w:tcW w:w="0" w:type="auto"/>
            <w:hideMark/>
          </w:tcPr>
          <w:p w14:paraId="78B8DB0D" w14:textId="77777777" w:rsidR="00661AC6" w:rsidRPr="0021725B" w:rsidRDefault="00661AC6" w:rsidP="00661AC6">
            <w:pPr>
              <w:spacing w:after="200"/>
            </w:pPr>
            <w:r w:rsidRPr="0021725B">
              <w:rPr>
                <w:b/>
                <w:bCs/>
              </w:rPr>
              <w:t>Supplier Power</w:t>
            </w:r>
          </w:p>
        </w:tc>
        <w:tc>
          <w:tcPr>
            <w:tcW w:w="0" w:type="auto"/>
            <w:hideMark/>
          </w:tcPr>
          <w:p w14:paraId="66B877F5" w14:textId="77777777" w:rsidR="00661AC6" w:rsidRPr="0021725B" w:rsidRDefault="00661AC6" w:rsidP="00661AC6">
            <w:pPr>
              <w:spacing w:after="200"/>
            </w:pPr>
            <w:r w:rsidRPr="0021725B">
              <w:t>High</w:t>
            </w:r>
          </w:p>
        </w:tc>
        <w:tc>
          <w:tcPr>
            <w:tcW w:w="0" w:type="auto"/>
          </w:tcPr>
          <w:p w14:paraId="4DDEE41F" w14:textId="5D074A57" w:rsidR="00661AC6" w:rsidRPr="0021725B" w:rsidRDefault="00661AC6" w:rsidP="00661AC6">
            <w:pPr>
              <w:spacing w:after="200"/>
            </w:pPr>
            <w:r w:rsidRPr="00661AC6">
              <w:t>There are a few battery and semiconductor suppliers all over the world. This adds the cost of production and reliance on suppliers (ACEA, 202</w:t>
            </w:r>
            <w:r w:rsidR="00CF3615">
              <w:t>5</w:t>
            </w:r>
            <w:r w:rsidRPr="00661AC6">
              <w:t>).</w:t>
            </w:r>
          </w:p>
        </w:tc>
      </w:tr>
      <w:tr w:rsidR="00661AC6" w:rsidRPr="0021725B" w14:paraId="06D4638E" w14:textId="77777777" w:rsidTr="001D29F5">
        <w:tc>
          <w:tcPr>
            <w:tcW w:w="0" w:type="auto"/>
            <w:hideMark/>
          </w:tcPr>
          <w:p w14:paraId="5587160B" w14:textId="77777777" w:rsidR="00661AC6" w:rsidRPr="0021725B" w:rsidRDefault="00661AC6" w:rsidP="00661AC6">
            <w:pPr>
              <w:spacing w:after="200"/>
            </w:pPr>
            <w:r w:rsidRPr="0021725B">
              <w:rPr>
                <w:b/>
                <w:bCs/>
              </w:rPr>
              <w:t>Buyer Power</w:t>
            </w:r>
          </w:p>
        </w:tc>
        <w:tc>
          <w:tcPr>
            <w:tcW w:w="0" w:type="auto"/>
            <w:hideMark/>
          </w:tcPr>
          <w:p w14:paraId="3A657897" w14:textId="77777777" w:rsidR="00661AC6" w:rsidRPr="0021725B" w:rsidRDefault="00661AC6" w:rsidP="00661AC6">
            <w:pPr>
              <w:spacing w:after="200"/>
            </w:pPr>
            <w:r w:rsidRPr="0021725B">
              <w:t>High</w:t>
            </w:r>
          </w:p>
        </w:tc>
        <w:tc>
          <w:tcPr>
            <w:tcW w:w="0" w:type="auto"/>
          </w:tcPr>
          <w:p w14:paraId="61D01577" w14:textId="27995986" w:rsidR="00661AC6" w:rsidRPr="0021725B" w:rsidRDefault="00661AC6" w:rsidP="00661AC6">
            <w:pPr>
              <w:spacing w:after="200"/>
            </w:pPr>
            <w:r w:rsidRPr="00661AC6">
              <w:t>Customers are able to compare prices and features online. There are numerous decisions that present buyers with great bargaining power</w:t>
            </w:r>
            <w:r w:rsidR="00CF3615">
              <w:t xml:space="preserve"> </w:t>
            </w:r>
            <w:r w:rsidR="00CF3615" w:rsidRPr="00CF3615">
              <w:t>(Porter, 2008)</w:t>
            </w:r>
            <w:r w:rsidRPr="00661AC6">
              <w:t>.</w:t>
            </w:r>
          </w:p>
        </w:tc>
      </w:tr>
      <w:tr w:rsidR="00661AC6" w:rsidRPr="0021725B" w14:paraId="167BA756" w14:textId="77777777" w:rsidTr="001D29F5">
        <w:tc>
          <w:tcPr>
            <w:tcW w:w="0" w:type="auto"/>
            <w:hideMark/>
          </w:tcPr>
          <w:p w14:paraId="1CFBF297" w14:textId="77777777" w:rsidR="00661AC6" w:rsidRPr="0021725B" w:rsidRDefault="00661AC6" w:rsidP="00661AC6">
            <w:pPr>
              <w:spacing w:after="200"/>
            </w:pPr>
            <w:r w:rsidRPr="0021725B">
              <w:rPr>
                <w:b/>
                <w:bCs/>
              </w:rPr>
              <w:t>Threat of Substitutes</w:t>
            </w:r>
          </w:p>
        </w:tc>
        <w:tc>
          <w:tcPr>
            <w:tcW w:w="0" w:type="auto"/>
            <w:hideMark/>
          </w:tcPr>
          <w:p w14:paraId="08964095" w14:textId="77777777" w:rsidR="00661AC6" w:rsidRPr="0021725B" w:rsidRDefault="00661AC6" w:rsidP="00661AC6">
            <w:pPr>
              <w:spacing w:after="200"/>
            </w:pPr>
            <w:r w:rsidRPr="0021725B">
              <w:t>Medium</w:t>
            </w:r>
          </w:p>
        </w:tc>
        <w:tc>
          <w:tcPr>
            <w:tcW w:w="0" w:type="auto"/>
          </w:tcPr>
          <w:p w14:paraId="073850AD" w14:textId="27E6EE98" w:rsidR="00661AC6" w:rsidRPr="0021725B" w:rsidRDefault="00661AC6" w:rsidP="00661AC6">
            <w:pPr>
              <w:spacing w:after="200"/>
            </w:pPr>
            <w:r w:rsidRPr="00661AC6">
              <w:t>In major cities, the ownership of cars is decreasing through the use of public transport, ride-sharing and mobility applications.</w:t>
            </w:r>
          </w:p>
        </w:tc>
      </w:tr>
    </w:tbl>
    <w:p w14:paraId="009B817A" w14:textId="684FE8F5" w:rsidR="0021725B" w:rsidRDefault="0021725B" w:rsidP="0021725B"/>
    <w:p w14:paraId="049ACC7A" w14:textId="0BB7B7A9" w:rsidR="00661AC6" w:rsidRPr="00661AC6" w:rsidRDefault="00B03DAC" w:rsidP="006142F3">
      <w:pPr>
        <w:pStyle w:val="Heading2"/>
      </w:pPr>
      <w:bookmarkStart w:id="4" w:name="_Toc223225190"/>
      <w:r>
        <w:t>2</w:t>
      </w:r>
      <w:r w:rsidR="00661AC6" w:rsidRPr="00661AC6">
        <w:t>.2 Internal Environment Audit</w:t>
      </w:r>
      <w:bookmarkEnd w:id="4"/>
    </w:p>
    <w:p w14:paraId="41A314B9" w14:textId="77777777" w:rsidR="00661AC6" w:rsidRPr="00661AC6" w:rsidRDefault="00661AC6" w:rsidP="00661AC6">
      <w:r w:rsidRPr="00661AC6">
        <w:t>The internal analysis can be used to learn the strengths and weaknesses of the company. Value Chain, RBV and VRIO are some of the models that demonstrate how Vauxhall gains a competitive advantage.</w:t>
      </w:r>
    </w:p>
    <w:p w14:paraId="028BFD3C" w14:textId="4F7E8691" w:rsidR="007F6268" w:rsidRPr="007F6268" w:rsidRDefault="00661AC6" w:rsidP="00661AC6">
      <w:pPr>
        <w:rPr>
          <w:b/>
          <w:bCs/>
        </w:rPr>
      </w:pPr>
      <w:r w:rsidRPr="00661AC6">
        <w:rPr>
          <w:b/>
          <w:bCs/>
        </w:rPr>
        <w:t>Value Chain Analysis</w:t>
      </w:r>
    </w:p>
    <w:p w14:paraId="5B60E287" w14:textId="77777777" w:rsidR="00661AC6" w:rsidRDefault="00661AC6" w:rsidP="00661AC6">
      <w:r w:rsidRPr="00661AC6">
        <w:t>Value Chain is an analytic model that describes how a company enhances its product (Porter, 1985).</w:t>
      </w:r>
    </w:p>
    <w:p w14:paraId="49ECBCD4" w14:textId="77777777" w:rsidR="007F6268" w:rsidRDefault="007F6268" w:rsidP="007F6268">
      <w:pPr>
        <w:keepNext/>
        <w:jc w:val="center"/>
      </w:pPr>
      <w:r>
        <w:rPr>
          <w:noProof/>
        </w:rPr>
        <w:lastRenderedPageBreak/>
        <w:drawing>
          <wp:inline distT="0" distB="0" distL="0" distR="0" wp14:anchorId="23E5A1AB" wp14:editId="49D5EA25">
            <wp:extent cx="4425950" cy="2526670"/>
            <wp:effectExtent l="0" t="0" r="0" b="6985"/>
            <wp:docPr id="6551909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190908" name="Picture 655190908"/>
                    <pic:cNvPicPr/>
                  </pic:nvPicPr>
                  <pic:blipFill rotWithShape="1">
                    <a:blip r:embed="rId11">
                      <a:extLst>
                        <a:ext uri="{28A0092B-C50C-407E-A947-70E740481C1C}">
                          <a14:useLocalDpi xmlns:a14="http://schemas.microsoft.com/office/drawing/2010/main" val="0"/>
                        </a:ext>
                      </a:extLst>
                    </a:blip>
                    <a:srcRect l="7091" r="6936" b="12743"/>
                    <a:stretch>
                      <a:fillRect/>
                    </a:stretch>
                  </pic:blipFill>
                  <pic:spPr bwMode="auto">
                    <a:xfrm>
                      <a:off x="0" y="0"/>
                      <a:ext cx="4429974" cy="2528967"/>
                    </a:xfrm>
                    <a:prstGeom prst="rect">
                      <a:avLst/>
                    </a:prstGeom>
                    <a:ln>
                      <a:noFill/>
                    </a:ln>
                    <a:extLst>
                      <a:ext uri="{53640926-AAD7-44D8-BBD7-CCE9431645EC}">
                        <a14:shadowObscured xmlns:a14="http://schemas.microsoft.com/office/drawing/2010/main"/>
                      </a:ext>
                    </a:extLst>
                  </pic:spPr>
                </pic:pic>
              </a:graphicData>
            </a:graphic>
          </wp:inline>
        </w:drawing>
      </w:r>
    </w:p>
    <w:p w14:paraId="6604A997" w14:textId="789BB68C" w:rsidR="007F6268" w:rsidRPr="00661AC6" w:rsidRDefault="007F6268" w:rsidP="007F6268">
      <w:pPr>
        <w:pStyle w:val="Caption"/>
        <w:jc w:val="center"/>
      </w:pPr>
      <w:r>
        <w:t xml:space="preserve">Figure </w:t>
      </w:r>
      <w:r>
        <w:fldChar w:fldCharType="begin"/>
      </w:r>
      <w:r>
        <w:instrText xml:space="preserve"> SEQ Figure \* ARABIC </w:instrText>
      </w:r>
      <w:r>
        <w:fldChar w:fldCharType="separate"/>
      </w:r>
      <w:r>
        <w:rPr>
          <w:noProof/>
        </w:rPr>
        <w:t>3</w:t>
      </w:r>
      <w:r>
        <w:fldChar w:fldCharType="end"/>
      </w:r>
      <w:r>
        <w:t xml:space="preserve">: </w:t>
      </w:r>
      <w:r w:rsidRPr="009168BB">
        <w:t>Value Chain Analysis</w:t>
      </w:r>
      <w:r>
        <w:t xml:space="preserve"> </w:t>
      </w:r>
      <w:r w:rsidR="00F20F56" w:rsidRPr="00F20F56">
        <w:t>(Birkinshaw, 2022)</w:t>
      </w:r>
    </w:p>
    <w:p w14:paraId="2EDF3A46" w14:textId="77777777" w:rsidR="00661AC6" w:rsidRPr="00661AC6" w:rsidRDefault="00661AC6" w:rsidP="001437A5">
      <w:pPr>
        <w:pStyle w:val="ListParagraph"/>
        <w:numPr>
          <w:ilvl w:val="0"/>
          <w:numId w:val="9"/>
        </w:numPr>
      </w:pPr>
      <w:r w:rsidRPr="001437A5">
        <w:rPr>
          <w:b/>
          <w:bCs/>
        </w:rPr>
        <w:t>Primary Activities</w:t>
      </w:r>
    </w:p>
    <w:p w14:paraId="44CB521E" w14:textId="77777777" w:rsidR="00661AC6" w:rsidRPr="00661AC6" w:rsidRDefault="00661AC6" w:rsidP="00661AC6">
      <w:r w:rsidRPr="00661AC6">
        <w:rPr>
          <w:b/>
          <w:bCs/>
        </w:rPr>
        <w:t>Inbound Logistics:</w:t>
      </w:r>
      <w:r w:rsidRPr="00661AC6">
        <w:t xml:space="preserve"> Vauxhall relies on international suppliers for sources of batteries and parts. The post-COVID-19 supply chain issues were not very strong.</w:t>
      </w:r>
    </w:p>
    <w:p w14:paraId="471A15B3" w14:textId="77777777" w:rsidR="00661AC6" w:rsidRPr="00661AC6" w:rsidRDefault="00661AC6" w:rsidP="00661AC6">
      <w:r w:rsidRPr="00661AC6">
        <w:rPr>
          <w:b/>
          <w:bCs/>
        </w:rPr>
        <w:t>Operations:</w:t>
      </w:r>
      <w:r w:rsidRPr="00661AC6">
        <w:t xml:space="preserve"> In the UK, electric van manufacturing is taking over some of the operations in its factories, such as Ellesmere Port, and it is already a sign of adjustment to EV demand (Stellantis, 2024).</w:t>
      </w:r>
    </w:p>
    <w:p w14:paraId="4EBF54D6" w14:textId="77777777" w:rsidR="00661AC6" w:rsidRPr="00661AC6" w:rsidRDefault="00661AC6" w:rsidP="00661AC6">
      <w:r w:rsidRPr="00661AC6">
        <w:rPr>
          <w:b/>
          <w:bCs/>
        </w:rPr>
        <w:t>Outbound Logistics:</w:t>
      </w:r>
      <w:r w:rsidRPr="00661AC6">
        <w:t xml:space="preserve"> Good dealer network in the UK.</w:t>
      </w:r>
    </w:p>
    <w:p w14:paraId="1D26634C" w14:textId="77777777" w:rsidR="00661AC6" w:rsidRPr="00661AC6" w:rsidRDefault="00661AC6" w:rsidP="00661AC6">
      <w:r w:rsidRPr="00661AC6">
        <w:rPr>
          <w:b/>
          <w:bCs/>
        </w:rPr>
        <w:t>Marketing &amp; Sales:</w:t>
      </w:r>
      <w:r w:rsidRPr="00661AC6">
        <w:t xml:space="preserve"> Vauxhall is well known in the UK, but lacks a global brand image like Tesla does.</w:t>
      </w:r>
    </w:p>
    <w:p w14:paraId="72AA3F01" w14:textId="77777777" w:rsidR="00F75D8D" w:rsidRDefault="00F75D8D" w:rsidP="00F75D8D">
      <w:pPr>
        <w:rPr>
          <w:b/>
          <w:bCs/>
        </w:rPr>
      </w:pPr>
      <w:r w:rsidRPr="00F75D8D">
        <w:rPr>
          <w:b/>
          <w:bCs/>
        </w:rPr>
        <w:t>Service: Good pre sales system increases customer loyalty.</w:t>
      </w:r>
    </w:p>
    <w:p w14:paraId="1D7253CC" w14:textId="12C6E0C9" w:rsidR="00661AC6" w:rsidRPr="00661AC6" w:rsidRDefault="00661AC6" w:rsidP="00F75D8D">
      <w:pPr>
        <w:pStyle w:val="ListParagraph"/>
        <w:numPr>
          <w:ilvl w:val="0"/>
          <w:numId w:val="9"/>
        </w:numPr>
      </w:pPr>
      <w:r w:rsidRPr="00F75D8D">
        <w:rPr>
          <w:b/>
          <w:bCs/>
        </w:rPr>
        <w:t>Support Activities</w:t>
      </w:r>
    </w:p>
    <w:p w14:paraId="46057042" w14:textId="77777777" w:rsidR="00661AC6" w:rsidRPr="00661AC6" w:rsidRDefault="00661AC6" w:rsidP="00661AC6">
      <w:r w:rsidRPr="00661AC6">
        <w:rPr>
          <w:b/>
          <w:bCs/>
        </w:rPr>
        <w:t>Technology:</w:t>
      </w:r>
      <w:r w:rsidRPr="00661AC6">
        <w:t xml:space="preserve"> Stellantis global R&amp;D resources.</w:t>
      </w:r>
    </w:p>
    <w:p w14:paraId="59B061D3" w14:textId="77777777" w:rsidR="00661AC6" w:rsidRPr="00661AC6" w:rsidRDefault="00661AC6" w:rsidP="00661AC6">
      <w:r w:rsidRPr="00661AC6">
        <w:rPr>
          <w:b/>
          <w:bCs/>
        </w:rPr>
        <w:t>HR:</w:t>
      </w:r>
      <w:r w:rsidRPr="00661AC6">
        <w:t xml:space="preserve"> Competent engineers in the UK are at a high cost of labour.</w:t>
      </w:r>
    </w:p>
    <w:p w14:paraId="5EA5D14A" w14:textId="77777777" w:rsidR="00661AC6" w:rsidRPr="00661AC6" w:rsidRDefault="00661AC6" w:rsidP="00661AC6">
      <w:r w:rsidRPr="00661AC6">
        <w:rPr>
          <w:b/>
          <w:bCs/>
        </w:rPr>
        <w:t>Infrastructure:</w:t>
      </w:r>
      <w:r w:rsidRPr="00661AC6">
        <w:t xml:space="preserve"> The Stellantis group provides financial stability.</w:t>
      </w:r>
    </w:p>
    <w:p w14:paraId="1A5AE478" w14:textId="77777777" w:rsidR="00661AC6" w:rsidRPr="00661AC6" w:rsidRDefault="00661AC6" w:rsidP="00661AC6">
      <w:r w:rsidRPr="00661AC6">
        <w:t>As demonstrated in this analysis, Vauxhall possesses good experience in distribution and manufacturing, but needs to enhance the use of technology.</w:t>
      </w:r>
    </w:p>
    <w:p w14:paraId="2BFB883E" w14:textId="77777777" w:rsidR="00661AC6" w:rsidRPr="00661AC6" w:rsidRDefault="00661AC6" w:rsidP="00661AC6">
      <w:r w:rsidRPr="00661AC6">
        <w:rPr>
          <w:b/>
          <w:bCs/>
        </w:rPr>
        <w:t>Resource-Based View (RBV)</w:t>
      </w:r>
    </w:p>
    <w:p w14:paraId="6BA67249" w14:textId="77777777" w:rsidR="00661AC6" w:rsidRPr="00661AC6" w:rsidRDefault="00661AC6" w:rsidP="00661AC6">
      <w:r w:rsidRPr="00661AC6">
        <w:lastRenderedPageBreak/>
        <w:t>The RBV model explains that the competitive advantage is a result of valuable resources that are not easily replicated by competitors (Barney, 1991). Important Vauxhall assets comprise:</w:t>
      </w:r>
    </w:p>
    <w:p w14:paraId="6B7B4A76" w14:textId="77777777" w:rsidR="00661AC6" w:rsidRPr="00661AC6" w:rsidRDefault="00661AC6" w:rsidP="001437A5">
      <w:pPr>
        <w:pStyle w:val="ListParagraph"/>
        <w:numPr>
          <w:ilvl w:val="0"/>
          <w:numId w:val="8"/>
        </w:numPr>
      </w:pPr>
      <w:r w:rsidRPr="00661AC6">
        <w:t>Strong UK brand heritage</w:t>
      </w:r>
    </w:p>
    <w:p w14:paraId="73E47917" w14:textId="77777777" w:rsidR="00661AC6" w:rsidRPr="00661AC6" w:rsidRDefault="00661AC6" w:rsidP="001437A5">
      <w:pPr>
        <w:pStyle w:val="ListParagraph"/>
        <w:numPr>
          <w:ilvl w:val="0"/>
          <w:numId w:val="8"/>
        </w:numPr>
      </w:pPr>
      <w:r w:rsidRPr="00661AC6">
        <w:t>Stellantis financial and technology support.</w:t>
      </w:r>
    </w:p>
    <w:p w14:paraId="1F065AAC" w14:textId="77777777" w:rsidR="00661AC6" w:rsidRPr="00661AC6" w:rsidRDefault="00661AC6" w:rsidP="001437A5">
      <w:pPr>
        <w:pStyle w:val="ListParagraph"/>
        <w:numPr>
          <w:ilvl w:val="0"/>
          <w:numId w:val="8"/>
        </w:numPr>
      </w:pPr>
      <w:r w:rsidRPr="00661AC6">
        <w:t>The manufacturing plants in the UK.</w:t>
      </w:r>
    </w:p>
    <w:p w14:paraId="51D140F0" w14:textId="77777777" w:rsidR="00661AC6" w:rsidRPr="00661AC6" w:rsidRDefault="00661AC6" w:rsidP="001437A5">
      <w:pPr>
        <w:pStyle w:val="ListParagraph"/>
        <w:numPr>
          <w:ilvl w:val="0"/>
          <w:numId w:val="8"/>
        </w:numPr>
      </w:pPr>
      <w:r w:rsidRPr="00661AC6">
        <w:t>Dealer and service network</w:t>
      </w:r>
    </w:p>
    <w:p w14:paraId="63B529D3" w14:textId="77777777" w:rsidR="00661AC6" w:rsidRPr="00661AC6" w:rsidRDefault="00661AC6" w:rsidP="00661AC6">
      <w:r w:rsidRPr="00661AC6">
        <w:t>Nevertheless, Vauxhall does not have distinctive EV technology in comparison to Tesla, which undermines its competitive advantage.</w:t>
      </w:r>
    </w:p>
    <w:p w14:paraId="4F188A5F" w14:textId="76DC4292" w:rsidR="0021725B" w:rsidRDefault="00661AC6" w:rsidP="00661AC6">
      <w:pPr>
        <w:rPr>
          <w:b/>
          <w:bCs/>
        </w:rPr>
      </w:pPr>
      <w:r w:rsidRPr="00661AC6">
        <w:rPr>
          <w:b/>
          <w:bCs/>
        </w:rPr>
        <w:t>VRIO Analysis</w:t>
      </w:r>
    </w:p>
    <w:p w14:paraId="03C3CF61" w14:textId="77777777" w:rsidR="007F6268" w:rsidRDefault="007F6268" w:rsidP="007F6268">
      <w:pPr>
        <w:keepNext/>
        <w:jc w:val="center"/>
      </w:pPr>
      <w:r>
        <w:rPr>
          <w:noProof/>
        </w:rPr>
        <w:drawing>
          <wp:inline distT="0" distB="0" distL="0" distR="0" wp14:anchorId="556B592E" wp14:editId="1D105699">
            <wp:extent cx="3663950" cy="2354411"/>
            <wp:effectExtent l="0" t="0" r="0" b="8255"/>
            <wp:docPr id="14100303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030358" name="Picture 1410030358"/>
                    <pic:cNvPicPr/>
                  </pic:nvPicPr>
                  <pic:blipFill rotWithShape="1">
                    <a:blip r:embed="rId12" cstate="print">
                      <a:extLst>
                        <a:ext uri="{28A0092B-C50C-407E-A947-70E740481C1C}">
                          <a14:useLocalDpi xmlns:a14="http://schemas.microsoft.com/office/drawing/2010/main" val="0"/>
                        </a:ext>
                      </a:extLst>
                    </a:blip>
                    <a:srcRect t="5612" b="8715"/>
                    <a:stretch>
                      <a:fillRect/>
                    </a:stretch>
                  </pic:blipFill>
                  <pic:spPr bwMode="auto">
                    <a:xfrm>
                      <a:off x="0" y="0"/>
                      <a:ext cx="3666701" cy="2356179"/>
                    </a:xfrm>
                    <a:prstGeom prst="rect">
                      <a:avLst/>
                    </a:prstGeom>
                    <a:ln>
                      <a:noFill/>
                    </a:ln>
                    <a:extLst>
                      <a:ext uri="{53640926-AAD7-44D8-BBD7-CCE9431645EC}">
                        <a14:shadowObscured xmlns:a14="http://schemas.microsoft.com/office/drawing/2010/main"/>
                      </a:ext>
                    </a:extLst>
                  </pic:spPr>
                </pic:pic>
              </a:graphicData>
            </a:graphic>
          </wp:inline>
        </w:drawing>
      </w:r>
    </w:p>
    <w:p w14:paraId="430ADB3D" w14:textId="07C1EFC3" w:rsidR="007F6268" w:rsidRPr="005B1441" w:rsidRDefault="007F6268" w:rsidP="007F6268">
      <w:pPr>
        <w:pStyle w:val="Caption"/>
        <w:jc w:val="center"/>
      </w:pPr>
      <w:r>
        <w:t xml:space="preserve">Figure </w:t>
      </w:r>
      <w:r>
        <w:fldChar w:fldCharType="begin"/>
      </w:r>
      <w:r>
        <w:instrText xml:space="preserve"> SEQ Figure \* ARABIC </w:instrText>
      </w:r>
      <w:r>
        <w:fldChar w:fldCharType="separate"/>
      </w:r>
      <w:r>
        <w:rPr>
          <w:noProof/>
        </w:rPr>
        <w:t>4</w:t>
      </w:r>
      <w:r>
        <w:fldChar w:fldCharType="end"/>
      </w:r>
      <w:r>
        <w:t xml:space="preserve">: </w:t>
      </w:r>
      <w:r w:rsidRPr="00B34E86">
        <w:t>VRIO Analysis</w:t>
      </w:r>
      <w:r>
        <w:t xml:space="preserve"> </w:t>
      </w:r>
      <w:r w:rsidR="00F20F56" w:rsidRPr="00F20F56">
        <w:t>(Feng, 2025)</w:t>
      </w:r>
    </w:p>
    <w:tbl>
      <w:tblPr>
        <w:tblStyle w:val="TableGrid"/>
        <w:tblW w:w="0" w:type="auto"/>
        <w:tblLook w:val="04A0" w:firstRow="1" w:lastRow="0" w:firstColumn="1" w:lastColumn="0" w:noHBand="0" w:noVBand="1"/>
      </w:tblPr>
      <w:tblGrid>
        <w:gridCol w:w="1969"/>
        <w:gridCol w:w="1109"/>
        <w:gridCol w:w="999"/>
        <w:gridCol w:w="1617"/>
        <w:gridCol w:w="1305"/>
        <w:gridCol w:w="2017"/>
      </w:tblGrid>
      <w:tr w:rsidR="0021725B" w:rsidRPr="0021725B" w14:paraId="1B6E2561" w14:textId="77777777" w:rsidTr="007F6268">
        <w:tc>
          <w:tcPr>
            <w:tcW w:w="0" w:type="auto"/>
            <w:shd w:val="clear" w:color="auto" w:fill="D9D9D9" w:themeFill="background1" w:themeFillShade="D9"/>
            <w:hideMark/>
          </w:tcPr>
          <w:p w14:paraId="7B812B3C" w14:textId="77777777" w:rsidR="0021725B" w:rsidRPr="0021725B" w:rsidRDefault="0021725B" w:rsidP="0021725B">
            <w:pPr>
              <w:spacing w:after="200"/>
              <w:rPr>
                <w:b/>
                <w:bCs/>
              </w:rPr>
            </w:pPr>
            <w:r w:rsidRPr="0021725B">
              <w:rPr>
                <w:b/>
                <w:bCs/>
              </w:rPr>
              <w:t>Resource</w:t>
            </w:r>
          </w:p>
        </w:tc>
        <w:tc>
          <w:tcPr>
            <w:tcW w:w="0" w:type="auto"/>
            <w:shd w:val="clear" w:color="auto" w:fill="D9D9D9" w:themeFill="background1" w:themeFillShade="D9"/>
            <w:hideMark/>
          </w:tcPr>
          <w:p w14:paraId="25649D00" w14:textId="77777777" w:rsidR="0021725B" w:rsidRPr="0021725B" w:rsidRDefault="0021725B" w:rsidP="0021725B">
            <w:pPr>
              <w:spacing w:after="200"/>
              <w:rPr>
                <w:b/>
                <w:bCs/>
              </w:rPr>
            </w:pPr>
            <w:r w:rsidRPr="0021725B">
              <w:rPr>
                <w:b/>
                <w:bCs/>
              </w:rPr>
              <w:t>Valuable</w:t>
            </w:r>
          </w:p>
        </w:tc>
        <w:tc>
          <w:tcPr>
            <w:tcW w:w="0" w:type="auto"/>
            <w:shd w:val="clear" w:color="auto" w:fill="D9D9D9" w:themeFill="background1" w:themeFillShade="D9"/>
            <w:hideMark/>
          </w:tcPr>
          <w:p w14:paraId="1FE7DAC0" w14:textId="77777777" w:rsidR="0021725B" w:rsidRPr="0021725B" w:rsidRDefault="0021725B" w:rsidP="0021725B">
            <w:pPr>
              <w:spacing w:after="200"/>
              <w:rPr>
                <w:b/>
                <w:bCs/>
              </w:rPr>
            </w:pPr>
            <w:r w:rsidRPr="0021725B">
              <w:rPr>
                <w:b/>
                <w:bCs/>
              </w:rPr>
              <w:t>Rare</w:t>
            </w:r>
          </w:p>
        </w:tc>
        <w:tc>
          <w:tcPr>
            <w:tcW w:w="0" w:type="auto"/>
            <w:shd w:val="clear" w:color="auto" w:fill="D9D9D9" w:themeFill="background1" w:themeFillShade="D9"/>
            <w:hideMark/>
          </w:tcPr>
          <w:p w14:paraId="1CBFB1BF" w14:textId="77777777" w:rsidR="0021725B" w:rsidRPr="0021725B" w:rsidRDefault="0021725B" w:rsidP="0021725B">
            <w:pPr>
              <w:spacing w:after="200"/>
              <w:rPr>
                <w:b/>
                <w:bCs/>
              </w:rPr>
            </w:pPr>
            <w:r w:rsidRPr="0021725B">
              <w:rPr>
                <w:b/>
                <w:bCs/>
              </w:rPr>
              <w:t>Difficult to Copy</w:t>
            </w:r>
          </w:p>
        </w:tc>
        <w:tc>
          <w:tcPr>
            <w:tcW w:w="0" w:type="auto"/>
            <w:shd w:val="clear" w:color="auto" w:fill="D9D9D9" w:themeFill="background1" w:themeFillShade="D9"/>
            <w:hideMark/>
          </w:tcPr>
          <w:p w14:paraId="0112B67F" w14:textId="77777777" w:rsidR="0021725B" w:rsidRPr="0021725B" w:rsidRDefault="0021725B" w:rsidP="0021725B">
            <w:pPr>
              <w:spacing w:after="200"/>
              <w:rPr>
                <w:b/>
                <w:bCs/>
              </w:rPr>
            </w:pPr>
            <w:r w:rsidRPr="0021725B">
              <w:rPr>
                <w:b/>
                <w:bCs/>
              </w:rPr>
              <w:t>Organised</w:t>
            </w:r>
          </w:p>
        </w:tc>
        <w:tc>
          <w:tcPr>
            <w:tcW w:w="0" w:type="auto"/>
            <w:shd w:val="clear" w:color="auto" w:fill="D9D9D9" w:themeFill="background1" w:themeFillShade="D9"/>
            <w:hideMark/>
          </w:tcPr>
          <w:p w14:paraId="45EFCBE7" w14:textId="77777777" w:rsidR="0021725B" w:rsidRPr="0021725B" w:rsidRDefault="0021725B" w:rsidP="0021725B">
            <w:pPr>
              <w:spacing w:after="200"/>
              <w:rPr>
                <w:b/>
                <w:bCs/>
              </w:rPr>
            </w:pPr>
            <w:r w:rsidRPr="0021725B">
              <w:rPr>
                <w:b/>
                <w:bCs/>
              </w:rPr>
              <w:t>Result</w:t>
            </w:r>
          </w:p>
        </w:tc>
      </w:tr>
      <w:tr w:rsidR="0021725B" w:rsidRPr="0021725B" w14:paraId="29A0A9BC" w14:textId="77777777" w:rsidTr="0021725B">
        <w:tc>
          <w:tcPr>
            <w:tcW w:w="0" w:type="auto"/>
            <w:hideMark/>
          </w:tcPr>
          <w:p w14:paraId="6B9CAB9D" w14:textId="77777777" w:rsidR="0021725B" w:rsidRPr="0021725B" w:rsidRDefault="0021725B" w:rsidP="0021725B">
            <w:pPr>
              <w:spacing w:after="200"/>
            </w:pPr>
            <w:r w:rsidRPr="0021725B">
              <w:t>UK Brand Reputation</w:t>
            </w:r>
          </w:p>
        </w:tc>
        <w:tc>
          <w:tcPr>
            <w:tcW w:w="0" w:type="auto"/>
            <w:hideMark/>
          </w:tcPr>
          <w:p w14:paraId="74709AC5" w14:textId="77777777" w:rsidR="0021725B" w:rsidRPr="0021725B" w:rsidRDefault="0021725B" w:rsidP="0021725B">
            <w:pPr>
              <w:spacing w:after="200"/>
            </w:pPr>
            <w:r w:rsidRPr="0021725B">
              <w:t>Yes</w:t>
            </w:r>
          </w:p>
        </w:tc>
        <w:tc>
          <w:tcPr>
            <w:tcW w:w="0" w:type="auto"/>
            <w:hideMark/>
          </w:tcPr>
          <w:p w14:paraId="1EEE77C5" w14:textId="77777777" w:rsidR="0021725B" w:rsidRPr="0021725B" w:rsidRDefault="0021725B" w:rsidP="0021725B">
            <w:pPr>
              <w:spacing w:after="200"/>
            </w:pPr>
            <w:r w:rsidRPr="0021725B">
              <w:t>Medium</w:t>
            </w:r>
          </w:p>
        </w:tc>
        <w:tc>
          <w:tcPr>
            <w:tcW w:w="0" w:type="auto"/>
            <w:hideMark/>
          </w:tcPr>
          <w:p w14:paraId="3D759250" w14:textId="77777777" w:rsidR="0021725B" w:rsidRPr="0021725B" w:rsidRDefault="0021725B" w:rsidP="0021725B">
            <w:pPr>
              <w:spacing w:after="200"/>
            </w:pPr>
            <w:r w:rsidRPr="0021725B">
              <w:t>Medium</w:t>
            </w:r>
          </w:p>
        </w:tc>
        <w:tc>
          <w:tcPr>
            <w:tcW w:w="0" w:type="auto"/>
            <w:hideMark/>
          </w:tcPr>
          <w:p w14:paraId="627AE76B" w14:textId="77777777" w:rsidR="0021725B" w:rsidRPr="0021725B" w:rsidRDefault="0021725B" w:rsidP="0021725B">
            <w:pPr>
              <w:spacing w:after="200"/>
            </w:pPr>
            <w:r w:rsidRPr="0021725B">
              <w:t>Yes</w:t>
            </w:r>
          </w:p>
        </w:tc>
        <w:tc>
          <w:tcPr>
            <w:tcW w:w="0" w:type="auto"/>
            <w:hideMark/>
          </w:tcPr>
          <w:p w14:paraId="200CE457" w14:textId="77777777" w:rsidR="0021725B" w:rsidRPr="0021725B" w:rsidRDefault="0021725B" w:rsidP="0021725B">
            <w:pPr>
              <w:spacing w:after="200"/>
            </w:pPr>
            <w:r w:rsidRPr="0021725B">
              <w:t>Temporary advantage</w:t>
            </w:r>
          </w:p>
        </w:tc>
      </w:tr>
      <w:tr w:rsidR="0021725B" w:rsidRPr="0021725B" w14:paraId="32D31B09" w14:textId="77777777" w:rsidTr="0021725B">
        <w:tc>
          <w:tcPr>
            <w:tcW w:w="0" w:type="auto"/>
            <w:hideMark/>
          </w:tcPr>
          <w:p w14:paraId="139C59C1" w14:textId="77777777" w:rsidR="0021725B" w:rsidRPr="0021725B" w:rsidRDefault="0021725B" w:rsidP="0021725B">
            <w:pPr>
              <w:spacing w:after="200"/>
            </w:pPr>
            <w:r w:rsidRPr="0021725B">
              <w:t>Stellantis Technology</w:t>
            </w:r>
          </w:p>
        </w:tc>
        <w:tc>
          <w:tcPr>
            <w:tcW w:w="0" w:type="auto"/>
            <w:hideMark/>
          </w:tcPr>
          <w:p w14:paraId="702C0D63" w14:textId="77777777" w:rsidR="0021725B" w:rsidRPr="0021725B" w:rsidRDefault="0021725B" w:rsidP="0021725B">
            <w:pPr>
              <w:spacing w:after="200"/>
            </w:pPr>
            <w:r w:rsidRPr="0021725B">
              <w:t>Yes</w:t>
            </w:r>
          </w:p>
        </w:tc>
        <w:tc>
          <w:tcPr>
            <w:tcW w:w="0" w:type="auto"/>
            <w:hideMark/>
          </w:tcPr>
          <w:p w14:paraId="650A8BB8" w14:textId="77777777" w:rsidR="0021725B" w:rsidRPr="0021725B" w:rsidRDefault="0021725B" w:rsidP="0021725B">
            <w:pPr>
              <w:spacing w:after="200"/>
            </w:pPr>
            <w:r w:rsidRPr="0021725B">
              <w:t>Yes</w:t>
            </w:r>
          </w:p>
        </w:tc>
        <w:tc>
          <w:tcPr>
            <w:tcW w:w="0" w:type="auto"/>
            <w:hideMark/>
          </w:tcPr>
          <w:p w14:paraId="609EFC51" w14:textId="77777777" w:rsidR="0021725B" w:rsidRPr="0021725B" w:rsidRDefault="0021725B" w:rsidP="0021725B">
            <w:pPr>
              <w:spacing w:after="200"/>
            </w:pPr>
            <w:r w:rsidRPr="0021725B">
              <w:t>Yes</w:t>
            </w:r>
          </w:p>
        </w:tc>
        <w:tc>
          <w:tcPr>
            <w:tcW w:w="0" w:type="auto"/>
            <w:hideMark/>
          </w:tcPr>
          <w:p w14:paraId="4E428D89" w14:textId="77777777" w:rsidR="0021725B" w:rsidRPr="0021725B" w:rsidRDefault="0021725B" w:rsidP="0021725B">
            <w:pPr>
              <w:spacing w:after="200"/>
            </w:pPr>
            <w:r w:rsidRPr="0021725B">
              <w:t>Yes</w:t>
            </w:r>
          </w:p>
        </w:tc>
        <w:tc>
          <w:tcPr>
            <w:tcW w:w="0" w:type="auto"/>
            <w:hideMark/>
          </w:tcPr>
          <w:p w14:paraId="6A3CA000" w14:textId="77777777" w:rsidR="0021725B" w:rsidRPr="0021725B" w:rsidRDefault="0021725B" w:rsidP="0021725B">
            <w:pPr>
              <w:spacing w:after="200"/>
            </w:pPr>
            <w:r w:rsidRPr="0021725B">
              <w:t>Strong advantage</w:t>
            </w:r>
          </w:p>
        </w:tc>
      </w:tr>
      <w:tr w:rsidR="0021725B" w:rsidRPr="0021725B" w14:paraId="6244922E" w14:textId="77777777" w:rsidTr="0021725B">
        <w:tc>
          <w:tcPr>
            <w:tcW w:w="0" w:type="auto"/>
            <w:hideMark/>
          </w:tcPr>
          <w:p w14:paraId="67C0E57C" w14:textId="77777777" w:rsidR="0021725B" w:rsidRPr="0021725B" w:rsidRDefault="0021725B" w:rsidP="0021725B">
            <w:pPr>
              <w:spacing w:after="200"/>
            </w:pPr>
            <w:r w:rsidRPr="0021725B">
              <w:t>Dealer Network</w:t>
            </w:r>
          </w:p>
        </w:tc>
        <w:tc>
          <w:tcPr>
            <w:tcW w:w="0" w:type="auto"/>
            <w:hideMark/>
          </w:tcPr>
          <w:p w14:paraId="6E30AF3E" w14:textId="77777777" w:rsidR="0021725B" w:rsidRPr="0021725B" w:rsidRDefault="0021725B" w:rsidP="0021725B">
            <w:pPr>
              <w:spacing w:after="200"/>
            </w:pPr>
            <w:r w:rsidRPr="0021725B">
              <w:t>Yes</w:t>
            </w:r>
          </w:p>
        </w:tc>
        <w:tc>
          <w:tcPr>
            <w:tcW w:w="0" w:type="auto"/>
            <w:hideMark/>
          </w:tcPr>
          <w:p w14:paraId="5CBFDEA0" w14:textId="77777777" w:rsidR="0021725B" w:rsidRPr="0021725B" w:rsidRDefault="0021725B" w:rsidP="0021725B">
            <w:pPr>
              <w:spacing w:after="200"/>
            </w:pPr>
            <w:r w:rsidRPr="0021725B">
              <w:t>No</w:t>
            </w:r>
          </w:p>
        </w:tc>
        <w:tc>
          <w:tcPr>
            <w:tcW w:w="0" w:type="auto"/>
            <w:hideMark/>
          </w:tcPr>
          <w:p w14:paraId="47CC78C4" w14:textId="77777777" w:rsidR="0021725B" w:rsidRPr="0021725B" w:rsidRDefault="0021725B" w:rsidP="0021725B">
            <w:pPr>
              <w:spacing w:after="200"/>
            </w:pPr>
            <w:r w:rsidRPr="0021725B">
              <w:t>No</w:t>
            </w:r>
          </w:p>
        </w:tc>
        <w:tc>
          <w:tcPr>
            <w:tcW w:w="0" w:type="auto"/>
            <w:hideMark/>
          </w:tcPr>
          <w:p w14:paraId="0A41CC7A" w14:textId="77777777" w:rsidR="0021725B" w:rsidRPr="0021725B" w:rsidRDefault="0021725B" w:rsidP="0021725B">
            <w:pPr>
              <w:spacing w:after="200"/>
            </w:pPr>
            <w:r w:rsidRPr="0021725B">
              <w:t>Yes</w:t>
            </w:r>
          </w:p>
        </w:tc>
        <w:tc>
          <w:tcPr>
            <w:tcW w:w="0" w:type="auto"/>
            <w:hideMark/>
          </w:tcPr>
          <w:p w14:paraId="194E0C8F" w14:textId="77777777" w:rsidR="0021725B" w:rsidRPr="0021725B" w:rsidRDefault="0021725B" w:rsidP="0021725B">
            <w:pPr>
              <w:spacing w:after="200"/>
            </w:pPr>
            <w:r w:rsidRPr="0021725B">
              <w:t>Competitive parity</w:t>
            </w:r>
          </w:p>
        </w:tc>
      </w:tr>
      <w:tr w:rsidR="0021725B" w:rsidRPr="0021725B" w14:paraId="7CFAE4C8" w14:textId="77777777" w:rsidTr="0021725B">
        <w:tc>
          <w:tcPr>
            <w:tcW w:w="0" w:type="auto"/>
            <w:hideMark/>
          </w:tcPr>
          <w:p w14:paraId="7BA8CC71" w14:textId="77777777" w:rsidR="0021725B" w:rsidRPr="0021725B" w:rsidRDefault="0021725B" w:rsidP="0021725B">
            <w:pPr>
              <w:spacing w:after="200"/>
            </w:pPr>
            <w:r w:rsidRPr="0021725B">
              <w:t>EV Innovation</w:t>
            </w:r>
          </w:p>
        </w:tc>
        <w:tc>
          <w:tcPr>
            <w:tcW w:w="0" w:type="auto"/>
            <w:hideMark/>
          </w:tcPr>
          <w:p w14:paraId="15B8142C" w14:textId="77777777" w:rsidR="0021725B" w:rsidRPr="0021725B" w:rsidRDefault="0021725B" w:rsidP="0021725B">
            <w:pPr>
              <w:spacing w:after="200"/>
            </w:pPr>
            <w:r w:rsidRPr="0021725B">
              <w:t>No</w:t>
            </w:r>
          </w:p>
        </w:tc>
        <w:tc>
          <w:tcPr>
            <w:tcW w:w="0" w:type="auto"/>
            <w:hideMark/>
          </w:tcPr>
          <w:p w14:paraId="51EA9F0B" w14:textId="77777777" w:rsidR="0021725B" w:rsidRPr="0021725B" w:rsidRDefault="0021725B" w:rsidP="0021725B">
            <w:pPr>
              <w:spacing w:after="200"/>
            </w:pPr>
            <w:r w:rsidRPr="0021725B">
              <w:t>No</w:t>
            </w:r>
          </w:p>
        </w:tc>
        <w:tc>
          <w:tcPr>
            <w:tcW w:w="0" w:type="auto"/>
            <w:hideMark/>
          </w:tcPr>
          <w:p w14:paraId="30E458A4" w14:textId="77777777" w:rsidR="0021725B" w:rsidRPr="0021725B" w:rsidRDefault="0021725B" w:rsidP="0021725B">
            <w:pPr>
              <w:spacing w:after="200"/>
            </w:pPr>
            <w:r w:rsidRPr="0021725B">
              <w:t>No</w:t>
            </w:r>
          </w:p>
        </w:tc>
        <w:tc>
          <w:tcPr>
            <w:tcW w:w="0" w:type="auto"/>
            <w:hideMark/>
          </w:tcPr>
          <w:p w14:paraId="432957C8" w14:textId="77777777" w:rsidR="0021725B" w:rsidRPr="0021725B" w:rsidRDefault="0021725B" w:rsidP="0021725B">
            <w:pPr>
              <w:spacing w:after="200"/>
            </w:pPr>
            <w:r w:rsidRPr="0021725B">
              <w:t>–</w:t>
            </w:r>
          </w:p>
        </w:tc>
        <w:tc>
          <w:tcPr>
            <w:tcW w:w="0" w:type="auto"/>
            <w:hideMark/>
          </w:tcPr>
          <w:p w14:paraId="24196315" w14:textId="77777777" w:rsidR="0021725B" w:rsidRPr="0021725B" w:rsidRDefault="0021725B" w:rsidP="0021725B">
            <w:pPr>
              <w:spacing w:after="200"/>
            </w:pPr>
            <w:r w:rsidRPr="0021725B">
              <w:t>Weakness</w:t>
            </w:r>
          </w:p>
        </w:tc>
      </w:tr>
    </w:tbl>
    <w:p w14:paraId="2CFD713A" w14:textId="77777777" w:rsidR="0021725B" w:rsidRPr="005B1441" w:rsidRDefault="0021725B" w:rsidP="0021725B">
      <w:pPr>
        <w:rPr>
          <w:b/>
          <w:bCs/>
        </w:rPr>
      </w:pPr>
    </w:p>
    <w:p w14:paraId="5AA25591" w14:textId="77777777" w:rsidR="001D29F5" w:rsidRPr="001D29F5" w:rsidRDefault="001D29F5" w:rsidP="001D29F5">
      <w:r w:rsidRPr="001D29F5">
        <w:lastRenderedPageBreak/>
        <w:t>According to the VRIO model, the primary strength of Stellantis' support is the greatest strength of Vauxhall, whereas poor EV innovation presents a significant threat.</w:t>
      </w:r>
    </w:p>
    <w:p w14:paraId="20B98EB1" w14:textId="7E63D557" w:rsidR="001D29F5" w:rsidRPr="001D29F5" w:rsidRDefault="00B03DAC" w:rsidP="00EF19A2">
      <w:pPr>
        <w:pStyle w:val="Heading2"/>
      </w:pPr>
      <w:bookmarkStart w:id="5" w:name="_Toc223225191"/>
      <w:r>
        <w:t>2</w:t>
      </w:r>
      <w:r w:rsidR="001D29F5" w:rsidRPr="001D29F5">
        <w:t>.3 SWOT Analysis</w:t>
      </w:r>
      <w:bookmarkEnd w:id="5"/>
    </w:p>
    <w:p w14:paraId="2DA8175E" w14:textId="56FC633D" w:rsidR="0021725B" w:rsidRPr="0021725B" w:rsidRDefault="001D29F5" w:rsidP="001D29F5">
      <w:r w:rsidRPr="001D29F5">
        <w:t>SWOT integrates external and internal discoveries.</w:t>
      </w:r>
    </w:p>
    <w:tbl>
      <w:tblPr>
        <w:tblStyle w:val="TableGrid"/>
        <w:tblW w:w="0" w:type="auto"/>
        <w:jc w:val="center"/>
        <w:tblLook w:val="04A0" w:firstRow="1" w:lastRow="0" w:firstColumn="1" w:lastColumn="0" w:noHBand="0" w:noVBand="1"/>
      </w:tblPr>
      <w:tblGrid>
        <w:gridCol w:w="3090"/>
        <w:gridCol w:w="4338"/>
      </w:tblGrid>
      <w:tr w:rsidR="0021725B" w:rsidRPr="0021725B" w14:paraId="5EEE8935" w14:textId="77777777" w:rsidTr="007F6268">
        <w:trPr>
          <w:jc w:val="center"/>
        </w:trPr>
        <w:tc>
          <w:tcPr>
            <w:tcW w:w="0" w:type="auto"/>
            <w:shd w:val="clear" w:color="auto" w:fill="D9D9D9" w:themeFill="background1" w:themeFillShade="D9"/>
            <w:hideMark/>
          </w:tcPr>
          <w:p w14:paraId="24953496" w14:textId="77777777" w:rsidR="0021725B" w:rsidRPr="001437A5" w:rsidRDefault="0021725B" w:rsidP="001437A5">
            <w:pPr>
              <w:jc w:val="center"/>
              <w:rPr>
                <w:b/>
                <w:bCs/>
              </w:rPr>
            </w:pPr>
            <w:r w:rsidRPr="001437A5">
              <w:rPr>
                <w:b/>
                <w:bCs/>
              </w:rPr>
              <w:t>Strengths</w:t>
            </w:r>
          </w:p>
        </w:tc>
        <w:tc>
          <w:tcPr>
            <w:tcW w:w="0" w:type="auto"/>
            <w:shd w:val="clear" w:color="auto" w:fill="D9D9D9" w:themeFill="background1" w:themeFillShade="D9"/>
            <w:hideMark/>
          </w:tcPr>
          <w:p w14:paraId="0B0F2441" w14:textId="77777777" w:rsidR="0021725B" w:rsidRPr="001437A5" w:rsidRDefault="0021725B" w:rsidP="001437A5">
            <w:pPr>
              <w:jc w:val="center"/>
              <w:rPr>
                <w:b/>
                <w:bCs/>
              </w:rPr>
            </w:pPr>
            <w:r w:rsidRPr="001437A5">
              <w:rPr>
                <w:b/>
                <w:bCs/>
              </w:rPr>
              <w:t>Weaknesses</w:t>
            </w:r>
          </w:p>
        </w:tc>
      </w:tr>
      <w:tr w:rsidR="0021725B" w:rsidRPr="0021725B" w14:paraId="042A0835" w14:textId="77777777" w:rsidTr="00B03DAC">
        <w:trPr>
          <w:jc w:val="center"/>
        </w:trPr>
        <w:tc>
          <w:tcPr>
            <w:tcW w:w="0" w:type="auto"/>
            <w:hideMark/>
          </w:tcPr>
          <w:p w14:paraId="0012ADEB" w14:textId="77777777" w:rsidR="0021725B" w:rsidRPr="0021725B" w:rsidRDefault="0021725B" w:rsidP="001437A5">
            <w:r w:rsidRPr="0021725B">
              <w:t>Strong UK brand reputation</w:t>
            </w:r>
          </w:p>
        </w:tc>
        <w:tc>
          <w:tcPr>
            <w:tcW w:w="0" w:type="auto"/>
            <w:hideMark/>
          </w:tcPr>
          <w:p w14:paraId="67A6C6EB" w14:textId="77777777" w:rsidR="0021725B" w:rsidRPr="0021725B" w:rsidRDefault="0021725B" w:rsidP="001437A5">
            <w:r w:rsidRPr="0021725B">
              <w:t>Late entry into EV technology</w:t>
            </w:r>
          </w:p>
        </w:tc>
      </w:tr>
      <w:tr w:rsidR="0021725B" w:rsidRPr="0021725B" w14:paraId="0DB84817" w14:textId="77777777" w:rsidTr="00B03DAC">
        <w:trPr>
          <w:jc w:val="center"/>
        </w:trPr>
        <w:tc>
          <w:tcPr>
            <w:tcW w:w="0" w:type="auto"/>
            <w:hideMark/>
          </w:tcPr>
          <w:p w14:paraId="5B898A68" w14:textId="77777777" w:rsidR="0021725B" w:rsidRPr="0021725B" w:rsidRDefault="0021725B" w:rsidP="001437A5">
            <w:r w:rsidRPr="0021725B">
              <w:t>Part of Stellantis global group</w:t>
            </w:r>
          </w:p>
        </w:tc>
        <w:tc>
          <w:tcPr>
            <w:tcW w:w="0" w:type="auto"/>
            <w:hideMark/>
          </w:tcPr>
          <w:p w14:paraId="468F979D" w14:textId="77777777" w:rsidR="0021725B" w:rsidRPr="0021725B" w:rsidRDefault="0021725B" w:rsidP="001437A5">
            <w:r w:rsidRPr="0021725B">
              <w:t>High production cost in UK</w:t>
            </w:r>
          </w:p>
        </w:tc>
      </w:tr>
      <w:tr w:rsidR="0021725B" w:rsidRPr="0021725B" w14:paraId="7CC47806" w14:textId="77777777" w:rsidTr="00B03DAC">
        <w:trPr>
          <w:jc w:val="center"/>
        </w:trPr>
        <w:tc>
          <w:tcPr>
            <w:tcW w:w="0" w:type="auto"/>
            <w:hideMark/>
          </w:tcPr>
          <w:p w14:paraId="71B25CF7" w14:textId="77777777" w:rsidR="0021725B" w:rsidRPr="0021725B" w:rsidRDefault="0021725B" w:rsidP="001437A5">
            <w:r w:rsidRPr="0021725B">
              <w:t>Large dealer network</w:t>
            </w:r>
          </w:p>
        </w:tc>
        <w:tc>
          <w:tcPr>
            <w:tcW w:w="0" w:type="auto"/>
            <w:hideMark/>
          </w:tcPr>
          <w:p w14:paraId="62A55BED" w14:textId="77777777" w:rsidR="0021725B" w:rsidRPr="0021725B" w:rsidRDefault="0021725B" w:rsidP="001437A5">
            <w:r w:rsidRPr="0021725B">
              <w:t>Dependence on suppliers</w:t>
            </w:r>
          </w:p>
        </w:tc>
      </w:tr>
      <w:tr w:rsidR="0021725B" w:rsidRPr="0021725B" w14:paraId="674AB3D4" w14:textId="77777777" w:rsidTr="007F6268">
        <w:trPr>
          <w:jc w:val="center"/>
        </w:trPr>
        <w:tc>
          <w:tcPr>
            <w:tcW w:w="0" w:type="auto"/>
            <w:shd w:val="clear" w:color="auto" w:fill="D9D9D9" w:themeFill="background1" w:themeFillShade="D9"/>
          </w:tcPr>
          <w:p w14:paraId="03792FED" w14:textId="6E3CDAE3" w:rsidR="0021725B" w:rsidRPr="001437A5" w:rsidRDefault="0021725B" w:rsidP="001437A5">
            <w:pPr>
              <w:jc w:val="center"/>
              <w:rPr>
                <w:b/>
                <w:bCs/>
              </w:rPr>
            </w:pPr>
            <w:r w:rsidRPr="001437A5">
              <w:rPr>
                <w:b/>
                <w:bCs/>
              </w:rPr>
              <w:t>Opportunities</w:t>
            </w:r>
          </w:p>
        </w:tc>
        <w:tc>
          <w:tcPr>
            <w:tcW w:w="0" w:type="auto"/>
            <w:shd w:val="clear" w:color="auto" w:fill="D9D9D9" w:themeFill="background1" w:themeFillShade="D9"/>
          </w:tcPr>
          <w:p w14:paraId="5B304EC5" w14:textId="2FA625BC" w:rsidR="0021725B" w:rsidRPr="001437A5" w:rsidRDefault="0021725B" w:rsidP="001437A5">
            <w:pPr>
              <w:jc w:val="center"/>
              <w:rPr>
                <w:b/>
                <w:bCs/>
              </w:rPr>
            </w:pPr>
            <w:r w:rsidRPr="001437A5">
              <w:rPr>
                <w:b/>
                <w:bCs/>
              </w:rPr>
              <w:t>Threats</w:t>
            </w:r>
          </w:p>
        </w:tc>
      </w:tr>
      <w:tr w:rsidR="0021725B" w:rsidRPr="0021725B" w14:paraId="45F589A5" w14:textId="77777777" w:rsidTr="00B03DAC">
        <w:trPr>
          <w:jc w:val="center"/>
        </w:trPr>
        <w:tc>
          <w:tcPr>
            <w:tcW w:w="0" w:type="auto"/>
          </w:tcPr>
          <w:p w14:paraId="3D581C68" w14:textId="14026D19" w:rsidR="0021725B" w:rsidRPr="0021725B" w:rsidRDefault="0021725B" w:rsidP="001437A5">
            <w:r w:rsidRPr="0021725B">
              <w:t>Growing EV demand in UK</w:t>
            </w:r>
          </w:p>
        </w:tc>
        <w:tc>
          <w:tcPr>
            <w:tcW w:w="0" w:type="auto"/>
          </w:tcPr>
          <w:p w14:paraId="78468F54" w14:textId="3C201CB8" w:rsidR="0021725B" w:rsidRPr="0021725B" w:rsidRDefault="0021725B" w:rsidP="001437A5">
            <w:r w:rsidRPr="0021725B">
              <w:t>Strong competition from Tesla, VW, BYD</w:t>
            </w:r>
          </w:p>
        </w:tc>
      </w:tr>
      <w:tr w:rsidR="0021725B" w:rsidRPr="0021725B" w14:paraId="5C14D22F" w14:textId="77777777" w:rsidTr="00B03DAC">
        <w:trPr>
          <w:jc w:val="center"/>
        </w:trPr>
        <w:tc>
          <w:tcPr>
            <w:tcW w:w="0" w:type="auto"/>
          </w:tcPr>
          <w:p w14:paraId="428369AF" w14:textId="36FA8102" w:rsidR="0021725B" w:rsidRPr="0021725B" w:rsidRDefault="0021725B" w:rsidP="001437A5">
            <w:r w:rsidRPr="0021725B">
              <w:t>Government EV incentives</w:t>
            </w:r>
          </w:p>
        </w:tc>
        <w:tc>
          <w:tcPr>
            <w:tcW w:w="0" w:type="auto"/>
          </w:tcPr>
          <w:p w14:paraId="467A4779" w14:textId="4333EC1D" w:rsidR="0021725B" w:rsidRPr="0021725B" w:rsidRDefault="0021725B" w:rsidP="001437A5">
            <w:r w:rsidRPr="0021725B">
              <w:t>Battery supply shortages</w:t>
            </w:r>
          </w:p>
        </w:tc>
      </w:tr>
      <w:tr w:rsidR="0021725B" w:rsidRPr="0021725B" w14:paraId="5677F2D6" w14:textId="77777777" w:rsidTr="00B03DAC">
        <w:trPr>
          <w:jc w:val="center"/>
        </w:trPr>
        <w:tc>
          <w:tcPr>
            <w:tcW w:w="0" w:type="auto"/>
          </w:tcPr>
          <w:p w14:paraId="13D12356" w14:textId="39F5EBD4" w:rsidR="0021725B" w:rsidRPr="0021725B" w:rsidRDefault="0021725B" w:rsidP="001437A5">
            <w:r w:rsidRPr="0021725B">
              <w:t>Digital sales and services</w:t>
            </w:r>
          </w:p>
        </w:tc>
        <w:tc>
          <w:tcPr>
            <w:tcW w:w="0" w:type="auto"/>
          </w:tcPr>
          <w:p w14:paraId="59456671" w14:textId="2A64EEF2" w:rsidR="0021725B" w:rsidRPr="0021725B" w:rsidRDefault="0021725B" w:rsidP="001437A5">
            <w:r w:rsidRPr="0021725B">
              <w:t>Economic slowdown reducing car demand</w:t>
            </w:r>
          </w:p>
        </w:tc>
      </w:tr>
    </w:tbl>
    <w:p w14:paraId="183D71B9" w14:textId="77777777" w:rsidR="0021725B" w:rsidRPr="0021725B" w:rsidRDefault="0021725B" w:rsidP="0021725B">
      <w:pPr>
        <w:rPr>
          <w:vanish/>
        </w:rPr>
      </w:pPr>
    </w:p>
    <w:p w14:paraId="0B72B6E7" w14:textId="7D2F85F6" w:rsidR="0021725B" w:rsidRDefault="0021725B" w:rsidP="0021725B"/>
    <w:p w14:paraId="67A53EA7" w14:textId="77777777" w:rsidR="001D29F5" w:rsidRPr="001D29F5" w:rsidRDefault="001D29F5" w:rsidP="001D29F5">
      <w:r w:rsidRPr="001D29F5">
        <w:rPr>
          <w:b/>
          <w:bCs/>
        </w:rPr>
        <w:t>Critical Evaluation</w:t>
      </w:r>
    </w:p>
    <w:p w14:paraId="4961824E" w14:textId="1837B07E" w:rsidR="001D29F5" w:rsidRPr="001D29F5" w:rsidRDefault="00036A07" w:rsidP="001D29F5">
      <w:r w:rsidRPr="00036A07">
        <w:t>The analysis shows that Vauxhall possesses an excellent background and support through Stellantis, but it faces a lot of pressure due to technology giants in EVs. External forces like the government control and consumer change are compelling the company to change very rapidly. Experience in the manufacturing and brand image are good internal strengths, but without proper innovation Vauxhall will lose its market share. Therefore, the future strategy would be to invest in EVs, supply chain partnerships, and digital customer experience in order to keep up with competitors in the UK car industry.</w:t>
      </w:r>
    </w:p>
    <w:p w14:paraId="3CD0CAEB" w14:textId="4C32B6D9" w:rsidR="001D29F5" w:rsidRPr="001D29F5" w:rsidRDefault="00B03DAC" w:rsidP="00B03DAC">
      <w:pPr>
        <w:pStyle w:val="Heading1"/>
      </w:pPr>
      <w:bookmarkStart w:id="6" w:name="_Toc223225192"/>
      <w:r>
        <w:t>3</w:t>
      </w:r>
      <w:r w:rsidR="001D29F5" w:rsidRPr="001D29F5">
        <w:t>. Strategy Formulation</w:t>
      </w:r>
      <w:bookmarkEnd w:id="6"/>
    </w:p>
    <w:p w14:paraId="31057862" w14:textId="30EF02F2" w:rsidR="001D29F5" w:rsidRPr="001D29F5" w:rsidRDefault="00036A07" w:rsidP="001D29F5">
      <w:r w:rsidRPr="00036A07">
        <w:t>Based on the external and internal analysis, Vauxhall needs to possess strategies that improve innovation, cost reduction and sustainable growth</w:t>
      </w:r>
      <w:r w:rsidR="001D29F5" w:rsidRPr="001D29F5">
        <w:t xml:space="preserve">. An effective strategy should also align with the UK government policy, evolving customer requirements, and stiff international competition. The strategic management theory suggests that firms benefit when the resources are matched with the market opportunities </w:t>
      </w:r>
      <w:r w:rsidR="00CF3615" w:rsidRPr="00CF3615">
        <w:t>(Knobbe and Proff, 2020)</w:t>
      </w:r>
      <w:r w:rsidR="001D29F5" w:rsidRPr="001D29F5">
        <w:t>. The strategic options that should be adopted by Vauxhall include the following.</w:t>
      </w:r>
    </w:p>
    <w:p w14:paraId="39E8075E" w14:textId="6400EFE1" w:rsidR="001D29F5" w:rsidRPr="001D29F5" w:rsidRDefault="001D29F5" w:rsidP="001D29F5">
      <w:r w:rsidRPr="001D29F5">
        <w:rPr>
          <w:b/>
          <w:bCs/>
        </w:rPr>
        <w:t xml:space="preserve">1. </w:t>
      </w:r>
      <w:r w:rsidR="00F75D8D" w:rsidRPr="00F75D8D">
        <w:rPr>
          <w:b/>
          <w:bCs/>
        </w:rPr>
        <w:t>Quick Vehicle Development</w:t>
      </w:r>
    </w:p>
    <w:p w14:paraId="156F6ABB" w14:textId="77777777" w:rsidR="001D29F5" w:rsidRPr="001D29F5" w:rsidRDefault="001D29F5" w:rsidP="001D29F5">
      <w:r w:rsidRPr="001D29F5">
        <w:t xml:space="preserve">Vauxhall needs to allocate more funds to the development of electric vehicles (EVs) and put more effort into working with its parent organisation, Stellantis. The UK government intends to </w:t>
      </w:r>
      <w:r w:rsidRPr="001D29F5">
        <w:lastRenderedPageBreak/>
        <w:t>stop the use of petrol and diesel-powered vehicles by 2035, and this eventually implies a rapid increase in the demand for EVs (UK Government, 2023). Vauxhall can release cheap EV models sooner using Stellantis' battery platforms and software systems. The practicality of the affordable EVs is that in times of inflation, the customers in the United Kingdom are sensitive to prices (SMMT, 2024). The attention towards small family EV cars and electric vans will help Vauxhall to reinforce its position in the market. This plan creates a long-term competitive advantage based on the capability of technology and brand loyalty (Barney, 1991).</w:t>
      </w:r>
    </w:p>
    <w:p w14:paraId="6E5E49A5" w14:textId="77777777" w:rsidR="001D29F5" w:rsidRPr="001D29F5" w:rsidRDefault="001D29F5" w:rsidP="001D29F5">
      <w:r w:rsidRPr="001D29F5">
        <w:rPr>
          <w:b/>
          <w:bCs/>
        </w:rPr>
        <w:t>2. Establish Effective Local Supply Chain Relationships</w:t>
      </w:r>
    </w:p>
    <w:p w14:paraId="323C243F" w14:textId="64CE5D16" w:rsidR="001D29F5" w:rsidRPr="001D29F5" w:rsidRDefault="001D29F5" w:rsidP="001D29F5">
      <w:r w:rsidRPr="001D29F5">
        <w:t>The analysis revealed that the supplier's power is high, particularly in the case of batteries and semiconductors. Vauxhall ought to establish collaborations with battery manufacturers in the UK and Europe so as to minimise the risk of supply and the cost of transportation. Local supply chains are a part of the sustainability goals as well since they minimise carbon emissions (ACEA, 202</w:t>
      </w:r>
      <w:r w:rsidR="00CF3615">
        <w:t>5</w:t>
      </w:r>
      <w:r w:rsidRPr="001D29F5">
        <w:t>). Brand image in the UK market can be enhanced by investing in the facilities in the UK, including the Ellesmere Port electric van plant, which can save jobs (Stellantis, 2024). Companies investing locally have the tendency to be supported by the governments, resulting in the cost of production being lowered. An enhanced supply chain also enhances the efficiency of operations in the value chain.</w:t>
      </w:r>
    </w:p>
    <w:p w14:paraId="48474E8B" w14:textId="77777777" w:rsidR="001D29F5" w:rsidRPr="001D29F5" w:rsidRDefault="001D29F5" w:rsidP="001D29F5">
      <w:r w:rsidRPr="001D29F5">
        <w:rPr>
          <w:b/>
          <w:bCs/>
        </w:rPr>
        <w:t>3. Innovate Digital Customer Experience and Services</w:t>
      </w:r>
    </w:p>
    <w:p w14:paraId="729CF32C" w14:textId="77777777" w:rsidR="001D29F5" w:rsidRPr="001D29F5" w:rsidRDefault="001D29F5" w:rsidP="001D29F5">
      <w:r w:rsidRPr="001D29F5">
        <w:t>The way consumers behave is evolving, and an increasing number of consumers purchase cars online and demand related services (Deloitte, 2024). Vauxhall needs to invest in online ordering, subscription, and remote vehicle updates on digital platforms. These services will be capable of generating new revenue and better customer loyalty. To illustrate, younger buyers who like convenience may be enticed to buy the battery by providing battery leasing, flexible finance and mobile servicing. Digital strategy is also the element that will enable Vauxhall to gather customer data and enhance product design.</w:t>
      </w:r>
    </w:p>
    <w:p w14:paraId="0A29E689" w14:textId="77777777" w:rsidR="001D29F5" w:rsidRPr="001D29F5" w:rsidRDefault="001D29F5" w:rsidP="001D29F5">
      <w:r w:rsidRPr="001D29F5">
        <w:rPr>
          <w:b/>
          <w:bCs/>
        </w:rPr>
        <w:t>4. Enhancement of Brand Positioning on Sustainability</w:t>
      </w:r>
    </w:p>
    <w:p w14:paraId="047DB984" w14:textId="3B7FB8CC" w:rsidR="001D29F5" w:rsidRPr="001D29F5" w:rsidRDefault="001D29F5" w:rsidP="001D29F5">
      <w:r w:rsidRPr="001D29F5">
        <w:t>Vauxhall has a good UK brand legacy that it needs to relate to the current sustainability values. The low-emission production, recycling plans, and low-cost alternatives in EVs should be satisfied with the marketing campaigns. The UK customers currently make a decision based on the level of environmental responsibility (European Commission, 202</w:t>
      </w:r>
      <w:r w:rsidR="00CF3615">
        <w:t>4</w:t>
      </w:r>
      <w:r w:rsidRPr="001D29F5">
        <w:t>). This plan has the potential to enhance the reputation of the brand and to distinguish Vauxhall from the other players who concentrate on high-end EV models alone.</w:t>
      </w:r>
    </w:p>
    <w:p w14:paraId="6642A2B7" w14:textId="77777777" w:rsidR="001D29F5" w:rsidRPr="001D29F5" w:rsidRDefault="001D29F5" w:rsidP="001D29F5">
      <w:r w:rsidRPr="001D29F5">
        <w:rPr>
          <w:b/>
          <w:bCs/>
        </w:rPr>
        <w:t>Critical Evaluation</w:t>
      </w:r>
    </w:p>
    <w:p w14:paraId="2569354D" w14:textId="4A948F56" w:rsidR="001D29F5" w:rsidRPr="001D29F5" w:rsidRDefault="001D29F5" w:rsidP="001D29F5">
      <w:r w:rsidRPr="001D29F5">
        <w:lastRenderedPageBreak/>
        <w:t>These tactics are feasible as they leverage the strengths of Vauxhall, like Stellantis support, UK factories, and its good dealer network. Nevertheless, it has some risks, such as the high cost of investment and questionable EV demand. Thus, Vauxhall needs to use strategies in steps and track the market trends. Altogether, EV innovation, partnership with suppliers, digital service, and sustainable branding can enhance the competitiveness of Vauxhall and guarantee its long-term expansion in the UK automotive industry</w:t>
      </w:r>
      <w:r w:rsidR="00CF3615">
        <w:t xml:space="preserve"> </w:t>
      </w:r>
      <w:r w:rsidR="00CF3615" w:rsidRPr="00CF3615">
        <w:t>(Feng, 2025)</w:t>
      </w:r>
      <w:r w:rsidRPr="001D29F5">
        <w:t>.</w:t>
      </w:r>
    </w:p>
    <w:p w14:paraId="502E9740" w14:textId="09FD0C81" w:rsidR="001D29F5" w:rsidRPr="001D29F5" w:rsidRDefault="00B03DAC" w:rsidP="00B03DAC">
      <w:pPr>
        <w:pStyle w:val="Heading1"/>
      </w:pPr>
      <w:bookmarkStart w:id="7" w:name="_Toc223225193"/>
      <w:r>
        <w:t>4</w:t>
      </w:r>
      <w:r w:rsidR="001D29F5" w:rsidRPr="001D29F5">
        <w:t>. Conclusion and Recommendations</w:t>
      </w:r>
      <w:bookmarkEnd w:id="7"/>
    </w:p>
    <w:p w14:paraId="266D48A5" w14:textId="77777777" w:rsidR="001D29F5" w:rsidRPr="001D29F5" w:rsidRDefault="001D29F5" w:rsidP="001D29F5">
      <w:r w:rsidRPr="001D29F5">
        <w:t>This report evaluated the external and internal environment of Vauxhall through the strategic management models. The results indicate that the UK automotive industry is evolving rapidly due to the policy of electric vehicles, new technology, and stiff competition at the global level. The opportunity that is open to Vauxhall is government regulation and demand by customers for low-emission vehicles, whereas the weaknesses are being a late entrant in EV technology and expensive manufacturing. The analysis of internal factors indicates that the UK reputation of the brand, network of dealers, and Stellantis support can be considered as the key advantages of Vauxhall. Nonetheless, the lack of accelerated innovations can deprive the company of market share to the well-developed EV competitors.</w:t>
      </w:r>
    </w:p>
    <w:p w14:paraId="4988A5FA" w14:textId="77777777" w:rsidR="001D29F5" w:rsidRPr="001D29F5" w:rsidRDefault="001D29F5" w:rsidP="001D29F5">
      <w:r w:rsidRPr="001D29F5">
        <w:t>In order to enhance its position in the market and attain sustainable growth, a number of measures can be suggested. To begin with, Vauxhall needs to hurry the development of affordable EVs with the help of Stellantis technology and manufacturing plants in the UK. Second, the firm needs to forge good relations with local partners in terms of battery and semiconductor suppliers in order to minimise cost and supply risk. Third, Vauxhall must invest in online sales channels, connected services and customised finance schemes to address evolving customer demands. Lastly, marketing must concentrate on the sustainability and British production to increase loyalty to the brand. With such realistic measures, Vauxhall will be able to stay afloat in the UK automotive industry and ensure sustainable growth in the shift towards electric mobility by taking these measures in stages.</w:t>
      </w:r>
    </w:p>
    <w:p w14:paraId="735B1845" w14:textId="1BC41C28" w:rsidR="00B03DAC" w:rsidRDefault="00B03DAC">
      <w:pPr>
        <w:spacing w:line="276" w:lineRule="auto"/>
        <w:jc w:val="left"/>
      </w:pPr>
      <w:r>
        <w:br w:type="page"/>
      </w:r>
    </w:p>
    <w:p w14:paraId="4D78F529" w14:textId="514D3993" w:rsidR="009773B7" w:rsidRDefault="00B03DAC" w:rsidP="00B03DAC">
      <w:pPr>
        <w:pStyle w:val="Heading1"/>
      </w:pPr>
      <w:bookmarkStart w:id="8" w:name="_Toc223225194"/>
      <w:r>
        <w:lastRenderedPageBreak/>
        <w:t>References</w:t>
      </w:r>
      <w:bookmarkEnd w:id="8"/>
    </w:p>
    <w:p w14:paraId="4084D789" w14:textId="0F3FB467" w:rsidR="006D4D88" w:rsidRPr="006D4D88" w:rsidRDefault="006D4D88" w:rsidP="006D4D88">
      <w:r w:rsidRPr="006D4D88">
        <w:t xml:space="preserve">ACEA (2025) </w:t>
      </w:r>
      <w:r w:rsidRPr="006D4D88">
        <w:rPr>
          <w:i/>
          <w:iCs/>
        </w:rPr>
        <w:t>Economic and Market Report: Global and EU Auto Industry – Full Year 2024</w:t>
      </w:r>
      <w:r w:rsidRPr="006D4D88">
        <w:t xml:space="preserve">. Brussels: European Automobile Manufacturers’ Association. Available at: </w:t>
      </w:r>
      <w:hyperlink r:id="rId13" w:tgtFrame="_new" w:history="1">
        <w:r w:rsidRPr="006D4D88">
          <w:rPr>
            <w:rStyle w:val="Hyperlink"/>
          </w:rPr>
          <w:t>https://www.acea.auto/publication/economic-and-market-report-global-and-eu-auto-industry-full-year-2024/</w:t>
        </w:r>
      </w:hyperlink>
    </w:p>
    <w:p w14:paraId="434D8500" w14:textId="0F221A1E" w:rsidR="006D4D88" w:rsidRPr="006D4D88" w:rsidRDefault="006D4D88" w:rsidP="006D4D88">
      <w:r w:rsidRPr="006D4D88">
        <w:t xml:space="preserve">Barney, J. (1991) ‘Firm resources and sustained competitive advantage’, </w:t>
      </w:r>
      <w:r w:rsidRPr="006D4D88">
        <w:rPr>
          <w:i/>
          <w:iCs/>
        </w:rPr>
        <w:t>Journal of Management</w:t>
      </w:r>
      <w:r w:rsidRPr="006D4D88">
        <w:t xml:space="preserve">, 17(1), pp. 99–120. </w:t>
      </w:r>
      <w:hyperlink r:id="rId14" w:tgtFrame="_new" w:history="1">
        <w:r w:rsidRPr="006D4D88">
          <w:rPr>
            <w:rStyle w:val="Hyperlink"/>
          </w:rPr>
          <w:t>https://doi.org/10.1177/014920639101700108</w:t>
        </w:r>
      </w:hyperlink>
    </w:p>
    <w:p w14:paraId="0FF42FDD" w14:textId="7802A6B5" w:rsidR="006D4D88" w:rsidRPr="006D4D88" w:rsidRDefault="006D4D88" w:rsidP="006D4D88">
      <w:r w:rsidRPr="006D4D88">
        <w:t xml:space="preserve">Birkinshaw, J. (2022) </w:t>
      </w:r>
      <w:r w:rsidRPr="006D4D88">
        <w:rPr>
          <w:i/>
          <w:iCs/>
        </w:rPr>
        <w:t>Strategic Management</w:t>
      </w:r>
      <w:r w:rsidRPr="006D4D88">
        <w:t>. 1st edn. Northampton, MA: Edward Elgar Publishing.</w:t>
      </w:r>
    </w:p>
    <w:p w14:paraId="25DCE31D" w14:textId="58180484" w:rsidR="006D4D88" w:rsidRPr="006D4D88" w:rsidRDefault="006D4D88" w:rsidP="006D4D88">
      <w:r w:rsidRPr="006D4D88">
        <w:t xml:space="preserve">Burrow, J. and Becraft, M.B. (2020) </w:t>
      </w:r>
      <w:r w:rsidRPr="006D4D88">
        <w:rPr>
          <w:i/>
          <w:iCs/>
        </w:rPr>
        <w:t>Business Management</w:t>
      </w:r>
      <w:r w:rsidRPr="006D4D88">
        <w:t>. Boston, MA: South-Western Cengage Learning.</w:t>
      </w:r>
    </w:p>
    <w:p w14:paraId="2601A15C" w14:textId="6FD1AF88" w:rsidR="006D4D88" w:rsidRPr="006D4D88" w:rsidRDefault="006D4D88" w:rsidP="006D4D88">
      <w:r w:rsidRPr="006D4D88">
        <w:t xml:space="preserve">Deloitte (2024) </w:t>
      </w:r>
      <w:r w:rsidRPr="006D4D88">
        <w:rPr>
          <w:i/>
          <w:iCs/>
        </w:rPr>
        <w:t>Global Automotive Consumer Study 2024</w:t>
      </w:r>
      <w:r w:rsidRPr="006D4D88">
        <w:t xml:space="preserve">. London: Deloitte. Available at: </w:t>
      </w:r>
      <w:hyperlink r:id="rId15" w:tgtFrame="_new" w:history="1">
        <w:r w:rsidRPr="006D4D88">
          <w:rPr>
            <w:rStyle w:val="Hyperlink"/>
          </w:rPr>
          <w:t>https://www.deloitte.com/uk/en/Industries/automotive/perspectives/global-automotive-consumer-study.html</w:t>
        </w:r>
      </w:hyperlink>
    </w:p>
    <w:p w14:paraId="27980763" w14:textId="6C2BAB60" w:rsidR="006D4D88" w:rsidRPr="006D4D88" w:rsidRDefault="006D4D88" w:rsidP="006D4D88">
      <w:r w:rsidRPr="006D4D88">
        <w:t xml:space="preserve">European Commission (2024) </w:t>
      </w:r>
      <w:r w:rsidRPr="006D4D88">
        <w:rPr>
          <w:i/>
          <w:iCs/>
        </w:rPr>
        <w:t>Fit for 55: Delivering on the Proposals</w:t>
      </w:r>
      <w:r w:rsidRPr="006D4D88">
        <w:t xml:space="preserve">. Brussels: European Commission. Available at: </w:t>
      </w:r>
      <w:hyperlink r:id="rId16" w:tgtFrame="_new" w:history="1">
        <w:r w:rsidRPr="006D4D88">
          <w:rPr>
            <w:rStyle w:val="Hyperlink"/>
          </w:rPr>
          <w:t>https://commission.europa.eu/topics/climate-action/delivering-european-green-deal/fit-55-delivering-proposals_en</w:t>
        </w:r>
      </w:hyperlink>
    </w:p>
    <w:p w14:paraId="0E6026F4" w14:textId="100787B3" w:rsidR="006D4D88" w:rsidRPr="006D4D88" w:rsidRDefault="006D4D88" w:rsidP="006D4D88">
      <w:r w:rsidRPr="006D4D88">
        <w:t xml:space="preserve">Feng, X. (2025) ‘A strategic perspective on the UK automotive industry’, </w:t>
      </w:r>
      <w:r w:rsidRPr="006D4D88">
        <w:rPr>
          <w:i/>
          <w:iCs/>
        </w:rPr>
        <w:t>SSRN Electronic Journal</w:t>
      </w:r>
      <w:r w:rsidRPr="006D4D88">
        <w:t xml:space="preserve">. </w:t>
      </w:r>
      <w:hyperlink r:id="rId17" w:tgtFrame="_new" w:history="1">
        <w:r w:rsidRPr="006D4D88">
          <w:rPr>
            <w:rStyle w:val="Hyperlink"/>
          </w:rPr>
          <w:t>https://doi.org/10.2139/ssrn.5350257</w:t>
        </w:r>
      </w:hyperlink>
    </w:p>
    <w:p w14:paraId="19C304C8" w14:textId="134638BD" w:rsidR="006D4D88" w:rsidRPr="006D4D88" w:rsidRDefault="006D4D88" w:rsidP="006D4D88">
      <w:r w:rsidRPr="006D4D88">
        <w:t xml:space="preserve">Johnson, G., Whittington, R., Scholes, K., Angwin, D. and Regnér, P. (2011) </w:t>
      </w:r>
      <w:r w:rsidRPr="006D4D88">
        <w:rPr>
          <w:i/>
          <w:iCs/>
        </w:rPr>
        <w:t>Exploring Strategy</w:t>
      </w:r>
      <w:r w:rsidRPr="006D4D88">
        <w:t>. London: Financial Times Prentice Hall.</w:t>
      </w:r>
    </w:p>
    <w:p w14:paraId="699B3197" w14:textId="448113C4" w:rsidR="006D4D88" w:rsidRPr="006D4D88" w:rsidRDefault="006D4D88" w:rsidP="006D4D88">
      <w:r w:rsidRPr="006D4D88">
        <w:t xml:space="preserve">Knobbe, F. and Proff, H. (2020) ‘Dynamic capabilities in the automotive industry under digitalisation’, </w:t>
      </w:r>
      <w:r w:rsidRPr="006D4D88">
        <w:rPr>
          <w:i/>
          <w:iCs/>
        </w:rPr>
        <w:t>International Journal of Automotive Technology and Management</w:t>
      </w:r>
      <w:r w:rsidRPr="006D4D88">
        <w:t xml:space="preserve">, 20(4), pp. 436–455. </w:t>
      </w:r>
      <w:hyperlink r:id="rId18" w:tgtFrame="_new" w:history="1">
        <w:r w:rsidRPr="006D4D88">
          <w:rPr>
            <w:rStyle w:val="Hyperlink"/>
          </w:rPr>
          <w:t>https://doi.org/10.1504/IJATM.2020.10034373</w:t>
        </w:r>
      </w:hyperlink>
    </w:p>
    <w:p w14:paraId="01CA4BE5" w14:textId="0D962F3E" w:rsidR="006D4D88" w:rsidRPr="006D4D88" w:rsidRDefault="006D4D88" w:rsidP="006D4D88">
      <w:r w:rsidRPr="006D4D88">
        <w:t xml:space="preserve">Porter, M.E. (1985) </w:t>
      </w:r>
      <w:r w:rsidRPr="006D4D88">
        <w:rPr>
          <w:i/>
          <w:iCs/>
        </w:rPr>
        <w:t>Competitive Advantage: Creating and Sustaining Superior Performance</w:t>
      </w:r>
      <w:r w:rsidRPr="006D4D88">
        <w:t>. New York: Free Press.</w:t>
      </w:r>
    </w:p>
    <w:p w14:paraId="48CE4218" w14:textId="7D7F8A8B" w:rsidR="006D4D88" w:rsidRPr="006D4D88" w:rsidRDefault="006D4D88" w:rsidP="006D4D88">
      <w:r w:rsidRPr="006D4D88">
        <w:t xml:space="preserve">Porter, M.E. (2008) </w:t>
      </w:r>
      <w:r w:rsidRPr="006D4D88">
        <w:rPr>
          <w:i/>
          <w:iCs/>
        </w:rPr>
        <w:t>Competitive Strategy: Techniques for Analyzing Industries and Competitors</w:t>
      </w:r>
      <w:r w:rsidRPr="006D4D88">
        <w:t>. New York: Simon &amp; Schuster.</w:t>
      </w:r>
    </w:p>
    <w:p w14:paraId="2BCA6B83" w14:textId="7580CFE2" w:rsidR="006D4D88" w:rsidRPr="006D4D88" w:rsidRDefault="006D4D88" w:rsidP="006D4D88">
      <w:r w:rsidRPr="006D4D88">
        <w:t xml:space="preserve">Rothaermel, F. (2024) </w:t>
      </w:r>
      <w:r w:rsidRPr="006D4D88">
        <w:rPr>
          <w:i/>
          <w:iCs/>
        </w:rPr>
        <w:t>Strategic Management</w:t>
      </w:r>
      <w:r w:rsidRPr="006D4D88">
        <w:t>. 6th edn. New York: McGraw-Hill Education.</w:t>
      </w:r>
    </w:p>
    <w:p w14:paraId="0F8B5470" w14:textId="1F24F595" w:rsidR="006D4D88" w:rsidRPr="006D4D88" w:rsidRDefault="006D4D88" w:rsidP="006D4D88">
      <w:r w:rsidRPr="006D4D88">
        <w:lastRenderedPageBreak/>
        <w:t xml:space="preserve">SMMT (2024) </w:t>
      </w:r>
      <w:r w:rsidRPr="006D4D88">
        <w:rPr>
          <w:i/>
          <w:iCs/>
        </w:rPr>
        <w:t>SMMT Motor Industry Facts 2024</w:t>
      </w:r>
      <w:r w:rsidRPr="006D4D88">
        <w:t xml:space="preserve">. London: Society of Motor Manufacturers and Traders. Available at: </w:t>
      </w:r>
      <w:hyperlink r:id="rId19" w:tgtFrame="_new" w:history="1">
        <w:r w:rsidRPr="006D4D88">
          <w:rPr>
            <w:rStyle w:val="Hyperlink"/>
          </w:rPr>
          <w:t>https://www.smmt.co.uk/smmt-motor-industry-facts-2024/</w:t>
        </w:r>
      </w:hyperlink>
    </w:p>
    <w:p w14:paraId="6F3309FA" w14:textId="559FD529" w:rsidR="006D4D88" w:rsidRPr="006D4D88" w:rsidRDefault="006D4D88" w:rsidP="006D4D88">
      <w:r w:rsidRPr="006D4D88">
        <w:t xml:space="preserve">Stellantis (2024) </w:t>
      </w:r>
      <w:r w:rsidRPr="006D4D88">
        <w:rPr>
          <w:i/>
          <w:iCs/>
        </w:rPr>
        <w:t>Stellantis N.V. Annual Report 2024</w:t>
      </w:r>
      <w:r w:rsidRPr="006D4D88">
        <w:t xml:space="preserve">. Amsterdam: Stellantis N.V. Available at: </w:t>
      </w:r>
      <w:hyperlink r:id="rId20" w:tgtFrame="_new" w:history="1">
        <w:r w:rsidRPr="006D4D88">
          <w:rPr>
            <w:rStyle w:val="Hyperlink"/>
          </w:rPr>
          <w:t>https://www.stellantis.com/content/dam/stellantis-corporate/investors/financial-reports/Stellantis-NV-20241231-Annual-Report.pdf</w:t>
        </w:r>
      </w:hyperlink>
    </w:p>
    <w:p w14:paraId="1412ABFE" w14:textId="329004CC" w:rsidR="006D4D88" w:rsidRPr="006D4D88" w:rsidRDefault="006D4D88" w:rsidP="006D4D88">
      <w:r w:rsidRPr="006D4D88">
        <w:t xml:space="preserve">UK Government (2023) </w:t>
      </w:r>
      <w:r w:rsidRPr="006D4D88">
        <w:rPr>
          <w:i/>
          <w:iCs/>
        </w:rPr>
        <w:t>A Zero Emission Vehicle (ZEV) Mandate and CO</w:t>
      </w:r>
      <w:r w:rsidRPr="006D4D88">
        <w:rPr>
          <w:rFonts w:ascii="Cambria Math" w:hAnsi="Cambria Math" w:cs="Cambria Math"/>
          <w:i/>
          <w:iCs/>
        </w:rPr>
        <w:t>₂</w:t>
      </w:r>
      <w:r w:rsidRPr="006D4D88">
        <w:rPr>
          <w:i/>
          <w:iCs/>
        </w:rPr>
        <w:t xml:space="preserve"> Emissions Regulation for New Cars and Vans in the UK</w:t>
      </w:r>
      <w:r w:rsidRPr="006D4D88">
        <w:t xml:space="preserve">. London: Department for Transport. Available at: </w:t>
      </w:r>
      <w:hyperlink r:id="rId21" w:tgtFrame="_new" w:history="1">
        <w:r w:rsidRPr="006D4D88">
          <w:rPr>
            <w:rStyle w:val="Hyperlink"/>
          </w:rPr>
          <w:t>https://www.gov.uk/government/consultations/a-zero-emission-vehicle-zev-mandate-and-co2-emissions-regulation-for-new-cars-and-vans-in-the-uk</w:t>
        </w:r>
      </w:hyperlink>
    </w:p>
    <w:p w14:paraId="3909C327" w14:textId="3B6EE6DE" w:rsidR="00650E5F" w:rsidRPr="00B03DAC" w:rsidRDefault="00650E5F" w:rsidP="00650E5F"/>
    <w:sectPr w:rsidR="00650E5F" w:rsidRPr="00B03DAC" w:rsidSect="00B03DAC">
      <w:footerReference w:type="default" r:id="rId22"/>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78B60D" w14:textId="77777777" w:rsidR="00FF6B61" w:rsidRDefault="00FF6B61" w:rsidP="00B03DAC">
      <w:pPr>
        <w:spacing w:after="0" w:line="240" w:lineRule="auto"/>
      </w:pPr>
      <w:r>
        <w:separator/>
      </w:r>
    </w:p>
  </w:endnote>
  <w:endnote w:type="continuationSeparator" w:id="0">
    <w:p w14:paraId="159982E3" w14:textId="77777777" w:rsidR="00FF6B61" w:rsidRDefault="00FF6B61" w:rsidP="00B03D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3126449"/>
      <w:docPartObj>
        <w:docPartGallery w:val="Page Numbers (Bottom of Page)"/>
        <w:docPartUnique/>
      </w:docPartObj>
    </w:sdtPr>
    <w:sdtEndPr>
      <w:rPr>
        <w:noProof/>
      </w:rPr>
    </w:sdtEndPr>
    <w:sdtContent>
      <w:p w14:paraId="552E33FF" w14:textId="692BB404" w:rsidR="00B03DAC" w:rsidRDefault="00B03D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ECD086" w14:textId="77777777" w:rsidR="00B03DAC" w:rsidRDefault="00B03D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D9C14" w14:textId="77777777" w:rsidR="00FF6B61" w:rsidRDefault="00FF6B61" w:rsidP="00B03DAC">
      <w:pPr>
        <w:spacing w:after="0" w:line="240" w:lineRule="auto"/>
      </w:pPr>
      <w:r>
        <w:separator/>
      </w:r>
    </w:p>
  </w:footnote>
  <w:footnote w:type="continuationSeparator" w:id="0">
    <w:p w14:paraId="1982A8CB" w14:textId="77777777" w:rsidR="00FF6B61" w:rsidRDefault="00FF6B61" w:rsidP="00B03D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43F66"/>
    <w:multiLevelType w:val="hybridMultilevel"/>
    <w:tmpl w:val="1A602070"/>
    <w:lvl w:ilvl="0" w:tplc="04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2253B2"/>
    <w:multiLevelType w:val="multilevel"/>
    <w:tmpl w:val="1304F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1A1EE8"/>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2A0D5F90"/>
    <w:multiLevelType w:val="hybridMultilevel"/>
    <w:tmpl w:val="DCF40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C20893"/>
    <w:multiLevelType w:val="multilevel"/>
    <w:tmpl w:val="3B047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DF46B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534D72FA"/>
    <w:multiLevelType w:val="hybridMultilevel"/>
    <w:tmpl w:val="43208B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9F2340"/>
    <w:multiLevelType w:val="multilevel"/>
    <w:tmpl w:val="6B74E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CD519F5"/>
    <w:multiLevelType w:val="multilevel"/>
    <w:tmpl w:val="09B48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F872A3"/>
    <w:multiLevelType w:val="multilevel"/>
    <w:tmpl w:val="6B74E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3B710B6"/>
    <w:multiLevelType w:val="hybridMultilevel"/>
    <w:tmpl w:val="97C4C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6213278"/>
    <w:multiLevelType w:val="hybridMultilevel"/>
    <w:tmpl w:val="CF3E21AC"/>
    <w:lvl w:ilvl="0" w:tplc="04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639361B"/>
    <w:multiLevelType w:val="hybridMultilevel"/>
    <w:tmpl w:val="46A45464"/>
    <w:lvl w:ilvl="0" w:tplc="04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01516034">
    <w:abstractNumId w:val="8"/>
  </w:num>
  <w:num w:numId="2" w16cid:durableId="1774469345">
    <w:abstractNumId w:val="1"/>
  </w:num>
  <w:num w:numId="3" w16cid:durableId="932321513">
    <w:abstractNumId w:val="4"/>
  </w:num>
  <w:num w:numId="4" w16cid:durableId="1689601652">
    <w:abstractNumId w:val="0"/>
  </w:num>
  <w:num w:numId="5" w16cid:durableId="959998387">
    <w:abstractNumId w:val="5"/>
  </w:num>
  <w:num w:numId="6" w16cid:durableId="1187983467">
    <w:abstractNumId w:val="2"/>
  </w:num>
  <w:num w:numId="7" w16cid:durableId="1853185713">
    <w:abstractNumId w:val="9"/>
  </w:num>
  <w:num w:numId="8" w16cid:durableId="1449229472">
    <w:abstractNumId w:val="7"/>
  </w:num>
  <w:num w:numId="9" w16cid:durableId="615912912">
    <w:abstractNumId w:val="12"/>
  </w:num>
  <w:num w:numId="10" w16cid:durableId="2030982282">
    <w:abstractNumId w:val="11"/>
  </w:num>
  <w:num w:numId="11" w16cid:durableId="1488748148">
    <w:abstractNumId w:val="10"/>
  </w:num>
  <w:num w:numId="12" w16cid:durableId="979382332">
    <w:abstractNumId w:val="3"/>
  </w:num>
  <w:num w:numId="13" w16cid:durableId="16436584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25B"/>
    <w:rsid w:val="00024399"/>
    <w:rsid w:val="00036A07"/>
    <w:rsid w:val="001204F9"/>
    <w:rsid w:val="001437A5"/>
    <w:rsid w:val="00185917"/>
    <w:rsid w:val="001D29F5"/>
    <w:rsid w:val="0021725B"/>
    <w:rsid w:val="002231E1"/>
    <w:rsid w:val="0023682C"/>
    <w:rsid w:val="00260EC0"/>
    <w:rsid w:val="002D7E9D"/>
    <w:rsid w:val="00351B9A"/>
    <w:rsid w:val="003C58C0"/>
    <w:rsid w:val="0052682C"/>
    <w:rsid w:val="00597EE6"/>
    <w:rsid w:val="005B1441"/>
    <w:rsid w:val="006142F3"/>
    <w:rsid w:val="00650E5F"/>
    <w:rsid w:val="00661AC6"/>
    <w:rsid w:val="006D4D88"/>
    <w:rsid w:val="007013B9"/>
    <w:rsid w:val="00734456"/>
    <w:rsid w:val="007F6268"/>
    <w:rsid w:val="00827E2F"/>
    <w:rsid w:val="0088129C"/>
    <w:rsid w:val="00944C4B"/>
    <w:rsid w:val="009773B7"/>
    <w:rsid w:val="009E4DC3"/>
    <w:rsid w:val="009F69C4"/>
    <w:rsid w:val="00A259C2"/>
    <w:rsid w:val="00B03DAC"/>
    <w:rsid w:val="00B640D9"/>
    <w:rsid w:val="00B82DC3"/>
    <w:rsid w:val="00CE0BE1"/>
    <w:rsid w:val="00CF3615"/>
    <w:rsid w:val="00D12BC6"/>
    <w:rsid w:val="00D41271"/>
    <w:rsid w:val="00D52312"/>
    <w:rsid w:val="00DA6124"/>
    <w:rsid w:val="00DE3BEE"/>
    <w:rsid w:val="00E02BDC"/>
    <w:rsid w:val="00EB73E5"/>
    <w:rsid w:val="00EF19A2"/>
    <w:rsid w:val="00F20F56"/>
    <w:rsid w:val="00F24609"/>
    <w:rsid w:val="00F75D8D"/>
    <w:rsid w:val="00FC15B4"/>
    <w:rsid w:val="00FF6B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A82C2"/>
  <w15:chartTrackingRefBased/>
  <w15:docId w15:val="{B2199FEA-F15D-48E8-B697-840D7536F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725B"/>
    <w:pPr>
      <w:spacing w:line="360" w:lineRule="auto"/>
      <w:jc w:val="both"/>
    </w:pPr>
    <w:rPr>
      <w:rFonts w:ascii="Arial" w:hAnsi="Arial"/>
      <w:lang w:val="en-GB"/>
    </w:rPr>
  </w:style>
  <w:style w:type="paragraph" w:styleId="Heading1">
    <w:name w:val="heading 1"/>
    <w:basedOn w:val="Normal"/>
    <w:next w:val="Normal"/>
    <w:link w:val="Heading1Char"/>
    <w:uiPriority w:val="9"/>
    <w:qFormat/>
    <w:rsid w:val="006142F3"/>
    <w:pPr>
      <w:keepNext/>
      <w:keepLines/>
      <w:spacing w:before="360" w:after="80"/>
      <w:outlineLvl w:val="0"/>
    </w:pPr>
    <w:rPr>
      <w:rFonts w:eastAsiaTheme="majorEastAsia" w:cstheme="majorBidi"/>
      <w:b/>
      <w:sz w:val="30"/>
      <w:szCs w:val="40"/>
    </w:rPr>
  </w:style>
  <w:style w:type="paragraph" w:styleId="Heading2">
    <w:name w:val="heading 2"/>
    <w:basedOn w:val="Normal"/>
    <w:next w:val="Normal"/>
    <w:link w:val="Heading2Char"/>
    <w:uiPriority w:val="9"/>
    <w:unhideWhenUsed/>
    <w:qFormat/>
    <w:rsid w:val="006142F3"/>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uiPriority w:val="9"/>
    <w:semiHidden/>
    <w:unhideWhenUsed/>
    <w:qFormat/>
    <w:rsid w:val="0021725B"/>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21725B"/>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21725B"/>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2172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72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72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72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42F3"/>
    <w:rPr>
      <w:rFonts w:ascii="Arial" w:eastAsiaTheme="majorEastAsia" w:hAnsi="Arial" w:cstheme="majorBidi"/>
      <w:b/>
      <w:sz w:val="30"/>
      <w:szCs w:val="40"/>
      <w:lang w:val="en-GB"/>
    </w:rPr>
  </w:style>
  <w:style w:type="character" w:customStyle="1" w:styleId="Heading2Char">
    <w:name w:val="Heading 2 Char"/>
    <w:basedOn w:val="DefaultParagraphFont"/>
    <w:link w:val="Heading2"/>
    <w:uiPriority w:val="9"/>
    <w:rsid w:val="006142F3"/>
    <w:rPr>
      <w:rFonts w:ascii="Arial" w:eastAsiaTheme="majorEastAsia" w:hAnsi="Arial" w:cstheme="majorBidi"/>
      <w:b/>
      <w:sz w:val="26"/>
      <w:szCs w:val="32"/>
      <w:lang w:val="en-GB"/>
    </w:rPr>
  </w:style>
  <w:style w:type="character" w:customStyle="1" w:styleId="Heading3Char">
    <w:name w:val="Heading 3 Char"/>
    <w:basedOn w:val="DefaultParagraphFont"/>
    <w:link w:val="Heading3"/>
    <w:uiPriority w:val="9"/>
    <w:semiHidden/>
    <w:rsid w:val="0021725B"/>
    <w:rPr>
      <w:rFonts w:eastAsiaTheme="majorEastAsia" w:cstheme="majorBidi"/>
      <w:color w:val="365F91" w:themeColor="accent1" w:themeShade="BF"/>
      <w:sz w:val="28"/>
      <w:szCs w:val="28"/>
      <w:lang w:val="en-GB"/>
    </w:rPr>
  </w:style>
  <w:style w:type="character" w:customStyle="1" w:styleId="Heading4Char">
    <w:name w:val="Heading 4 Char"/>
    <w:basedOn w:val="DefaultParagraphFont"/>
    <w:link w:val="Heading4"/>
    <w:uiPriority w:val="9"/>
    <w:semiHidden/>
    <w:rsid w:val="0021725B"/>
    <w:rPr>
      <w:rFonts w:eastAsiaTheme="majorEastAsia"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21725B"/>
    <w:rPr>
      <w:rFonts w:eastAsiaTheme="majorEastAsia" w:cstheme="majorBidi"/>
      <w:color w:val="365F91" w:themeColor="accent1" w:themeShade="BF"/>
      <w:lang w:val="en-GB"/>
    </w:rPr>
  </w:style>
  <w:style w:type="character" w:customStyle="1" w:styleId="Heading6Char">
    <w:name w:val="Heading 6 Char"/>
    <w:basedOn w:val="DefaultParagraphFont"/>
    <w:link w:val="Heading6"/>
    <w:uiPriority w:val="9"/>
    <w:semiHidden/>
    <w:rsid w:val="0021725B"/>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21725B"/>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21725B"/>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21725B"/>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2172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725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21725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725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21725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1725B"/>
    <w:rPr>
      <w:i/>
      <w:iCs/>
      <w:color w:val="404040" w:themeColor="text1" w:themeTint="BF"/>
      <w:lang w:val="en-GB"/>
    </w:rPr>
  </w:style>
  <w:style w:type="paragraph" w:styleId="ListParagraph">
    <w:name w:val="List Paragraph"/>
    <w:basedOn w:val="Normal"/>
    <w:uiPriority w:val="34"/>
    <w:qFormat/>
    <w:rsid w:val="0021725B"/>
    <w:pPr>
      <w:ind w:left="720"/>
      <w:contextualSpacing/>
    </w:pPr>
  </w:style>
  <w:style w:type="character" w:styleId="IntenseEmphasis">
    <w:name w:val="Intense Emphasis"/>
    <w:basedOn w:val="DefaultParagraphFont"/>
    <w:uiPriority w:val="21"/>
    <w:qFormat/>
    <w:rsid w:val="0021725B"/>
    <w:rPr>
      <w:i/>
      <w:iCs/>
      <w:color w:val="365F91" w:themeColor="accent1" w:themeShade="BF"/>
    </w:rPr>
  </w:style>
  <w:style w:type="paragraph" w:styleId="IntenseQuote">
    <w:name w:val="Intense Quote"/>
    <w:basedOn w:val="Normal"/>
    <w:next w:val="Normal"/>
    <w:link w:val="IntenseQuoteChar"/>
    <w:uiPriority w:val="30"/>
    <w:qFormat/>
    <w:rsid w:val="0021725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21725B"/>
    <w:rPr>
      <w:i/>
      <w:iCs/>
      <w:color w:val="365F91" w:themeColor="accent1" w:themeShade="BF"/>
      <w:lang w:val="en-GB"/>
    </w:rPr>
  </w:style>
  <w:style w:type="character" w:styleId="IntenseReference">
    <w:name w:val="Intense Reference"/>
    <w:basedOn w:val="DefaultParagraphFont"/>
    <w:uiPriority w:val="32"/>
    <w:qFormat/>
    <w:rsid w:val="0021725B"/>
    <w:rPr>
      <w:b/>
      <w:bCs/>
      <w:smallCaps/>
      <w:color w:val="365F91" w:themeColor="accent1" w:themeShade="BF"/>
      <w:spacing w:val="5"/>
    </w:rPr>
  </w:style>
  <w:style w:type="table" w:styleId="TableGrid">
    <w:name w:val="Table Grid"/>
    <w:basedOn w:val="TableNormal"/>
    <w:uiPriority w:val="59"/>
    <w:rsid w:val="002172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03DAC"/>
    <w:pPr>
      <w:spacing w:before="240" w:after="0" w:line="259" w:lineRule="auto"/>
      <w:jc w:val="left"/>
      <w:outlineLvl w:val="9"/>
    </w:pPr>
    <w:rPr>
      <w:rFonts w:asciiTheme="majorHAnsi" w:hAnsiTheme="majorHAnsi"/>
      <w:b w:val="0"/>
      <w:color w:val="365F91" w:themeColor="accent1" w:themeShade="BF"/>
      <w:kern w:val="0"/>
      <w:sz w:val="32"/>
      <w:szCs w:val="32"/>
      <w:lang w:val="en-US"/>
      <w14:ligatures w14:val="none"/>
    </w:rPr>
  </w:style>
  <w:style w:type="paragraph" w:styleId="TOC1">
    <w:name w:val="toc 1"/>
    <w:basedOn w:val="Normal"/>
    <w:next w:val="Normal"/>
    <w:autoRedefine/>
    <w:uiPriority w:val="39"/>
    <w:unhideWhenUsed/>
    <w:rsid w:val="00B03DAC"/>
    <w:pPr>
      <w:spacing w:after="100"/>
    </w:pPr>
  </w:style>
  <w:style w:type="paragraph" w:styleId="TOC2">
    <w:name w:val="toc 2"/>
    <w:basedOn w:val="Normal"/>
    <w:next w:val="Normal"/>
    <w:autoRedefine/>
    <w:uiPriority w:val="39"/>
    <w:unhideWhenUsed/>
    <w:rsid w:val="00B03DAC"/>
    <w:pPr>
      <w:spacing w:after="100"/>
      <w:ind w:left="220"/>
    </w:pPr>
  </w:style>
  <w:style w:type="character" w:styleId="Hyperlink">
    <w:name w:val="Hyperlink"/>
    <w:basedOn w:val="DefaultParagraphFont"/>
    <w:uiPriority w:val="99"/>
    <w:unhideWhenUsed/>
    <w:rsid w:val="00B03DAC"/>
    <w:rPr>
      <w:color w:val="0000FF" w:themeColor="hyperlink"/>
      <w:u w:val="single"/>
    </w:rPr>
  </w:style>
  <w:style w:type="paragraph" w:styleId="Header">
    <w:name w:val="header"/>
    <w:basedOn w:val="Normal"/>
    <w:link w:val="HeaderChar"/>
    <w:uiPriority w:val="99"/>
    <w:unhideWhenUsed/>
    <w:rsid w:val="00B03D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3DAC"/>
    <w:rPr>
      <w:rFonts w:ascii="Arial" w:hAnsi="Arial"/>
      <w:lang w:val="en-GB"/>
    </w:rPr>
  </w:style>
  <w:style w:type="paragraph" w:styleId="Footer">
    <w:name w:val="footer"/>
    <w:basedOn w:val="Normal"/>
    <w:link w:val="FooterChar"/>
    <w:uiPriority w:val="99"/>
    <w:unhideWhenUsed/>
    <w:rsid w:val="00B03D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3DAC"/>
    <w:rPr>
      <w:rFonts w:ascii="Arial" w:hAnsi="Arial"/>
      <w:lang w:val="en-GB"/>
    </w:rPr>
  </w:style>
  <w:style w:type="character" w:styleId="UnresolvedMention">
    <w:name w:val="Unresolved Mention"/>
    <w:basedOn w:val="DefaultParagraphFont"/>
    <w:uiPriority w:val="99"/>
    <w:semiHidden/>
    <w:unhideWhenUsed/>
    <w:rsid w:val="002231E1"/>
    <w:rPr>
      <w:color w:val="605E5C"/>
      <w:shd w:val="clear" w:color="auto" w:fill="E1DFDD"/>
    </w:rPr>
  </w:style>
  <w:style w:type="paragraph" w:styleId="Caption">
    <w:name w:val="caption"/>
    <w:basedOn w:val="Normal"/>
    <w:next w:val="Normal"/>
    <w:uiPriority w:val="35"/>
    <w:unhideWhenUsed/>
    <w:qFormat/>
    <w:rsid w:val="007F6268"/>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cea.auto/publication/economic-and-market-report-global-and-eu-auto-industry-full-year-2024/" TargetMode="External"/><Relationship Id="rId18" Type="http://schemas.openxmlformats.org/officeDocument/2006/relationships/hyperlink" Target="https://doi.org/10.1504/IJATM.2020.10034373" TargetMode="External"/><Relationship Id="rId3" Type="http://schemas.openxmlformats.org/officeDocument/2006/relationships/styles" Target="styles.xml"/><Relationship Id="rId21" Type="http://schemas.openxmlformats.org/officeDocument/2006/relationships/hyperlink" Target="https://www.gov.uk/government/consultations/a-zero-emission-vehicle-zev-mandate-and-co2-emissions-regulation-for-new-cars-and-vans-in-the-uk" TargetMode="External"/><Relationship Id="rId7" Type="http://schemas.openxmlformats.org/officeDocument/2006/relationships/endnotes" Target="endnotes.xml"/><Relationship Id="rId12" Type="http://schemas.openxmlformats.org/officeDocument/2006/relationships/image" Target="media/image5.jfif"/><Relationship Id="rId17" Type="http://schemas.openxmlformats.org/officeDocument/2006/relationships/hyperlink" Target="https://doi.org/10.2139/ssrn.5350257" TargetMode="External"/><Relationship Id="rId2" Type="http://schemas.openxmlformats.org/officeDocument/2006/relationships/numbering" Target="numbering.xml"/><Relationship Id="rId16" Type="http://schemas.openxmlformats.org/officeDocument/2006/relationships/hyperlink" Target="https://commission.europa.eu/topics/climate-action/delivering-european-green-deal/fit-55-delivering-proposals_en" TargetMode="External"/><Relationship Id="rId20" Type="http://schemas.openxmlformats.org/officeDocument/2006/relationships/hyperlink" Target="https://www.stellantis.com/content/dam/stellantis-corporate/investors/financial-reports/Stellantis-NV-20241231-Annual-Report.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deloitte.com/uk/en/Industries/automotive/perspectives/global-automotive-consumer-study.html"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smmt.co.uk/smmt-motor-industry-facts-202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77/014920639101700108"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716619-9DCA-47EF-B6A6-DF2A7206F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Pages>
  <Words>2727</Words>
  <Characters>15547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
  <cp:lastModifiedBy>Alex Andrei</cp:lastModifiedBy>
  <cp:revision>65</cp:revision>
  <dcterms:created xsi:type="dcterms:W3CDTF">2026-02-28T09:49:00Z</dcterms:created>
  <dcterms:modified xsi:type="dcterms:W3CDTF">2026-03-09T21:15:00Z</dcterms:modified>
</cp:coreProperties>
</file>