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740C10" w14:textId="77777777" w:rsidR="00906FB7" w:rsidRDefault="00906FB7">
      <w:pPr>
        <w:spacing w:after="600"/>
      </w:pPr>
    </w:p>
    <w:p w14:paraId="78FFA670" w14:textId="77777777" w:rsidR="00906FB7" w:rsidRDefault="005A41E6">
      <w:pPr>
        <w:spacing w:after="400"/>
        <w:jc w:val="center"/>
        <w:rPr>
          <w:b/>
          <w:bCs/>
          <w:sz w:val="32"/>
          <w:szCs w:val="32"/>
        </w:rPr>
      </w:pPr>
      <w:r>
        <w:rPr>
          <w:b/>
          <w:bCs/>
          <w:sz w:val="32"/>
          <w:szCs w:val="32"/>
        </w:rPr>
        <w:t>An Analysis of Sustainable Development Goal 3 and Sustainable Development Goal 6 and Their Impact on Health and Wellbeing: A United Kingdom Perspective</w:t>
      </w:r>
    </w:p>
    <w:tbl>
      <w:tblPr>
        <w:tblW w:w="8170" w:type="dxa"/>
        <w:tblInd w:w="846" w:type="dxa"/>
        <w:tblCellMar>
          <w:left w:w="10" w:type="dxa"/>
          <w:right w:w="10" w:type="dxa"/>
        </w:tblCellMar>
        <w:tblLook w:val="04A0" w:firstRow="1" w:lastRow="0" w:firstColumn="1" w:lastColumn="0" w:noHBand="0" w:noVBand="1"/>
      </w:tblPr>
      <w:tblGrid>
        <w:gridCol w:w="3662"/>
        <w:gridCol w:w="4508"/>
      </w:tblGrid>
      <w:tr w:rsidR="00ED4E2F" w:rsidRPr="00ED4E2F" w14:paraId="22903471"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56B8C"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STUDENT NAME: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B9C19"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John Moses Imade Omorogbe</w:t>
            </w:r>
          </w:p>
        </w:tc>
      </w:tr>
      <w:tr w:rsidR="00ED4E2F" w:rsidRPr="00ED4E2F" w14:paraId="60FE85D1"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88B5D"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STUDENT ID:</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72260"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2310505</w:t>
            </w:r>
          </w:p>
        </w:tc>
      </w:tr>
      <w:tr w:rsidR="00ED4E2F" w:rsidRPr="00ED4E2F" w14:paraId="7D24B464"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0895B"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PROGRAMME: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22726" w14:textId="77777777" w:rsidR="00ED4E2F" w:rsidRPr="00ED4E2F" w:rsidRDefault="00ED4E2F" w:rsidP="00ED4E2F">
            <w:pPr>
              <w:spacing w:line="360" w:lineRule="auto"/>
              <w:rPr>
                <w:rFonts w:eastAsiaTheme="minorEastAsia"/>
                <w:lang w:eastAsia="ja-JP"/>
              </w:rPr>
            </w:pPr>
            <w:proofErr w:type="spellStart"/>
            <w:r w:rsidRPr="00ED4E2F">
              <w:rPr>
                <w:rFonts w:eastAsiaTheme="minorEastAsia"/>
                <w:lang w:eastAsia="ja-JP"/>
              </w:rPr>
              <w:t>BSc</w:t>
            </w:r>
            <w:proofErr w:type="spellEnd"/>
            <w:r w:rsidRPr="00ED4E2F">
              <w:rPr>
                <w:rFonts w:eastAsiaTheme="minorEastAsia"/>
                <w:lang w:eastAsia="ja-JP"/>
              </w:rPr>
              <w:t>(</w:t>
            </w:r>
            <w:proofErr w:type="spellStart"/>
            <w:r w:rsidRPr="00ED4E2F">
              <w:rPr>
                <w:rFonts w:eastAsiaTheme="minorEastAsia"/>
                <w:lang w:eastAsia="ja-JP"/>
              </w:rPr>
              <w:t>Hons</w:t>
            </w:r>
            <w:proofErr w:type="spellEnd"/>
            <w:r w:rsidRPr="00ED4E2F">
              <w:rPr>
                <w:rFonts w:eastAsiaTheme="minorEastAsia"/>
                <w:lang w:eastAsia="ja-JP"/>
              </w:rPr>
              <w:t>) health and social care</w:t>
            </w:r>
          </w:p>
        </w:tc>
      </w:tr>
      <w:tr w:rsidR="00ED4E2F" w:rsidRPr="00ED4E2F" w14:paraId="59A34EBD"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96D7F"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MODULE: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A5CB4" w14:textId="77777777" w:rsidR="00ED4E2F" w:rsidRPr="00ED4E2F" w:rsidRDefault="00ED4E2F" w:rsidP="00ED4E2F">
            <w:pPr>
              <w:spacing w:line="360" w:lineRule="auto"/>
              <w:rPr>
                <w:rFonts w:eastAsiaTheme="minorEastAsia"/>
                <w:lang w:eastAsia="ja-JP"/>
              </w:rPr>
            </w:pPr>
            <w:proofErr w:type="spellStart"/>
            <w:r w:rsidRPr="00ED4E2F">
              <w:rPr>
                <w:rFonts w:eastAsiaTheme="minorEastAsia"/>
                <w:lang w:eastAsia="ja-JP"/>
              </w:rPr>
              <w:t>Health,wellbeing</w:t>
            </w:r>
            <w:proofErr w:type="spellEnd"/>
            <w:r w:rsidRPr="00ED4E2F">
              <w:rPr>
                <w:rFonts w:eastAsiaTheme="minorEastAsia"/>
                <w:lang w:eastAsia="ja-JP"/>
              </w:rPr>
              <w:t xml:space="preserve"> and sustainable development </w:t>
            </w:r>
          </w:p>
        </w:tc>
      </w:tr>
      <w:tr w:rsidR="00ED4E2F" w:rsidRPr="00ED4E2F" w14:paraId="2C1969BA"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09155"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MODULE CODE: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46091"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BMHP6030</w:t>
            </w:r>
          </w:p>
        </w:tc>
      </w:tr>
      <w:tr w:rsidR="00ED4E2F" w:rsidRPr="00ED4E2F" w14:paraId="739284FA"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9D03F"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LECTURER:</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6EC42" w14:textId="77777777" w:rsidR="00ED4E2F" w:rsidRPr="00ED4E2F" w:rsidRDefault="00ED4E2F" w:rsidP="00ED4E2F">
            <w:pPr>
              <w:spacing w:line="360" w:lineRule="auto"/>
              <w:rPr>
                <w:rFonts w:eastAsiaTheme="minorEastAsia"/>
                <w:lang w:eastAsia="ja-JP"/>
              </w:rPr>
            </w:pPr>
            <w:proofErr w:type="spellStart"/>
            <w:r w:rsidRPr="00ED4E2F">
              <w:rPr>
                <w:rFonts w:eastAsiaTheme="minorEastAsia"/>
                <w:lang w:eastAsia="ja-JP"/>
              </w:rPr>
              <w:t>Junaid</w:t>
            </w:r>
            <w:proofErr w:type="spellEnd"/>
            <w:r w:rsidRPr="00ED4E2F">
              <w:rPr>
                <w:rFonts w:eastAsiaTheme="minorEastAsia"/>
                <w:lang w:eastAsia="ja-JP"/>
              </w:rPr>
              <w:t xml:space="preserve"> </w:t>
            </w:r>
            <w:proofErr w:type="spellStart"/>
            <w:r w:rsidRPr="00ED4E2F">
              <w:rPr>
                <w:rFonts w:eastAsiaTheme="minorEastAsia"/>
                <w:lang w:eastAsia="ja-JP"/>
              </w:rPr>
              <w:t>shaikh</w:t>
            </w:r>
            <w:proofErr w:type="spellEnd"/>
            <w:r w:rsidRPr="00ED4E2F">
              <w:rPr>
                <w:rFonts w:eastAsiaTheme="minorEastAsia"/>
                <w:lang w:eastAsia="ja-JP"/>
              </w:rPr>
              <w:t xml:space="preserve"> </w:t>
            </w:r>
          </w:p>
        </w:tc>
      </w:tr>
      <w:tr w:rsidR="00ED4E2F" w:rsidRPr="00ED4E2F" w14:paraId="25E572C4" w14:textId="77777777" w:rsidTr="00656AAE">
        <w:tc>
          <w:tcPr>
            <w:tcW w:w="3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46554"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ASSIGNMENT TITLE: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020C1" w14:textId="77777777" w:rsidR="00ED4E2F" w:rsidRPr="00ED4E2F" w:rsidRDefault="00ED4E2F" w:rsidP="00ED4E2F">
            <w:pPr>
              <w:spacing w:line="360" w:lineRule="auto"/>
              <w:rPr>
                <w:rFonts w:eastAsiaTheme="minorEastAsia"/>
                <w:lang w:eastAsia="ja-JP"/>
              </w:rPr>
            </w:pPr>
            <w:r w:rsidRPr="00ED4E2F">
              <w:rPr>
                <w:rFonts w:eastAsiaTheme="minorEastAsia"/>
                <w:lang w:eastAsia="ja-JP"/>
              </w:rPr>
              <w:t>Writing assignments (report)</w:t>
            </w:r>
          </w:p>
        </w:tc>
      </w:tr>
    </w:tbl>
    <w:p w14:paraId="65560933" w14:textId="2FE2E492" w:rsidR="003F57BF" w:rsidRDefault="003F57BF">
      <w:pPr>
        <w:spacing w:after="400"/>
        <w:jc w:val="center"/>
      </w:pPr>
    </w:p>
    <w:p w14:paraId="02A114B9" w14:textId="77777777" w:rsidR="00906FB7" w:rsidRDefault="00906FB7">
      <w:pPr>
        <w:pageBreakBefore/>
      </w:pPr>
    </w:p>
    <w:p w14:paraId="78A49E3F" w14:textId="77777777" w:rsidR="00906FB7" w:rsidRDefault="005A41E6" w:rsidP="00B66B3B">
      <w:pPr>
        <w:pStyle w:val="Heading1"/>
        <w:spacing w:before="0" w:after="0" w:line="360" w:lineRule="auto"/>
        <w:jc w:val="both"/>
      </w:pPr>
      <w:r>
        <w:t>1. Introduction</w:t>
      </w:r>
    </w:p>
    <w:p w14:paraId="5E57DB10" w14:textId="77777777" w:rsidR="00906FB7" w:rsidRDefault="005A41E6" w:rsidP="00B66B3B">
      <w:pPr>
        <w:spacing w:line="360" w:lineRule="auto"/>
        <w:jc w:val="both"/>
      </w:pPr>
      <w:r>
        <w:t>Health, wellbeing, and sustainability are tightly bound together, and the United Nations 2030 Agenda places this relationship at the heart of global policy through its seventeen Sustainable Development Goals (UNDP, 2015). Independent monitoring suggests that domestic progress against the Sustainable Development Goals as a whole has stalled, with only a small proportion of relevant targets in the United Kingdom assessed as on track, underlining the value of focusing closely on two interconnected goals rather than the framework as a whole (UN Global Compact Network UK, 2022; House of Commons Library, 2023). This report critically examines Sustainable Development Goal 3, concerned with good health and wellbeing, alongside Sustainable Development Goal 6, concerned with clean water and sanitation, and considers how each goal shapes the health of citizens at global, national, and local levels. The report then evaluates the effectiveness of selected national and local initiatives within the United Kingdom, focusing on Birmingham as the local context, before presenting recommendations informed by evidence for strengthening policy and practice. The discussion is framed using the Dahlgren and Whitehead (2021) model of the social determinants of health, which positions water and sanitation, alongside healthcare services, as structural conditions that shape individual and population health outcomes.</w:t>
      </w:r>
    </w:p>
    <w:p w14:paraId="6B7BCF19" w14:textId="77777777" w:rsidR="00906FB7" w:rsidRDefault="005A41E6" w:rsidP="00B66B3B">
      <w:pPr>
        <w:pStyle w:val="Heading1"/>
        <w:spacing w:before="0" w:after="0" w:line="360" w:lineRule="auto"/>
        <w:jc w:val="both"/>
      </w:pPr>
      <w:r>
        <w:t>2. Sustainable Development Goal 3 and Sustainable Development Goal 6: Impacts on Health and Wellbeing</w:t>
      </w:r>
    </w:p>
    <w:p w14:paraId="07C4ED91" w14:textId="77777777" w:rsidR="00906FB7" w:rsidRDefault="005A41E6" w:rsidP="00B66B3B">
      <w:pPr>
        <w:pStyle w:val="Heading2"/>
        <w:spacing w:before="0" w:after="0" w:line="360" w:lineRule="auto"/>
        <w:jc w:val="both"/>
      </w:pPr>
      <w:r>
        <w:t>2.1 SDG 3: Good Health and Wellbeing</w:t>
      </w:r>
    </w:p>
    <w:p w14:paraId="28DA9457" w14:textId="77777777" w:rsidR="00906FB7" w:rsidRDefault="005A41E6" w:rsidP="00B66B3B">
      <w:pPr>
        <w:spacing w:line="360" w:lineRule="auto"/>
        <w:jc w:val="both"/>
      </w:pPr>
      <w:r>
        <w:t xml:space="preserve">SDG 3 commits member states to ensuring healthy lives and promoting wellbeing for people of all ages, with targets spanning maternal and child mortality, communicable and noncommunicable disease, mental health, and universal health coverage (UCL, 2021). At a global level, progress has been uneven; many low and middle income countries continue to experience high maternal mortality linked to limited antenatal care and weak health infrastructure, while wealthier nations face a different burden </w:t>
      </w:r>
      <w:proofErr w:type="spellStart"/>
      <w:r>
        <w:t>centred</w:t>
      </w:r>
      <w:proofErr w:type="spellEnd"/>
      <w:r>
        <w:t xml:space="preserve"> on chronic disease and an </w:t>
      </w:r>
      <w:proofErr w:type="spellStart"/>
      <w:r>
        <w:t>ageing</w:t>
      </w:r>
      <w:proofErr w:type="spellEnd"/>
      <w:r>
        <w:t xml:space="preserve"> population (MDPI Sustainability, 2025). Within the United Kingdom, SDG 3 intersects directly with entrenched health inequalities. The original Marmot Review proposed that addressing health inequalities required coordinated action across income, education, housing, and the wider social determinants of health (Local Government Association, 2010), and its ten year follow up found that life expectancy gains had stalled and that inequalities in health had widened since 2010, with place remaining a powerful determinant; a person living in a deprived </w:t>
      </w:r>
      <w:r>
        <w:lastRenderedPageBreak/>
        <w:t xml:space="preserve">area of the North East of England can expect to live almost five years less than someone in an equally deprived part of London (Institute of Health Equity, 2020). At the local level, Birmingham experiences some of the starkest health inequalities in England. The city has held Marmot status for over a decade, reflecting sustained recognition that social and economic disadvantage, rather than individual </w:t>
      </w:r>
      <w:proofErr w:type="spellStart"/>
      <w:r>
        <w:t>behaviour</w:t>
      </w:r>
      <w:proofErr w:type="spellEnd"/>
      <w:r>
        <w:t xml:space="preserve"> alone, drives much of the variation in health outcomes across its </w:t>
      </w:r>
      <w:proofErr w:type="spellStart"/>
      <w:r>
        <w:t>neighbourhoods</w:t>
      </w:r>
      <w:proofErr w:type="spellEnd"/>
      <w:r>
        <w:t xml:space="preserve"> (Birmingham City Council, 2022). This pattern illustrates how SDG 3 cannot be addressed through healthcare provision alone, but requires attention to the wider determinants captured in the Dahlgren and Whitehead (2021) model, including housing, employment, and environmental conditions.</w:t>
      </w:r>
    </w:p>
    <w:p w14:paraId="64799E14" w14:textId="77777777" w:rsidR="00906FB7" w:rsidRDefault="005A41E6" w:rsidP="00B66B3B">
      <w:pPr>
        <w:pStyle w:val="Heading2"/>
        <w:spacing w:before="0" w:after="0" w:line="360" w:lineRule="auto"/>
        <w:jc w:val="both"/>
      </w:pPr>
      <w:r>
        <w:t>2.2 SDG 6: Clean Water and Sanitation</w:t>
      </w:r>
    </w:p>
    <w:p w14:paraId="28B24241" w14:textId="77777777" w:rsidR="00906FB7" w:rsidRDefault="005A41E6" w:rsidP="00B66B3B">
      <w:pPr>
        <w:spacing w:line="360" w:lineRule="auto"/>
        <w:jc w:val="both"/>
      </w:pPr>
      <w:r>
        <w:t xml:space="preserve">SDG 6 calls for universal access to safe and affordable drinking water and adequate sanitation by 2030, </w:t>
      </w:r>
      <w:proofErr w:type="spellStart"/>
      <w:r>
        <w:t>recognising</w:t>
      </w:r>
      <w:proofErr w:type="spellEnd"/>
      <w:r>
        <w:t xml:space="preserve"> that clean water underpins almost every other dimension of health and development (UNDP, 2015). Globally, around two billion people still lack access to safely managed drinking water, and inadequate water, sanitation, and hygiene provision remains strongly associated with child mortality, malnutrition, and diseases such as early childhood caries and </w:t>
      </w:r>
      <w:proofErr w:type="spellStart"/>
      <w:r>
        <w:t>diarrhoeal</w:t>
      </w:r>
      <w:proofErr w:type="spellEnd"/>
      <w:r>
        <w:t xml:space="preserve"> illness (PMC, 2024; Cambridge Prisms: Water, 2023). Although the United Kingdom is not typically considered water insecure, SDG 6 remains highly relevant domestically because of two compounding issues: pollution of water sources and the affordability of water services. Environment Agency data show that water companies in England recorded the highest number of pollution incidents in a decade during 2024, with raw sewage discharged into rivers and seas for millions of hours through storm overflows (Environment Agency, 2025; House of Commons Library, 2026). Campaign groups have linked recreational exposure to contaminated water with gastrointestinal illness, chest infections, and in serious cases </w:t>
      </w:r>
      <w:proofErr w:type="spellStart"/>
      <w:r>
        <w:t>hospitalisation</w:t>
      </w:r>
      <w:proofErr w:type="spellEnd"/>
      <w:r>
        <w:t xml:space="preserve"> (Surfers Against Sewage, 2025). At the same time, a significant share of English households spend more than five per cent of disposable income on water bills, a </w:t>
      </w:r>
      <w:proofErr w:type="spellStart"/>
      <w:r>
        <w:t>recognised</w:t>
      </w:r>
      <w:proofErr w:type="spellEnd"/>
      <w:r>
        <w:t xml:space="preserve"> threshold for water poverty, and campaigners argue that support schemes remain inconsistently applied across regions, producing what has been termed a </w:t>
      </w:r>
      <w:proofErr w:type="spellStart"/>
      <w:r>
        <w:t>postcode</w:t>
      </w:r>
      <w:proofErr w:type="spellEnd"/>
      <w:r>
        <w:t xml:space="preserve"> lottery of assistance (CIPHE, 2023; CEPA, 2024). In Birmingham, Severn Trent is the responsible water company, and its investment decisions and pollution record have direct bearing on local water quality and affordability (</w:t>
      </w:r>
      <w:proofErr w:type="spellStart"/>
      <w:r>
        <w:t>Ofwat</w:t>
      </w:r>
      <w:proofErr w:type="spellEnd"/>
      <w:r>
        <w:t>, 2024).</w:t>
      </w:r>
    </w:p>
    <w:p w14:paraId="59A47B0C" w14:textId="77777777" w:rsidR="00906FB7" w:rsidRDefault="005A41E6" w:rsidP="00B66B3B">
      <w:pPr>
        <w:pStyle w:val="Heading2"/>
        <w:spacing w:before="0" w:after="0" w:line="360" w:lineRule="auto"/>
        <w:jc w:val="both"/>
      </w:pPr>
      <w:r>
        <w:t>2.3 The Interconnection Between SDG 3 and SDG 6</w:t>
      </w:r>
    </w:p>
    <w:p w14:paraId="1611677C" w14:textId="77777777" w:rsidR="00906FB7" w:rsidRDefault="005A41E6" w:rsidP="00B66B3B">
      <w:pPr>
        <w:spacing w:line="360" w:lineRule="auto"/>
        <w:jc w:val="both"/>
      </w:pPr>
      <w:r>
        <w:t xml:space="preserve">The two goals are mutually reinforcing rather than separate policy areas. The Dahlgren and Whitehead (2021) model explicitly situates water and sanitation within the layer of living and working conditions that shape individual health, alongside housing, education, and healthcare </w:t>
      </w:r>
      <w:r>
        <w:lastRenderedPageBreak/>
        <w:t xml:space="preserve">services. Improved water and sanitation access reduces the burden of infectious disease, which in turn supports progress towards SDG 3 targets on child mortality and communicable disease (PMC, 2024). Conversely, when water quality deteriorates through sewage pollution or when affordability pressures force households into water poverty, the resulting health risks, both physical and psychological, place additional strain on health services that are already working towards SDG 3 commitments (Surfers Against Sewage, 2025; CIPHE, 2023). Climate change adds a further layer of complexity to this relationship, since rising temperatures and more frequent extreme rainfall increase both the risk of water contamination and the vulnerability of populations already facing health inequalities (World Health Organization, 2024). Although the Dahlgren and Whitehead framework remains widely used, it has been critiqued for providing limited guidance on how commercial actors, including </w:t>
      </w:r>
      <w:proofErr w:type="spellStart"/>
      <w:r>
        <w:t>privatised</w:t>
      </w:r>
      <w:proofErr w:type="spellEnd"/>
      <w:r>
        <w:t xml:space="preserve"> utility companies, influence these structural conditions in practice (</w:t>
      </w:r>
      <w:proofErr w:type="spellStart"/>
      <w:r>
        <w:t>Dyar</w:t>
      </w:r>
      <w:proofErr w:type="spellEnd"/>
      <w:r>
        <w:t xml:space="preserve"> et al., 2022). This interdependence demonstrates why a single goal cannot be assessed in isolation, and why the assessment below considers initiatives operating across both health and water policy domains.</w:t>
      </w:r>
    </w:p>
    <w:p w14:paraId="34BBB7A5" w14:textId="77777777" w:rsidR="00906FB7" w:rsidRDefault="005A41E6" w:rsidP="00B66B3B">
      <w:pPr>
        <w:pStyle w:val="Heading1"/>
        <w:spacing w:before="0" w:after="0" w:line="360" w:lineRule="auto"/>
        <w:jc w:val="both"/>
      </w:pPr>
      <w:r>
        <w:t>3. Evaluation of National and Local Initiatives</w:t>
      </w:r>
    </w:p>
    <w:p w14:paraId="2081063E" w14:textId="77777777" w:rsidR="00906FB7" w:rsidRDefault="005A41E6" w:rsidP="00B66B3B">
      <w:pPr>
        <w:pStyle w:val="Heading2"/>
        <w:spacing w:before="0" w:after="0" w:line="360" w:lineRule="auto"/>
        <w:jc w:val="both"/>
      </w:pPr>
      <w:r>
        <w:t>3.1 National Level: NHS Net Zero and the Marmot Principles</w:t>
      </w:r>
    </w:p>
    <w:p w14:paraId="10D92F13" w14:textId="77777777" w:rsidR="00906FB7" w:rsidRDefault="005A41E6" w:rsidP="00B66B3B">
      <w:pPr>
        <w:spacing w:line="360" w:lineRule="auto"/>
        <w:jc w:val="both"/>
      </w:pPr>
      <w:r>
        <w:t>The NHS Long Term Plan and the subsequent Delivering a Net Zero National Health Service strategy represent a significant national response to the health implications of environmental sustainability, with the Health and Care Act 2022 making the NHS the first health system in the world to embed net zero commitments into legislation (NHS England, 2025a). Direct emissions have fallen by sixty eight per cent since 1990 and by fourteen per cent over the last five years, suggesting genuine progress towards the 2040 and 2045 targets (NHS England, 2025b). However, the King's Fund (2025) cautions that supply chain emissions, which represent the largest share of the NHS footprint, have only just returned to levels seen before the pandemic, and that accountability mechanisms remain weaker than those used for other system priorities such as waiting list reduction. Alongside this, the Marmot principles, first articulated in 2010 and reaffirmed a decade later, have been widely adopted into local health and wellbeing strategies, yet the Institute of Health Equity (2020) found that national policy had not matched this local enthusiasm with sufficient investment in the social determinants of health, meaning that life expectancy gains continued to stall despite local commitment.</w:t>
      </w:r>
    </w:p>
    <w:p w14:paraId="76EFA85E" w14:textId="77777777" w:rsidR="00906FB7" w:rsidRDefault="005A41E6" w:rsidP="00B66B3B">
      <w:pPr>
        <w:pStyle w:val="Heading2"/>
        <w:spacing w:before="0" w:after="0" w:line="360" w:lineRule="auto"/>
        <w:jc w:val="both"/>
      </w:pPr>
      <w:r>
        <w:t>3.2 National Level: Water Sector Regulation and Reform</w:t>
      </w:r>
    </w:p>
    <w:p w14:paraId="631B0E64" w14:textId="77777777" w:rsidR="00906FB7" w:rsidRDefault="005A41E6" w:rsidP="00B66B3B">
      <w:pPr>
        <w:spacing w:line="360" w:lineRule="auto"/>
        <w:jc w:val="both"/>
      </w:pPr>
      <w:r>
        <w:t xml:space="preserve">In response to mounting public concern over sewage pollution, the government introduced the Water (Special Measures) Act, which received royal assent in early 2025 and grants regulators stronger powers, including the ability to pursue criminal charges against water company </w:t>
      </w:r>
      <w:r>
        <w:lastRenderedPageBreak/>
        <w:t xml:space="preserve">executives and to block bonus payments where environmental standards are not met (Imperial College London, 2025). </w:t>
      </w:r>
      <w:proofErr w:type="spellStart"/>
      <w:r>
        <w:t>Ofwat's</w:t>
      </w:r>
      <w:proofErr w:type="spellEnd"/>
      <w:r>
        <w:t xml:space="preserve"> PR24 price review subsequently approved record levels of capital investment for the 2025 to 2030 period, including substantial funding earmarked for reducing storm overflow spills and supporting customers in financial hardship (</w:t>
      </w:r>
      <w:proofErr w:type="spellStart"/>
      <w:r>
        <w:t>Ofwat</w:t>
      </w:r>
      <w:proofErr w:type="spellEnd"/>
      <w:r>
        <w:t>, 2024). These reforms represent a meaningful tightening of accountability compared with the preceding regulatory period. Nevertheless, independent monitoring suggests the underlying problem persists; sewage was discharged into English rivers and seas close to three hundred thousand times in 2025 despite one of the driest years on record, indicating that some discharges were likely unlawful rather than a permitted response to genuine storm conditions (House of Commons Library, 2026). The continued absence of a single, nationally consistent definition of water poverty, more than a decade after the issue was first formally raised, further suggests that policy has been reactive rather than systematically designed around the needs of the most vulnerable households (CEPA, 2024; CIPHE, 2023).</w:t>
      </w:r>
    </w:p>
    <w:p w14:paraId="2003EFEA" w14:textId="77777777" w:rsidR="00906FB7" w:rsidRDefault="005A41E6" w:rsidP="00B66B3B">
      <w:pPr>
        <w:pStyle w:val="Heading2"/>
        <w:spacing w:before="0" w:after="0" w:line="360" w:lineRule="auto"/>
        <w:jc w:val="both"/>
      </w:pPr>
      <w:r>
        <w:t>3.3 Local Level: Birmingham's Health and Wellbeing Strategy</w:t>
      </w:r>
    </w:p>
    <w:p w14:paraId="5217B8D3" w14:textId="77777777" w:rsidR="00906FB7" w:rsidRDefault="005A41E6" w:rsidP="00B66B3B">
      <w:pPr>
        <w:spacing w:line="360" w:lineRule="auto"/>
        <w:jc w:val="both"/>
      </w:pPr>
      <w:r>
        <w:t>Birmingham City Council's strategy, titled Creating a Bolder, Healthier City, sets out a ten year plan running from 2022 to 2030, built around five core themes and underpinned by an explicit priority of closing the gap in health inequalities exacerbated by the COVID nineteen pandemic (Birmingham City Council, 2022). The strategy is grounded in the Joint Strategic Needs Assessment and benefits from extensive public consultation, and the city's long standing Marmot status provides continuity of approach and embedded local expertise in addressing social determinants of health (Birmingham City Council, 2022; Wirral Health and Wellbeing Knowledge Hub, 2024). This represents good practice in translating national principles into a locally owned plan with measurable indicators tracked through a public dashboard. However, the broader national evidence on the Marmot approach suggests a structural limitation; the Institute of Health Equity (2020) found that local authorities adopting Marmot principles had limited ability to influence the income, employment, and housing conditions that most strongly determine health outcomes, since these levers largely sit with central government. Birmingham's strategy is therefore strong on local coordination and community engagement but constrained in its capacity to address the upstream economic drivers of inequality.</w:t>
      </w:r>
    </w:p>
    <w:p w14:paraId="731A682A" w14:textId="77777777" w:rsidR="00906FB7" w:rsidRDefault="005A41E6" w:rsidP="00B66B3B">
      <w:pPr>
        <w:pStyle w:val="Heading2"/>
        <w:spacing w:before="0" w:after="0" w:line="360" w:lineRule="auto"/>
        <w:jc w:val="both"/>
      </w:pPr>
      <w:r>
        <w:t>3.4 Local Level: Severn Trent and the Birmingham Resilience Programme</w:t>
      </w:r>
    </w:p>
    <w:p w14:paraId="571B1A94" w14:textId="77777777" w:rsidR="00906FB7" w:rsidRDefault="005A41E6" w:rsidP="00B66B3B">
      <w:pPr>
        <w:spacing w:line="360" w:lineRule="auto"/>
        <w:jc w:val="both"/>
      </w:pPr>
      <w:r>
        <w:t xml:space="preserve">Severn Trent, the water company serving Birmingham and the wider Midlands, secured </w:t>
      </w:r>
      <w:proofErr w:type="spellStart"/>
      <w:r>
        <w:t>Ofwat</w:t>
      </w:r>
      <w:proofErr w:type="spellEnd"/>
      <w:r>
        <w:t xml:space="preserve"> approval for a fifteen billion pound investment programme for 2025 to 2030, of which seven hundred and seventy million pounds is allocated specifically to Birmingham and the Black Country, including funding to reduce storm overflow spills and to lay new water mains (Severn </w:t>
      </w:r>
      <w:r>
        <w:lastRenderedPageBreak/>
        <w:t>Trent Plc, 2024; Severn Trent Water, 2025). The company also operates one of the larger financial assistance packages in the sector, intended to support roughly one in six households with their bills, and has linked employability schemes to efforts to address the underlying causes of water poverty (Severn Trent Plc, 2024). These commitments demonstrate a genuine attempt to connect infrastructure investment with social outcomes. At the same time, the scale of bill increases accompanying this investment, with household charges rising by around forty seven per cent over five years, raises questions about how effectively the benefits and costs of sustainability investment are being distributed, particularly for households already experiencing water poverty before the increase (Express and Star, 2024). This tension between funding the infrastructure needed to meet SDG 6 and protecting affordability for low income residents in Birmingham illustrates the practical difficulty of pursuing environmental and health equity goals simultaneously.</w:t>
      </w:r>
    </w:p>
    <w:p w14:paraId="45D77B41" w14:textId="77777777" w:rsidR="00906FB7" w:rsidRDefault="005A41E6" w:rsidP="00B66B3B">
      <w:pPr>
        <w:pStyle w:val="Heading1"/>
        <w:spacing w:before="0" w:after="0" w:line="360" w:lineRule="auto"/>
        <w:jc w:val="both"/>
      </w:pPr>
      <w:r>
        <w:t>4. Recommendations for Improvement</w:t>
      </w:r>
    </w:p>
    <w:p w14:paraId="76A03E22" w14:textId="77777777" w:rsidR="00906FB7" w:rsidRDefault="005A41E6" w:rsidP="00B66B3B">
      <w:pPr>
        <w:spacing w:line="360" w:lineRule="auto"/>
        <w:jc w:val="both"/>
      </w:pPr>
      <w:r>
        <w:t xml:space="preserve">Several recommendations informed by evidence follow from this analysis. First, the government should adopt a single statutory definition of water poverty, paired with a nationally consistent social tariff, to remove the regional inconsistency that currently leaves many eligible households without support, building on the partial steps already taken by individual companies such as Severn Trent (CIPHE, 2023; Severn Trent Plc, 2024). Second, national health policy should provide ring fenced funding tied explicitly to the Marmot principles, rather than relying on local authorities such as Birmingham to implement social determinants approaches without commensurate control over income, housing, and employment policy (Institute of Health Equity, 2020). Third, integrated care systems and local authorities should formally embed water quality and water poverty indicators within Joint Strategic Needs Assessments, </w:t>
      </w:r>
      <w:proofErr w:type="spellStart"/>
      <w:r>
        <w:t>recognising</w:t>
      </w:r>
      <w:proofErr w:type="spellEnd"/>
      <w:r>
        <w:t xml:space="preserve"> water and sanitation as a determinant of health in the Dahlgren and Whitehead (2021) sense rather than treating it solely as an environmental issue separate from health planning. Fourth, regulatory accountability introduced through the Water (Special Measures) Act should be matched by independent, real time public reporting of storm overflow data specifically for the Severn Trent region, enabling Birmingham residents and local health bodies to </w:t>
      </w:r>
      <w:proofErr w:type="spellStart"/>
      <w:r>
        <w:t>scrutinise</w:t>
      </w:r>
      <w:proofErr w:type="spellEnd"/>
      <w:r>
        <w:t xml:space="preserve"> the link between pollution incidents and recorded illness (Imperial College London, 2025; House of Commons Library, 2026). Finally, given that NHS supply chain emissions remain the largest unresolved component of the net zero strategy, procurement decisions affecting Birmingham's hospitals and primary care services should </w:t>
      </w:r>
      <w:proofErr w:type="spellStart"/>
      <w:r>
        <w:t>prioritise</w:t>
      </w:r>
      <w:proofErr w:type="spellEnd"/>
      <w:r>
        <w:t xml:space="preserve"> suppliers with verified low carbon credentials, strengthening the link between SDG 3 and SDG 13 while reinforcing local action on sustainability (King's Fund, 2025).</w:t>
      </w:r>
    </w:p>
    <w:p w14:paraId="7C7C902A" w14:textId="77777777" w:rsidR="00906FB7" w:rsidRDefault="005A41E6" w:rsidP="00B66B3B">
      <w:pPr>
        <w:pStyle w:val="Heading1"/>
        <w:spacing w:before="0" w:after="0" w:line="360" w:lineRule="auto"/>
        <w:jc w:val="both"/>
      </w:pPr>
      <w:r>
        <w:lastRenderedPageBreak/>
        <w:t>5. Conclusion</w:t>
      </w:r>
    </w:p>
    <w:p w14:paraId="51B3982A" w14:textId="77777777" w:rsidR="00906FB7" w:rsidRDefault="005A41E6" w:rsidP="00B66B3B">
      <w:pPr>
        <w:spacing w:line="360" w:lineRule="auto"/>
        <w:jc w:val="both"/>
      </w:pPr>
      <w:r>
        <w:t xml:space="preserve">This report has shown that SDG 3 and SDG 6 are closely interconnected, with water quality and affordability acting as a measurable determinant of health alongside more commonly </w:t>
      </w:r>
      <w:proofErr w:type="spellStart"/>
      <w:r>
        <w:t>recognised</w:t>
      </w:r>
      <w:proofErr w:type="spellEnd"/>
      <w:r>
        <w:t xml:space="preserve"> factors such as housing and employment. National policy in the United Kingdom, through the NHS net zero programme and recent water sector reforms, demonstrates clear intent to address these issues, yet implementation remains uneven and accountability mechanisms are still maturing. Birmingham's experience illustrates both the strengths and limitations of local action; the city's Marmot status and dedicated health and wellbeing strategy reflect genuine commitment, but progress on health inequalities and water poverty depends heavily on decisions made at a national and regulatory level that lie beyond local control. Strengthening the link between health and water policy, through consistent definitions, ring fenced funding, and shared data, would represent a meaningful step towards achieving both goals for citizens in Birmingham and across the wider United Kingdom.</w:t>
      </w:r>
    </w:p>
    <w:p w14:paraId="71E1554D" w14:textId="77777777" w:rsidR="00906FB7" w:rsidRDefault="00906FB7" w:rsidP="00B66B3B">
      <w:pPr>
        <w:pageBreakBefore/>
        <w:spacing w:line="360" w:lineRule="auto"/>
        <w:jc w:val="both"/>
      </w:pPr>
    </w:p>
    <w:p w14:paraId="6C926734" w14:textId="77777777" w:rsidR="00906FB7" w:rsidRDefault="005A41E6" w:rsidP="00B66B3B">
      <w:pPr>
        <w:pStyle w:val="Heading1"/>
        <w:spacing w:before="0" w:after="0" w:line="360" w:lineRule="auto"/>
        <w:jc w:val="both"/>
      </w:pPr>
      <w:r>
        <w:t>Reference List</w:t>
      </w:r>
    </w:p>
    <w:p w14:paraId="478E15E0" w14:textId="77777777" w:rsidR="00906FB7" w:rsidRDefault="005A41E6" w:rsidP="00B66B3B">
      <w:pPr>
        <w:spacing w:line="360" w:lineRule="auto"/>
        <w:ind w:left="720" w:hanging="720"/>
        <w:jc w:val="both"/>
      </w:pPr>
      <w:r>
        <w:t>Birmingham City Council (2022) Health and Wellbeing Strategy: Creating a Bolder, Healthier City. Available at: https://www.birmingham.gov.uk/info/50119/health_and_wellbeing_board/1300/health_and_wellbeing_strategy (Accessed: 25 June 2026).</w:t>
      </w:r>
    </w:p>
    <w:p w14:paraId="30EA0014" w14:textId="77777777" w:rsidR="00906FB7" w:rsidRDefault="005A41E6" w:rsidP="00B66B3B">
      <w:pPr>
        <w:spacing w:line="360" w:lineRule="auto"/>
        <w:ind w:left="720" w:hanging="720"/>
        <w:jc w:val="both"/>
      </w:pPr>
      <w:r>
        <w:t>Cambridge Prisms: Water (2023) Progress in delivering SDG6: Safe water and sanitation. Available at: https://www.cambridge.org/core/journals/cambridge-prisms-water/article/progress-in-delivering-sdg6-safe-water-and-sanitation/67A6FA4A56839905C7991E80B621074F (Accessed: 25 June 2026).</w:t>
      </w:r>
    </w:p>
    <w:p w14:paraId="1C11C09B" w14:textId="77777777" w:rsidR="00906FB7" w:rsidRDefault="005A41E6" w:rsidP="00B66B3B">
      <w:pPr>
        <w:spacing w:line="360" w:lineRule="auto"/>
        <w:ind w:left="720" w:hanging="720"/>
        <w:jc w:val="both"/>
      </w:pPr>
      <w:r>
        <w:t>CCW (2025) Affordability Matters: Insight from Water Matters 2025. Available at: https://www.ccw.org.uk/publication/affordability-matters-2025/ (Accessed: 25 June 2026).</w:t>
      </w:r>
    </w:p>
    <w:p w14:paraId="7016BCC4" w14:textId="77777777" w:rsidR="00906FB7" w:rsidRDefault="005A41E6" w:rsidP="00B66B3B">
      <w:pPr>
        <w:spacing w:line="360" w:lineRule="auto"/>
        <w:ind w:left="720" w:hanging="720"/>
        <w:jc w:val="both"/>
      </w:pPr>
      <w:r>
        <w:t>CEPA (2024) What is Water Poverty and How is it Defined? Available at: https://www.cepa.co.uk/images/uploads/documents/CEPA_What_Is_Water_Poverty.pdf (Accessed: 25 June 2026).</w:t>
      </w:r>
    </w:p>
    <w:p w14:paraId="3354AFD4" w14:textId="77777777" w:rsidR="00906FB7" w:rsidRDefault="005A41E6" w:rsidP="00B66B3B">
      <w:pPr>
        <w:spacing w:line="360" w:lineRule="auto"/>
        <w:ind w:left="720" w:hanging="720"/>
        <w:jc w:val="both"/>
      </w:pPr>
      <w:r>
        <w:t>CIPHE (2023) The Facts About Water Poverty. Available at: https://www.ciphe.org.uk/news-and-advice/blog-articles/the-facts-about-water-poverty/ (Accessed: 25 June 2026).</w:t>
      </w:r>
    </w:p>
    <w:p w14:paraId="52EA1ED2" w14:textId="77777777" w:rsidR="00906FB7" w:rsidRDefault="005A41E6" w:rsidP="00B66B3B">
      <w:pPr>
        <w:spacing w:line="360" w:lineRule="auto"/>
        <w:ind w:left="720" w:hanging="720"/>
        <w:jc w:val="both"/>
      </w:pPr>
      <w:r>
        <w:t>Dahlgren, G. and Whitehead, M. (2021) 'The Dahlgren and Whitehead model of health determinants: thirty years on and still chasing rainbows', Public Health, 199, pp. 20 to 24.</w:t>
      </w:r>
    </w:p>
    <w:p w14:paraId="7AAD5113" w14:textId="77777777" w:rsidR="00906FB7" w:rsidRDefault="005A41E6" w:rsidP="00B66B3B">
      <w:pPr>
        <w:spacing w:line="360" w:lineRule="auto"/>
        <w:ind w:left="720" w:hanging="720"/>
        <w:jc w:val="both"/>
      </w:pPr>
      <w:proofErr w:type="spellStart"/>
      <w:r>
        <w:t>Dyar</w:t>
      </w:r>
      <w:proofErr w:type="spellEnd"/>
      <w:r>
        <w:t xml:space="preserve">, O.J., </w:t>
      </w:r>
      <w:proofErr w:type="spellStart"/>
      <w:r>
        <w:t>Haglund</w:t>
      </w:r>
      <w:proofErr w:type="spellEnd"/>
      <w:r>
        <w:t xml:space="preserve">, B.J.A., </w:t>
      </w:r>
      <w:proofErr w:type="spellStart"/>
      <w:r>
        <w:t>Melder</w:t>
      </w:r>
      <w:proofErr w:type="spellEnd"/>
      <w:r>
        <w:t xml:space="preserve">, C., </w:t>
      </w:r>
      <w:proofErr w:type="spellStart"/>
      <w:r>
        <w:t>Skillington</w:t>
      </w:r>
      <w:proofErr w:type="spellEnd"/>
      <w:r>
        <w:t xml:space="preserve">, T., </w:t>
      </w:r>
      <w:proofErr w:type="spellStart"/>
      <w:r>
        <w:t>Kristenson</w:t>
      </w:r>
      <w:proofErr w:type="spellEnd"/>
      <w:r>
        <w:t xml:space="preserve">, M. and </w:t>
      </w:r>
      <w:proofErr w:type="spellStart"/>
      <w:r>
        <w:t>Sarkadi</w:t>
      </w:r>
      <w:proofErr w:type="spellEnd"/>
      <w:r>
        <w:t>, A. (2022) 'Rainbows over the world's public health: determinants of health models in the past, present, and future', Scandinavian Journal of Public Health. Available at: https://journals.sagepub.com/doi/10.1177/14034948221113147 (Accessed: 25 June 2026).</w:t>
      </w:r>
    </w:p>
    <w:p w14:paraId="660C5098" w14:textId="77777777" w:rsidR="00906FB7" w:rsidRDefault="005A41E6" w:rsidP="00B66B3B">
      <w:pPr>
        <w:spacing w:line="360" w:lineRule="auto"/>
        <w:ind w:left="720" w:hanging="720"/>
        <w:jc w:val="both"/>
      </w:pPr>
      <w:r>
        <w:t>Environment Agency (2025) Water and Sewerage Companies in England: Pollution Incident Report for 2016 to 2024. Available at: https://www.gov.uk/government/publications/water-and-sewerage-companies-in-england-pollution-incident-report-for-2016-to-2024 (Accessed: 25 June 2026).</w:t>
      </w:r>
    </w:p>
    <w:p w14:paraId="017CB974" w14:textId="77777777" w:rsidR="00906FB7" w:rsidRDefault="005A41E6" w:rsidP="00B66B3B">
      <w:pPr>
        <w:spacing w:line="360" w:lineRule="auto"/>
        <w:ind w:left="720" w:hanging="720"/>
        <w:jc w:val="both"/>
      </w:pPr>
      <w:r>
        <w:t>Express and Star (2024) Severn Trent announces 770 million pound investment for Birmingham and the Black Country as water bills to rise by 47 per cent. Available at: https://www.expressandstar.com/news/2024/12/22/severn-trent-announces-770m-investment-for-birmingham-and-the-black-country-as-water-bills-to-rise-by-47/ (Accessed: 25 June 2026).</w:t>
      </w:r>
    </w:p>
    <w:p w14:paraId="28E34FA3" w14:textId="77777777" w:rsidR="00906FB7" w:rsidRDefault="005A41E6" w:rsidP="00B66B3B">
      <w:pPr>
        <w:spacing w:line="360" w:lineRule="auto"/>
        <w:ind w:left="720" w:hanging="720"/>
        <w:jc w:val="both"/>
      </w:pPr>
      <w:r>
        <w:lastRenderedPageBreak/>
        <w:t>House of Commons Library (2023) Halfway to 2030: The Sustainable Development Goals. Available at: https://commonslibrary.parliament.uk/halfway-to-2030-the-sustainable-development-goals/ (Accessed: 25 June 2026).</w:t>
      </w:r>
    </w:p>
    <w:p w14:paraId="3372F868" w14:textId="77777777" w:rsidR="00906FB7" w:rsidRDefault="005A41E6" w:rsidP="00B66B3B">
      <w:pPr>
        <w:spacing w:line="360" w:lineRule="auto"/>
        <w:ind w:left="720" w:hanging="720"/>
        <w:jc w:val="both"/>
      </w:pPr>
      <w:r>
        <w:t>House of Commons Library (2026) Sewage Discharges. Available at: https://commonslibrary.parliament.uk/research-briefings/cbp-10027/ (Accessed: 25 June 2026).</w:t>
      </w:r>
    </w:p>
    <w:p w14:paraId="5CB08B1A" w14:textId="77777777" w:rsidR="00906FB7" w:rsidRDefault="005A41E6" w:rsidP="00B66B3B">
      <w:pPr>
        <w:spacing w:line="360" w:lineRule="auto"/>
        <w:ind w:left="720" w:hanging="720"/>
        <w:jc w:val="both"/>
      </w:pPr>
      <w:r>
        <w:t>Imperial College London (2025) Tackling the Crisis in UK Water Quality: Prospects for Improvement. Available at: https://www.imperial.ac.uk/news/264133/tackling-crisis-uk-water-quality-prospects/ (Accessed: 25 June 2026).</w:t>
      </w:r>
    </w:p>
    <w:p w14:paraId="7BD55A6B" w14:textId="77777777" w:rsidR="00906FB7" w:rsidRDefault="005A41E6" w:rsidP="00B66B3B">
      <w:pPr>
        <w:spacing w:line="360" w:lineRule="auto"/>
        <w:ind w:left="720" w:hanging="720"/>
        <w:jc w:val="both"/>
      </w:pPr>
      <w:r>
        <w:t>Institute of Health Equity (2020) Health Equity in England: The Marmot Review Ten Years On. Available at: https://www.instituteofhealthequity.org/resources-reports/marmot-review-10-years-on/the-marmot-review-10-years-on-full-report.pdf (Accessed: 25 June 2026).</w:t>
      </w:r>
    </w:p>
    <w:p w14:paraId="42FAA7AB" w14:textId="77777777" w:rsidR="00906FB7" w:rsidRDefault="005A41E6" w:rsidP="00B66B3B">
      <w:pPr>
        <w:spacing w:line="360" w:lineRule="auto"/>
        <w:ind w:left="720" w:hanging="720"/>
        <w:jc w:val="both"/>
      </w:pPr>
      <w:r>
        <w:t>King's Fund (2025) Carbon Net Zero by 2040: Is the NHS On Track? Available at: https://www.kingsfund.org.uk/insight-and-analysis/blogs/carbon-net-zero-2040-is-nhs-on-track (Accessed: 25 June 2026).</w:t>
      </w:r>
    </w:p>
    <w:p w14:paraId="24FF1B12" w14:textId="77777777" w:rsidR="00906FB7" w:rsidRDefault="005A41E6" w:rsidP="00B66B3B">
      <w:pPr>
        <w:spacing w:line="360" w:lineRule="auto"/>
        <w:ind w:left="720" w:hanging="720"/>
        <w:jc w:val="both"/>
      </w:pPr>
      <w:r>
        <w:t>Local Government Association (2010) Marmot Review Report: Fair Society, Healthy Lives. Available at: https://www.local.gov.uk/marmot-review-report-fair-society-healthy-lives (Accessed: 25 June 2026).</w:t>
      </w:r>
    </w:p>
    <w:p w14:paraId="69BE541C" w14:textId="77777777" w:rsidR="00906FB7" w:rsidRDefault="005A41E6" w:rsidP="00B66B3B">
      <w:pPr>
        <w:spacing w:line="360" w:lineRule="auto"/>
        <w:ind w:left="720" w:hanging="720"/>
        <w:jc w:val="both"/>
      </w:pPr>
      <w:r>
        <w:t>MDPI Sustainability (2025) Social Factors and Policies Promoting Good Health and Wellbeing as a Sustainable Development Goal: Current Achievements and Future Pathways. Available at: https://www.mdpi.com/2071-1050/17/11/5063 (Accessed: 25 June 2026).</w:t>
      </w:r>
    </w:p>
    <w:p w14:paraId="45AD9674" w14:textId="77777777" w:rsidR="00906FB7" w:rsidRDefault="005A41E6" w:rsidP="00B66B3B">
      <w:pPr>
        <w:spacing w:line="360" w:lineRule="auto"/>
        <w:ind w:left="720" w:hanging="720"/>
        <w:jc w:val="both"/>
      </w:pPr>
      <w:r>
        <w:t>NHS England (2025a) Greener NHS: Delivering a Net Zero NHS. Available at: https://www.england.nhs.uk/greenernhs/a-net-zero-nhs/ (Accessed: 25 June 2026).</w:t>
      </w:r>
    </w:p>
    <w:p w14:paraId="2F71C9A4" w14:textId="77777777" w:rsidR="00906FB7" w:rsidRDefault="005A41E6" w:rsidP="00B66B3B">
      <w:pPr>
        <w:spacing w:line="360" w:lineRule="auto"/>
        <w:ind w:left="720" w:hanging="720"/>
        <w:jc w:val="both"/>
      </w:pPr>
      <w:r>
        <w:t>NHS England (2025b) Greener NHS: National Ambition. Available at: https://www.england.nhs.uk/greenernhs/national-ambition/ (Accessed: 25 June 2026).</w:t>
      </w:r>
    </w:p>
    <w:p w14:paraId="3B5168D4" w14:textId="77777777" w:rsidR="00906FB7" w:rsidRDefault="005A41E6" w:rsidP="00B66B3B">
      <w:pPr>
        <w:spacing w:line="360" w:lineRule="auto"/>
        <w:ind w:left="720" w:hanging="720"/>
        <w:jc w:val="both"/>
      </w:pPr>
      <w:proofErr w:type="spellStart"/>
      <w:r>
        <w:t>Ofwat</w:t>
      </w:r>
      <w:proofErr w:type="spellEnd"/>
      <w:r>
        <w:t xml:space="preserve"> (2024) Overview of Severn Trent Water's PR24 Final Determination. Available at: https://www.ofwat.gov.uk/wp-content/uploads/2024/12/Overview-of-Severn-Trent-Waters-PR24-final-determination.pdf (Accessed: 25 June 2026).</w:t>
      </w:r>
    </w:p>
    <w:p w14:paraId="3D2F5519" w14:textId="77777777" w:rsidR="00906FB7" w:rsidRDefault="005A41E6" w:rsidP="00B66B3B">
      <w:pPr>
        <w:spacing w:line="360" w:lineRule="auto"/>
        <w:ind w:left="720" w:hanging="720"/>
        <w:jc w:val="both"/>
      </w:pPr>
      <w:r>
        <w:t>PMC (2024) A Scoping Review of the Links Between Early Childhood Caries and Clean Water and Sanitation: The Sustainable Development Goal 6. Available at: https://www.ncbi.nlm.nih.gov/pmc/articles/PMC11234638/ (Accessed: 25 June 2026).</w:t>
      </w:r>
    </w:p>
    <w:p w14:paraId="5BE06FE1" w14:textId="77777777" w:rsidR="00906FB7" w:rsidRDefault="005A41E6" w:rsidP="00B66B3B">
      <w:pPr>
        <w:spacing w:line="360" w:lineRule="auto"/>
        <w:ind w:left="720" w:hanging="720"/>
        <w:jc w:val="both"/>
      </w:pPr>
      <w:r>
        <w:t xml:space="preserve">Severn Trent Plc (2024) Fifteen Billion Pound Investment, 7,000 Jobs, and Cleaner Rivers for the Midlands as Severn Trent Gets </w:t>
      </w:r>
      <w:proofErr w:type="spellStart"/>
      <w:r>
        <w:t>Ofwat's</w:t>
      </w:r>
      <w:proofErr w:type="spellEnd"/>
      <w:r>
        <w:t xml:space="preserve"> Backing. Available at: </w:t>
      </w:r>
      <w:r>
        <w:lastRenderedPageBreak/>
        <w:t>https://www.severntrent.com/media/news-releases/p15-billion-investment--7-000-jobs--and-cleaner-rivers-for-the-m/ (Accessed: 25 June 2026).</w:t>
      </w:r>
    </w:p>
    <w:p w14:paraId="4C30F5BC" w14:textId="77777777" w:rsidR="00906FB7" w:rsidRDefault="005A41E6" w:rsidP="00B66B3B">
      <w:pPr>
        <w:spacing w:line="360" w:lineRule="auto"/>
        <w:ind w:left="720" w:hanging="720"/>
        <w:jc w:val="both"/>
      </w:pPr>
      <w:r>
        <w:t>Severn Trent Water (2025) Our Plans 2025 to 2030. Available at: https://www.stwater.co.uk/about-us/our-plans-2025-2030/ (Accessed: 25 June 2026).</w:t>
      </w:r>
    </w:p>
    <w:p w14:paraId="0D5015D3" w14:textId="77777777" w:rsidR="00906FB7" w:rsidRDefault="005A41E6" w:rsidP="00B66B3B">
      <w:pPr>
        <w:spacing w:line="360" w:lineRule="auto"/>
        <w:ind w:left="720" w:hanging="720"/>
        <w:jc w:val="both"/>
      </w:pPr>
      <w:r>
        <w:t>Surfers Against Sewage (2025) Water Quality Report 2025. Available at: https://www.sas.org.uk/resource/water-quality-report-2025/ (Accessed: 25 June 2026).</w:t>
      </w:r>
    </w:p>
    <w:p w14:paraId="5462020A" w14:textId="77777777" w:rsidR="00906FB7" w:rsidRDefault="005A41E6" w:rsidP="00B66B3B">
      <w:pPr>
        <w:spacing w:line="360" w:lineRule="auto"/>
        <w:ind w:left="720" w:hanging="720"/>
        <w:jc w:val="both"/>
      </w:pPr>
      <w:r>
        <w:t>UCL (2021) SDG 3: Good Health and Wellbeing. Available at: https://www.ucl.ac.uk/sustainable-development-goals/sdg-3-good-health-and-well-being (Accessed: 25 June 2026).</w:t>
      </w:r>
    </w:p>
    <w:p w14:paraId="4EF510EC" w14:textId="77777777" w:rsidR="00906FB7" w:rsidRDefault="005A41E6" w:rsidP="00B66B3B">
      <w:pPr>
        <w:spacing w:line="360" w:lineRule="auto"/>
        <w:ind w:left="720" w:hanging="720"/>
        <w:jc w:val="both"/>
      </w:pPr>
      <w:r>
        <w:t>UNDP (2015) Goal 6: Clean Water and Sanitation. Available at: https://www.undp.org/sustainable-development-goals/clean-water-and-sanitation (Accessed: 25 June 2026).</w:t>
      </w:r>
    </w:p>
    <w:p w14:paraId="2A971F07" w14:textId="77777777" w:rsidR="00906FB7" w:rsidRDefault="005A41E6" w:rsidP="00B66B3B">
      <w:pPr>
        <w:spacing w:line="360" w:lineRule="auto"/>
        <w:ind w:left="720" w:hanging="720"/>
        <w:jc w:val="both"/>
      </w:pPr>
      <w:r>
        <w:t>UN Global Compact Network UK (2022) Halfway to 2030: How is the UK Performing on the Sustainable Development Goals? Available at: https://www.unglobalcompact.org.uk/halfway-to-2030-how-is-the-uk-performing-on-the-sustainable-development-goals/ (Accessed: 25 June 2026).</w:t>
      </w:r>
    </w:p>
    <w:p w14:paraId="028E1B99" w14:textId="77777777" w:rsidR="00906FB7" w:rsidRDefault="005A41E6" w:rsidP="00B66B3B">
      <w:pPr>
        <w:spacing w:line="360" w:lineRule="auto"/>
        <w:ind w:left="720" w:hanging="720"/>
        <w:jc w:val="both"/>
      </w:pPr>
      <w:r>
        <w:t>Wirral Health and Wellbeing Knowledge Hub (2024) Health Inequalities: Marmot Review Ten Years On. Available at: https://www.wirralhealthwellbeingknowledgehub.co.uk/a-to-z-of-jsna-topics/health-inequalities-marmot-review-10-years-on/ (Accessed: 25 June 2026).</w:t>
      </w:r>
    </w:p>
    <w:p w14:paraId="20C57E12" w14:textId="77777777" w:rsidR="00906FB7" w:rsidRDefault="005A41E6" w:rsidP="00B66B3B">
      <w:pPr>
        <w:spacing w:line="360" w:lineRule="auto"/>
        <w:ind w:left="720" w:hanging="720"/>
        <w:jc w:val="both"/>
      </w:pPr>
      <w:r>
        <w:t>World Health Organization (2024) Climate Change and Health: Vulnerability and Adaptation. Available at: https://www.who.int/teams/environment-climate-change-and-health/climate-change-and-health/capacity-building/toolkit-on-climate-change-and-health/vulnerability (Accessed: 25 June 2026).</w:t>
      </w:r>
    </w:p>
    <w:sectPr w:rsidR="00906FB7">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ECA791" w14:textId="77777777" w:rsidR="00E860D8" w:rsidRDefault="00E860D8">
      <w:r>
        <w:separator/>
      </w:r>
    </w:p>
  </w:endnote>
  <w:endnote w:type="continuationSeparator" w:id="0">
    <w:p w14:paraId="67DD0980" w14:textId="77777777" w:rsidR="00E860D8" w:rsidRDefault="00E86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47167258"/>
      <w:docPartObj>
        <w:docPartGallery w:val="Page Numbers (Bottom of Page)"/>
        <w:docPartUnique/>
      </w:docPartObj>
    </w:sdtPr>
    <w:sdtEndPr>
      <w:rPr>
        <w:noProof/>
      </w:rPr>
    </w:sdtEndPr>
    <w:sdtContent>
      <w:p w14:paraId="3BB5BD0C" w14:textId="77777777" w:rsidR="00B66B3B" w:rsidRDefault="00B66B3B">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46225B90" w14:textId="77777777" w:rsidR="00906FB7" w:rsidRDefault="00906FB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6542DD" w14:textId="77777777" w:rsidR="00E860D8" w:rsidRDefault="00E860D8">
      <w:r>
        <w:separator/>
      </w:r>
    </w:p>
  </w:footnote>
  <w:footnote w:type="continuationSeparator" w:id="0">
    <w:p w14:paraId="124FB0FC" w14:textId="77777777" w:rsidR="00E860D8" w:rsidRDefault="00E86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ACB48EE"/>
    <w:multiLevelType w:val="hybridMultilevel"/>
    <w:tmpl w:val="1B18BCEC"/>
    <w:lvl w:ilvl="0" w:tplc="1B560BCA">
      <w:start w:val="1"/>
      <w:numFmt w:val="bullet"/>
      <w:lvlText w:val="●"/>
      <w:lvlJc w:val="left"/>
      <w:pPr>
        <w:ind w:left="720" w:hanging="360"/>
      </w:pPr>
    </w:lvl>
    <w:lvl w:ilvl="1" w:tplc="84DA083A">
      <w:start w:val="1"/>
      <w:numFmt w:val="bullet"/>
      <w:lvlText w:val="○"/>
      <w:lvlJc w:val="left"/>
      <w:pPr>
        <w:ind w:left="1440" w:hanging="360"/>
      </w:pPr>
    </w:lvl>
    <w:lvl w:ilvl="2" w:tplc="E7D2F322">
      <w:start w:val="1"/>
      <w:numFmt w:val="bullet"/>
      <w:lvlText w:val="■"/>
      <w:lvlJc w:val="left"/>
      <w:pPr>
        <w:ind w:left="2160" w:hanging="360"/>
      </w:pPr>
    </w:lvl>
    <w:lvl w:ilvl="3" w:tplc="E834D84C">
      <w:start w:val="1"/>
      <w:numFmt w:val="bullet"/>
      <w:lvlText w:val="●"/>
      <w:lvlJc w:val="left"/>
      <w:pPr>
        <w:ind w:left="2880" w:hanging="360"/>
      </w:pPr>
    </w:lvl>
    <w:lvl w:ilvl="4" w:tplc="7CE2481A">
      <w:start w:val="1"/>
      <w:numFmt w:val="bullet"/>
      <w:lvlText w:val="○"/>
      <w:lvlJc w:val="left"/>
      <w:pPr>
        <w:ind w:left="3600" w:hanging="360"/>
      </w:pPr>
    </w:lvl>
    <w:lvl w:ilvl="5" w:tplc="A45848E0">
      <w:start w:val="1"/>
      <w:numFmt w:val="bullet"/>
      <w:lvlText w:val="■"/>
      <w:lvlJc w:val="left"/>
      <w:pPr>
        <w:ind w:left="4320" w:hanging="360"/>
      </w:pPr>
    </w:lvl>
    <w:lvl w:ilvl="6" w:tplc="200CC190">
      <w:start w:val="1"/>
      <w:numFmt w:val="bullet"/>
      <w:lvlText w:val="●"/>
      <w:lvlJc w:val="left"/>
      <w:pPr>
        <w:ind w:left="5040" w:hanging="360"/>
      </w:pPr>
    </w:lvl>
    <w:lvl w:ilvl="7" w:tplc="3612A5CA">
      <w:start w:val="1"/>
      <w:numFmt w:val="bullet"/>
      <w:lvlText w:val="●"/>
      <w:lvlJc w:val="left"/>
      <w:pPr>
        <w:ind w:left="5760" w:hanging="360"/>
      </w:pPr>
    </w:lvl>
    <w:lvl w:ilvl="8" w:tplc="B69CF9F6">
      <w:start w:val="1"/>
      <w:numFmt w:val="bullet"/>
      <w:lvlText w:val="●"/>
      <w:lvlJc w:val="left"/>
      <w:pPr>
        <w:ind w:left="6480" w:hanging="360"/>
      </w:pPr>
    </w:lvl>
  </w:abstractNum>
  <w:num w:numId="1" w16cid:durableId="145918165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06FB7"/>
    <w:rsid w:val="003F57BF"/>
    <w:rsid w:val="005A41E6"/>
    <w:rsid w:val="00822A95"/>
    <w:rsid w:val="00906FB7"/>
    <w:rsid w:val="00A23D13"/>
    <w:rsid w:val="00B025FC"/>
    <w:rsid w:val="00B457D6"/>
    <w:rsid w:val="00B66B3B"/>
    <w:rsid w:val="00E860D8"/>
    <w:rsid w:val="00ED4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0DB7"/>
  <w15:docId w15:val="{452533EB-59D0-4A49-BAF8-49ACEEC5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280" w:after="160"/>
      <w:outlineLvl w:val="0"/>
    </w:pPr>
    <w:rPr>
      <w:b/>
      <w:bCs/>
      <w:color w:val="000000"/>
      <w:sz w:val="28"/>
      <w:szCs w:val="28"/>
    </w:rPr>
  </w:style>
  <w:style w:type="paragraph" w:styleId="Heading2">
    <w:name w:val="heading 2"/>
    <w:qFormat/>
    <w:pPr>
      <w:spacing w:before="200" w:after="120"/>
      <w:outlineLvl w:val="1"/>
    </w:pPr>
    <w:rPr>
      <w:b/>
      <w:bCs/>
      <w:color w:val="000000"/>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66B3B"/>
    <w:pPr>
      <w:tabs>
        <w:tab w:val="center" w:pos="4680"/>
        <w:tab w:val="right" w:pos="9360"/>
      </w:tabs>
    </w:pPr>
  </w:style>
  <w:style w:type="character" w:customStyle="1" w:styleId="HeaderChar">
    <w:name w:val="Header Char"/>
    <w:basedOn w:val="DefaultParagraphFont"/>
    <w:link w:val="Header"/>
    <w:uiPriority w:val="99"/>
    <w:rsid w:val="00B66B3B"/>
  </w:style>
  <w:style w:type="paragraph" w:styleId="Footer">
    <w:name w:val="footer"/>
    <w:basedOn w:val="Normal"/>
    <w:link w:val="FooterChar"/>
    <w:uiPriority w:val="99"/>
    <w:unhideWhenUsed/>
    <w:rsid w:val="00B66B3B"/>
    <w:pPr>
      <w:tabs>
        <w:tab w:val="center" w:pos="4680"/>
        <w:tab w:val="right" w:pos="9360"/>
      </w:tabs>
    </w:pPr>
  </w:style>
  <w:style w:type="character" w:customStyle="1" w:styleId="FooterChar">
    <w:name w:val="Footer Char"/>
    <w:basedOn w:val="DefaultParagraphFont"/>
    <w:link w:val="Footer"/>
    <w:uiPriority w:val="99"/>
    <w:rsid w:val="00B66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3320</Words>
  <Characters>18925</Characters>
  <Application>Microsoft Office Word</Application>
  <DocSecurity>0</DocSecurity>
  <Lines>157</Lines>
  <Paragraphs>44</Paragraphs>
  <ScaleCrop>false</ScaleCrop>
  <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John Imade Omorogbe (2310505)</cp:lastModifiedBy>
  <cp:revision>5</cp:revision>
  <dcterms:created xsi:type="dcterms:W3CDTF">2026-07-19T08:56:00Z</dcterms:created>
  <dcterms:modified xsi:type="dcterms:W3CDTF">2026-07-19T09:12:00Z</dcterms:modified>
</cp:coreProperties>
</file>